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bCs/>
          <w:color w:val="auto"/>
          <w:sz w:val="28"/>
          <w:szCs w:val="28"/>
          <w:highlight w:val="none"/>
        </w:rPr>
      </w:pPr>
      <w:r>
        <w:rPr>
          <w:rFonts w:hint="eastAsia" w:ascii="宋体" w:hAnsi="宋体" w:cs="宋体"/>
          <w:bCs/>
          <w:color w:val="auto"/>
          <w:sz w:val="28"/>
          <w:szCs w:val="28"/>
          <w:highlight w:val="none"/>
        </w:rPr>
        <w:t xml:space="preserve">喀什地区公共资源交易中心                    </w:t>
      </w:r>
    </w:p>
    <w:p>
      <w:pPr>
        <w:pStyle w:val="19"/>
        <w:rPr>
          <w:rFonts w:cs="宋体"/>
          <w:b/>
          <w:color w:val="auto"/>
          <w:sz w:val="52"/>
          <w:szCs w:val="52"/>
          <w:highlight w:val="none"/>
        </w:rPr>
      </w:pPr>
    </w:p>
    <w:p>
      <w:pPr>
        <w:spacing w:line="400" w:lineRule="atLeast"/>
        <w:jc w:val="center"/>
        <w:rPr>
          <w:rFonts w:ascii="宋体" w:hAnsi="宋体" w:cs="宋体"/>
          <w:b/>
          <w:color w:val="auto"/>
          <w:sz w:val="52"/>
          <w:szCs w:val="52"/>
          <w:highlight w:val="none"/>
        </w:rPr>
      </w:pPr>
      <w:r>
        <w:rPr>
          <w:rFonts w:hint="eastAsia" w:ascii="宋体" w:hAnsi="宋体" w:cs="宋体"/>
          <w:b/>
          <w:color w:val="auto"/>
          <w:sz w:val="52"/>
          <w:szCs w:val="52"/>
          <w:highlight w:val="none"/>
        </w:rPr>
        <w:t>喀什地区第一人民医院国家区域医疗中心智慧医院、多学科（专科、专病）数据中心</w:t>
      </w:r>
    </w:p>
    <w:p>
      <w:pPr>
        <w:spacing w:line="400" w:lineRule="atLeast"/>
        <w:jc w:val="center"/>
        <w:rPr>
          <w:rFonts w:ascii="宋体" w:hAnsi="宋体" w:cs="宋体"/>
          <w:b/>
          <w:color w:val="auto"/>
          <w:sz w:val="52"/>
          <w:szCs w:val="52"/>
          <w:highlight w:val="none"/>
        </w:rPr>
      </w:pPr>
      <w:r>
        <w:rPr>
          <w:rFonts w:hint="eastAsia" w:ascii="宋体" w:hAnsi="宋体" w:cs="宋体"/>
          <w:b/>
          <w:color w:val="auto"/>
          <w:sz w:val="52"/>
          <w:szCs w:val="52"/>
          <w:highlight w:val="none"/>
        </w:rPr>
        <w:t>信息化建设项目</w:t>
      </w:r>
    </w:p>
    <w:p>
      <w:pPr>
        <w:widowControl/>
        <w:spacing w:line="360" w:lineRule="auto"/>
        <w:jc w:val="left"/>
        <w:rPr>
          <w:rFonts w:ascii="宋体" w:hAnsi="宋体" w:cs="宋体"/>
          <w:color w:val="auto"/>
          <w:highlight w:val="none"/>
        </w:rPr>
      </w:pPr>
    </w:p>
    <w:p>
      <w:pPr>
        <w:widowControl/>
        <w:spacing w:line="360" w:lineRule="auto"/>
        <w:jc w:val="left"/>
        <w:rPr>
          <w:rFonts w:ascii="宋体" w:hAnsi="宋体" w:cs="宋体"/>
          <w:color w:val="auto"/>
          <w:highlight w:val="none"/>
        </w:rPr>
      </w:pPr>
    </w:p>
    <w:p>
      <w:pPr>
        <w:spacing w:line="400" w:lineRule="atLeast"/>
        <w:jc w:val="center"/>
        <w:rPr>
          <w:rFonts w:ascii="宋体" w:hAnsi="宋体" w:cs="宋体"/>
          <w:b/>
          <w:color w:val="auto"/>
          <w:sz w:val="72"/>
          <w:szCs w:val="72"/>
          <w:highlight w:val="none"/>
        </w:rPr>
      </w:pPr>
      <w:r>
        <w:rPr>
          <w:rFonts w:hint="eastAsia" w:ascii="宋体" w:hAnsi="宋体" w:cs="宋体"/>
          <w:b/>
          <w:color w:val="auto"/>
          <w:sz w:val="72"/>
          <w:szCs w:val="72"/>
          <w:highlight w:val="none"/>
        </w:rPr>
        <w:t>公开招标文件</w:t>
      </w:r>
    </w:p>
    <w:p>
      <w:pPr>
        <w:spacing w:line="360" w:lineRule="auto"/>
        <w:ind w:left="1080" w:leftChars="257" w:hanging="540"/>
        <w:jc w:val="center"/>
        <w:rPr>
          <w:rFonts w:ascii="宋体" w:hAnsi="宋体" w:cs="宋体"/>
          <w:bCs/>
          <w:color w:val="auto"/>
          <w:sz w:val="52"/>
          <w:szCs w:val="52"/>
          <w:highlight w:val="none"/>
        </w:rPr>
      </w:pPr>
    </w:p>
    <w:p>
      <w:pPr>
        <w:spacing w:line="360" w:lineRule="auto"/>
        <w:ind w:left="1080" w:leftChars="257" w:hanging="540"/>
        <w:jc w:val="center"/>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r>
        <w:rPr>
          <w:rFonts w:hint="eastAsia" w:ascii="宋体" w:hAnsi="宋体" w:cs="宋体"/>
          <w:bCs/>
          <w:color w:val="auto"/>
          <w:sz w:val="32"/>
          <w:szCs w:val="32"/>
          <w:highlight w:val="none"/>
          <w:lang w:val="en-US" w:eastAsia="zh-CN"/>
        </w:rPr>
        <w:t>KSDQZFCG（GK）2023-26</w:t>
      </w:r>
      <w:r>
        <w:rPr>
          <w:rFonts w:hint="eastAsia" w:ascii="宋体" w:hAnsi="宋体" w:cs="宋体"/>
          <w:bCs/>
          <w:color w:val="auto"/>
          <w:sz w:val="32"/>
          <w:szCs w:val="32"/>
          <w:highlight w:val="none"/>
        </w:rPr>
        <w:t>）</w:t>
      </w:r>
    </w:p>
    <w:p>
      <w:pPr>
        <w:spacing w:line="360" w:lineRule="auto"/>
        <w:ind w:left="1080" w:leftChars="257" w:hanging="540"/>
        <w:jc w:val="center"/>
        <w:rPr>
          <w:rFonts w:ascii="宋体" w:hAnsi="宋体" w:cs="宋体"/>
          <w:b/>
          <w:color w:val="auto"/>
          <w:sz w:val="32"/>
          <w:szCs w:val="32"/>
          <w:highlight w:val="none"/>
        </w:rPr>
      </w:pPr>
    </w:p>
    <w:p>
      <w:pPr>
        <w:spacing w:line="360" w:lineRule="auto"/>
        <w:ind w:left="1080" w:leftChars="257" w:hanging="540"/>
        <w:jc w:val="center"/>
        <w:rPr>
          <w:rFonts w:ascii="宋体" w:hAnsi="宋体" w:cs="宋体"/>
          <w:b/>
          <w:color w:val="auto"/>
          <w:sz w:val="52"/>
          <w:highlight w:val="none"/>
        </w:rPr>
      </w:pPr>
      <w:r>
        <w:rPr>
          <w:rFonts w:hint="eastAsia" w:ascii="宋体" w:hAnsi="宋体" w:cs="宋体"/>
          <w:b/>
          <w:color w:val="auto"/>
          <w:sz w:val="36"/>
          <w:szCs w:val="36"/>
          <w:highlight w:val="none"/>
        </w:rPr>
        <w:t>第一册</w:t>
      </w:r>
    </w:p>
    <w:p>
      <w:pPr>
        <w:spacing w:line="360" w:lineRule="auto"/>
        <w:ind w:firstLine="837" w:firstLineChars="299"/>
        <w:jc w:val="left"/>
        <w:rPr>
          <w:rFonts w:ascii="宋体" w:hAnsi="宋体" w:cs="宋体"/>
          <w:color w:val="auto"/>
          <w:sz w:val="28"/>
          <w:szCs w:val="28"/>
          <w:highlight w:val="none"/>
          <w:u w:val="single"/>
        </w:rPr>
      </w:pPr>
      <w:r>
        <w:rPr>
          <w:rFonts w:hint="eastAsia" w:ascii="宋体" w:hAnsi="宋体" w:cs="宋体"/>
          <w:color w:val="auto"/>
          <w:sz w:val="28"/>
          <w:szCs w:val="28"/>
          <w:highlight w:val="none"/>
        </w:rPr>
        <w:t>采 购 人：</w:t>
      </w:r>
      <w:r>
        <w:rPr>
          <w:rFonts w:hint="eastAsia" w:ascii="宋体" w:hAnsi="宋体" w:cs="宋体"/>
          <w:color w:val="auto"/>
          <w:sz w:val="28"/>
          <w:szCs w:val="28"/>
          <w:highlight w:val="none"/>
          <w:u w:val="single"/>
        </w:rPr>
        <w:t>喀什地区第一人民医院</w:t>
      </w:r>
    </w:p>
    <w:p>
      <w:pPr>
        <w:spacing w:line="360" w:lineRule="auto"/>
        <w:ind w:firstLine="837" w:firstLineChars="299"/>
        <w:rPr>
          <w:rFonts w:ascii="宋体" w:hAnsi="宋体" w:cs="宋体"/>
          <w:color w:val="auto"/>
          <w:sz w:val="28"/>
          <w:szCs w:val="28"/>
          <w:highlight w:val="none"/>
        </w:rPr>
      </w:pPr>
      <w:r>
        <w:rPr>
          <w:rFonts w:hint="eastAsia" w:ascii="宋体" w:hAnsi="宋体" w:cs="宋体"/>
          <w:color w:val="auto"/>
          <w:sz w:val="28"/>
          <w:szCs w:val="28"/>
          <w:highlight w:val="none"/>
        </w:rPr>
        <w:t xml:space="preserve">联系人：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曹林岚</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w:t>
      </w:r>
    </w:p>
    <w:p>
      <w:pPr>
        <w:spacing w:line="360" w:lineRule="auto"/>
        <w:ind w:firstLine="840" w:firstLineChars="300"/>
        <w:rPr>
          <w:rFonts w:ascii="宋体" w:hAnsi="宋体" w:cs="宋体"/>
          <w:color w:val="auto"/>
          <w:sz w:val="28"/>
          <w:szCs w:val="28"/>
          <w:highlight w:val="none"/>
          <w:u w:val="single"/>
        </w:rPr>
      </w:pPr>
      <w:r>
        <w:rPr>
          <w:rFonts w:hint="eastAsia" w:ascii="宋体" w:hAnsi="宋体" w:cs="宋体"/>
          <w:color w:val="auto"/>
          <w:sz w:val="28"/>
          <w:szCs w:val="28"/>
          <w:highlight w:val="none"/>
        </w:rPr>
        <w:t xml:space="preserve">联系电话： </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0998-2962911</w:t>
      </w:r>
      <w:r>
        <w:rPr>
          <w:rFonts w:hint="eastAsia" w:ascii="宋体" w:hAnsi="宋体" w:cs="宋体"/>
          <w:color w:val="auto"/>
          <w:sz w:val="28"/>
          <w:szCs w:val="28"/>
          <w:highlight w:val="none"/>
          <w:u w:val="single"/>
        </w:rPr>
        <w:t xml:space="preserve">  </w:t>
      </w:r>
    </w:p>
    <w:p>
      <w:pPr>
        <w:pStyle w:val="2"/>
        <w:rPr>
          <w:rFonts w:ascii="宋体" w:hAnsi="宋体" w:cs="宋体"/>
          <w:color w:val="auto"/>
          <w:sz w:val="28"/>
          <w:szCs w:val="28"/>
          <w:highlight w:val="none"/>
          <w:u w:val="single"/>
        </w:rPr>
      </w:pPr>
    </w:p>
    <w:p>
      <w:pPr>
        <w:spacing w:line="360" w:lineRule="auto"/>
        <w:ind w:firstLine="837" w:firstLineChars="299"/>
        <w:rPr>
          <w:rFonts w:ascii="宋体" w:hAnsi="宋体" w:cs="宋体"/>
          <w:color w:val="auto"/>
          <w:sz w:val="28"/>
          <w:szCs w:val="28"/>
          <w:highlight w:val="none"/>
        </w:rPr>
      </w:pPr>
      <w:r>
        <w:rPr>
          <w:rFonts w:hint="eastAsia" w:ascii="宋体" w:hAnsi="宋体" w:cs="宋体"/>
          <w:color w:val="auto"/>
          <w:sz w:val="28"/>
          <w:szCs w:val="28"/>
          <w:highlight w:val="none"/>
        </w:rPr>
        <w:t>采购机构：</w:t>
      </w:r>
      <w:r>
        <w:rPr>
          <w:rFonts w:hint="eastAsia" w:ascii="宋体" w:hAnsi="宋体" w:cs="宋体"/>
          <w:color w:val="auto"/>
          <w:sz w:val="28"/>
          <w:szCs w:val="28"/>
          <w:highlight w:val="none"/>
          <w:u w:val="single"/>
        </w:rPr>
        <w:t>喀什地区公共资源交易中心</w:t>
      </w:r>
      <w:r>
        <w:rPr>
          <w:rFonts w:hint="eastAsia" w:ascii="宋体" w:hAnsi="宋体" w:cs="宋体"/>
          <w:color w:val="auto"/>
          <w:sz w:val="28"/>
          <w:szCs w:val="28"/>
          <w:highlight w:val="none"/>
        </w:rPr>
        <w:t xml:space="preserve"> </w:t>
      </w:r>
    </w:p>
    <w:p>
      <w:pPr>
        <w:spacing w:line="360" w:lineRule="auto"/>
        <w:ind w:firstLine="837" w:firstLineChars="299"/>
        <w:rPr>
          <w:rFonts w:ascii="宋体" w:hAnsi="宋体" w:cs="宋体"/>
          <w:color w:val="auto"/>
          <w:sz w:val="28"/>
          <w:szCs w:val="28"/>
          <w:highlight w:val="none"/>
        </w:rPr>
      </w:pPr>
      <w:r>
        <w:rPr>
          <w:rFonts w:hint="eastAsia" w:ascii="宋体" w:hAnsi="宋体" w:cs="宋体"/>
          <w:color w:val="auto"/>
          <w:sz w:val="28"/>
          <w:szCs w:val="28"/>
          <w:highlight w:val="none"/>
        </w:rPr>
        <w:t>联系人：</w:t>
      </w:r>
      <w:r>
        <w:rPr>
          <w:rFonts w:hint="eastAsia" w:ascii="宋体" w:hAnsi="宋体" w:cs="宋体"/>
          <w:color w:val="auto"/>
          <w:sz w:val="28"/>
          <w:szCs w:val="28"/>
          <w:highlight w:val="none"/>
          <w:u w:val="single"/>
          <w:lang w:eastAsia="zh-CN"/>
        </w:rPr>
        <w:t>朱文财</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w:t>
      </w:r>
    </w:p>
    <w:p>
      <w:pPr>
        <w:spacing w:line="360" w:lineRule="auto"/>
        <w:ind w:firstLine="837" w:firstLineChars="299"/>
        <w:rPr>
          <w:rFonts w:hint="default" w:ascii="宋体" w:hAnsi="宋体" w:eastAsia="宋体" w:cs="宋体"/>
          <w:color w:val="auto"/>
          <w:sz w:val="28"/>
          <w:szCs w:val="28"/>
          <w:highlight w:val="none"/>
          <w:u w:val="single"/>
          <w:lang w:val="en-US" w:eastAsia="zh-CN"/>
        </w:rPr>
      </w:pPr>
      <w:r>
        <w:rPr>
          <w:rFonts w:hint="eastAsia" w:ascii="宋体" w:hAnsi="宋体" w:cs="宋体"/>
          <w:color w:val="auto"/>
          <w:sz w:val="28"/>
          <w:szCs w:val="28"/>
          <w:highlight w:val="none"/>
        </w:rPr>
        <w:t>联系电话：</w:t>
      </w:r>
      <w:r>
        <w:rPr>
          <w:rFonts w:hint="eastAsia" w:ascii="宋体" w:hAnsi="宋体" w:cs="宋体"/>
          <w:color w:val="auto"/>
          <w:sz w:val="28"/>
          <w:szCs w:val="28"/>
          <w:highlight w:val="none"/>
          <w:u w:val="single"/>
          <w:lang w:val="en-US" w:eastAsia="zh-CN"/>
        </w:rPr>
        <w:t>0998-5885138</w:t>
      </w:r>
    </w:p>
    <w:p>
      <w:pPr>
        <w:pStyle w:val="2"/>
        <w:rPr>
          <w:rFonts w:ascii="宋体" w:hAnsi="宋体" w:cs="宋体"/>
          <w:color w:val="auto"/>
          <w:highlight w:val="none"/>
        </w:rPr>
      </w:pPr>
    </w:p>
    <w:p>
      <w:pPr>
        <w:pStyle w:val="2"/>
        <w:rPr>
          <w:rFonts w:ascii="宋体" w:hAnsi="宋体" w:cs="宋体"/>
          <w:color w:val="auto"/>
          <w:sz w:val="28"/>
          <w:szCs w:val="28"/>
          <w:highlight w:val="none"/>
        </w:rPr>
      </w:pPr>
    </w:p>
    <w:p>
      <w:pPr>
        <w:spacing w:line="360" w:lineRule="auto"/>
        <w:ind w:firstLine="2511" w:firstLineChars="897"/>
        <w:jc w:val="center"/>
        <w:rPr>
          <w:rFonts w:ascii="宋体" w:hAnsi="宋体" w:cs="宋体"/>
          <w:b/>
          <w:color w:val="auto"/>
          <w:sz w:val="32"/>
          <w:highlight w:val="none"/>
        </w:rPr>
      </w:pPr>
      <w:r>
        <w:rPr>
          <w:rFonts w:hint="eastAsia" w:ascii="宋体" w:hAnsi="宋体" w:cs="宋体"/>
          <w:color w:val="auto"/>
          <w:sz w:val="28"/>
          <w:szCs w:val="28"/>
          <w:highlight w:val="none"/>
        </w:rPr>
        <w:t>发出日期：</w:t>
      </w:r>
      <w:r>
        <w:rPr>
          <w:rFonts w:hint="eastAsia" w:ascii="宋体" w:hAnsi="宋体" w:cs="宋体"/>
          <w:color w:val="auto"/>
          <w:sz w:val="28"/>
          <w:szCs w:val="28"/>
          <w:highlight w:val="none"/>
          <w:u w:val="single"/>
        </w:rPr>
        <w:t>2023年</w:t>
      </w:r>
      <w:r>
        <w:rPr>
          <w:rFonts w:hint="eastAsia" w:ascii="宋体" w:hAnsi="宋体" w:cs="宋体"/>
          <w:color w:val="auto"/>
          <w:sz w:val="28"/>
          <w:szCs w:val="28"/>
          <w:highlight w:val="none"/>
          <w:u w:val="single"/>
          <w:lang w:val="en-US" w:eastAsia="zh-CN"/>
        </w:rPr>
        <w:t>7</w:t>
      </w:r>
      <w:r>
        <w:rPr>
          <w:rFonts w:hint="eastAsia" w:ascii="宋体" w:hAnsi="宋体" w:cs="宋体"/>
          <w:color w:val="auto"/>
          <w:sz w:val="28"/>
          <w:szCs w:val="28"/>
          <w:highlight w:val="none"/>
          <w:u w:val="single"/>
        </w:rPr>
        <w:t>月</w:t>
      </w:r>
      <w:r>
        <w:rPr>
          <w:rFonts w:hint="eastAsia" w:ascii="宋体" w:hAnsi="宋体" w:cs="宋体"/>
          <w:b/>
          <w:color w:val="auto"/>
          <w:sz w:val="52"/>
          <w:highlight w:val="none"/>
        </w:rPr>
        <w:br w:type="page"/>
      </w:r>
      <w:r>
        <w:rPr>
          <w:rFonts w:hint="eastAsia" w:ascii="宋体" w:hAnsi="宋体" w:cs="宋体"/>
          <w:b/>
          <w:color w:val="auto"/>
          <w:sz w:val="32"/>
          <w:highlight w:val="none"/>
        </w:rPr>
        <w:t>目  录</w:t>
      </w:r>
    </w:p>
    <w:p>
      <w:pPr>
        <w:pStyle w:val="33"/>
        <w:tabs>
          <w:tab w:val="right" w:leader="dot" w:pos="8312"/>
        </w:tabs>
        <w:rPr>
          <w:color w:val="auto"/>
          <w:highlight w:val="none"/>
        </w:rPr>
      </w:pPr>
      <w:r>
        <w:rPr>
          <w:rFonts w:ascii="宋体" w:hAnsi="宋体" w:cs="宋体"/>
          <w:b/>
          <w:color w:val="auto"/>
          <w:sz w:val="32"/>
          <w:highlight w:val="none"/>
        </w:rPr>
        <w:fldChar w:fldCharType="begin"/>
      </w:r>
      <w:r>
        <w:rPr>
          <w:rFonts w:ascii="宋体" w:hAnsi="宋体" w:cs="宋体"/>
          <w:b/>
          <w:color w:val="auto"/>
          <w:sz w:val="32"/>
          <w:highlight w:val="none"/>
        </w:rPr>
        <w:instrText xml:space="preserve">TOC \o "1-5" \h \u </w:instrText>
      </w:r>
      <w:r>
        <w:rPr>
          <w:rFonts w:ascii="宋体" w:hAnsi="宋体" w:cs="宋体"/>
          <w:b/>
          <w:color w:val="auto"/>
          <w:sz w:val="32"/>
          <w:highlight w:val="none"/>
        </w:rPr>
        <w:fldChar w:fldCharType="separate"/>
      </w:r>
      <w:r>
        <w:rPr>
          <w:rFonts w:ascii="宋体" w:hAnsi="宋体" w:cs="宋体"/>
          <w:color w:val="auto"/>
          <w:highlight w:val="none"/>
        </w:rPr>
        <w:fldChar w:fldCharType="begin"/>
      </w:r>
      <w:r>
        <w:rPr>
          <w:rFonts w:ascii="宋体" w:hAnsi="宋体" w:cs="宋体"/>
          <w:color w:val="auto"/>
          <w:highlight w:val="none"/>
        </w:rPr>
        <w:instrText xml:space="preserve"> HYPERLINK \l _Toc17956 </w:instrText>
      </w:r>
      <w:r>
        <w:rPr>
          <w:rFonts w:ascii="宋体" w:hAnsi="宋体" w:cs="宋体"/>
          <w:color w:val="auto"/>
          <w:highlight w:val="none"/>
        </w:rPr>
        <w:fldChar w:fldCharType="separate"/>
      </w:r>
      <w:r>
        <w:rPr>
          <w:rFonts w:hint="eastAsia" w:hAnsi="宋体" w:cs="宋体"/>
          <w:color w:val="auto"/>
          <w:kern w:val="0"/>
          <w:szCs w:val="21"/>
          <w:highlight w:val="none"/>
        </w:rPr>
        <w:t xml:space="preserve">第1章 </w:t>
      </w:r>
      <w:r>
        <w:rPr>
          <w:rFonts w:hint="eastAsia" w:hAnsi="宋体" w:cs="宋体"/>
          <w:color w:val="auto"/>
          <w:highlight w:val="none"/>
        </w:rPr>
        <w:t xml:space="preserve"> 投标人须知</w:t>
      </w:r>
      <w:r>
        <w:rPr>
          <w:color w:val="auto"/>
          <w:highlight w:val="none"/>
        </w:rPr>
        <w:tab/>
      </w:r>
      <w:r>
        <w:rPr>
          <w:color w:val="auto"/>
          <w:highlight w:val="none"/>
        </w:rPr>
        <w:fldChar w:fldCharType="begin"/>
      </w:r>
      <w:r>
        <w:rPr>
          <w:color w:val="auto"/>
          <w:highlight w:val="none"/>
        </w:rPr>
        <w:instrText xml:space="preserve"> PAGEREF _Toc17956 \h </w:instrText>
      </w:r>
      <w:r>
        <w:rPr>
          <w:color w:val="auto"/>
          <w:highlight w:val="none"/>
        </w:rPr>
        <w:fldChar w:fldCharType="separate"/>
      </w:r>
      <w:r>
        <w:rPr>
          <w:color w:val="auto"/>
          <w:highlight w:val="none"/>
        </w:rPr>
        <w:t>10</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_Toc22405 </w:instrText>
      </w:r>
      <w:r>
        <w:rPr>
          <w:rFonts w:ascii="宋体" w:hAnsi="宋体" w:cs="宋体"/>
          <w:color w:val="auto"/>
          <w:highlight w:val="none"/>
        </w:rPr>
        <w:fldChar w:fldCharType="separate"/>
      </w:r>
      <w:r>
        <w:rPr>
          <w:rFonts w:hint="eastAsia" w:ascii="宋体" w:hAnsi="宋体" w:eastAsia="宋体" w:cs="宋体"/>
          <w:color w:val="auto"/>
          <w:highlight w:val="none"/>
        </w:rPr>
        <w:t>一   总  则</w:t>
      </w:r>
      <w:r>
        <w:rPr>
          <w:color w:val="auto"/>
          <w:highlight w:val="none"/>
        </w:rPr>
        <w:tab/>
      </w:r>
      <w:r>
        <w:rPr>
          <w:color w:val="auto"/>
          <w:highlight w:val="none"/>
        </w:rPr>
        <w:fldChar w:fldCharType="begin"/>
      </w:r>
      <w:r>
        <w:rPr>
          <w:color w:val="auto"/>
          <w:highlight w:val="none"/>
        </w:rPr>
        <w:instrText xml:space="preserve"> PAGEREF _Toc22405 \h </w:instrText>
      </w:r>
      <w:r>
        <w:rPr>
          <w:color w:val="auto"/>
          <w:highlight w:val="none"/>
        </w:rPr>
        <w:fldChar w:fldCharType="separate"/>
      </w:r>
      <w:r>
        <w:rPr>
          <w:color w:val="auto"/>
          <w:highlight w:val="none"/>
        </w:rPr>
        <w:t>10</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_Toc29814 </w:instrText>
      </w:r>
      <w:r>
        <w:rPr>
          <w:rFonts w:ascii="宋体" w:hAnsi="宋体" w:cs="宋体"/>
          <w:color w:val="auto"/>
          <w:highlight w:val="none"/>
        </w:rPr>
        <w:fldChar w:fldCharType="separate"/>
      </w:r>
      <w:r>
        <w:rPr>
          <w:rFonts w:hint="eastAsia" w:hAnsi="宋体" w:cs="宋体"/>
          <w:color w:val="auto"/>
          <w:highlight w:val="none"/>
        </w:rPr>
        <w:t>1.采购人、采购代理机构及投标人</w:t>
      </w:r>
      <w:r>
        <w:rPr>
          <w:color w:val="auto"/>
          <w:highlight w:val="none"/>
        </w:rPr>
        <w:tab/>
      </w:r>
      <w:r>
        <w:rPr>
          <w:color w:val="auto"/>
          <w:highlight w:val="none"/>
        </w:rPr>
        <w:fldChar w:fldCharType="begin"/>
      </w:r>
      <w:r>
        <w:rPr>
          <w:color w:val="auto"/>
          <w:highlight w:val="none"/>
        </w:rPr>
        <w:instrText xml:space="preserve"> PAGEREF _Toc29814 \h </w:instrText>
      </w:r>
      <w:r>
        <w:rPr>
          <w:color w:val="auto"/>
          <w:highlight w:val="none"/>
        </w:rPr>
        <w:fldChar w:fldCharType="separate"/>
      </w:r>
      <w:r>
        <w:rPr>
          <w:color w:val="auto"/>
          <w:highlight w:val="none"/>
        </w:rPr>
        <w:t>10</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_Toc27990 </w:instrText>
      </w:r>
      <w:r>
        <w:rPr>
          <w:rFonts w:ascii="宋体" w:hAnsi="宋体" w:cs="宋体"/>
          <w:color w:val="auto"/>
          <w:highlight w:val="none"/>
        </w:rPr>
        <w:fldChar w:fldCharType="separate"/>
      </w:r>
      <w:r>
        <w:rPr>
          <w:rFonts w:hint="eastAsia" w:hAnsi="宋体" w:cs="宋体"/>
          <w:color w:val="auto"/>
          <w:highlight w:val="none"/>
        </w:rPr>
        <w:t>2.资金来源</w:t>
      </w:r>
      <w:r>
        <w:rPr>
          <w:color w:val="auto"/>
          <w:highlight w:val="none"/>
        </w:rPr>
        <w:tab/>
      </w:r>
      <w:r>
        <w:rPr>
          <w:color w:val="auto"/>
          <w:highlight w:val="none"/>
        </w:rPr>
        <w:fldChar w:fldCharType="begin"/>
      </w:r>
      <w:r>
        <w:rPr>
          <w:color w:val="auto"/>
          <w:highlight w:val="none"/>
        </w:rPr>
        <w:instrText xml:space="preserve"> PAGEREF _Toc27990 \h </w:instrText>
      </w:r>
      <w:r>
        <w:rPr>
          <w:color w:val="auto"/>
          <w:highlight w:val="none"/>
        </w:rPr>
        <w:fldChar w:fldCharType="separate"/>
      </w:r>
      <w:r>
        <w:rPr>
          <w:color w:val="auto"/>
          <w:highlight w:val="none"/>
        </w:rPr>
        <w:t>11</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_Toc2762 </w:instrText>
      </w:r>
      <w:r>
        <w:rPr>
          <w:rFonts w:ascii="宋体" w:hAnsi="宋体" w:cs="宋体"/>
          <w:color w:val="auto"/>
          <w:highlight w:val="none"/>
        </w:rPr>
        <w:fldChar w:fldCharType="separate"/>
      </w:r>
      <w:r>
        <w:rPr>
          <w:rFonts w:hint="eastAsia" w:hAnsi="宋体" w:cs="宋体"/>
          <w:color w:val="auto"/>
          <w:highlight w:val="none"/>
        </w:rPr>
        <w:t>3.投标费用</w:t>
      </w:r>
      <w:r>
        <w:rPr>
          <w:color w:val="auto"/>
          <w:highlight w:val="none"/>
        </w:rPr>
        <w:tab/>
      </w:r>
      <w:r>
        <w:rPr>
          <w:color w:val="auto"/>
          <w:highlight w:val="none"/>
        </w:rPr>
        <w:fldChar w:fldCharType="begin"/>
      </w:r>
      <w:r>
        <w:rPr>
          <w:color w:val="auto"/>
          <w:highlight w:val="none"/>
        </w:rPr>
        <w:instrText xml:space="preserve"> PAGEREF _Toc2762 \h </w:instrText>
      </w:r>
      <w:r>
        <w:rPr>
          <w:color w:val="auto"/>
          <w:highlight w:val="none"/>
        </w:rPr>
        <w:fldChar w:fldCharType="separate"/>
      </w:r>
      <w:r>
        <w:rPr>
          <w:color w:val="auto"/>
          <w:highlight w:val="none"/>
        </w:rPr>
        <w:t>11</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_Toc29858 </w:instrText>
      </w:r>
      <w:r>
        <w:rPr>
          <w:rFonts w:ascii="宋体" w:hAnsi="宋体" w:cs="宋体"/>
          <w:color w:val="auto"/>
          <w:highlight w:val="none"/>
        </w:rPr>
        <w:fldChar w:fldCharType="separate"/>
      </w:r>
      <w:r>
        <w:rPr>
          <w:rFonts w:hint="eastAsia" w:hAnsi="宋体" w:cs="宋体"/>
          <w:color w:val="auto"/>
          <w:highlight w:val="none"/>
        </w:rPr>
        <w:t>4.适用法律</w:t>
      </w:r>
      <w:r>
        <w:rPr>
          <w:color w:val="auto"/>
          <w:highlight w:val="none"/>
        </w:rPr>
        <w:tab/>
      </w:r>
      <w:r>
        <w:rPr>
          <w:color w:val="auto"/>
          <w:highlight w:val="none"/>
        </w:rPr>
        <w:fldChar w:fldCharType="begin"/>
      </w:r>
      <w:r>
        <w:rPr>
          <w:color w:val="auto"/>
          <w:highlight w:val="none"/>
        </w:rPr>
        <w:instrText xml:space="preserve"> PAGEREF _Toc29858 \h </w:instrText>
      </w:r>
      <w:r>
        <w:rPr>
          <w:color w:val="auto"/>
          <w:highlight w:val="none"/>
        </w:rPr>
        <w:fldChar w:fldCharType="separate"/>
      </w:r>
      <w:r>
        <w:rPr>
          <w:color w:val="auto"/>
          <w:highlight w:val="none"/>
        </w:rPr>
        <w:t>11</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_Toc8494 </w:instrText>
      </w:r>
      <w:r>
        <w:rPr>
          <w:rFonts w:ascii="宋体" w:hAnsi="宋体" w:cs="宋体"/>
          <w:color w:val="auto"/>
          <w:highlight w:val="none"/>
        </w:rPr>
        <w:fldChar w:fldCharType="separate"/>
      </w:r>
      <w:r>
        <w:rPr>
          <w:rFonts w:hint="eastAsia" w:ascii="宋体" w:hAnsi="宋体" w:eastAsia="宋体" w:cs="宋体"/>
          <w:color w:val="auto"/>
          <w:highlight w:val="none"/>
        </w:rPr>
        <w:t>二   招标文件</w:t>
      </w:r>
      <w:r>
        <w:rPr>
          <w:color w:val="auto"/>
          <w:highlight w:val="none"/>
        </w:rPr>
        <w:tab/>
      </w:r>
      <w:r>
        <w:rPr>
          <w:color w:val="auto"/>
          <w:highlight w:val="none"/>
        </w:rPr>
        <w:fldChar w:fldCharType="begin"/>
      </w:r>
      <w:r>
        <w:rPr>
          <w:color w:val="auto"/>
          <w:highlight w:val="none"/>
        </w:rPr>
        <w:instrText xml:space="preserve"> PAGEREF _Toc8494 \h </w:instrText>
      </w:r>
      <w:r>
        <w:rPr>
          <w:color w:val="auto"/>
          <w:highlight w:val="none"/>
        </w:rPr>
        <w:fldChar w:fldCharType="separate"/>
      </w:r>
      <w:r>
        <w:rPr>
          <w:color w:val="auto"/>
          <w:highlight w:val="none"/>
        </w:rPr>
        <w:t>12</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_Toc2882 </w:instrText>
      </w:r>
      <w:r>
        <w:rPr>
          <w:rFonts w:ascii="宋体" w:hAnsi="宋体" w:cs="宋体"/>
          <w:color w:val="auto"/>
          <w:highlight w:val="none"/>
        </w:rPr>
        <w:fldChar w:fldCharType="separate"/>
      </w:r>
      <w:r>
        <w:rPr>
          <w:rFonts w:hint="eastAsia" w:hAnsi="宋体" w:cs="宋体"/>
          <w:color w:val="auto"/>
          <w:highlight w:val="none"/>
        </w:rPr>
        <w:t>5.招标文件构成</w:t>
      </w:r>
      <w:r>
        <w:rPr>
          <w:color w:val="auto"/>
          <w:highlight w:val="none"/>
        </w:rPr>
        <w:tab/>
      </w:r>
      <w:r>
        <w:rPr>
          <w:color w:val="auto"/>
          <w:highlight w:val="none"/>
        </w:rPr>
        <w:fldChar w:fldCharType="begin"/>
      </w:r>
      <w:r>
        <w:rPr>
          <w:color w:val="auto"/>
          <w:highlight w:val="none"/>
        </w:rPr>
        <w:instrText xml:space="preserve"> PAGEREF _Toc2882 \h </w:instrText>
      </w:r>
      <w:r>
        <w:rPr>
          <w:color w:val="auto"/>
          <w:highlight w:val="none"/>
        </w:rPr>
        <w:fldChar w:fldCharType="separate"/>
      </w:r>
      <w:r>
        <w:rPr>
          <w:color w:val="auto"/>
          <w:highlight w:val="none"/>
        </w:rPr>
        <w:t>12</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_Toc13327 </w:instrText>
      </w:r>
      <w:r>
        <w:rPr>
          <w:rFonts w:ascii="宋体" w:hAnsi="宋体" w:cs="宋体"/>
          <w:color w:val="auto"/>
          <w:highlight w:val="none"/>
        </w:rPr>
        <w:fldChar w:fldCharType="separate"/>
      </w:r>
      <w:r>
        <w:rPr>
          <w:rFonts w:hint="eastAsia" w:ascii="宋体" w:hAnsi="宋体" w:cs="宋体"/>
          <w:color w:val="auto"/>
          <w:highlight w:val="none"/>
        </w:rPr>
        <w:t>第一册</w:t>
      </w:r>
      <w:r>
        <w:rPr>
          <w:color w:val="auto"/>
          <w:highlight w:val="none"/>
        </w:rPr>
        <w:tab/>
      </w:r>
      <w:r>
        <w:rPr>
          <w:color w:val="auto"/>
          <w:highlight w:val="none"/>
        </w:rPr>
        <w:fldChar w:fldCharType="begin"/>
      </w:r>
      <w:r>
        <w:rPr>
          <w:color w:val="auto"/>
          <w:highlight w:val="none"/>
        </w:rPr>
        <w:instrText xml:space="preserve"> PAGEREF _Toc13327 \h </w:instrText>
      </w:r>
      <w:r>
        <w:rPr>
          <w:color w:val="auto"/>
          <w:highlight w:val="none"/>
        </w:rPr>
        <w:fldChar w:fldCharType="separate"/>
      </w:r>
      <w:r>
        <w:rPr>
          <w:color w:val="auto"/>
          <w:highlight w:val="none"/>
        </w:rPr>
        <w:t>12</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_Toc8700 </w:instrText>
      </w:r>
      <w:r>
        <w:rPr>
          <w:rFonts w:ascii="宋体" w:hAnsi="宋体" w:cs="宋体"/>
          <w:color w:val="auto"/>
          <w:highlight w:val="none"/>
        </w:rPr>
        <w:fldChar w:fldCharType="separate"/>
      </w:r>
      <w:r>
        <w:rPr>
          <w:rFonts w:hint="eastAsia" w:ascii="宋体" w:hAnsi="宋体" w:cs="宋体"/>
          <w:color w:val="auto"/>
          <w:highlight w:val="none"/>
        </w:rPr>
        <w:t>第二册</w:t>
      </w:r>
      <w:r>
        <w:rPr>
          <w:color w:val="auto"/>
          <w:highlight w:val="none"/>
        </w:rPr>
        <w:tab/>
      </w:r>
      <w:r>
        <w:rPr>
          <w:color w:val="auto"/>
          <w:highlight w:val="none"/>
        </w:rPr>
        <w:fldChar w:fldCharType="begin"/>
      </w:r>
      <w:r>
        <w:rPr>
          <w:color w:val="auto"/>
          <w:highlight w:val="none"/>
        </w:rPr>
        <w:instrText xml:space="preserve"> PAGEREF _Toc8700 \h </w:instrText>
      </w:r>
      <w:r>
        <w:rPr>
          <w:color w:val="auto"/>
          <w:highlight w:val="none"/>
        </w:rPr>
        <w:fldChar w:fldCharType="separate"/>
      </w:r>
      <w:r>
        <w:rPr>
          <w:color w:val="auto"/>
          <w:highlight w:val="none"/>
        </w:rPr>
        <w:t>12</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_Toc1764 </w:instrText>
      </w:r>
      <w:r>
        <w:rPr>
          <w:rFonts w:ascii="宋体" w:hAnsi="宋体" w:cs="宋体"/>
          <w:color w:val="auto"/>
          <w:highlight w:val="none"/>
        </w:rPr>
        <w:fldChar w:fldCharType="separate"/>
      </w:r>
      <w:r>
        <w:rPr>
          <w:rFonts w:hint="eastAsia" w:ascii="宋体" w:hAnsi="宋体" w:cs="宋体"/>
          <w:color w:val="auto"/>
          <w:highlight w:val="none"/>
        </w:rPr>
        <w:t>第三册</w:t>
      </w:r>
      <w:r>
        <w:rPr>
          <w:color w:val="auto"/>
          <w:highlight w:val="none"/>
        </w:rPr>
        <w:tab/>
      </w:r>
      <w:r>
        <w:rPr>
          <w:color w:val="auto"/>
          <w:highlight w:val="none"/>
        </w:rPr>
        <w:fldChar w:fldCharType="begin"/>
      </w:r>
      <w:r>
        <w:rPr>
          <w:color w:val="auto"/>
          <w:highlight w:val="none"/>
        </w:rPr>
        <w:instrText xml:space="preserve"> PAGEREF _Toc1764 \h </w:instrText>
      </w:r>
      <w:r>
        <w:rPr>
          <w:color w:val="auto"/>
          <w:highlight w:val="none"/>
        </w:rPr>
        <w:fldChar w:fldCharType="separate"/>
      </w:r>
      <w:r>
        <w:rPr>
          <w:color w:val="auto"/>
          <w:highlight w:val="none"/>
        </w:rPr>
        <w:t>12</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_Toc21779 </w:instrText>
      </w:r>
      <w:r>
        <w:rPr>
          <w:rFonts w:ascii="宋体" w:hAnsi="宋体" w:cs="宋体"/>
          <w:color w:val="auto"/>
          <w:highlight w:val="none"/>
        </w:rPr>
        <w:fldChar w:fldCharType="separate"/>
      </w:r>
      <w:r>
        <w:rPr>
          <w:rFonts w:hint="eastAsia" w:hAnsi="宋体" w:cs="宋体"/>
          <w:color w:val="auto"/>
          <w:highlight w:val="none"/>
        </w:rPr>
        <w:t>6.招标文件的澄清与修改</w:t>
      </w:r>
      <w:r>
        <w:rPr>
          <w:color w:val="auto"/>
          <w:highlight w:val="none"/>
        </w:rPr>
        <w:tab/>
      </w:r>
      <w:r>
        <w:rPr>
          <w:color w:val="auto"/>
          <w:highlight w:val="none"/>
        </w:rPr>
        <w:fldChar w:fldCharType="begin"/>
      </w:r>
      <w:r>
        <w:rPr>
          <w:color w:val="auto"/>
          <w:highlight w:val="none"/>
        </w:rPr>
        <w:instrText xml:space="preserve"> PAGEREF _Toc21779 \h </w:instrText>
      </w:r>
      <w:r>
        <w:rPr>
          <w:color w:val="auto"/>
          <w:highlight w:val="none"/>
        </w:rPr>
        <w:fldChar w:fldCharType="separate"/>
      </w:r>
      <w:r>
        <w:rPr>
          <w:color w:val="auto"/>
          <w:highlight w:val="none"/>
        </w:rPr>
        <w:t>12</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_Toc6399 </w:instrText>
      </w:r>
      <w:r>
        <w:rPr>
          <w:rFonts w:ascii="宋体" w:hAnsi="宋体" w:cs="宋体"/>
          <w:color w:val="auto"/>
          <w:highlight w:val="none"/>
        </w:rPr>
        <w:fldChar w:fldCharType="separate"/>
      </w:r>
      <w:r>
        <w:rPr>
          <w:rFonts w:hint="eastAsia" w:hAnsi="宋体" w:cs="宋体"/>
          <w:color w:val="auto"/>
          <w:highlight w:val="none"/>
        </w:rPr>
        <w:t>7.投标截止时间的顺延</w:t>
      </w:r>
      <w:r>
        <w:rPr>
          <w:color w:val="auto"/>
          <w:highlight w:val="none"/>
        </w:rPr>
        <w:tab/>
      </w:r>
      <w:r>
        <w:rPr>
          <w:color w:val="auto"/>
          <w:highlight w:val="none"/>
        </w:rPr>
        <w:fldChar w:fldCharType="begin"/>
      </w:r>
      <w:r>
        <w:rPr>
          <w:color w:val="auto"/>
          <w:highlight w:val="none"/>
        </w:rPr>
        <w:instrText xml:space="preserve"> PAGEREF _Toc6399 \h </w:instrText>
      </w:r>
      <w:r>
        <w:rPr>
          <w:color w:val="auto"/>
          <w:highlight w:val="none"/>
        </w:rPr>
        <w:fldChar w:fldCharType="separate"/>
      </w:r>
      <w:r>
        <w:rPr>
          <w:color w:val="auto"/>
          <w:highlight w:val="none"/>
        </w:rPr>
        <w:t>12</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_Toc4672 </w:instrText>
      </w:r>
      <w:r>
        <w:rPr>
          <w:rFonts w:ascii="宋体" w:hAnsi="宋体" w:cs="宋体"/>
          <w:color w:val="auto"/>
          <w:highlight w:val="none"/>
        </w:rPr>
        <w:fldChar w:fldCharType="separate"/>
      </w:r>
      <w:r>
        <w:rPr>
          <w:rFonts w:hint="eastAsia" w:ascii="宋体" w:hAnsi="宋体" w:eastAsia="宋体" w:cs="宋体"/>
          <w:color w:val="auto"/>
          <w:highlight w:val="none"/>
        </w:rPr>
        <w:t>三   投标文件的编制</w:t>
      </w:r>
      <w:r>
        <w:rPr>
          <w:color w:val="auto"/>
          <w:highlight w:val="none"/>
        </w:rPr>
        <w:tab/>
      </w:r>
      <w:r>
        <w:rPr>
          <w:color w:val="auto"/>
          <w:highlight w:val="none"/>
        </w:rPr>
        <w:fldChar w:fldCharType="begin"/>
      </w:r>
      <w:r>
        <w:rPr>
          <w:color w:val="auto"/>
          <w:highlight w:val="none"/>
        </w:rPr>
        <w:instrText xml:space="preserve"> PAGEREF _Toc4672 \h </w:instrText>
      </w:r>
      <w:r>
        <w:rPr>
          <w:color w:val="auto"/>
          <w:highlight w:val="none"/>
        </w:rPr>
        <w:fldChar w:fldCharType="separate"/>
      </w:r>
      <w:r>
        <w:rPr>
          <w:color w:val="auto"/>
          <w:highlight w:val="none"/>
        </w:rPr>
        <w:t>13</w:t>
      </w:r>
      <w:r>
        <w:rPr>
          <w:color w:val="auto"/>
          <w:highlight w:val="none"/>
        </w:rPr>
        <w:fldChar w:fldCharType="end"/>
      </w:r>
      <w:r>
        <w:rPr>
          <w:rFonts w:ascii="宋体" w:hAnsi="宋体" w:cs="宋体"/>
          <w:color w:val="auto"/>
          <w:highlight w:val="none"/>
        </w:rPr>
        <w:fldChar w:fldCharType="end"/>
      </w:r>
    </w:p>
    <w:p>
      <w:pPr>
        <w:pStyle w:val="25"/>
        <w:tabs>
          <w:tab w:val="right" w:pos="3200"/>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_Toc9762 </w:instrText>
      </w:r>
      <w:r>
        <w:rPr>
          <w:rFonts w:ascii="宋体" w:hAnsi="宋体" w:cs="宋体"/>
          <w:color w:val="auto"/>
          <w:highlight w:val="none"/>
        </w:rPr>
        <w:fldChar w:fldCharType="separate"/>
      </w:r>
      <w:r>
        <w:rPr>
          <w:rFonts w:hint="eastAsia" w:hAnsi="宋体" w:cs="宋体"/>
          <w:color w:val="auto"/>
          <w:highlight w:val="none"/>
        </w:rPr>
        <w:t>8.</w:t>
      </w:r>
      <w:r>
        <w:rPr>
          <w:rFonts w:hint="eastAsia" w:hAnsi="宋体" w:cs="宋体"/>
          <w:color w:val="auto"/>
          <w:highlight w:val="none"/>
        </w:rPr>
        <w:tab/>
      </w:r>
      <w:r>
        <w:rPr>
          <w:rFonts w:hint="eastAsia" w:hAnsi="宋体" w:cs="宋体"/>
          <w:color w:val="auto"/>
          <w:highlight w:val="none"/>
        </w:rPr>
        <w:t>投标范围及投标文件中标准和计量单位的使用</w:t>
      </w:r>
      <w:r>
        <w:rPr>
          <w:color w:val="auto"/>
          <w:highlight w:val="none"/>
        </w:rPr>
        <w:tab/>
      </w:r>
      <w:r>
        <w:rPr>
          <w:color w:val="auto"/>
          <w:highlight w:val="none"/>
        </w:rPr>
        <w:fldChar w:fldCharType="begin"/>
      </w:r>
      <w:r>
        <w:rPr>
          <w:color w:val="auto"/>
          <w:highlight w:val="none"/>
        </w:rPr>
        <w:instrText xml:space="preserve"> PAGEREF _Toc9762 \h </w:instrText>
      </w:r>
      <w:r>
        <w:rPr>
          <w:color w:val="auto"/>
          <w:highlight w:val="none"/>
        </w:rPr>
        <w:fldChar w:fldCharType="separate"/>
      </w:r>
      <w:r>
        <w:rPr>
          <w:color w:val="auto"/>
          <w:highlight w:val="none"/>
        </w:rPr>
        <w:t>13</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_Toc16255 </w:instrText>
      </w:r>
      <w:r>
        <w:rPr>
          <w:rFonts w:ascii="宋体" w:hAnsi="宋体" w:cs="宋体"/>
          <w:color w:val="auto"/>
          <w:highlight w:val="none"/>
        </w:rPr>
        <w:fldChar w:fldCharType="separate"/>
      </w:r>
      <w:r>
        <w:rPr>
          <w:rFonts w:hint="eastAsia" w:hAnsi="宋体" w:cs="宋体"/>
          <w:color w:val="auto"/>
          <w:highlight w:val="none"/>
        </w:rPr>
        <w:t>9.投标文件构成</w:t>
      </w:r>
      <w:r>
        <w:rPr>
          <w:color w:val="auto"/>
          <w:highlight w:val="none"/>
        </w:rPr>
        <w:tab/>
      </w:r>
      <w:r>
        <w:rPr>
          <w:color w:val="auto"/>
          <w:highlight w:val="none"/>
        </w:rPr>
        <w:fldChar w:fldCharType="begin"/>
      </w:r>
      <w:r>
        <w:rPr>
          <w:color w:val="auto"/>
          <w:highlight w:val="none"/>
        </w:rPr>
        <w:instrText xml:space="preserve"> PAGEREF _Toc16255 \h </w:instrText>
      </w:r>
      <w:r>
        <w:rPr>
          <w:color w:val="auto"/>
          <w:highlight w:val="none"/>
        </w:rPr>
        <w:fldChar w:fldCharType="separate"/>
      </w:r>
      <w:r>
        <w:rPr>
          <w:color w:val="auto"/>
          <w:highlight w:val="none"/>
        </w:rPr>
        <w:t>13</w:t>
      </w:r>
      <w:r>
        <w:rPr>
          <w:color w:val="auto"/>
          <w:highlight w:val="none"/>
        </w:rPr>
        <w:fldChar w:fldCharType="end"/>
      </w:r>
      <w:r>
        <w:rPr>
          <w:rFonts w:ascii="宋体" w:hAnsi="宋体" w:cs="宋体"/>
          <w:color w:val="auto"/>
          <w:highlight w:val="none"/>
        </w:rPr>
        <w:fldChar w:fldCharType="end"/>
      </w:r>
    </w:p>
    <w:p>
      <w:pPr>
        <w:pStyle w:val="25"/>
        <w:tabs>
          <w:tab w:val="right" w:pos="3600"/>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_Toc14477 </w:instrText>
      </w:r>
      <w:r>
        <w:rPr>
          <w:rFonts w:ascii="宋体" w:hAnsi="宋体" w:cs="宋体"/>
          <w:color w:val="auto"/>
          <w:highlight w:val="none"/>
        </w:rPr>
        <w:fldChar w:fldCharType="separate"/>
      </w:r>
      <w:r>
        <w:rPr>
          <w:rFonts w:hint="eastAsia" w:hAnsi="宋体" w:cs="宋体"/>
          <w:color w:val="auto"/>
          <w:highlight w:val="none"/>
        </w:rPr>
        <w:t>10.</w:t>
      </w:r>
      <w:r>
        <w:rPr>
          <w:rFonts w:hint="eastAsia" w:hAnsi="宋体" w:cs="宋体"/>
          <w:color w:val="auto"/>
          <w:highlight w:val="none"/>
        </w:rPr>
        <w:tab/>
      </w:r>
      <w:r>
        <w:rPr>
          <w:rFonts w:hint="eastAsia" w:hAnsi="宋体" w:cs="宋体"/>
          <w:color w:val="auto"/>
          <w:highlight w:val="none"/>
        </w:rPr>
        <w:t>证明投标标的的合格性和符合招标文件规定的响应文件</w:t>
      </w:r>
      <w:r>
        <w:rPr>
          <w:color w:val="auto"/>
          <w:highlight w:val="none"/>
        </w:rPr>
        <w:tab/>
      </w:r>
      <w:r>
        <w:rPr>
          <w:color w:val="auto"/>
          <w:highlight w:val="none"/>
        </w:rPr>
        <w:fldChar w:fldCharType="begin"/>
      </w:r>
      <w:r>
        <w:rPr>
          <w:color w:val="auto"/>
          <w:highlight w:val="none"/>
        </w:rPr>
        <w:instrText xml:space="preserve"> PAGEREF _Toc14477 \h </w:instrText>
      </w:r>
      <w:r>
        <w:rPr>
          <w:color w:val="auto"/>
          <w:highlight w:val="none"/>
        </w:rPr>
        <w:fldChar w:fldCharType="separate"/>
      </w:r>
      <w:r>
        <w:rPr>
          <w:color w:val="auto"/>
          <w:highlight w:val="none"/>
        </w:rPr>
        <w:t>13</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_Toc29026 </w:instrText>
      </w:r>
      <w:r>
        <w:rPr>
          <w:rFonts w:ascii="宋体" w:hAnsi="宋体" w:cs="宋体"/>
          <w:color w:val="auto"/>
          <w:highlight w:val="none"/>
        </w:rPr>
        <w:fldChar w:fldCharType="separate"/>
      </w:r>
      <w:r>
        <w:rPr>
          <w:rFonts w:hint="eastAsia" w:hAnsi="宋体" w:cs="宋体"/>
          <w:color w:val="auto"/>
          <w:highlight w:val="none"/>
        </w:rPr>
        <w:t>11.投标报价</w:t>
      </w:r>
      <w:r>
        <w:rPr>
          <w:color w:val="auto"/>
          <w:highlight w:val="none"/>
        </w:rPr>
        <w:tab/>
      </w:r>
      <w:r>
        <w:rPr>
          <w:color w:val="auto"/>
          <w:highlight w:val="none"/>
        </w:rPr>
        <w:fldChar w:fldCharType="begin"/>
      </w:r>
      <w:r>
        <w:rPr>
          <w:color w:val="auto"/>
          <w:highlight w:val="none"/>
        </w:rPr>
        <w:instrText xml:space="preserve"> PAGEREF _Toc29026 \h </w:instrText>
      </w:r>
      <w:r>
        <w:rPr>
          <w:color w:val="auto"/>
          <w:highlight w:val="none"/>
        </w:rPr>
        <w:fldChar w:fldCharType="separate"/>
      </w:r>
      <w:r>
        <w:rPr>
          <w:color w:val="auto"/>
          <w:highlight w:val="none"/>
        </w:rPr>
        <w:t>14</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_Toc16539 </w:instrText>
      </w:r>
      <w:r>
        <w:rPr>
          <w:rFonts w:ascii="宋体" w:hAnsi="宋体" w:cs="宋体"/>
          <w:color w:val="auto"/>
          <w:highlight w:val="none"/>
        </w:rPr>
        <w:fldChar w:fldCharType="separate"/>
      </w:r>
      <w:r>
        <w:rPr>
          <w:rFonts w:hint="eastAsia" w:hAnsi="宋体" w:cs="宋体"/>
          <w:color w:val="auto"/>
          <w:highlight w:val="none"/>
        </w:rPr>
        <w:t>12.投标保证金</w:t>
      </w:r>
      <w:r>
        <w:rPr>
          <w:color w:val="auto"/>
          <w:highlight w:val="none"/>
        </w:rPr>
        <w:tab/>
      </w:r>
      <w:r>
        <w:rPr>
          <w:color w:val="auto"/>
          <w:highlight w:val="none"/>
        </w:rPr>
        <w:fldChar w:fldCharType="begin"/>
      </w:r>
      <w:r>
        <w:rPr>
          <w:color w:val="auto"/>
          <w:highlight w:val="none"/>
        </w:rPr>
        <w:instrText xml:space="preserve"> PAGEREF _Toc16539 \h </w:instrText>
      </w:r>
      <w:r>
        <w:rPr>
          <w:color w:val="auto"/>
          <w:highlight w:val="none"/>
        </w:rPr>
        <w:fldChar w:fldCharType="separate"/>
      </w:r>
      <w:r>
        <w:rPr>
          <w:color w:val="auto"/>
          <w:highlight w:val="none"/>
        </w:rPr>
        <w:t>14</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_Toc29883 </w:instrText>
      </w:r>
      <w:r>
        <w:rPr>
          <w:rFonts w:ascii="宋体" w:hAnsi="宋体" w:cs="宋体"/>
          <w:color w:val="auto"/>
          <w:highlight w:val="none"/>
        </w:rPr>
        <w:fldChar w:fldCharType="separate"/>
      </w:r>
      <w:r>
        <w:rPr>
          <w:rFonts w:hint="eastAsia" w:hAnsi="宋体" w:cs="宋体"/>
          <w:color w:val="auto"/>
          <w:highlight w:val="none"/>
        </w:rPr>
        <w:t>13.投标有效期</w:t>
      </w:r>
      <w:r>
        <w:rPr>
          <w:color w:val="auto"/>
          <w:highlight w:val="none"/>
        </w:rPr>
        <w:tab/>
      </w:r>
      <w:r>
        <w:rPr>
          <w:color w:val="auto"/>
          <w:highlight w:val="none"/>
        </w:rPr>
        <w:fldChar w:fldCharType="begin"/>
      </w:r>
      <w:r>
        <w:rPr>
          <w:color w:val="auto"/>
          <w:highlight w:val="none"/>
        </w:rPr>
        <w:instrText xml:space="preserve"> PAGEREF _Toc29883 \h </w:instrText>
      </w:r>
      <w:r>
        <w:rPr>
          <w:color w:val="auto"/>
          <w:highlight w:val="none"/>
        </w:rPr>
        <w:fldChar w:fldCharType="separate"/>
      </w:r>
      <w:r>
        <w:rPr>
          <w:color w:val="auto"/>
          <w:highlight w:val="none"/>
        </w:rPr>
        <w:t>15</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_Toc1577 </w:instrText>
      </w:r>
      <w:r>
        <w:rPr>
          <w:rFonts w:ascii="宋体" w:hAnsi="宋体" w:cs="宋体"/>
          <w:color w:val="auto"/>
          <w:highlight w:val="none"/>
        </w:rPr>
        <w:fldChar w:fldCharType="separate"/>
      </w:r>
      <w:r>
        <w:rPr>
          <w:rFonts w:hint="eastAsia" w:hAnsi="宋体" w:cs="宋体"/>
          <w:color w:val="auto"/>
          <w:highlight w:val="none"/>
        </w:rPr>
        <w:t>14.投标文件的签署及规定</w:t>
      </w:r>
      <w:r>
        <w:rPr>
          <w:color w:val="auto"/>
          <w:highlight w:val="none"/>
        </w:rPr>
        <w:tab/>
      </w:r>
      <w:r>
        <w:rPr>
          <w:color w:val="auto"/>
          <w:highlight w:val="none"/>
        </w:rPr>
        <w:fldChar w:fldCharType="begin"/>
      </w:r>
      <w:r>
        <w:rPr>
          <w:color w:val="auto"/>
          <w:highlight w:val="none"/>
        </w:rPr>
        <w:instrText xml:space="preserve"> PAGEREF _Toc1577 \h </w:instrText>
      </w:r>
      <w:r>
        <w:rPr>
          <w:color w:val="auto"/>
          <w:highlight w:val="none"/>
        </w:rPr>
        <w:fldChar w:fldCharType="separate"/>
      </w:r>
      <w:r>
        <w:rPr>
          <w:color w:val="auto"/>
          <w:highlight w:val="none"/>
        </w:rPr>
        <w:t>15</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_Toc20193 </w:instrText>
      </w:r>
      <w:r>
        <w:rPr>
          <w:rFonts w:ascii="宋体" w:hAnsi="宋体" w:cs="宋体"/>
          <w:color w:val="auto"/>
          <w:highlight w:val="none"/>
        </w:rPr>
        <w:fldChar w:fldCharType="separate"/>
      </w:r>
      <w:r>
        <w:rPr>
          <w:rFonts w:hint="eastAsia" w:ascii="宋体" w:hAnsi="宋体" w:eastAsia="宋体" w:cs="宋体"/>
          <w:color w:val="auto"/>
          <w:highlight w:val="none"/>
        </w:rPr>
        <w:t>四   投标文件的递交</w:t>
      </w:r>
      <w:r>
        <w:rPr>
          <w:color w:val="auto"/>
          <w:highlight w:val="none"/>
        </w:rPr>
        <w:tab/>
      </w:r>
      <w:r>
        <w:rPr>
          <w:color w:val="auto"/>
          <w:highlight w:val="none"/>
        </w:rPr>
        <w:fldChar w:fldCharType="begin"/>
      </w:r>
      <w:r>
        <w:rPr>
          <w:color w:val="auto"/>
          <w:highlight w:val="none"/>
        </w:rPr>
        <w:instrText xml:space="preserve"> PAGEREF _Toc20193 \h </w:instrText>
      </w:r>
      <w:r>
        <w:rPr>
          <w:color w:val="auto"/>
          <w:highlight w:val="none"/>
        </w:rPr>
        <w:fldChar w:fldCharType="separate"/>
      </w:r>
      <w:r>
        <w:rPr>
          <w:color w:val="auto"/>
          <w:highlight w:val="none"/>
        </w:rPr>
        <w:t>16</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_Toc10848 </w:instrText>
      </w:r>
      <w:r>
        <w:rPr>
          <w:rFonts w:ascii="宋体" w:hAnsi="宋体" w:cs="宋体"/>
          <w:color w:val="auto"/>
          <w:highlight w:val="none"/>
        </w:rPr>
        <w:fldChar w:fldCharType="separate"/>
      </w:r>
      <w:r>
        <w:rPr>
          <w:rFonts w:hint="eastAsia" w:hAnsi="宋体" w:cs="宋体"/>
          <w:color w:val="auto"/>
          <w:highlight w:val="none"/>
        </w:rPr>
        <w:t>15.投标文件的密封和标记</w:t>
      </w:r>
      <w:r>
        <w:rPr>
          <w:color w:val="auto"/>
          <w:highlight w:val="none"/>
        </w:rPr>
        <w:tab/>
      </w:r>
      <w:r>
        <w:rPr>
          <w:color w:val="auto"/>
          <w:highlight w:val="none"/>
        </w:rPr>
        <w:fldChar w:fldCharType="begin"/>
      </w:r>
      <w:r>
        <w:rPr>
          <w:color w:val="auto"/>
          <w:highlight w:val="none"/>
        </w:rPr>
        <w:instrText xml:space="preserve"> PAGEREF _Toc10848 \h </w:instrText>
      </w:r>
      <w:r>
        <w:rPr>
          <w:color w:val="auto"/>
          <w:highlight w:val="none"/>
        </w:rPr>
        <w:fldChar w:fldCharType="separate"/>
      </w:r>
      <w:r>
        <w:rPr>
          <w:color w:val="auto"/>
          <w:highlight w:val="none"/>
        </w:rPr>
        <w:t>16</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_Toc12512 </w:instrText>
      </w:r>
      <w:r>
        <w:rPr>
          <w:rFonts w:ascii="宋体" w:hAnsi="宋体" w:cs="宋体"/>
          <w:color w:val="auto"/>
          <w:highlight w:val="none"/>
        </w:rPr>
        <w:fldChar w:fldCharType="separate"/>
      </w:r>
      <w:r>
        <w:rPr>
          <w:rFonts w:hint="eastAsia" w:hAnsi="宋体" w:cs="宋体"/>
          <w:color w:val="auto"/>
          <w:highlight w:val="none"/>
        </w:rPr>
        <w:t>16.投标截止</w:t>
      </w:r>
      <w:r>
        <w:rPr>
          <w:color w:val="auto"/>
          <w:highlight w:val="none"/>
        </w:rPr>
        <w:tab/>
      </w:r>
      <w:r>
        <w:rPr>
          <w:color w:val="auto"/>
          <w:highlight w:val="none"/>
        </w:rPr>
        <w:fldChar w:fldCharType="begin"/>
      </w:r>
      <w:r>
        <w:rPr>
          <w:color w:val="auto"/>
          <w:highlight w:val="none"/>
        </w:rPr>
        <w:instrText xml:space="preserve"> PAGEREF _Toc12512 \h </w:instrText>
      </w:r>
      <w:r>
        <w:rPr>
          <w:color w:val="auto"/>
          <w:highlight w:val="none"/>
        </w:rPr>
        <w:fldChar w:fldCharType="separate"/>
      </w:r>
      <w:r>
        <w:rPr>
          <w:color w:val="auto"/>
          <w:highlight w:val="none"/>
        </w:rPr>
        <w:t>16</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_Toc25749 </w:instrText>
      </w:r>
      <w:r>
        <w:rPr>
          <w:rFonts w:ascii="宋体" w:hAnsi="宋体" w:cs="宋体"/>
          <w:color w:val="auto"/>
          <w:highlight w:val="none"/>
        </w:rPr>
        <w:fldChar w:fldCharType="separate"/>
      </w:r>
      <w:r>
        <w:rPr>
          <w:rFonts w:hint="eastAsia" w:hAnsi="宋体" w:cs="宋体"/>
          <w:color w:val="auto"/>
          <w:highlight w:val="none"/>
        </w:rPr>
        <w:t>17.投标文件的接收、修改与撤回</w:t>
      </w:r>
      <w:r>
        <w:rPr>
          <w:color w:val="auto"/>
          <w:highlight w:val="none"/>
        </w:rPr>
        <w:tab/>
      </w:r>
      <w:r>
        <w:rPr>
          <w:color w:val="auto"/>
          <w:highlight w:val="none"/>
        </w:rPr>
        <w:fldChar w:fldCharType="begin"/>
      </w:r>
      <w:r>
        <w:rPr>
          <w:color w:val="auto"/>
          <w:highlight w:val="none"/>
        </w:rPr>
        <w:instrText xml:space="preserve"> PAGEREF _Toc25749 \h </w:instrText>
      </w:r>
      <w:r>
        <w:rPr>
          <w:color w:val="auto"/>
          <w:highlight w:val="none"/>
        </w:rPr>
        <w:fldChar w:fldCharType="separate"/>
      </w:r>
      <w:r>
        <w:rPr>
          <w:color w:val="auto"/>
          <w:highlight w:val="none"/>
        </w:rPr>
        <w:t>16</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_Toc32076 </w:instrText>
      </w:r>
      <w:r>
        <w:rPr>
          <w:rFonts w:ascii="宋体" w:hAnsi="宋体" w:cs="宋体"/>
          <w:color w:val="auto"/>
          <w:highlight w:val="none"/>
        </w:rPr>
        <w:fldChar w:fldCharType="separate"/>
      </w:r>
      <w:r>
        <w:rPr>
          <w:rFonts w:hint="eastAsia" w:ascii="宋体" w:hAnsi="宋体" w:eastAsia="宋体" w:cs="宋体"/>
          <w:color w:val="auto"/>
          <w:highlight w:val="none"/>
        </w:rPr>
        <w:t>五   开标及评标</w:t>
      </w:r>
      <w:r>
        <w:rPr>
          <w:color w:val="auto"/>
          <w:highlight w:val="none"/>
        </w:rPr>
        <w:tab/>
      </w:r>
      <w:r>
        <w:rPr>
          <w:color w:val="auto"/>
          <w:highlight w:val="none"/>
        </w:rPr>
        <w:fldChar w:fldCharType="begin"/>
      </w:r>
      <w:r>
        <w:rPr>
          <w:color w:val="auto"/>
          <w:highlight w:val="none"/>
        </w:rPr>
        <w:instrText xml:space="preserve"> PAGEREF _Toc32076 \h </w:instrText>
      </w:r>
      <w:r>
        <w:rPr>
          <w:color w:val="auto"/>
          <w:highlight w:val="none"/>
        </w:rPr>
        <w:fldChar w:fldCharType="separate"/>
      </w:r>
      <w:r>
        <w:rPr>
          <w:color w:val="auto"/>
          <w:highlight w:val="none"/>
        </w:rPr>
        <w:t>17</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_Toc15191 </w:instrText>
      </w:r>
      <w:r>
        <w:rPr>
          <w:rFonts w:ascii="宋体" w:hAnsi="宋体" w:cs="宋体"/>
          <w:color w:val="auto"/>
          <w:highlight w:val="none"/>
        </w:rPr>
        <w:fldChar w:fldCharType="separate"/>
      </w:r>
      <w:r>
        <w:rPr>
          <w:rFonts w:hint="eastAsia" w:hAnsi="宋体" w:cs="宋体"/>
          <w:color w:val="auto"/>
          <w:highlight w:val="none"/>
        </w:rPr>
        <w:t>18.开标</w:t>
      </w:r>
      <w:r>
        <w:rPr>
          <w:color w:val="auto"/>
          <w:highlight w:val="none"/>
        </w:rPr>
        <w:tab/>
      </w:r>
      <w:r>
        <w:rPr>
          <w:color w:val="auto"/>
          <w:highlight w:val="none"/>
        </w:rPr>
        <w:fldChar w:fldCharType="begin"/>
      </w:r>
      <w:r>
        <w:rPr>
          <w:color w:val="auto"/>
          <w:highlight w:val="none"/>
        </w:rPr>
        <w:instrText xml:space="preserve"> PAGEREF _Toc15191 \h </w:instrText>
      </w:r>
      <w:r>
        <w:rPr>
          <w:color w:val="auto"/>
          <w:highlight w:val="none"/>
        </w:rPr>
        <w:fldChar w:fldCharType="separate"/>
      </w:r>
      <w:r>
        <w:rPr>
          <w:color w:val="auto"/>
          <w:highlight w:val="none"/>
        </w:rPr>
        <w:t>17</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_Toc15763 </w:instrText>
      </w:r>
      <w:r>
        <w:rPr>
          <w:rFonts w:ascii="宋体" w:hAnsi="宋体" w:cs="宋体"/>
          <w:color w:val="auto"/>
          <w:highlight w:val="none"/>
        </w:rPr>
        <w:fldChar w:fldCharType="separate"/>
      </w:r>
      <w:r>
        <w:rPr>
          <w:rFonts w:hint="eastAsia" w:hAnsi="宋体" w:cs="宋体"/>
          <w:color w:val="auto"/>
          <w:highlight w:val="none"/>
        </w:rPr>
        <w:t>19.资格审查及组建评标委员会</w:t>
      </w:r>
      <w:r>
        <w:rPr>
          <w:color w:val="auto"/>
          <w:highlight w:val="none"/>
        </w:rPr>
        <w:tab/>
      </w:r>
      <w:r>
        <w:rPr>
          <w:color w:val="auto"/>
          <w:highlight w:val="none"/>
        </w:rPr>
        <w:fldChar w:fldCharType="begin"/>
      </w:r>
      <w:r>
        <w:rPr>
          <w:color w:val="auto"/>
          <w:highlight w:val="none"/>
        </w:rPr>
        <w:instrText xml:space="preserve"> PAGEREF _Toc15763 \h </w:instrText>
      </w:r>
      <w:r>
        <w:rPr>
          <w:color w:val="auto"/>
          <w:highlight w:val="none"/>
        </w:rPr>
        <w:fldChar w:fldCharType="separate"/>
      </w:r>
      <w:r>
        <w:rPr>
          <w:color w:val="auto"/>
          <w:highlight w:val="none"/>
        </w:rPr>
        <w:t>17</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_Toc17140 </w:instrText>
      </w:r>
      <w:r>
        <w:rPr>
          <w:rFonts w:ascii="宋体" w:hAnsi="宋体" w:cs="宋体"/>
          <w:color w:val="auto"/>
          <w:highlight w:val="none"/>
        </w:rPr>
        <w:fldChar w:fldCharType="separate"/>
      </w:r>
      <w:r>
        <w:rPr>
          <w:rFonts w:hint="eastAsia" w:hAnsi="宋体" w:cs="宋体"/>
          <w:color w:val="auto"/>
          <w:highlight w:val="none"/>
        </w:rPr>
        <w:t>20.投标文件的符合性审查与澄清</w:t>
      </w:r>
      <w:r>
        <w:rPr>
          <w:color w:val="auto"/>
          <w:highlight w:val="none"/>
        </w:rPr>
        <w:tab/>
      </w:r>
      <w:r>
        <w:rPr>
          <w:color w:val="auto"/>
          <w:highlight w:val="none"/>
        </w:rPr>
        <w:fldChar w:fldCharType="begin"/>
      </w:r>
      <w:r>
        <w:rPr>
          <w:color w:val="auto"/>
          <w:highlight w:val="none"/>
        </w:rPr>
        <w:instrText xml:space="preserve"> PAGEREF _Toc17140 \h </w:instrText>
      </w:r>
      <w:r>
        <w:rPr>
          <w:color w:val="auto"/>
          <w:highlight w:val="none"/>
        </w:rPr>
        <w:fldChar w:fldCharType="separate"/>
      </w:r>
      <w:r>
        <w:rPr>
          <w:color w:val="auto"/>
          <w:highlight w:val="none"/>
        </w:rPr>
        <w:t>19</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_Toc2821 </w:instrText>
      </w:r>
      <w:r>
        <w:rPr>
          <w:rFonts w:ascii="宋体" w:hAnsi="宋体" w:cs="宋体"/>
          <w:color w:val="auto"/>
          <w:highlight w:val="none"/>
        </w:rPr>
        <w:fldChar w:fldCharType="separate"/>
      </w:r>
      <w:r>
        <w:rPr>
          <w:rFonts w:hint="eastAsia" w:hAnsi="宋体" w:cs="宋体"/>
          <w:color w:val="auto"/>
          <w:highlight w:val="none"/>
        </w:rPr>
        <w:t>21.投标偏离</w:t>
      </w:r>
      <w:r>
        <w:rPr>
          <w:color w:val="auto"/>
          <w:highlight w:val="none"/>
        </w:rPr>
        <w:tab/>
      </w:r>
      <w:r>
        <w:rPr>
          <w:color w:val="auto"/>
          <w:highlight w:val="none"/>
        </w:rPr>
        <w:fldChar w:fldCharType="begin"/>
      </w:r>
      <w:r>
        <w:rPr>
          <w:color w:val="auto"/>
          <w:highlight w:val="none"/>
        </w:rPr>
        <w:instrText xml:space="preserve"> PAGEREF _Toc2821 \h </w:instrText>
      </w:r>
      <w:r>
        <w:rPr>
          <w:color w:val="auto"/>
          <w:highlight w:val="none"/>
        </w:rPr>
        <w:fldChar w:fldCharType="separate"/>
      </w:r>
      <w:r>
        <w:rPr>
          <w:color w:val="auto"/>
          <w:highlight w:val="none"/>
        </w:rPr>
        <w:t>20</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_Toc29930 </w:instrText>
      </w:r>
      <w:r>
        <w:rPr>
          <w:rFonts w:ascii="宋体" w:hAnsi="宋体" w:cs="宋体"/>
          <w:color w:val="auto"/>
          <w:highlight w:val="none"/>
        </w:rPr>
        <w:fldChar w:fldCharType="separate"/>
      </w:r>
      <w:r>
        <w:rPr>
          <w:rFonts w:hint="eastAsia" w:hAnsi="宋体" w:cs="宋体"/>
          <w:color w:val="auto"/>
          <w:highlight w:val="none"/>
        </w:rPr>
        <w:t>22.投标无效</w:t>
      </w:r>
      <w:r>
        <w:rPr>
          <w:color w:val="auto"/>
          <w:highlight w:val="none"/>
        </w:rPr>
        <w:tab/>
      </w:r>
      <w:r>
        <w:rPr>
          <w:color w:val="auto"/>
          <w:highlight w:val="none"/>
        </w:rPr>
        <w:fldChar w:fldCharType="begin"/>
      </w:r>
      <w:r>
        <w:rPr>
          <w:color w:val="auto"/>
          <w:highlight w:val="none"/>
        </w:rPr>
        <w:instrText xml:space="preserve"> PAGEREF _Toc29930 \h </w:instrText>
      </w:r>
      <w:r>
        <w:rPr>
          <w:color w:val="auto"/>
          <w:highlight w:val="none"/>
        </w:rPr>
        <w:fldChar w:fldCharType="separate"/>
      </w:r>
      <w:r>
        <w:rPr>
          <w:color w:val="auto"/>
          <w:highlight w:val="none"/>
        </w:rPr>
        <w:t>20</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_Toc20709 </w:instrText>
      </w:r>
      <w:r>
        <w:rPr>
          <w:rFonts w:ascii="宋体" w:hAnsi="宋体" w:cs="宋体"/>
          <w:color w:val="auto"/>
          <w:highlight w:val="none"/>
        </w:rPr>
        <w:fldChar w:fldCharType="separate"/>
      </w:r>
      <w:r>
        <w:rPr>
          <w:rFonts w:hint="eastAsia" w:ascii="宋体" w:hAnsi="宋体" w:cs="宋体"/>
          <w:color w:val="auto"/>
          <w:kern w:val="0"/>
          <w:szCs w:val="20"/>
          <w:highlight w:val="none"/>
        </w:rPr>
        <w:t>23.比较与评价</w:t>
      </w:r>
      <w:r>
        <w:rPr>
          <w:color w:val="auto"/>
          <w:highlight w:val="none"/>
        </w:rPr>
        <w:tab/>
      </w:r>
      <w:r>
        <w:rPr>
          <w:color w:val="auto"/>
          <w:highlight w:val="none"/>
        </w:rPr>
        <w:fldChar w:fldCharType="begin"/>
      </w:r>
      <w:r>
        <w:rPr>
          <w:color w:val="auto"/>
          <w:highlight w:val="none"/>
        </w:rPr>
        <w:instrText xml:space="preserve"> PAGEREF _Toc20709 \h </w:instrText>
      </w:r>
      <w:r>
        <w:rPr>
          <w:color w:val="auto"/>
          <w:highlight w:val="none"/>
        </w:rPr>
        <w:fldChar w:fldCharType="separate"/>
      </w:r>
      <w:r>
        <w:rPr>
          <w:color w:val="auto"/>
          <w:highlight w:val="none"/>
        </w:rPr>
        <w:t>20</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_Toc4132 </w:instrText>
      </w:r>
      <w:r>
        <w:rPr>
          <w:rFonts w:ascii="宋体" w:hAnsi="宋体" w:cs="宋体"/>
          <w:color w:val="auto"/>
          <w:highlight w:val="none"/>
        </w:rPr>
        <w:fldChar w:fldCharType="separate"/>
      </w:r>
      <w:r>
        <w:rPr>
          <w:rFonts w:hint="eastAsia" w:hAnsi="宋体" w:cs="宋体"/>
          <w:color w:val="auto"/>
          <w:highlight w:val="none"/>
        </w:rPr>
        <w:t>24.废标</w:t>
      </w:r>
      <w:r>
        <w:rPr>
          <w:color w:val="auto"/>
          <w:highlight w:val="none"/>
        </w:rPr>
        <w:tab/>
      </w:r>
      <w:r>
        <w:rPr>
          <w:color w:val="auto"/>
          <w:highlight w:val="none"/>
        </w:rPr>
        <w:fldChar w:fldCharType="begin"/>
      </w:r>
      <w:r>
        <w:rPr>
          <w:color w:val="auto"/>
          <w:highlight w:val="none"/>
        </w:rPr>
        <w:instrText xml:space="preserve"> PAGEREF _Toc4132 \h </w:instrText>
      </w:r>
      <w:r>
        <w:rPr>
          <w:color w:val="auto"/>
          <w:highlight w:val="none"/>
        </w:rPr>
        <w:fldChar w:fldCharType="separate"/>
      </w:r>
      <w:r>
        <w:rPr>
          <w:color w:val="auto"/>
          <w:highlight w:val="none"/>
        </w:rPr>
        <w:t>21</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_Toc14405 </w:instrText>
      </w:r>
      <w:r>
        <w:rPr>
          <w:rFonts w:ascii="宋体" w:hAnsi="宋体" w:cs="宋体"/>
          <w:color w:val="auto"/>
          <w:highlight w:val="none"/>
        </w:rPr>
        <w:fldChar w:fldCharType="separate"/>
      </w:r>
      <w:r>
        <w:rPr>
          <w:rFonts w:hint="eastAsia" w:hAnsi="宋体" w:cs="宋体"/>
          <w:color w:val="auto"/>
          <w:highlight w:val="none"/>
        </w:rPr>
        <w:t>25.保密原则</w:t>
      </w:r>
      <w:r>
        <w:rPr>
          <w:color w:val="auto"/>
          <w:highlight w:val="none"/>
        </w:rPr>
        <w:tab/>
      </w:r>
      <w:r>
        <w:rPr>
          <w:color w:val="auto"/>
          <w:highlight w:val="none"/>
        </w:rPr>
        <w:fldChar w:fldCharType="begin"/>
      </w:r>
      <w:r>
        <w:rPr>
          <w:color w:val="auto"/>
          <w:highlight w:val="none"/>
        </w:rPr>
        <w:instrText xml:space="preserve"> PAGEREF _Toc14405 \h </w:instrText>
      </w:r>
      <w:r>
        <w:rPr>
          <w:color w:val="auto"/>
          <w:highlight w:val="none"/>
        </w:rPr>
        <w:fldChar w:fldCharType="separate"/>
      </w:r>
      <w:r>
        <w:rPr>
          <w:color w:val="auto"/>
          <w:highlight w:val="none"/>
        </w:rPr>
        <w:t>21</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_Toc12284 </w:instrText>
      </w:r>
      <w:r>
        <w:rPr>
          <w:rFonts w:ascii="宋体" w:hAnsi="宋体" w:cs="宋体"/>
          <w:color w:val="auto"/>
          <w:highlight w:val="none"/>
        </w:rPr>
        <w:fldChar w:fldCharType="separate"/>
      </w:r>
      <w:r>
        <w:rPr>
          <w:rFonts w:hint="eastAsia" w:ascii="宋体" w:hAnsi="宋体" w:eastAsia="宋体" w:cs="宋体"/>
          <w:color w:val="auto"/>
          <w:highlight w:val="none"/>
        </w:rPr>
        <w:t>六   确定中标</w:t>
      </w:r>
      <w:r>
        <w:rPr>
          <w:color w:val="auto"/>
          <w:highlight w:val="none"/>
        </w:rPr>
        <w:tab/>
      </w:r>
      <w:r>
        <w:rPr>
          <w:color w:val="auto"/>
          <w:highlight w:val="none"/>
        </w:rPr>
        <w:fldChar w:fldCharType="begin"/>
      </w:r>
      <w:r>
        <w:rPr>
          <w:color w:val="auto"/>
          <w:highlight w:val="none"/>
        </w:rPr>
        <w:instrText xml:space="preserve"> PAGEREF _Toc12284 \h </w:instrText>
      </w:r>
      <w:r>
        <w:rPr>
          <w:color w:val="auto"/>
          <w:highlight w:val="none"/>
        </w:rPr>
        <w:fldChar w:fldCharType="separate"/>
      </w:r>
      <w:r>
        <w:rPr>
          <w:color w:val="auto"/>
          <w:highlight w:val="none"/>
        </w:rPr>
        <w:t>21</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_Toc21368 </w:instrText>
      </w:r>
      <w:r>
        <w:rPr>
          <w:rFonts w:ascii="宋体" w:hAnsi="宋体" w:cs="宋体"/>
          <w:color w:val="auto"/>
          <w:highlight w:val="none"/>
        </w:rPr>
        <w:fldChar w:fldCharType="separate"/>
      </w:r>
      <w:r>
        <w:rPr>
          <w:rFonts w:hint="eastAsia" w:hAnsi="宋体" w:cs="宋体"/>
          <w:color w:val="auto"/>
          <w:highlight w:val="none"/>
        </w:rPr>
        <w:t>26.中标候选人的确定原则及标准</w:t>
      </w:r>
      <w:r>
        <w:rPr>
          <w:color w:val="auto"/>
          <w:highlight w:val="none"/>
        </w:rPr>
        <w:tab/>
      </w:r>
      <w:r>
        <w:rPr>
          <w:color w:val="auto"/>
          <w:highlight w:val="none"/>
        </w:rPr>
        <w:fldChar w:fldCharType="begin"/>
      </w:r>
      <w:r>
        <w:rPr>
          <w:color w:val="auto"/>
          <w:highlight w:val="none"/>
        </w:rPr>
        <w:instrText xml:space="preserve"> PAGEREF _Toc21368 \h </w:instrText>
      </w:r>
      <w:r>
        <w:rPr>
          <w:color w:val="auto"/>
          <w:highlight w:val="none"/>
        </w:rPr>
        <w:fldChar w:fldCharType="separate"/>
      </w:r>
      <w:r>
        <w:rPr>
          <w:color w:val="auto"/>
          <w:highlight w:val="none"/>
        </w:rPr>
        <w:t>22</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_Toc30797 </w:instrText>
      </w:r>
      <w:r>
        <w:rPr>
          <w:rFonts w:ascii="宋体" w:hAnsi="宋体" w:cs="宋体"/>
          <w:color w:val="auto"/>
          <w:highlight w:val="none"/>
        </w:rPr>
        <w:fldChar w:fldCharType="separate"/>
      </w:r>
      <w:r>
        <w:rPr>
          <w:rFonts w:hint="eastAsia" w:hAnsi="宋体" w:cs="宋体"/>
          <w:color w:val="auto"/>
          <w:highlight w:val="none"/>
        </w:rPr>
        <w:t>27.确定中标候选人和</w:t>
      </w:r>
      <w:r>
        <w:rPr>
          <w:rFonts w:hint="eastAsia" w:hAnsi="宋体" w:cs="宋体"/>
          <w:color w:val="auto"/>
          <w:highlight w:val="none"/>
          <w:lang w:eastAsia="zh-CN"/>
        </w:rPr>
        <w:t>投标人</w:t>
      </w:r>
      <w:r>
        <w:rPr>
          <w:color w:val="auto"/>
          <w:highlight w:val="none"/>
        </w:rPr>
        <w:tab/>
      </w:r>
      <w:r>
        <w:rPr>
          <w:color w:val="auto"/>
          <w:highlight w:val="none"/>
        </w:rPr>
        <w:fldChar w:fldCharType="begin"/>
      </w:r>
      <w:r>
        <w:rPr>
          <w:color w:val="auto"/>
          <w:highlight w:val="none"/>
        </w:rPr>
        <w:instrText xml:space="preserve"> PAGEREF _Toc30797 \h </w:instrText>
      </w:r>
      <w:r>
        <w:rPr>
          <w:color w:val="auto"/>
          <w:highlight w:val="none"/>
        </w:rPr>
        <w:fldChar w:fldCharType="separate"/>
      </w:r>
      <w:r>
        <w:rPr>
          <w:color w:val="auto"/>
          <w:highlight w:val="none"/>
        </w:rPr>
        <w:t>22</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_Toc3680 </w:instrText>
      </w:r>
      <w:r>
        <w:rPr>
          <w:rFonts w:ascii="宋体" w:hAnsi="宋体" w:cs="宋体"/>
          <w:color w:val="auto"/>
          <w:highlight w:val="none"/>
        </w:rPr>
        <w:fldChar w:fldCharType="separate"/>
      </w:r>
      <w:r>
        <w:rPr>
          <w:rFonts w:hint="eastAsia" w:hAnsi="宋体" w:cs="宋体"/>
          <w:color w:val="auto"/>
          <w:highlight w:val="none"/>
        </w:rPr>
        <w:t>28.采购任务取消</w:t>
      </w:r>
      <w:r>
        <w:rPr>
          <w:color w:val="auto"/>
          <w:highlight w:val="none"/>
        </w:rPr>
        <w:tab/>
      </w:r>
      <w:r>
        <w:rPr>
          <w:color w:val="auto"/>
          <w:highlight w:val="none"/>
        </w:rPr>
        <w:fldChar w:fldCharType="begin"/>
      </w:r>
      <w:r>
        <w:rPr>
          <w:color w:val="auto"/>
          <w:highlight w:val="none"/>
        </w:rPr>
        <w:instrText xml:space="preserve"> PAGEREF _Toc3680 \h </w:instrText>
      </w:r>
      <w:r>
        <w:rPr>
          <w:color w:val="auto"/>
          <w:highlight w:val="none"/>
        </w:rPr>
        <w:fldChar w:fldCharType="separate"/>
      </w:r>
      <w:r>
        <w:rPr>
          <w:color w:val="auto"/>
          <w:highlight w:val="none"/>
        </w:rPr>
        <w:t>22</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_Toc26401 </w:instrText>
      </w:r>
      <w:r>
        <w:rPr>
          <w:rFonts w:ascii="宋体" w:hAnsi="宋体" w:cs="宋体"/>
          <w:color w:val="auto"/>
          <w:highlight w:val="none"/>
        </w:rPr>
        <w:fldChar w:fldCharType="separate"/>
      </w:r>
      <w:r>
        <w:rPr>
          <w:rFonts w:hint="eastAsia" w:hAnsi="宋体" w:cs="宋体"/>
          <w:color w:val="auto"/>
          <w:highlight w:val="none"/>
        </w:rPr>
        <w:t>29.中标通知书和招标结果通知书</w:t>
      </w:r>
      <w:r>
        <w:rPr>
          <w:color w:val="auto"/>
          <w:highlight w:val="none"/>
        </w:rPr>
        <w:tab/>
      </w:r>
      <w:r>
        <w:rPr>
          <w:color w:val="auto"/>
          <w:highlight w:val="none"/>
        </w:rPr>
        <w:fldChar w:fldCharType="begin"/>
      </w:r>
      <w:r>
        <w:rPr>
          <w:color w:val="auto"/>
          <w:highlight w:val="none"/>
        </w:rPr>
        <w:instrText xml:space="preserve"> PAGEREF _Toc26401 \h </w:instrText>
      </w:r>
      <w:r>
        <w:rPr>
          <w:color w:val="auto"/>
          <w:highlight w:val="none"/>
        </w:rPr>
        <w:fldChar w:fldCharType="separate"/>
      </w:r>
      <w:r>
        <w:rPr>
          <w:color w:val="auto"/>
          <w:highlight w:val="none"/>
        </w:rPr>
        <w:t>22</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_Toc20964 </w:instrText>
      </w:r>
      <w:r>
        <w:rPr>
          <w:rFonts w:ascii="宋体" w:hAnsi="宋体" w:cs="宋体"/>
          <w:color w:val="auto"/>
          <w:highlight w:val="none"/>
        </w:rPr>
        <w:fldChar w:fldCharType="separate"/>
      </w:r>
      <w:r>
        <w:rPr>
          <w:rFonts w:hint="eastAsia" w:hAnsi="宋体" w:cs="宋体"/>
          <w:color w:val="auto"/>
          <w:highlight w:val="none"/>
        </w:rPr>
        <w:t>30.签订合同</w:t>
      </w:r>
      <w:r>
        <w:rPr>
          <w:color w:val="auto"/>
          <w:highlight w:val="none"/>
        </w:rPr>
        <w:tab/>
      </w:r>
      <w:r>
        <w:rPr>
          <w:color w:val="auto"/>
          <w:highlight w:val="none"/>
        </w:rPr>
        <w:fldChar w:fldCharType="begin"/>
      </w:r>
      <w:r>
        <w:rPr>
          <w:color w:val="auto"/>
          <w:highlight w:val="none"/>
        </w:rPr>
        <w:instrText xml:space="preserve"> PAGEREF _Toc20964 \h </w:instrText>
      </w:r>
      <w:r>
        <w:rPr>
          <w:color w:val="auto"/>
          <w:highlight w:val="none"/>
        </w:rPr>
        <w:fldChar w:fldCharType="separate"/>
      </w:r>
      <w:r>
        <w:rPr>
          <w:color w:val="auto"/>
          <w:highlight w:val="none"/>
        </w:rPr>
        <w:t>22</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_Toc8378 </w:instrText>
      </w:r>
      <w:r>
        <w:rPr>
          <w:rFonts w:ascii="宋体" w:hAnsi="宋体" w:cs="宋体"/>
          <w:color w:val="auto"/>
          <w:highlight w:val="none"/>
        </w:rPr>
        <w:fldChar w:fldCharType="separate"/>
      </w:r>
      <w:r>
        <w:rPr>
          <w:rFonts w:hint="eastAsia" w:hAnsi="宋体" w:cs="宋体"/>
          <w:color w:val="auto"/>
          <w:highlight w:val="none"/>
        </w:rPr>
        <w:t>31.履约保证金</w:t>
      </w:r>
      <w:r>
        <w:rPr>
          <w:color w:val="auto"/>
          <w:highlight w:val="none"/>
        </w:rPr>
        <w:tab/>
      </w:r>
      <w:r>
        <w:rPr>
          <w:color w:val="auto"/>
          <w:highlight w:val="none"/>
        </w:rPr>
        <w:fldChar w:fldCharType="begin"/>
      </w:r>
      <w:r>
        <w:rPr>
          <w:color w:val="auto"/>
          <w:highlight w:val="none"/>
        </w:rPr>
        <w:instrText xml:space="preserve"> PAGEREF _Toc8378 \h </w:instrText>
      </w:r>
      <w:r>
        <w:rPr>
          <w:color w:val="auto"/>
          <w:highlight w:val="none"/>
        </w:rPr>
        <w:fldChar w:fldCharType="separate"/>
      </w:r>
      <w:r>
        <w:rPr>
          <w:color w:val="auto"/>
          <w:highlight w:val="none"/>
        </w:rPr>
        <w:t>23</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_Toc31818 </w:instrText>
      </w:r>
      <w:r>
        <w:rPr>
          <w:rFonts w:ascii="宋体" w:hAnsi="宋体" w:cs="宋体"/>
          <w:color w:val="auto"/>
          <w:highlight w:val="none"/>
        </w:rPr>
        <w:fldChar w:fldCharType="separate"/>
      </w:r>
      <w:r>
        <w:rPr>
          <w:rFonts w:hint="eastAsia" w:hAnsi="宋体" w:cs="宋体"/>
          <w:color w:val="auto"/>
          <w:highlight w:val="none"/>
        </w:rPr>
        <w:t>32.中标服务费</w:t>
      </w:r>
      <w:r>
        <w:rPr>
          <w:color w:val="auto"/>
          <w:highlight w:val="none"/>
        </w:rPr>
        <w:tab/>
      </w:r>
      <w:r>
        <w:rPr>
          <w:color w:val="auto"/>
          <w:highlight w:val="none"/>
        </w:rPr>
        <w:fldChar w:fldCharType="begin"/>
      </w:r>
      <w:r>
        <w:rPr>
          <w:color w:val="auto"/>
          <w:highlight w:val="none"/>
        </w:rPr>
        <w:instrText xml:space="preserve"> PAGEREF _Toc31818 \h </w:instrText>
      </w:r>
      <w:r>
        <w:rPr>
          <w:color w:val="auto"/>
          <w:highlight w:val="none"/>
        </w:rPr>
        <w:fldChar w:fldCharType="separate"/>
      </w:r>
      <w:r>
        <w:rPr>
          <w:color w:val="auto"/>
          <w:highlight w:val="none"/>
        </w:rPr>
        <w:t>23</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_Toc28942 </w:instrText>
      </w:r>
      <w:r>
        <w:rPr>
          <w:rFonts w:ascii="宋体" w:hAnsi="宋体" w:cs="宋体"/>
          <w:color w:val="auto"/>
          <w:highlight w:val="none"/>
        </w:rPr>
        <w:fldChar w:fldCharType="separate"/>
      </w:r>
      <w:r>
        <w:rPr>
          <w:rFonts w:hint="eastAsia" w:hAnsi="宋体" w:cs="宋体"/>
          <w:color w:val="auto"/>
          <w:highlight w:val="none"/>
        </w:rPr>
        <w:t>33.政府采购信用担保</w:t>
      </w:r>
      <w:r>
        <w:rPr>
          <w:color w:val="auto"/>
          <w:highlight w:val="none"/>
        </w:rPr>
        <w:tab/>
      </w:r>
      <w:r>
        <w:rPr>
          <w:color w:val="auto"/>
          <w:highlight w:val="none"/>
        </w:rPr>
        <w:fldChar w:fldCharType="begin"/>
      </w:r>
      <w:r>
        <w:rPr>
          <w:color w:val="auto"/>
          <w:highlight w:val="none"/>
        </w:rPr>
        <w:instrText xml:space="preserve"> PAGEREF _Toc28942 \h </w:instrText>
      </w:r>
      <w:r>
        <w:rPr>
          <w:color w:val="auto"/>
          <w:highlight w:val="none"/>
        </w:rPr>
        <w:fldChar w:fldCharType="separate"/>
      </w:r>
      <w:r>
        <w:rPr>
          <w:color w:val="auto"/>
          <w:highlight w:val="none"/>
        </w:rPr>
        <w:t>23</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_Toc7512 </w:instrText>
      </w:r>
      <w:r>
        <w:rPr>
          <w:rFonts w:ascii="宋体" w:hAnsi="宋体" w:cs="宋体"/>
          <w:color w:val="auto"/>
          <w:highlight w:val="none"/>
        </w:rPr>
        <w:fldChar w:fldCharType="separate"/>
      </w:r>
      <w:r>
        <w:rPr>
          <w:rFonts w:hint="eastAsia" w:hAnsi="宋体" w:cs="宋体"/>
          <w:color w:val="auto"/>
          <w:highlight w:val="none"/>
        </w:rPr>
        <w:t>34.廉洁自律规定</w:t>
      </w:r>
      <w:r>
        <w:rPr>
          <w:color w:val="auto"/>
          <w:highlight w:val="none"/>
        </w:rPr>
        <w:tab/>
      </w:r>
      <w:r>
        <w:rPr>
          <w:color w:val="auto"/>
          <w:highlight w:val="none"/>
        </w:rPr>
        <w:fldChar w:fldCharType="begin"/>
      </w:r>
      <w:r>
        <w:rPr>
          <w:color w:val="auto"/>
          <w:highlight w:val="none"/>
        </w:rPr>
        <w:instrText xml:space="preserve"> PAGEREF _Toc7512 \h </w:instrText>
      </w:r>
      <w:r>
        <w:rPr>
          <w:color w:val="auto"/>
          <w:highlight w:val="none"/>
        </w:rPr>
        <w:fldChar w:fldCharType="separate"/>
      </w:r>
      <w:r>
        <w:rPr>
          <w:color w:val="auto"/>
          <w:highlight w:val="none"/>
        </w:rPr>
        <w:t>23</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_Toc21992 </w:instrText>
      </w:r>
      <w:r>
        <w:rPr>
          <w:rFonts w:ascii="宋体" w:hAnsi="宋体" w:cs="宋体"/>
          <w:color w:val="auto"/>
          <w:highlight w:val="none"/>
        </w:rPr>
        <w:fldChar w:fldCharType="separate"/>
      </w:r>
      <w:r>
        <w:rPr>
          <w:rFonts w:hint="eastAsia" w:hAnsi="宋体" w:cs="宋体"/>
          <w:color w:val="auto"/>
          <w:highlight w:val="none"/>
        </w:rPr>
        <w:t>35.人员回避</w:t>
      </w:r>
      <w:r>
        <w:rPr>
          <w:color w:val="auto"/>
          <w:highlight w:val="none"/>
        </w:rPr>
        <w:tab/>
      </w:r>
      <w:r>
        <w:rPr>
          <w:color w:val="auto"/>
          <w:highlight w:val="none"/>
        </w:rPr>
        <w:fldChar w:fldCharType="begin"/>
      </w:r>
      <w:r>
        <w:rPr>
          <w:color w:val="auto"/>
          <w:highlight w:val="none"/>
        </w:rPr>
        <w:instrText xml:space="preserve"> PAGEREF _Toc21992 \h </w:instrText>
      </w:r>
      <w:r>
        <w:rPr>
          <w:color w:val="auto"/>
          <w:highlight w:val="none"/>
        </w:rPr>
        <w:fldChar w:fldCharType="separate"/>
      </w:r>
      <w:r>
        <w:rPr>
          <w:color w:val="auto"/>
          <w:highlight w:val="none"/>
        </w:rPr>
        <w:t>23</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_Toc7258 </w:instrText>
      </w:r>
      <w:r>
        <w:rPr>
          <w:rFonts w:ascii="宋体" w:hAnsi="宋体" w:cs="宋体"/>
          <w:color w:val="auto"/>
          <w:highlight w:val="none"/>
        </w:rPr>
        <w:fldChar w:fldCharType="separate"/>
      </w:r>
      <w:r>
        <w:rPr>
          <w:rFonts w:hint="eastAsia" w:hAnsi="宋体" w:cs="宋体"/>
          <w:color w:val="auto"/>
          <w:highlight w:val="none"/>
        </w:rPr>
        <w:t>36.质疑与接收</w:t>
      </w:r>
      <w:r>
        <w:rPr>
          <w:color w:val="auto"/>
          <w:highlight w:val="none"/>
        </w:rPr>
        <w:tab/>
      </w:r>
      <w:r>
        <w:rPr>
          <w:color w:val="auto"/>
          <w:highlight w:val="none"/>
        </w:rPr>
        <w:fldChar w:fldCharType="begin"/>
      </w:r>
      <w:r>
        <w:rPr>
          <w:color w:val="auto"/>
          <w:highlight w:val="none"/>
        </w:rPr>
        <w:instrText xml:space="preserve"> PAGEREF _Toc7258 \h </w:instrText>
      </w:r>
      <w:r>
        <w:rPr>
          <w:color w:val="auto"/>
          <w:highlight w:val="none"/>
        </w:rPr>
        <w:fldChar w:fldCharType="separate"/>
      </w:r>
      <w:r>
        <w:rPr>
          <w:color w:val="auto"/>
          <w:highlight w:val="none"/>
        </w:rPr>
        <w:t>24</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_Toc16206 </w:instrText>
      </w:r>
      <w:r>
        <w:rPr>
          <w:rFonts w:ascii="宋体" w:hAnsi="宋体" w:cs="宋体"/>
          <w:color w:val="auto"/>
          <w:highlight w:val="none"/>
        </w:rPr>
        <w:fldChar w:fldCharType="separate"/>
      </w:r>
      <w:r>
        <w:rPr>
          <w:rFonts w:hint="eastAsia" w:ascii="宋体" w:hAnsi="宋体" w:eastAsia="宋体" w:cs="宋体"/>
          <w:color w:val="auto"/>
          <w:szCs w:val="24"/>
          <w:highlight w:val="none"/>
        </w:rPr>
        <w:t>附件1：履约保证金保函（格式）</w:t>
      </w:r>
      <w:r>
        <w:rPr>
          <w:color w:val="auto"/>
          <w:highlight w:val="none"/>
        </w:rPr>
        <w:tab/>
      </w:r>
      <w:r>
        <w:rPr>
          <w:color w:val="auto"/>
          <w:highlight w:val="none"/>
        </w:rPr>
        <w:fldChar w:fldCharType="begin"/>
      </w:r>
      <w:r>
        <w:rPr>
          <w:color w:val="auto"/>
          <w:highlight w:val="none"/>
        </w:rPr>
        <w:instrText xml:space="preserve"> PAGEREF _Toc16206 \h </w:instrText>
      </w:r>
      <w:r>
        <w:rPr>
          <w:color w:val="auto"/>
          <w:highlight w:val="none"/>
        </w:rPr>
        <w:fldChar w:fldCharType="separate"/>
      </w:r>
      <w:r>
        <w:rPr>
          <w:color w:val="auto"/>
          <w:highlight w:val="none"/>
        </w:rPr>
        <w:t>29</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_Toc24453 </w:instrText>
      </w:r>
      <w:r>
        <w:rPr>
          <w:rFonts w:ascii="宋体" w:hAnsi="宋体" w:cs="宋体"/>
          <w:color w:val="auto"/>
          <w:highlight w:val="none"/>
        </w:rPr>
        <w:fldChar w:fldCharType="separate"/>
      </w:r>
      <w:r>
        <w:rPr>
          <w:rFonts w:hint="eastAsia" w:ascii="宋体" w:hAnsi="宋体" w:eastAsia="宋体" w:cs="宋体"/>
          <w:color w:val="auto"/>
          <w:szCs w:val="24"/>
          <w:highlight w:val="none"/>
        </w:rPr>
        <w:t>附件2：履约担保函格式</w:t>
      </w:r>
      <w:r>
        <w:rPr>
          <w:color w:val="auto"/>
          <w:highlight w:val="none"/>
        </w:rPr>
        <w:tab/>
      </w:r>
      <w:r>
        <w:rPr>
          <w:color w:val="auto"/>
          <w:highlight w:val="none"/>
        </w:rPr>
        <w:fldChar w:fldCharType="begin"/>
      </w:r>
      <w:r>
        <w:rPr>
          <w:color w:val="auto"/>
          <w:highlight w:val="none"/>
        </w:rPr>
        <w:instrText xml:space="preserve"> PAGEREF _Toc24453 \h </w:instrText>
      </w:r>
      <w:r>
        <w:rPr>
          <w:color w:val="auto"/>
          <w:highlight w:val="none"/>
        </w:rPr>
        <w:fldChar w:fldCharType="separate"/>
      </w:r>
      <w:r>
        <w:rPr>
          <w:color w:val="auto"/>
          <w:highlight w:val="none"/>
        </w:rPr>
        <w:t>30</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_Toc24541 </w:instrText>
      </w:r>
      <w:r>
        <w:rPr>
          <w:rFonts w:ascii="宋体" w:hAnsi="宋体" w:cs="宋体"/>
          <w:color w:val="auto"/>
          <w:highlight w:val="none"/>
        </w:rPr>
        <w:fldChar w:fldCharType="separate"/>
      </w:r>
      <w:r>
        <w:rPr>
          <w:rFonts w:hint="eastAsia" w:ascii="宋体" w:hAnsi="宋体" w:eastAsia="宋体" w:cs="宋体"/>
          <w:color w:val="auto"/>
          <w:szCs w:val="24"/>
          <w:highlight w:val="none"/>
        </w:rPr>
        <w:t>（采用政府采购信用担保形式时使用）</w:t>
      </w:r>
      <w:r>
        <w:rPr>
          <w:color w:val="auto"/>
          <w:highlight w:val="none"/>
        </w:rPr>
        <w:tab/>
      </w:r>
      <w:r>
        <w:rPr>
          <w:color w:val="auto"/>
          <w:highlight w:val="none"/>
        </w:rPr>
        <w:fldChar w:fldCharType="begin"/>
      </w:r>
      <w:r>
        <w:rPr>
          <w:color w:val="auto"/>
          <w:highlight w:val="none"/>
        </w:rPr>
        <w:instrText xml:space="preserve"> PAGEREF _Toc24541 \h </w:instrText>
      </w:r>
      <w:r>
        <w:rPr>
          <w:color w:val="auto"/>
          <w:highlight w:val="none"/>
        </w:rPr>
        <w:fldChar w:fldCharType="separate"/>
      </w:r>
      <w:r>
        <w:rPr>
          <w:color w:val="auto"/>
          <w:highlight w:val="none"/>
        </w:rPr>
        <w:t>30</w:t>
      </w:r>
      <w:r>
        <w:rPr>
          <w:color w:val="auto"/>
          <w:highlight w:val="none"/>
        </w:rPr>
        <w:fldChar w:fldCharType="end"/>
      </w:r>
      <w:r>
        <w:rPr>
          <w:rFonts w:ascii="宋体" w:hAnsi="宋体" w:cs="宋体"/>
          <w:color w:val="auto"/>
          <w:highlight w:val="none"/>
        </w:rPr>
        <w:fldChar w:fldCharType="end"/>
      </w:r>
    </w:p>
    <w:p>
      <w:pPr>
        <w:pStyle w:val="33"/>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_Toc1871 </w:instrText>
      </w:r>
      <w:r>
        <w:rPr>
          <w:rFonts w:ascii="宋体" w:hAnsi="宋体" w:cs="宋体"/>
          <w:color w:val="auto"/>
          <w:highlight w:val="none"/>
        </w:rPr>
        <w:fldChar w:fldCharType="separate"/>
      </w:r>
      <w:r>
        <w:rPr>
          <w:rFonts w:hint="eastAsia" w:hAnsi="宋体" w:cs="宋体"/>
          <w:color w:val="auto"/>
          <w:highlight w:val="none"/>
        </w:rPr>
        <w:t>第2章  投标文件格式</w:t>
      </w:r>
      <w:r>
        <w:rPr>
          <w:color w:val="auto"/>
          <w:highlight w:val="none"/>
        </w:rPr>
        <w:tab/>
      </w:r>
      <w:r>
        <w:rPr>
          <w:color w:val="auto"/>
          <w:highlight w:val="none"/>
        </w:rPr>
        <w:fldChar w:fldCharType="begin"/>
      </w:r>
      <w:r>
        <w:rPr>
          <w:color w:val="auto"/>
          <w:highlight w:val="none"/>
        </w:rPr>
        <w:instrText xml:space="preserve"> PAGEREF _Toc1871 \h </w:instrText>
      </w:r>
      <w:r>
        <w:rPr>
          <w:color w:val="auto"/>
          <w:highlight w:val="none"/>
        </w:rPr>
        <w:fldChar w:fldCharType="separate"/>
      </w:r>
      <w:r>
        <w:rPr>
          <w:color w:val="auto"/>
          <w:highlight w:val="none"/>
        </w:rPr>
        <w:t>32</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_Toc30007 </w:instrText>
      </w:r>
      <w:r>
        <w:rPr>
          <w:rFonts w:ascii="宋体" w:hAnsi="宋体" w:cs="宋体"/>
          <w:color w:val="auto"/>
          <w:highlight w:val="none"/>
        </w:rPr>
        <w:fldChar w:fldCharType="separate"/>
      </w:r>
      <w:r>
        <w:rPr>
          <w:rFonts w:hint="eastAsia" w:ascii="宋体" w:hAnsi="宋体" w:eastAsia="宋体" w:cs="宋体"/>
          <w:color w:val="auto"/>
          <w:highlight w:val="none"/>
        </w:rPr>
        <w:t>第一部分 开标一览表及资格证明文件</w:t>
      </w:r>
      <w:r>
        <w:rPr>
          <w:color w:val="auto"/>
          <w:highlight w:val="none"/>
        </w:rPr>
        <w:tab/>
      </w:r>
      <w:r>
        <w:rPr>
          <w:color w:val="auto"/>
          <w:highlight w:val="none"/>
        </w:rPr>
        <w:fldChar w:fldCharType="begin"/>
      </w:r>
      <w:r>
        <w:rPr>
          <w:color w:val="auto"/>
          <w:highlight w:val="none"/>
        </w:rPr>
        <w:instrText xml:space="preserve"> PAGEREF _Toc30007 \h </w:instrText>
      </w:r>
      <w:r>
        <w:rPr>
          <w:color w:val="auto"/>
          <w:highlight w:val="none"/>
        </w:rPr>
        <w:fldChar w:fldCharType="separate"/>
      </w:r>
      <w:r>
        <w:rPr>
          <w:color w:val="auto"/>
          <w:highlight w:val="none"/>
        </w:rPr>
        <w:t>32</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_Toc9655 </w:instrText>
      </w:r>
      <w:r>
        <w:rPr>
          <w:rFonts w:ascii="宋体" w:hAnsi="宋体" w:cs="宋体"/>
          <w:color w:val="auto"/>
          <w:highlight w:val="none"/>
        </w:rPr>
        <w:fldChar w:fldCharType="separate"/>
      </w:r>
      <w:r>
        <w:rPr>
          <w:rFonts w:hint="eastAsia" w:ascii="宋体" w:hAnsi="宋体" w:cs="宋体"/>
          <w:color w:val="auto"/>
          <w:kern w:val="0"/>
          <w:szCs w:val="20"/>
          <w:highlight w:val="none"/>
        </w:rPr>
        <w:t>1、开标一览表（投标文件格式一）</w:t>
      </w:r>
      <w:r>
        <w:rPr>
          <w:color w:val="auto"/>
          <w:highlight w:val="none"/>
        </w:rPr>
        <w:tab/>
      </w:r>
      <w:r>
        <w:rPr>
          <w:color w:val="auto"/>
          <w:highlight w:val="none"/>
        </w:rPr>
        <w:fldChar w:fldCharType="begin"/>
      </w:r>
      <w:r>
        <w:rPr>
          <w:color w:val="auto"/>
          <w:highlight w:val="none"/>
        </w:rPr>
        <w:instrText xml:space="preserve"> PAGEREF _Toc9655 \h </w:instrText>
      </w:r>
      <w:r>
        <w:rPr>
          <w:color w:val="auto"/>
          <w:highlight w:val="none"/>
        </w:rPr>
        <w:fldChar w:fldCharType="separate"/>
      </w:r>
      <w:r>
        <w:rPr>
          <w:color w:val="auto"/>
          <w:highlight w:val="none"/>
        </w:rPr>
        <w:t>33</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_Toc28859 </w:instrText>
      </w:r>
      <w:r>
        <w:rPr>
          <w:rFonts w:ascii="宋体" w:hAnsi="宋体" w:cs="宋体"/>
          <w:color w:val="auto"/>
          <w:highlight w:val="none"/>
        </w:rPr>
        <w:fldChar w:fldCharType="separate"/>
      </w:r>
      <w:r>
        <w:rPr>
          <w:rFonts w:hint="eastAsia" w:ascii="宋体" w:hAnsi="宋体" w:cs="宋体"/>
          <w:color w:val="auto"/>
          <w:kern w:val="0"/>
          <w:szCs w:val="20"/>
          <w:highlight w:val="none"/>
        </w:rPr>
        <w:t>2、独立承担民事责任能力的企业、事业、自然人，提供营业执照等经营性证件；</w:t>
      </w:r>
      <w:r>
        <w:rPr>
          <w:color w:val="auto"/>
          <w:highlight w:val="none"/>
        </w:rPr>
        <w:tab/>
      </w:r>
      <w:r>
        <w:rPr>
          <w:color w:val="auto"/>
          <w:highlight w:val="none"/>
        </w:rPr>
        <w:fldChar w:fldCharType="begin"/>
      </w:r>
      <w:r>
        <w:rPr>
          <w:color w:val="auto"/>
          <w:highlight w:val="none"/>
        </w:rPr>
        <w:instrText xml:space="preserve"> PAGEREF _Toc28859 \h </w:instrText>
      </w:r>
      <w:r>
        <w:rPr>
          <w:color w:val="auto"/>
          <w:highlight w:val="none"/>
        </w:rPr>
        <w:fldChar w:fldCharType="separate"/>
      </w:r>
      <w:r>
        <w:rPr>
          <w:color w:val="auto"/>
          <w:highlight w:val="none"/>
        </w:rPr>
        <w:t>33</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_Toc22673 </w:instrText>
      </w:r>
      <w:r>
        <w:rPr>
          <w:rFonts w:ascii="宋体" w:hAnsi="宋体" w:cs="宋体"/>
          <w:color w:val="auto"/>
          <w:highlight w:val="none"/>
        </w:rPr>
        <w:fldChar w:fldCharType="separate"/>
      </w:r>
      <w:r>
        <w:rPr>
          <w:rFonts w:hint="eastAsia" w:ascii="宋体" w:hAnsi="宋体" w:cs="宋体"/>
          <w:color w:val="auto"/>
          <w:kern w:val="0"/>
          <w:szCs w:val="20"/>
          <w:highlight w:val="none"/>
        </w:rPr>
        <w:t>3、法人身份证明或法人授权委托书（含法人身份证复印件）和被授权人身份有效证件；</w:t>
      </w:r>
      <w:r>
        <w:rPr>
          <w:color w:val="auto"/>
          <w:highlight w:val="none"/>
        </w:rPr>
        <w:tab/>
      </w:r>
      <w:r>
        <w:rPr>
          <w:color w:val="auto"/>
          <w:highlight w:val="none"/>
        </w:rPr>
        <w:fldChar w:fldCharType="begin"/>
      </w:r>
      <w:r>
        <w:rPr>
          <w:color w:val="auto"/>
          <w:highlight w:val="none"/>
        </w:rPr>
        <w:instrText xml:space="preserve"> PAGEREF _Toc22673 \h </w:instrText>
      </w:r>
      <w:r>
        <w:rPr>
          <w:color w:val="auto"/>
          <w:highlight w:val="none"/>
        </w:rPr>
        <w:fldChar w:fldCharType="separate"/>
      </w:r>
      <w:r>
        <w:rPr>
          <w:color w:val="auto"/>
          <w:highlight w:val="none"/>
        </w:rPr>
        <w:t>33</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_Toc27421 </w:instrText>
      </w:r>
      <w:r>
        <w:rPr>
          <w:rFonts w:ascii="宋体" w:hAnsi="宋体" w:cs="宋体"/>
          <w:color w:val="auto"/>
          <w:highlight w:val="none"/>
        </w:rPr>
        <w:fldChar w:fldCharType="separate"/>
      </w:r>
      <w:r>
        <w:rPr>
          <w:rFonts w:hint="eastAsia" w:hAnsi="宋体" w:cs="宋体"/>
          <w:color w:val="auto"/>
          <w:highlight w:val="none"/>
          <w:lang w:val="en-US" w:eastAsia="zh-CN"/>
        </w:rPr>
        <w:t>4.</w:t>
      </w:r>
      <w:r>
        <w:rPr>
          <w:rFonts w:hint="eastAsia" w:hAnsi="宋体" w:cs="宋体"/>
          <w:color w:val="auto"/>
          <w:highlight w:val="none"/>
        </w:rPr>
        <w:t>法定代表人（或企业负责人）授权委托书(投标文件格式二)</w:t>
      </w:r>
      <w:r>
        <w:rPr>
          <w:color w:val="auto"/>
          <w:highlight w:val="none"/>
        </w:rPr>
        <w:tab/>
      </w:r>
      <w:r>
        <w:rPr>
          <w:color w:val="auto"/>
          <w:highlight w:val="none"/>
        </w:rPr>
        <w:fldChar w:fldCharType="begin"/>
      </w:r>
      <w:r>
        <w:rPr>
          <w:color w:val="auto"/>
          <w:highlight w:val="none"/>
        </w:rPr>
        <w:instrText xml:space="preserve"> PAGEREF _Toc27421 \h </w:instrText>
      </w:r>
      <w:r>
        <w:rPr>
          <w:color w:val="auto"/>
          <w:highlight w:val="none"/>
        </w:rPr>
        <w:fldChar w:fldCharType="separate"/>
      </w:r>
      <w:r>
        <w:rPr>
          <w:color w:val="auto"/>
          <w:highlight w:val="none"/>
        </w:rPr>
        <w:t>34</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_Toc10053 </w:instrText>
      </w:r>
      <w:r>
        <w:rPr>
          <w:rFonts w:ascii="宋体" w:hAnsi="宋体" w:cs="宋体"/>
          <w:color w:val="auto"/>
          <w:highlight w:val="none"/>
        </w:rPr>
        <w:fldChar w:fldCharType="separate"/>
      </w:r>
      <w:r>
        <w:rPr>
          <w:rFonts w:hint="eastAsia" w:ascii="宋体" w:hAnsi="宋体" w:cs="宋体"/>
          <w:color w:val="auto"/>
          <w:kern w:val="0"/>
          <w:szCs w:val="20"/>
          <w:highlight w:val="none"/>
          <w:lang w:val="en-US" w:eastAsia="zh-CN"/>
        </w:rPr>
        <w:t>5.</w:t>
      </w:r>
      <w:r>
        <w:rPr>
          <w:rFonts w:hint="eastAsia" w:ascii="宋体" w:hAnsi="宋体" w:cs="宋体"/>
          <w:color w:val="auto"/>
          <w:kern w:val="0"/>
          <w:szCs w:val="20"/>
          <w:highlight w:val="none"/>
        </w:rPr>
        <w:t>近两年任意一年的财务审计报告（新成立公司提供开标前三个月内任意一个月有效银行资信证明）；</w:t>
      </w:r>
      <w:r>
        <w:rPr>
          <w:color w:val="auto"/>
          <w:highlight w:val="none"/>
        </w:rPr>
        <w:tab/>
      </w:r>
      <w:r>
        <w:rPr>
          <w:color w:val="auto"/>
          <w:highlight w:val="none"/>
        </w:rPr>
        <w:fldChar w:fldCharType="begin"/>
      </w:r>
      <w:r>
        <w:rPr>
          <w:color w:val="auto"/>
          <w:highlight w:val="none"/>
        </w:rPr>
        <w:instrText xml:space="preserve"> PAGEREF _Toc10053 \h </w:instrText>
      </w:r>
      <w:r>
        <w:rPr>
          <w:color w:val="auto"/>
          <w:highlight w:val="none"/>
        </w:rPr>
        <w:fldChar w:fldCharType="separate"/>
      </w:r>
      <w:r>
        <w:rPr>
          <w:color w:val="auto"/>
          <w:highlight w:val="none"/>
        </w:rPr>
        <w:t>34</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_Toc24981 </w:instrText>
      </w:r>
      <w:r>
        <w:rPr>
          <w:rFonts w:ascii="宋体" w:hAnsi="宋体" w:cs="宋体"/>
          <w:color w:val="auto"/>
          <w:highlight w:val="none"/>
        </w:rPr>
        <w:fldChar w:fldCharType="separate"/>
      </w:r>
      <w:r>
        <w:rPr>
          <w:rFonts w:hint="eastAsia" w:ascii="宋体" w:hAnsi="宋体" w:cs="宋体"/>
          <w:color w:val="auto"/>
          <w:kern w:val="0"/>
          <w:szCs w:val="20"/>
          <w:highlight w:val="none"/>
          <w:lang w:val="en-US" w:eastAsia="zh-CN"/>
        </w:rPr>
        <w:t>6.投标企业依法缴纳近 6 个月任意一个月社会保险的凭据；</w:t>
      </w:r>
      <w:r>
        <w:rPr>
          <w:color w:val="auto"/>
          <w:highlight w:val="none"/>
        </w:rPr>
        <w:tab/>
      </w:r>
      <w:r>
        <w:rPr>
          <w:color w:val="auto"/>
          <w:highlight w:val="none"/>
        </w:rPr>
        <w:fldChar w:fldCharType="begin"/>
      </w:r>
      <w:r>
        <w:rPr>
          <w:color w:val="auto"/>
          <w:highlight w:val="none"/>
        </w:rPr>
        <w:instrText xml:space="preserve"> PAGEREF _Toc24981 \h </w:instrText>
      </w:r>
      <w:r>
        <w:rPr>
          <w:color w:val="auto"/>
          <w:highlight w:val="none"/>
        </w:rPr>
        <w:fldChar w:fldCharType="separate"/>
      </w:r>
      <w:r>
        <w:rPr>
          <w:color w:val="auto"/>
          <w:highlight w:val="none"/>
        </w:rPr>
        <w:t>34</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_Toc18361 </w:instrText>
      </w:r>
      <w:r>
        <w:rPr>
          <w:rFonts w:ascii="宋体" w:hAnsi="宋体" w:cs="宋体"/>
          <w:color w:val="auto"/>
          <w:highlight w:val="none"/>
        </w:rPr>
        <w:fldChar w:fldCharType="separate"/>
      </w:r>
      <w:r>
        <w:rPr>
          <w:rFonts w:hint="eastAsia" w:ascii="宋体" w:hAnsi="宋体" w:cs="宋体"/>
          <w:color w:val="auto"/>
          <w:kern w:val="0"/>
          <w:szCs w:val="20"/>
          <w:highlight w:val="none"/>
          <w:lang w:val="en-US" w:eastAsia="zh-CN"/>
        </w:rPr>
        <w:t>7.投标企业提供税务部门出具的近 6 个月任意一个月的完税证明；</w:t>
      </w:r>
      <w:r>
        <w:rPr>
          <w:color w:val="auto"/>
          <w:highlight w:val="none"/>
        </w:rPr>
        <w:tab/>
      </w:r>
      <w:r>
        <w:rPr>
          <w:color w:val="auto"/>
          <w:highlight w:val="none"/>
        </w:rPr>
        <w:fldChar w:fldCharType="begin"/>
      </w:r>
      <w:r>
        <w:rPr>
          <w:color w:val="auto"/>
          <w:highlight w:val="none"/>
        </w:rPr>
        <w:instrText xml:space="preserve"> PAGEREF _Toc18361 \h </w:instrText>
      </w:r>
      <w:r>
        <w:rPr>
          <w:color w:val="auto"/>
          <w:highlight w:val="none"/>
        </w:rPr>
        <w:fldChar w:fldCharType="separate"/>
      </w:r>
      <w:r>
        <w:rPr>
          <w:color w:val="auto"/>
          <w:highlight w:val="none"/>
        </w:rPr>
        <w:t>35</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_Toc29125 </w:instrText>
      </w:r>
      <w:r>
        <w:rPr>
          <w:rFonts w:ascii="宋体" w:hAnsi="宋体" w:cs="宋体"/>
          <w:color w:val="auto"/>
          <w:highlight w:val="none"/>
        </w:rPr>
        <w:fldChar w:fldCharType="separate"/>
      </w:r>
      <w:r>
        <w:rPr>
          <w:rFonts w:hint="eastAsia" w:ascii="宋体" w:hAnsi="宋体" w:cs="宋体"/>
          <w:color w:val="auto"/>
          <w:kern w:val="0"/>
          <w:szCs w:val="20"/>
          <w:highlight w:val="none"/>
          <w:lang w:val="en-US" w:eastAsia="zh-CN"/>
        </w:rPr>
        <w:t>8.根据《财政部关于在政府采购活动中查询及使用信用记录有关问题的通知》（财库﹝2016﹞125号）的要求，凡拟参加本次招标项目的供应商，如在“信用中国”网站（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以招标代理或招标人查询为准）；</w:t>
      </w:r>
      <w:r>
        <w:rPr>
          <w:color w:val="auto"/>
          <w:highlight w:val="none"/>
        </w:rPr>
        <w:tab/>
      </w:r>
      <w:r>
        <w:rPr>
          <w:color w:val="auto"/>
          <w:highlight w:val="none"/>
        </w:rPr>
        <w:fldChar w:fldCharType="begin"/>
      </w:r>
      <w:r>
        <w:rPr>
          <w:color w:val="auto"/>
          <w:highlight w:val="none"/>
        </w:rPr>
        <w:instrText xml:space="preserve"> PAGEREF _Toc29125 \h </w:instrText>
      </w:r>
      <w:r>
        <w:rPr>
          <w:color w:val="auto"/>
          <w:highlight w:val="none"/>
        </w:rPr>
        <w:fldChar w:fldCharType="separate"/>
      </w:r>
      <w:r>
        <w:rPr>
          <w:color w:val="auto"/>
          <w:highlight w:val="none"/>
        </w:rPr>
        <w:t>35</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_Toc19244 </w:instrText>
      </w:r>
      <w:r>
        <w:rPr>
          <w:rFonts w:ascii="宋体" w:hAnsi="宋体" w:cs="宋体"/>
          <w:color w:val="auto"/>
          <w:highlight w:val="none"/>
        </w:rPr>
        <w:fldChar w:fldCharType="separate"/>
      </w:r>
      <w:r>
        <w:rPr>
          <w:rFonts w:hint="eastAsia" w:ascii="宋体" w:hAnsi="宋体" w:cs="宋体"/>
          <w:color w:val="auto"/>
          <w:kern w:val="0"/>
          <w:szCs w:val="20"/>
          <w:highlight w:val="none"/>
          <w:lang w:val="en-US" w:eastAsia="zh-CN"/>
        </w:rPr>
        <w:t>9. 参与政府采购活动前3年内未被列入失信、重大税收违法案件、财政部门禁止参加政府采购活动的承诺书；</w:t>
      </w:r>
      <w:r>
        <w:rPr>
          <w:color w:val="auto"/>
          <w:highlight w:val="none"/>
        </w:rPr>
        <w:tab/>
      </w:r>
      <w:r>
        <w:rPr>
          <w:color w:val="auto"/>
          <w:highlight w:val="none"/>
        </w:rPr>
        <w:fldChar w:fldCharType="begin"/>
      </w:r>
      <w:r>
        <w:rPr>
          <w:color w:val="auto"/>
          <w:highlight w:val="none"/>
        </w:rPr>
        <w:instrText xml:space="preserve"> PAGEREF _Toc19244 \h </w:instrText>
      </w:r>
      <w:r>
        <w:rPr>
          <w:color w:val="auto"/>
          <w:highlight w:val="none"/>
        </w:rPr>
        <w:fldChar w:fldCharType="separate"/>
      </w:r>
      <w:r>
        <w:rPr>
          <w:color w:val="auto"/>
          <w:highlight w:val="none"/>
        </w:rPr>
        <w:t>35</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_Toc12673 </w:instrText>
      </w:r>
      <w:r>
        <w:rPr>
          <w:rFonts w:ascii="宋体" w:hAnsi="宋体" w:cs="宋体"/>
          <w:color w:val="auto"/>
          <w:highlight w:val="none"/>
        </w:rPr>
        <w:fldChar w:fldCharType="separate"/>
      </w:r>
      <w:r>
        <w:rPr>
          <w:rFonts w:hint="eastAsia" w:ascii="宋体" w:hAnsi="宋体" w:cs="宋体"/>
          <w:color w:val="auto"/>
          <w:kern w:val="0"/>
          <w:szCs w:val="20"/>
          <w:highlight w:val="none"/>
          <w:lang w:val="en-US" w:eastAsia="zh-CN"/>
        </w:rPr>
        <w:t>10.提供针对本次项目《反商业贿赂承诺书》</w:t>
      </w:r>
      <w:r>
        <w:rPr>
          <w:color w:val="auto"/>
          <w:highlight w:val="none"/>
        </w:rPr>
        <w:tab/>
      </w:r>
      <w:r>
        <w:rPr>
          <w:color w:val="auto"/>
          <w:highlight w:val="none"/>
        </w:rPr>
        <w:fldChar w:fldCharType="begin"/>
      </w:r>
      <w:r>
        <w:rPr>
          <w:color w:val="auto"/>
          <w:highlight w:val="none"/>
        </w:rPr>
        <w:instrText xml:space="preserve"> PAGEREF _Toc12673 \h </w:instrText>
      </w:r>
      <w:r>
        <w:rPr>
          <w:color w:val="auto"/>
          <w:highlight w:val="none"/>
        </w:rPr>
        <w:fldChar w:fldCharType="separate"/>
      </w:r>
      <w:r>
        <w:rPr>
          <w:color w:val="auto"/>
          <w:highlight w:val="none"/>
        </w:rPr>
        <w:t>35</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_Toc31570 </w:instrText>
      </w:r>
      <w:r>
        <w:rPr>
          <w:rFonts w:ascii="宋体" w:hAnsi="宋体" w:cs="宋体"/>
          <w:color w:val="auto"/>
          <w:highlight w:val="none"/>
        </w:rPr>
        <w:fldChar w:fldCharType="separate"/>
      </w:r>
      <w:r>
        <w:rPr>
          <w:rFonts w:hint="eastAsia" w:ascii="宋体" w:hAnsi="宋体" w:cs="宋体"/>
          <w:color w:val="auto"/>
          <w:kern w:val="0"/>
          <w:szCs w:val="20"/>
          <w:highlight w:val="none"/>
          <w:lang w:val="en-US" w:eastAsia="zh-CN"/>
        </w:rPr>
        <w:t>11.缴纳投标保证金（电汇或转账）凭证复印件加盖公章；</w:t>
      </w:r>
      <w:r>
        <w:rPr>
          <w:color w:val="auto"/>
          <w:highlight w:val="none"/>
        </w:rPr>
        <w:tab/>
      </w:r>
      <w:r>
        <w:rPr>
          <w:color w:val="auto"/>
          <w:highlight w:val="none"/>
        </w:rPr>
        <w:fldChar w:fldCharType="begin"/>
      </w:r>
      <w:r>
        <w:rPr>
          <w:color w:val="auto"/>
          <w:highlight w:val="none"/>
        </w:rPr>
        <w:instrText xml:space="preserve"> PAGEREF _Toc31570 \h </w:instrText>
      </w:r>
      <w:r>
        <w:rPr>
          <w:color w:val="auto"/>
          <w:highlight w:val="none"/>
        </w:rPr>
        <w:fldChar w:fldCharType="separate"/>
      </w:r>
      <w:r>
        <w:rPr>
          <w:color w:val="auto"/>
          <w:highlight w:val="none"/>
        </w:rPr>
        <w:t>35</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_Toc12535 </w:instrText>
      </w:r>
      <w:r>
        <w:rPr>
          <w:rFonts w:ascii="宋体" w:hAnsi="宋体" w:cs="宋体"/>
          <w:color w:val="auto"/>
          <w:highlight w:val="none"/>
        </w:rPr>
        <w:fldChar w:fldCharType="separate"/>
      </w:r>
      <w:r>
        <w:rPr>
          <w:rFonts w:hint="eastAsia" w:ascii="宋体" w:hAnsi="宋体" w:cs="宋体"/>
          <w:color w:val="auto"/>
          <w:kern w:val="0"/>
          <w:szCs w:val="20"/>
          <w:highlight w:val="none"/>
          <w:lang w:val="en-US" w:eastAsia="zh-CN"/>
        </w:rPr>
        <w:t>12.投标人可提供有利于投标的其他资格证明材料。</w:t>
      </w:r>
      <w:r>
        <w:rPr>
          <w:color w:val="auto"/>
          <w:highlight w:val="none"/>
        </w:rPr>
        <w:tab/>
      </w:r>
      <w:r>
        <w:rPr>
          <w:color w:val="auto"/>
          <w:highlight w:val="none"/>
        </w:rPr>
        <w:fldChar w:fldCharType="begin"/>
      </w:r>
      <w:r>
        <w:rPr>
          <w:color w:val="auto"/>
          <w:highlight w:val="none"/>
        </w:rPr>
        <w:instrText xml:space="preserve"> PAGEREF _Toc12535 \h </w:instrText>
      </w:r>
      <w:r>
        <w:rPr>
          <w:color w:val="auto"/>
          <w:highlight w:val="none"/>
        </w:rPr>
        <w:fldChar w:fldCharType="separate"/>
      </w:r>
      <w:r>
        <w:rPr>
          <w:color w:val="auto"/>
          <w:highlight w:val="none"/>
        </w:rPr>
        <w:t>35</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_Toc31471 </w:instrText>
      </w:r>
      <w:r>
        <w:rPr>
          <w:rFonts w:ascii="宋体" w:hAnsi="宋体" w:cs="宋体"/>
          <w:color w:val="auto"/>
          <w:highlight w:val="none"/>
        </w:rPr>
        <w:fldChar w:fldCharType="separate"/>
      </w:r>
      <w:r>
        <w:rPr>
          <w:rFonts w:hint="eastAsia" w:ascii="宋体" w:hAnsi="宋体" w:eastAsia="宋体" w:cs="宋体"/>
          <w:color w:val="auto"/>
          <w:highlight w:val="none"/>
        </w:rPr>
        <w:t>1   投标书（投标文件格式三）</w:t>
      </w:r>
      <w:r>
        <w:rPr>
          <w:color w:val="auto"/>
          <w:highlight w:val="none"/>
        </w:rPr>
        <w:tab/>
      </w:r>
      <w:r>
        <w:rPr>
          <w:color w:val="auto"/>
          <w:highlight w:val="none"/>
        </w:rPr>
        <w:fldChar w:fldCharType="begin"/>
      </w:r>
      <w:r>
        <w:rPr>
          <w:color w:val="auto"/>
          <w:highlight w:val="none"/>
        </w:rPr>
        <w:instrText xml:space="preserve"> PAGEREF _Toc31471 \h </w:instrText>
      </w:r>
      <w:r>
        <w:rPr>
          <w:color w:val="auto"/>
          <w:highlight w:val="none"/>
        </w:rPr>
        <w:fldChar w:fldCharType="separate"/>
      </w:r>
      <w:r>
        <w:rPr>
          <w:color w:val="auto"/>
          <w:highlight w:val="none"/>
        </w:rPr>
        <w:t>37</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_Toc30945 </w:instrText>
      </w:r>
      <w:r>
        <w:rPr>
          <w:rFonts w:ascii="宋体" w:hAnsi="宋体" w:cs="宋体"/>
          <w:color w:val="auto"/>
          <w:highlight w:val="none"/>
        </w:rPr>
        <w:fldChar w:fldCharType="separate"/>
      </w:r>
      <w:r>
        <w:rPr>
          <w:rFonts w:hint="eastAsia" w:ascii="宋体" w:hAnsi="宋体" w:eastAsia="宋体" w:cs="宋体"/>
          <w:color w:val="auto"/>
          <w:highlight w:val="none"/>
        </w:rPr>
        <w:t>2   投标分项报价表（投标文件格式五）</w:t>
      </w:r>
      <w:r>
        <w:rPr>
          <w:color w:val="auto"/>
          <w:highlight w:val="none"/>
        </w:rPr>
        <w:tab/>
      </w:r>
      <w:r>
        <w:rPr>
          <w:color w:val="auto"/>
          <w:highlight w:val="none"/>
        </w:rPr>
        <w:fldChar w:fldCharType="begin"/>
      </w:r>
      <w:r>
        <w:rPr>
          <w:color w:val="auto"/>
          <w:highlight w:val="none"/>
        </w:rPr>
        <w:instrText xml:space="preserve"> PAGEREF _Toc30945 \h </w:instrText>
      </w:r>
      <w:r>
        <w:rPr>
          <w:color w:val="auto"/>
          <w:highlight w:val="none"/>
        </w:rPr>
        <w:fldChar w:fldCharType="separate"/>
      </w:r>
      <w:r>
        <w:rPr>
          <w:color w:val="auto"/>
          <w:highlight w:val="none"/>
        </w:rPr>
        <w:t>38</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_Toc1321 </w:instrText>
      </w:r>
      <w:r>
        <w:rPr>
          <w:rFonts w:ascii="宋体" w:hAnsi="宋体" w:cs="宋体"/>
          <w:color w:val="auto"/>
          <w:highlight w:val="none"/>
        </w:rPr>
        <w:fldChar w:fldCharType="separate"/>
      </w:r>
      <w:r>
        <w:rPr>
          <w:rFonts w:hint="eastAsia" w:ascii="宋体" w:hAnsi="宋体" w:eastAsia="宋体" w:cs="宋体"/>
          <w:color w:val="auto"/>
          <w:highlight w:val="none"/>
        </w:rPr>
        <w:t>3 技术规格偏离表（投标文件格式六）</w:t>
      </w:r>
      <w:r>
        <w:rPr>
          <w:color w:val="auto"/>
          <w:highlight w:val="none"/>
        </w:rPr>
        <w:tab/>
      </w:r>
      <w:r>
        <w:rPr>
          <w:color w:val="auto"/>
          <w:highlight w:val="none"/>
        </w:rPr>
        <w:fldChar w:fldCharType="begin"/>
      </w:r>
      <w:r>
        <w:rPr>
          <w:color w:val="auto"/>
          <w:highlight w:val="none"/>
        </w:rPr>
        <w:instrText xml:space="preserve"> PAGEREF _Toc1321 \h </w:instrText>
      </w:r>
      <w:r>
        <w:rPr>
          <w:color w:val="auto"/>
          <w:highlight w:val="none"/>
        </w:rPr>
        <w:fldChar w:fldCharType="separate"/>
      </w:r>
      <w:r>
        <w:rPr>
          <w:color w:val="auto"/>
          <w:highlight w:val="none"/>
        </w:rPr>
        <w:t>39</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_Toc16610 </w:instrText>
      </w:r>
      <w:r>
        <w:rPr>
          <w:rFonts w:ascii="宋体" w:hAnsi="宋体" w:cs="宋体"/>
          <w:color w:val="auto"/>
          <w:highlight w:val="none"/>
        </w:rPr>
        <w:fldChar w:fldCharType="separate"/>
      </w:r>
      <w:r>
        <w:rPr>
          <w:rFonts w:hint="eastAsia" w:ascii="宋体" w:hAnsi="宋体" w:eastAsia="宋体" w:cs="宋体"/>
          <w:color w:val="auto"/>
          <w:highlight w:val="none"/>
        </w:rPr>
        <w:t>4   商务条款偏离表（投标文件格式七）</w:t>
      </w:r>
      <w:r>
        <w:rPr>
          <w:color w:val="auto"/>
          <w:highlight w:val="none"/>
        </w:rPr>
        <w:tab/>
      </w:r>
      <w:r>
        <w:rPr>
          <w:color w:val="auto"/>
          <w:highlight w:val="none"/>
        </w:rPr>
        <w:fldChar w:fldCharType="begin"/>
      </w:r>
      <w:r>
        <w:rPr>
          <w:color w:val="auto"/>
          <w:highlight w:val="none"/>
        </w:rPr>
        <w:instrText xml:space="preserve"> PAGEREF _Toc16610 \h </w:instrText>
      </w:r>
      <w:r>
        <w:rPr>
          <w:color w:val="auto"/>
          <w:highlight w:val="none"/>
        </w:rPr>
        <w:fldChar w:fldCharType="separate"/>
      </w:r>
      <w:r>
        <w:rPr>
          <w:color w:val="auto"/>
          <w:highlight w:val="none"/>
        </w:rPr>
        <w:t>40</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_Toc21305 </w:instrText>
      </w:r>
      <w:r>
        <w:rPr>
          <w:rFonts w:ascii="宋体" w:hAnsi="宋体" w:cs="宋体"/>
          <w:color w:val="auto"/>
          <w:highlight w:val="none"/>
        </w:rPr>
        <w:fldChar w:fldCharType="separate"/>
      </w:r>
      <w:r>
        <w:rPr>
          <w:rFonts w:hint="eastAsia" w:ascii="宋体" w:hAnsi="宋体" w:eastAsia="宋体" w:cs="宋体"/>
          <w:color w:val="auto"/>
          <w:highlight w:val="none"/>
        </w:rPr>
        <w:t>5-1  投标人企业（单位）类型声明函（投标文件格式八）</w:t>
      </w:r>
      <w:r>
        <w:rPr>
          <w:color w:val="auto"/>
          <w:highlight w:val="none"/>
        </w:rPr>
        <w:tab/>
      </w:r>
      <w:r>
        <w:rPr>
          <w:color w:val="auto"/>
          <w:highlight w:val="none"/>
        </w:rPr>
        <w:fldChar w:fldCharType="begin"/>
      </w:r>
      <w:r>
        <w:rPr>
          <w:color w:val="auto"/>
          <w:highlight w:val="none"/>
        </w:rPr>
        <w:instrText xml:space="preserve"> PAGEREF _Toc21305 \h </w:instrText>
      </w:r>
      <w:r>
        <w:rPr>
          <w:color w:val="auto"/>
          <w:highlight w:val="none"/>
        </w:rPr>
        <w:fldChar w:fldCharType="separate"/>
      </w:r>
      <w:r>
        <w:rPr>
          <w:color w:val="auto"/>
          <w:highlight w:val="none"/>
        </w:rPr>
        <w:t>41</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_Toc22052 </w:instrText>
      </w:r>
      <w:r>
        <w:rPr>
          <w:rFonts w:ascii="宋体" w:hAnsi="宋体" w:cs="宋体"/>
          <w:color w:val="auto"/>
          <w:highlight w:val="none"/>
        </w:rPr>
        <w:fldChar w:fldCharType="separate"/>
      </w:r>
      <w:r>
        <w:rPr>
          <w:rFonts w:hint="eastAsia" w:ascii="宋体" w:hAnsi="宋体" w:eastAsia="宋体" w:cs="宋体"/>
          <w:color w:val="auto"/>
          <w:highlight w:val="none"/>
        </w:rPr>
        <w:t xml:space="preserve">5-2    </w:t>
      </w:r>
      <w:r>
        <w:rPr>
          <w:rFonts w:hint="eastAsia" w:ascii="宋体" w:hAnsi="宋体" w:eastAsia="宋体" w:cs="宋体"/>
          <w:bCs/>
          <w:color w:val="auto"/>
          <w:highlight w:val="none"/>
        </w:rPr>
        <w:t>中小企业声明函（</w:t>
      </w:r>
      <w:r>
        <w:rPr>
          <w:rFonts w:hint="eastAsia" w:ascii="宋体" w:hAnsi="宋体" w:eastAsia="宋体" w:cs="宋体"/>
          <w:color w:val="auto"/>
          <w:highlight w:val="none"/>
        </w:rPr>
        <w:t>投标文件格式九）</w:t>
      </w:r>
      <w:r>
        <w:rPr>
          <w:color w:val="auto"/>
          <w:highlight w:val="none"/>
        </w:rPr>
        <w:tab/>
      </w:r>
      <w:r>
        <w:rPr>
          <w:color w:val="auto"/>
          <w:highlight w:val="none"/>
        </w:rPr>
        <w:fldChar w:fldCharType="begin"/>
      </w:r>
      <w:r>
        <w:rPr>
          <w:color w:val="auto"/>
          <w:highlight w:val="none"/>
        </w:rPr>
        <w:instrText xml:space="preserve"> PAGEREF _Toc22052 \h </w:instrText>
      </w:r>
      <w:r>
        <w:rPr>
          <w:color w:val="auto"/>
          <w:highlight w:val="none"/>
        </w:rPr>
        <w:fldChar w:fldCharType="separate"/>
      </w:r>
      <w:r>
        <w:rPr>
          <w:color w:val="auto"/>
          <w:highlight w:val="none"/>
        </w:rPr>
        <w:t>42</w:t>
      </w:r>
      <w:r>
        <w:rPr>
          <w:color w:val="auto"/>
          <w:highlight w:val="none"/>
        </w:rPr>
        <w:fldChar w:fldCharType="end"/>
      </w:r>
      <w:r>
        <w:rPr>
          <w:rFonts w:ascii="宋体" w:hAnsi="宋体" w:cs="宋体"/>
          <w:color w:val="auto"/>
          <w:highlight w:val="none"/>
        </w:rPr>
        <w:fldChar w:fldCharType="end"/>
      </w:r>
    </w:p>
    <w:p>
      <w:pPr>
        <w:pStyle w:val="33"/>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_Toc16449 </w:instrText>
      </w:r>
      <w:r>
        <w:rPr>
          <w:rFonts w:ascii="宋体" w:hAnsi="宋体" w:cs="宋体"/>
          <w:color w:val="auto"/>
          <w:highlight w:val="none"/>
        </w:rPr>
        <w:fldChar w:fldCharType="separate"/>
      </w:r>
      <w:r>
        <w:rPr>
          <w:rFonts w:hint="eastAsia" w:hAnsi="宋体" w:cs="宋体"/>
          <w:color w:val="auto"/>
          <w:highlight w:val="none"/>
        </w:rPr>
        <w:t>第3章 投标邀请</w:t>
      </w:r>
      <w:r>
        <w:rPr>
          <w:color w:val="auto"/>
          <w:highlight w:val="none"/>
        </w:rPr>
        <w:tab/>
      </w:r>
      <w:r>
        <w:rPr>
          <w:color w:val="auto"/>
          <w:highlight w:val="none"/>
        </w:rPr>
        <w:fldChar w:fldCharType="begin"/>
      </w:r>
      <w:r>
        <w:rPr>
          <w:color w:val="auto"/>
          <w:highlight w:val="none"/>
        </w:rPr>
        <w:instrText xml:space="preserve"> PAGEREF _Toc16449 \h </w:instrText>
      </w:r>
      <w:r>
        <w:rPr>
          <w:color w:val="auto"/>
          <w:highlight w:val="none"/>
        </w:rPr>
        <w:fldChar w:fldCharType="separate"/>
      </w:r>
      <w:r>
        <w:rPr>
          <w:color w:val="auto"/>
          <w:highlight w:val="none"/>
        </w:rPr>
        <w:t>45</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_Toc1854 </w:instrText>
      </w:r>
      <w:r>
        <w:rPr>
          <w:rFonts w:ascii="宋体" w:hAnsi="宋体" w:cs="宋体"/>
          <w:color w:val="auto"/>
          <w:highlight w:val="none"/>
        </w:rPr>
        <w:fldChar w:fldCharType="separate"/>
      </w:r>
      <w:r>
        <w:rPr>
          <w:rFonts w:hint="eastAsia"/>
          <w:bCs/>
          <w:color w:val="auto"/>
          <w:highlight w:val="none"/>
        </w:rPr>
        <w:t>一、项目基本情况</w:t>
      </w:r>
      <w:r>
        <w:rPr>
          <w:color w:val="auto"/>
          <w:highlight w:val="none"/>
        </w:rPr>
        <w:tab/>
      </w:r>
      <w:r>
        <w:rPr>
          <w:color w:val="auto"/>
          <w:highlight w:val="none"/>
        </w:rPr>
        <w:fldChar w:fldCharType="begin"/>
      </w:r>
      <w:r>
        <w:rPr>
          <w:color w:val="auto"/>
          <w:highlight w:val="none"/>
        </w:rPr>
        <w:instrText xml:space="preserve"> PAGEREF _Toc1854 \h </w:instrText>
      </w:r>
      <w:r>
        <w:rPr>
          <w:color w:val="auto"/>
          <w:highlight w:val="none"/>
        </w:rPr>
        <w:fldChar w:fldCharType="separate"/>
      </w:r>
      <w:r>
        <w:rPr>
          <w:color w:val="auto"/>
          <w:highlight w:val="none"/>
        </w:rPr>
        <w:t>45</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_Toc18555 </w:instrText>
      </w:r>
      <w:r>
        <w:rPr>
          <w:rFonts w:ascii="宋体" w:hAnsi="宋体" w:cs="宋体"/>
          <w:color w:val="auto"/>
          <w:highlight w:val="none"/>
        </w:rPr>
        <w:fldChar w:fldCharType="separate"/>
      </w:r>
      <w:r>
        <w:rPr>
          <w:rFonts w:hint="eastAsia"/>
          <w:bCs/>
          <w:color w:val="auto"/>
          <w:highlight w:val="none"/>
        </w:rPr>
        <w:t>二、投标供应商资格要求：</w:t>
      </w:r>
      <w:r>
        <w:rPr>
          <w:color w:val="auto"/>
          <w:highlight w:val="none"/>
        </w:rPr>
        <w:tab/>
      </w:r>
      <w:r>
        <w:rPr>
          <w:color w:val="auto"/>
          <w:highlight w:val="none"/>
        </w:rPr>
        <w:fldChar w:fldCharType="begin"/>
      </w:r>
      <w:r>
        <w:rPr>
          <w:color w:val="auto"/>
          <w:highlight w:val="none"/>
        </w:rPr>
        <w:instrText xml:space="preserve"> PAGEREF _Toc18555 \h </w:instrText>
      </w:r>
      <w:r>
        <w:rPr>
          <w:color w:val="auto"/>
          <w:highlight w:val="none"/>
        </w:rPr>
        <w:fldChar w:fldCharType="separate"/>
      </w:r>
      <w:r>
        <w:rPr>
          <w:color w:val="auto"/>
          <w:highlight w:val="none"/>
        </w:rPr>
        <w:t>45</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_Toc3992 </w:instrText>
      </w:r>
      <w:r>
        <w:rPr>
          <w:rFonts w:ascii="宋体" w:hAnsi="宋体" w:cs="宋体"/>
          <w:color w:val="auto"/>
          <w:highlight w:val="none"/>
        </w:rPr>
        <w:fldChar w:fldCharType="separate"/>
      </w:r>
      <w:r>
        <w:rPr>
          <w:rFonts w:hint="eastAsia"/>
          <w:bCs/>
          <w:color w:val="auto"/>
          <w:highlight w:val="none"/>
        </w:rPr>
        <w:t>三、获取采购文件</w:t>
      </w:r>
      <w:r>
        <w:rPr>
          <w:color w:val="auto"/>
          <w:highlight w:val="none"/>
        </w:rPr>
        <w:tab/>
      </w:r>
      <w:r>
        <w:rPr>
          <w:color w:val="auto"/>
          <w:highlight w:val="none"/>
        </w:rPr>
        <w:fldChar w:fldCharType="begin"/>
      </w:r>
      <w:r>
        <w:rPr>
          <w:color w:val="auto"/>
          <w:highlight w:val="none"/>
        </w:rPr>
        <w:instrText xml:space="preserve"> PAGEREF _Toc3992 \h </w:instrText>
      </w:r>
      <w:r>
        <w:rPr>
          <w:color w:val="auto"/>
          <w:highlight w:val="none"/>
        </w:rPr>
        <w:fldChar w:fldCharType="separate"/>
      </w:r>
      <w:r>
        <w:rPr>
          <w:color w:val="auto"/>
          <w:highlight w:val="none"/>
        </w:rPr>
        <w:t>45</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_Toc29050 </w:instrText>
      </w:r>
      <w:r>
        <w:rPr>
          <w:rFonts w:ascii="宋体" w:hAnsi="宋体" w:cs="宋体"/>
          <w:color w:val="auto"/>
          <w:highlight w:val="none"/>
        </w:rPr>
        <w:fldChar w:fldCharType="separate"/>
      </w:r>
      <w:r>
        <w:rPr>
          <w:rFonts w:hint="eastAsia" w:ascii="宋体" w:hAnsi="宋体" w:cs="宋体"/>
          <w:color w:val="auto"/>
          <w:highlight w:val="none"/>
        </w:rPr>
        <w:t>四、提交投标文件截止时间、开标时间和地点</w:t>
      </w:r>
      <w:r>
        <w:rPr>
          <w:color w:val="auto"/>
          <w:highlight w:val="none"/>
        </w:rPr>
        <w:tab/>
      </w:r>
      <w:r>
        <w:rPr>
          <w:color w:val="auto"/>
          <w:highlight w:val="none"/>
        </w:rPr>
        <w:fldChar w:fldCharType="begin"/>
      </w:r>
      <w:r>
        <w:rPr>
          <w:color w:val="auto"/>
          <w:highlight w:val="none"/>
        </w:rPr>
        <w:instrText xml:space="preserve"> PAGEREF _Toc29050 \h </w:instrText>
      </w:r>
      <w:r>
        <w:rPr>
          <w:color w:val="auto"/>
          <w:highlight w:val="none"/>
        </w:rPr>
        <w:fldChar w:fldCharType="separate"/>
      </w:r>
      <w:r>
        <w:rPr>
          <w:color w:val="auto"/>
          <w:highlight w:val="none"/>
        </w:rPr>
        <w:t>46</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_Toc24343 </w:instrText>
      </w:r>
      <w:r>
        <w:rPr>
          <w:rFonts w:ascii="宋体" w:hAnsi="宋体" w:cs="宋体"/>
          <w:color w:val="auto"/>
          <w:highlight w:val="none"/>
        </w:rPr>
        <w:fldChar w:fldCharType="separate"/>
      </w:r>
      <w:r>
        <w:rPr>
          <w:rFonts w:hint="eastAsia" w:ascii="宋体" w:hAnsi="宋体" w:cs="宋体"/>
          <w:color w:val="auto"/>
          <w:highlight w:val="none"/>
        </w:rPr>
        <w:t>五、公告期限</w:t>
      </w:r>
      <w:r>
        <w:rPr>
          <w:color w:val="auto"/>
          <w:highlight w:val="none"/>
        </w:rPr>
        <w:tab/>
      </w:r>
      <w:r>
        <w:rPr>
          <w:color w:val="auto"/>
          <w:highlight w:val="none"/>
        </w:rPr>
        <w:fldChar w:fldCharType="begin"/>
      </w:r>
      <w:r>
        <w:rPr>
          <w:color w:val="auto"/>
          <w:highlight w:val="none"/>
        </w:rPr>
        <w:instrText xml:space="preserve"> PAGEREF _Toc24343 \h </w:instrText>
      </w:r>
      <w:r>
        <w:rPr>
          <w:color w:val="auto"/>
          <w:highlight w:val="none"/>
        </w:rPr>
        <w:fldChar w:fldCharType="separate"/>
      </w:r>
      <w:r>
        <w:rPr>
          <w:color w:val="auto"/>
          <w:highlight w:val="none"/>
        </w:rPr>
        <w:t>46</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_Toc29092 </w:instrText>
      </w:r>
      <w:r>
        <w:rPr>
          <w:rFonts w:ascii="宋体" w:hAnsi="宋体" w:cs="宋体"/>
          <w:color w:val="auto"/>
          <w:highlight w:val="none"/>
        </w:rPr>
        <w:fldChar w:fldCharType="separate"/>
      </w:r>
      <w:r>
        <w:rPr>
          <w:rFonts w:hint="eastAsia" w:ascii="宋体" w:hAnsi="宋体" w:cs="宋体"/>
          <w:color w:val="auto"/>
          <w:highlight w:val="none"/>
        </w:rPr>
        <w:t>六、其它补充事宜</w:t>
      </w:r>
      <w:r>
        <w:rPr>
          <w:color w:val="auto"/>
          <w:highlight w:val="none"/>
        </w:rPr>
        <w:tab/>
      </w:r>
      <w:r>
        <w:rPr>
          <w:color w:val="auto"/>
          <w:highlight w:val="none"/>
        </w:rPr>
        <w:fldChar w:fldCharType="begin"/>
      </w:r>
      <w:r>
        <w:rPr>
          <w:color w:val="auto"/>
          <w:highlight w:val="none"/>
        </w:rPr>
        <w:instrText xml:space="preserve"> PAGEREF _Toc29092 \h </w:instrText>
      </w:r>
      <w:r>
        <w:rPr>
          <w:color w:val="auto"/>
          <w:highlight w:val="none"/>
        </w:rPr>
        <w:fldChar w:fldCharType="separate"/>
      </w:r>
      <w:r>
        <w:rPr>
          <w:color w:val="auto"/>
          <w:highlight w:val="none"/>
        </w:rPr>
        <w:t>46</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_Toc10301 </w:instrText>
      </w:r>
      <w:r>
        <w:rPr>
          <w:rFonts w:ascii="宋体" w:hAnsi="宋体" w:cs="宋体"/>
          <w:color w:val="auto"/>
          <w:highlight w:val="none"/>
        </w:rPr>
        <w:fldChar w:fldCharType="separate"/>
      </w:r>
      <w:r>
        <w:rPr>
          <w:rFonts w:hint="eastAsia" w:ascii="宋体" w:hAnsi="宋体" w:cs="宋体"/>
          <w:bCs/>
          <w:color w:val="auto"/>
          <w:kern w:val="0"/>
          <w:highlight w:val="none"/>
        </w:rPr>
        <w:t>七、凡对本次采购提出询问，请按以下方式联系。</w:t>
      </w:r>
      <w:r>
        <w:rPr>
          <w:color w:val="auto"/>
          <w:highlight w:val="none"/>
        </w:rPr>
        <w:tab/>
      </w:r>
      <w:r>
        <w:rPr>
          <w:color w:val="auto"/>
          <w:highlight w:val="none"/>
        </w:rPr>
        <w:fldChar w:fldCharType="begin"/>
      </w:r>
      <w:r>
        <w:rPr>
          <w:color w:val="auto"/>
          <w:highlight w:val="none"/>
        </w:rPr>
        <w:instrText xml:space="preserve"> PAGEREF _Toc10301 \h </w:instrText>
      </w:r>
      <w:r>
        <w:rPr>
          <w:color w:val="auto"/>
          <w:highlight w:val="none"/>
        </w:rPr>
        <w:fldChar w:fldCharType="separate"/>
      </w:r>
      <w:r>
        <w:rPr>
          <w:color w:val="auto"/>
          <w:highlight w:val="none"/>
        </w:rPr>
        <w:t>47</w:t>
      </w:r>
      <w:r>
        <w:rPr>
          <w:color w:val="auto"/>
          <w:highlight w:val="none"/>
        </w:rPr>
        <w:fldChar w:fldCharType="end"/>
      </w:r>
      <w:r>
        <w:rPr>
          <w:rFonts w:ascii="宋体" w:hAnsi="宋体" w:cs="宋体"/>
          <w:color w:val="auto"/>
          <w:highlight w:val="none"/>
        </w:rPr>
        <w:fldChar w:fldCharType="end"/>
      </w:r>
    </w:p>
    <w:p>
      <w:pPr>
        <w:pStyle w:val="33"/>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_Toc30818 </w:instrText>
      </w:r>
      <w:r>
        <w:rPr>
          <w:rFonts w:ascii="宋体" w:hAnsi="宋体" w:cs="宋体"/>
          <w:color w:val="auto"/>
          <w:highlight w:val="none"/>
        </w:rPr>
        <w:fldChar w:fldCharType="separate"/>
      </w:r>
      <w:r>
        <w:rPr>
          <w:rFonts w:hint="eastAsia" w:hAnsi="宋体" w:cs="宋体"/>
          <w:color w:val="auto"/>
          <w:highlight w:val="none"/>
        </w:rPr>
        <w:t>第4章  投标人须知资料表</w:t>
      </w:r>
      <w:r>
        <w:rPr>
          <w:color w:val="auto"/>
          <w:highlight w:val="none"/>
        </w:rPr>
        <w:tab/>
      </w:r>
      <w:r>
        <w:rPr>
          <w:color w:val="auto"/>
          <w:highlight w:val="none"/>
        </w:rPr>
        <w:fldChar w:fldCharType="begin"/>
      </w:r>
      <w:r>
        <w:rPr>
          <w:color w:val="auto"/>
          <w:highlight w:val="none"/>
        </w:rPr>
        <w:instrText xml:space="preserve"> PAGEREF _Toc30818 \h </w:instrText>
      </w:r>
      <w:r>
        <w:rPr>
          <w:color w:val="auto"/>
          <w:highlight w:val="none"/>
        </w:rPr>
        <w:fldChar w:fldCharType="separate"/>
      </w:r>
      <w:r>
        <w:rPr>
          <w:color w:val="auto"/>
          <w:highlight w:val="none"/>
        </w:rPr>
        <w:t>48</w:t>
      </w:r>
      <w:r>
        <w:rPr>
          <w:color w:val="auto"/>
          <w:highlight w:val="none"/>
        </w:rPr>
        <w:fldChar w:fldCharType="end"/>
      </w:r>
      <w:r>
        <w:rPr>
          <w:rFonts w:ascii="宋体" w:hAnsi="宋体" w:cs="宋体"/>
          <w:color w:val="auto"/>
          <w:highlight w:val="none"/>
        </w:rPr>
        <w:fldChar w:fldCharType="end"/>
      </w:r>
    </w:p>
    <w:p>
      <w:pPr>
        <w:pStyle w:val="33"/>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_Toc12309 </w:instrText>
      </w:r>
      <w:r>
        <w:rPr>
          <w:rFonts w:ascii="宋体" w:hAnsi="宋体" w:cs="宋体"/>
          <w:color w:val="auto"/>
          <w:highlight w:val="none"/>
        </w:rPr>
        <w:fldChar w:fldCharType="separate"/>
      </w:r>
      <w:r>
        <w:rPr>
          <w:rFonts w:hint="eastAsia" w:hAnsi="宋体" w:cs="宋体"/>
          <w:color w:val="auto"/>
          <w:szCs w:val="16"/>
          <w:highlight w:val="none"/>
        </w:rPr>
        <w:t>资格审查表</w:t>
      </w:r>
      <w:r>
        <w:rPr>
          <w:color w:val="auto"/>
          <w:highlight w:val="none"/>
        </w:rPr>
        <w:tab/>
      </w:r>
      <w:r>
        <w:rPr>
          <w:color w:val="auto"/>
          <w:highlight w:val="none"/>
        </w:rPr>
        <w:fldChar w:fldCharType="begin"/>
      </w:r>
      <w:r>
        <w:rPr>
          <w:color w:val="auto"/>
          <w:highlight w:val="none"/>
        </w:rPr>
        <w:instrText xml:space="preserve"> PAGEREF _Toc12309 \h </w:instrText>
      </w:r>
      <w:r>
        <w:rPr>
          <w:color w:val="auto"/>
          <w:highlight w:val="none"/>
        </w:rPr>
        <w:fldChar w:fldCharType="separate"/>
      </w:r>
      <w:r>
        <w:rPr>
          <w:color w:val="auto"/>
          <w:highlight w:val="none"/>
        </w:rPr>
        <w:t>52</w:t>
      </w:r>
      <w:r>
        <w:rPr>
          <w:color w:val="auto"/>
          <w:highlight w:val="none"/>
        </w:rPr>
        <w:fldChar w:fldCharType="end"/>
      </w:r>
      <w:r>
        <w:rPr>
          <w:rFonts w:ascii="宋体" w:hAnsi="宋体" w:cs="宋体"/>
          <w:color w:val="auto"/>
          <w:highlight w:val="none"/>
        </w:rPr>
        <w:fldChar w:fldCharType="end"/>
      </w:r>
    </w:p>
    <w:p>
      <w:pPr>
        <w:pStyle w:val="33"/>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_Toc17613 </w:instrText>
      </w:r>
      <w:r>
        <w:rPr>
          <w:rFonts w:ascii="宋体" w:hAnsi="宋体" w:cs="宋体"/>
          <w:color w:val="auto"/>
          <w:highlight w:val="none"/>
        </w:rPr>
        <w:fldChar w:fldCharType="separate"/>
      </w:r>
      <w:r>
        <w:rPr>
          <w:rFonts w:hint="eastAsia" w:hAnsi="宋体" w:cs="宋体"/>
          <w:color w:val="auto"/>
          <w:highlight w:val="none"/>
        </w:rPr>
        <w:t>第5章   项目服务及建设需求</w:t>
      </w:r>
      <w:r>
        <w:rPr>
          <w:color w:val="auto"/>
          <w:highlight w:val="none"/>
        </w:rPr>
        <w:tab/>
      </w:r>
      <w:r>
        <w:rPr>
          <w:color w:val="auto"/>
          <w:highlight w:val="none"/>
        </w:rPr>
        <w:fldChar w:fldCharType="begin"/>
      </w:r>
      <w:r>
        <w:rPr>
          <w:color w:val="auto"/>
          <w:highlight w:val="none"/>
        </w:rPr>
        <w:instrText xml:space="preserve"> PAGEREF _Toc17613 \h </w:instrText>
      </w:r>
      <w:r>
        <w:rPr>
          <w:color w:val="auto"/>
          <w:highlight w:val="none"/>
        </w:rPr>
        <w:fldChar w:fldCharType="separate"/>
      </w:r>
      <w:r>
        <w:rPr>
          <w:color w:val="auto"/>
          <w:highlight w:val="none"/>
        </w:rPr>
        <w:t>53</w:t>
      </w:r>
      <w:r>
        <w:rPr>
          <w:color w:val="auto"/>
          <w:highlight w:val="none"/>
        </w:rPr>
        <w:fldChar w:fldCharType="end"/>
      </w:r>
      <w:r>
        <w:rPr>
          <w:rFonts w:ascii="宋体" w:hAnsi="宋体" w:cs="宋体"/>
          <w:color w:val="auto"/>
          <w:highlight w:val="none"/>
        </w:rPr>
        <w:fldChar w:fldCharType="end"/>
      </w:r>
    </w:p>
    <w:p>
      <w:pPr>
        <w:pStyle w:val="33"/>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_Toc30365 </w:instrText>
      </w:r>
      <w:r>
        <w:rPr>
          <w:rFonts w:ascii="宋体" w:hAnsi="宋体" w:cs="宋体"/>
          <w:color w:val="auto"/>
          <w:highlight w:val="none"/>
        </w:rPr>
        <w:fldChar w:fldCharType="separate"/>
      </w:r>
      <w:r>
        <w:rPr>
          <w:rFonts w:hint="eastAsia" w:hAnsi="宋体"/>
          <w:color w:val="auto"/>
          <w:szCs w:val="24"/>
          <w:highlight w:val="none"/>
        </w:rPr>
        <w:t xml:space="preserve">1. </w:t>
      </w:r>
      <w:r>
        <w:rPr>
          <w:rFonts w:hint="eastAsia" w:hAnsi="宋体"/>
          <w:color w:val="auto"/>
          <w:szCs w:val="24"/>
          <w:highlight w:val="none"/>
          <w:lang w:eastAsia="zh-CN"/>
        </w:rPr>
        <w:t>基本情况</w:t>
      </w:r>
      <w:r>
        <w:rPr>
          <w:color w:val="auto"/>
          <w:highlight w:val="none"/>
        </w:rPr>
        <w:tab/>
      </w:r>
      <w:r>
        <w:rPr>
          <w:color w:val="auto"/>
          <w:highlight w:val="none"/>
        </w:rPr>
        <w:fldChar w:fldCharType="begin"/>
      </w:r>
      <w:r>
        <w:rPr>
          <w:color w:val="auto"/>
          <w:highlight w:val="none"/>
        </w:rPr>
        <w:instrText xml:space="preserve"> PAGEREF _Toc30365 \h </w:instrText>
      </w:r>
      <w:r>
        <w:rPr>
          <w:color w:val="auto"/>
          <w:highlight w:val="none"/>
        </w:rPr>
        <w:fldChar w:fldCharType="separate"/>
      </w:r>
      <w:r>
        <w:rPr>
          <w:color w:val="auto"/>
          <w:highlight w:val="none"/>
        </w:rPr>
        <w:t>53</w:t>
      </w:r>
      <w:r>
        <w:rPr>
          <w:color w:val="auto"/>
          <w:highlight w:val="none"/>
        </w:rPr>
        <w:fldChar w:fldCharType="end"/>
      </w:r>
      <w:r>
        <w:rPr>
          <w:rFonts w:ascii="宋体" w:hAnsi="宋体" w:cs="宋体"/>
          <w:color w:val="auto"/>
          <w:highlight w:val="none"/>
        </w:rPr>
        <w:fldChar w:fldCharType="end"/>
      </w:r>
    </w:p>
    <w:p>
      <w:pPr>
        <w:pStyle w:val="33"/>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_Toc26352 </w:instrText>
      </w:r>
      <w:r>
        <w:rPr>
          <w:rFonts w:ascii="宋体" w:hAnsi="宋体" w:cs="宋体"/>
          <w:color w:val="auto"/>
          <w:highlight w:val="none"/>
        </w:rPr>
        <w:fldChar w:fldCharType="separate"/>
      </w:r>
      <w:r>
        <w:rPr>
          <w:rFonts w:hint="eastAsia" w:hAnsi="宋体"/>
          <w:color w:val="auto"/>
          <w:szCs w:val="24"/>
          <w:highlight w:val="none"/>
        </w:rPr>
        <w:t>2. 主要建设内容</w:t>
      </w:r>
      <w:r>
        <w:rPr>
          <w:color w:val="auto"/>
          <w:highlight w:val="none"/>
        </w:rPr>
        <w:tab/>
      </w:r>
      <w:r>
        <w:rPr>
          <w:color w:val="auto"/>
          <w:highlight w:val="none"/>
        </w:rPr>
        <w:fldChar w:fldCharType="begin"/>
      </w:r>
      <w:r>
        <w:rPr>
          <w:color w:val="auto"/>
          <w:highlight w:val="none"/>
        </w:rPr>
        <w:instrText xml:space="preserve"> PAGEREF _Toc26352 \h </w:instrText>
      </w:r>
      <w:r>
        <w:rPr>
          <w:color w:val="auto"/>
          <w:highlight w:val="none"/>
        </w:rPr>
        <w:fldChar w:fldCharType="separate"/>
      </w:r>
      <w:r>
        <w:rPr>
          <w:color w:val="auto"/>
          <w:highlight w:val="none"/>
        </w:rPr>
        <w:t>53</w:t>
      </w:r>
      <w:r>
        <w:rPr>
          <w:color w:val="auto"/>
          <w:highlight w:val="none"/>
        </w:rPr>
        <w:fldChar w:fldCharType="end"/>
      </w:r>
      <w:r>
        <w:rPr>
          <w:rFonts w:ascii="宋体" w:hAnsi="宋体" w:cs="宋体"/>
          <w:color w:val="auto"/>
          <w:highlight w:val="none"/>
        </w:rPr>
        <w:fldChar w:fldCharType="end"/>
      </w:r>
    </w:p>
    <w:p>
      <w:pPr>
        <w:pStyle w:val="33"/>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_Toc17312 </w:instrText>
      </w:r>
      <w:r>
        <w:rPr>
          <w:rFonts w:ascii="宋体" w:hAnsi="宋体" w:cs="宋体"/>
          <w:color w:val="auto"/>
          <w:highlight w:val="none"/>
        </w:rPr>
        <w:fldChar w:fldCharType="separate"/>
      </w:r>
      <w:r>
        <w:rPr>
          <w:rFonts w:hint="eastAsia" w:hAnsi="宋体"/>
          <w:color w:val="auto"/>
          <w:szCs w:val="24"/>
          <w:highlight w:val="none"/>
        </w:rPr>
        <w:t>3. 应用软件系统功能要求</w:t>
      </w:r>
      <w:r>
        <w:rPr>
          <w:color w:val="auto"/>
          <w:highlight w:val="none"/>
        </w:rPr>
        <w:tab/>
      </w:r>
      <w:r>
        <w:rPr>
          <w:color w:val="auto"/>
          <w:highlight w:val="none"/>
        </w:rPr>
        <w:fldChar w:fldCharType="begin"/>
      </w:r>
      <w:r>
        <w:rPr>
          <w:color w:val="auto"/>
          <w:highlight w:val="none"/>
        </w:rPr>
        <w:instrText xml:space="preserve"> PAGEREF _Toc17312 \h </w:instrText>
      </w:r>
      <w:r>
        <w:rPr>
          <w:color w:val="auto"/>
          <w:highlight w:val="none"/>
        </w:rPr>
        <w:fldChar w:fldCharType="separate"/>
      </w:r>
      <w:r>
        <w:rPr>
          <w:color w:val="auto"/>
          <w:highlight w:val="none"/>
        </w:rPr>
        <w:t>54</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_Toc10186 </w:instrText>
      </w:r>
      <w:r>
        <w:rPr>
          <w:rFonts w:ascii="宋体" w:hAnsi="宋体" w:cs="宋体"/>
          <w:color w:val="auto"/>
          <w:highlight w:val="none"/>
        </w:rPr>
        <w:fldChar w:fldCharType="separate"/>
      </w:r>
      <w:r>
        <w:rPr>
          <w:rFonts w:hint="eastAsia" w:ascii="宋体" w:hAnsi="宋体"/>
          <w:color w:val="auto"/>
          <w:highlight w:val="none"/>
        </w:rPr>
        <w:t>3.1 建设模块内容</w:t>
      </w:r>
      <w:r>
        <w:rPr>
          <w:color w:val="auto"/>
          <w:highlight w:val="none"/>
        </w:rPr>
        <w:tab/>
      </w:r>
      <w:r>
        <w:rPr>
          <w:color w:val="auto"/>
          <w:highlight w:val="none"/>
        </w:rPr>
        <w:fldChar w:fldCharType="begin"/>
      </w:r>
      <w:r>
        <w:rPr>
          <w:color w:val="auto"/>
          <w:highlight w:val="none"/>
        </w:rPr>
        <w:instrText xml:space="preserve"> PAGEREF _Toc10186 \h </w:instrText>
      </w:r>
      <w:r>
        <w:rPr>
          <w:color w:val="auto"/>
          <w:highlight w:val="none"/>
        </w:rPr>
        <w:fldChar w:fldCharType="separate"/>
      </w:r>
      <w:r>
        <w:rPr>
          <w:color w:val="auto"/>
          <w:highlight w:val="none"/>
        </w:rPr>
        <w:t>54</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_Toc17163 </w:instrText>
      </w:r>
      <w:r>
        <w:rPr>
          <w:rFonts w:ascii="宋体" w:hAnsi="宋体" w:cs="宋体"/>
          <w:color w:val="auto"/>
          <w:highlight w:val="none"/>
        </w:rPr>
        <w:fldChar w:fldCharType="separate"/>
      </w:r>
      <w:r>
        <w:rPr>
          <w:rFonts w:hint="eastAsia" w:ascii="宋体" w:hAnsi="宋体"/>
          <w:color w:val="auto"/>
          <w:highlight w:val="none"/>
        </w:rPr>
        <w:t>3.2 智慧医院一体化平台</w:t>
      </w:r>
      <w:r>
        <w:rPr>
          <w:color w:val="auto"/>
          <w:highlight w:val="none"/>
        </w:rPr>
        <w:tab/>
      </w:r>
      <w:r>
        <w:rPr>
          <w:color w:val="auto"/>
          <w:highlight w:val="none"/>
        </w:rPr>
        <w:fldChar w:fldCharType="begin"/>
      </w:r>
      <w:r>
        <w:rPr>
          <w:color w:val="auto"/>
          <w:highlight w:val="none"/>
        </w:rPr>
        <w:instrText xml:space="preserve"> PAGEREF _Toc17163 \h </w:instrText>
      </w:r>
      <w:r>
        <w:rPr>
          <w:color w:val="auto"/>
          <w:highlight w:val="none"/>
        </w:rPr>
        <w:fldChar w:fldCharType="separate"/>
      </w:r>
      <w:r>
        <w:rPr>
          <w:color w:val="auto"/>
          <w:highlight w:val="none"/>
        </w:rPr>
        <w:t>68</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_Toc14010 </w:instrText>
      </w:r>
      <w:r>
        <w:rPr>
          <w:rFonts w:ascii="宋体" w:hAnsi="宋体" w:cs="宋体"/>
          <w:color w:val="auto"/>
          <w:highlight w:val="none"/>
        </w:rPr>
        <w:fldChar w:fldCharType="separate"/>
      </w:r>
      <w:r>
        <w:rPr>
          <w:rFonts w:hint="eastAsia" w:hAnsi="宋体"/>
          <w:color w:val="auto"/>
          <w:szCs w:val="24"/>
          <w:highlight w:val="none"/>
        </w:rPr>
        <w:t>3.2.1 平台基础建设</w:t>
      </w:r>
      <w:r>
        <w:rPr>
          <w:color w:val="auto"/>
          <w:highlight w:val="none"/>
        </w:rPr>
        <w:tab/>
      </w:r>
      <w:r>
        <w:rPr>
          <w:color w:val="auto"/>
          <w:highlight w:val="none"/>
        </w:rPr>
        <w:fldChar w:fldCharType="begin"/>
      </w:r>
      <w:r>
        <w:rPr>
          <w:color w:val="auto"/>
          <w:highlight w:val="none"/>
        </w:rPr>
        <w:instrText xml:space="preserve"> PAGEREF _Toc14010 \h </w:instrText>
      </w:r>
      <w:r>
        <w:rPr>
          <w:color w:val="auto"/>
          <w:highlight w:val="none"/>
        </w:rPr>
        <w:fldChar w:fldCharType="separate"/>
      </w:r>
      <w:r>
        <w:rPr>
          <w:color w:val="auto"/>
          <w:highlight w:val="none"/>
        </w:rPr>
        <w:t>68</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_Toc30023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3.2.1.1 </w:t>
      </w:r>
      <w:r>
        <w:rPr>
          <w:rFonts w:hint="eastAsia" w:ascii="宋体" w:hAnsi="宋体"/>
          <w:color w:val="auto"/>
          <w:szCs w:val="24"/>
          <w:highlight w:val="none"/>
        </w:rPr>
        <w:t>信息集成平台</w:t>
      </w:r>
      <w:r>
        <w:rPr>
          <w:color w:val="auto"/>
          <w:highlight w:val="none"/>
        </w:rPr>
        <w:tab/>
      </w:r>
      <w:r>
        <w:rPr>
          <w:color w:val="auto"/>
          <w:highlight w:val="none"/>
        </w:rPr>
        <w:fldChar w:fldCharType="begin"/>
      </w:r>
      <w:r>
        <w:rPr>
          <w:color w:val="auto"/>
          <w:highlight w:val="none"/>
        </w:rPr>
        <w:instrText xml:space="preserve"> PAGEREF _Toc30023 \h </w:instrText>
      </w:r>
      <w:r>
        <w:rPr>
          <w:color w:val="auto"/>
          <w:highlight w:val="none"/>
        </w:rPr>
        <w:fldChar w:fldCharType="separate"/>
      </w:r>
      <w:r>
        <w:rPr>
          <w:color w:val="auto"/>
          <w:highlight w:val="none"/>
        </w:rPr>
        <w:t>68</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_Toc28415 </w:instrText>
      </w:r>
      <w:r>
        <w:rPr>
          <w:rFonts w:ascii="宋体" w:hAnsi="宋体" w:cs="宋体"/>
          <w:color w:val="auto"/>
          <w:highlight w:val="none"/>
        </w:rPr>
        <w:fldChar w:fldCharType="separate"/>
      </w:r>
      <w:r>
        <w:rPr>
          <w:rFonts w:hint="eastAsia" w:ascii="宋体" w:hAnsi="宋体"/>
          <w:color w:val="auto"/>
          <w:szCs w:val="24"/>
          <w:highlight w:val="none"/>
        </w:rPr>
        <w:t>3.2.1.1.1 医疗集成引擎</w:t>
      </w:r>
      <w:r>
        <w:rPr>
          <w:color w:val="auto"/>
          <w:highlight w:val="none"/>
        </w:rPr>
        <w:tab/>
      </w:r>
      <w:r>
        <w:rPr>
          <w:color w:val="auto"/>
          <w:highlight w:val="none"/>
        </w:rPr>
        <w:fldChar w:fldCharType="begin"/>
      </w:r>
      <w:r>
        <w:rPr>
          <w:color w:val="auto"/>
          <w:highlight w:val="none"/>
        </w:rPr>
        <w:instrText xml:space="preserve"> PAGEREF _Toc28415 \h </w:instrText>
      </w:r>
      <w:r>
        <w:rPr>
          <w:color w:val="auto"/>
          <w:highlight w:val="none"/>
        </w:rPr>
        <w:fldChar w:fldCharType="separate"/>
      </w:r>
      <w:r>
        <w:rPr>
          <w:color w:val="auto"/>
          <w:highlight w:val="none"/>
        </w:rPr>
        <w:t>68</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_Toc6953 </w:instrText>
      </w:r>
      <w:r>
        <w:rPr>
          <w:rFonts w:ascii="宋体" w:hAnsi="宋体" w:cs="宋体"/>
          <w:color w:val="auto"/>
          <w:highlight w:val="none"/>
        </w:rPr>
        <w:fldChar w:fldCharType="separate"/>
      </w:r>
      <w:r>
        <w:rPr>
          <w:rFonts w:hint="eastAsia" w:ascii="宋体" w:hAnsi="宋体"/>
          <w:color w:val="auto"/>
          <w:szCs w:val="24"/>
          <w:highlight w:val="none"/>
        </w:rPr>
        <w:t>3.2.1.1.2 集成平台管理</w:t>
      </w:r>
      <w:r>
        <w:rPr>
          <w:color w:val="auto"/>
          <w:highlight w:val="none"/>
        </w:rPr>
        <w:tab/>
      </w:r>
      <w:r>
        <w:rPr>
          <w:color w:val="auto"/>
          <w:highlight w:val="none"/>
        </w:rPr>
        <w:fldChar w:fldCharType="begin"/>
      </w:r>
      <w:r>
        <w:rPr>
          <w:color w:val="auto"/>
          <w:highlight w:val="none"/>
        </w:rPr>
        <w:instrText xml:space="preserve"> PAGEREF _Toc6953 \h </w:instrText>
      </w:r>
      <w:r>
        <w:rPr>
          <w:color w:val="auto"/>
          <w:highlight w:val="none"/>
        </w:rPr>
        <w:fldChar w:fldCharType="separate"/>
      </w:r>
      <w:r>
        <w:rPr>
          <w:color w:val="auto"/>
          <w:highlight w:val="none"/>
        </w:rPr>
        <w:t>70</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_Toc24169 </w:instrText>
      </w:r>
      <w:r>
        <w:rPr>
          <w:rFonts w:ascii="宋体" w:hAnsi="宋体" w:cs="宋体"/>
          <w:color w:val="auto"/>
          <w:highlight w:val="none"/>
        </w:rPr>
        <w:fldChar w:fldCharType="separate"/>
      </w:r>
      <w:r>
        <w:rPr>
          <w:rFonts w:hint="eastAsia" w:ascii="宋体" w:hAnsi="宋体"/>
          <w:color w:val="auto"/>
          <w:szCs w:val="24"/>
          <w:highlight w:val="none"/>
        </w:rPr>
        <w:t>3.2.1.1.3 平台服务监控</w:t>
      </w:r>
      <w:r>
        <w:rPr>
          <w:color w:val="auto"/>
          <w:highlight w:val="none"/>
        </w:rPr>
        <w:tab/>
      </w:r>
      <w:r>
        <w:rPr>
          <w:color w:val="auto"/>
          <w:highlight w:val="none"/>
        </w:rPr>
        <w:fldChar w:fldCharType="begin"/>
      </w:r>
      <w:r>
        <w:rPr>
          <w:color w:val="auto"/>
          <w:highlight w:val="none"/>
        </w:rPr>
        <w:instrText xml:space="preserve"> PAGEREF _Toc24169 \h </w:instrText>
      </w:r>
      <w:r>
        <w:rPr>
          <w:color w:val="auto"/>
          <w:highlight w:val="none"/>
        </w:rPr>
        <w:fldChar w:fldCharType="separate"/>
      </w:r>
      <w:r>
        <w:rPr>
          <w:color w:val="auto"/>
          <w:highlight w:val="none"/>
        </w:rPr>
        <w:t>71</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_Toc15989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3.2.1.2 </w:t>
      </w:r>
      <w:r>
        <w:rPr>
          <w:rFonts w:hint="eastAsia" w:ascii="宋体" w:hAnsi="宋体"/>
          <w:color w:val="auto"/>
          <w:szCs w:val="24"/>
          <w:highlight w:val="none"/>
        </w:rPr>
        <w:t>平台基础应用</w:t>
      </w:r>
      <w:r>
        <w:rPr>
          <w:color w:val="auto"/>
          <w:highlight w:val="none"/>
        </w:rPr>
        <w:tab/>
      </w:r>
      <w:r>
        <w:rPr>
          <w:color w:val="auto"/>
          <w:highlight w:val="none"/>
        </w:rPr>
        <w:fldChar w:fldCharType="begin"/>
      </w:r>
      <w:r>
        <w:rPr>
          <w:color w:val="auto"/>
          <w:highlight w:val="none"/>
        </w:rPr>
        <w:instrText xml:space="preserve"> PAGEREF _Toc15989 \h </w:instrText>
      </w:r>
      <w:r>
        <w:rPr>
          <w:color w:val="auto"/>
          <w:highlight w:val="none"/>
        </w:rPr>
        <w:fldChar w:fldCharType="separate"/>
      </w:r>
      <w:r>
        <w:rPr>
          <w:color w:val="auto"/>
          <w:highlight w:val="none"/>
        </w:rPr>
        <w:t>72</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_Toc32429 </w:instrText>
      </w:r>
      <w:r>
        <w:rPr>
          <w:rFonts w:ascii="宋体" w:hAnsi="宋体" w:cs="宋体"/>
          <w:color w:val="auto"/>
          <w:highlight w:val="none"/>
        </w:rPr>
        <w:fldChar w:fldCharType="separate"/>
      </w:r>
      <w:r>
        <w:rPr>
          <w:rFonts w:hint="eastAsia" w:ascii="宋体" w:hAnsi="宋体"/>
          <w:color w:val="auto"/>
          <w:szCs w:val="24"/>
          <w:highlight w:val="none"/>
        </w:rPr>
        <w:t>3.2.1.2.1 患者主索引</w:t>
      </w:r>
      <w:r>
        <w:rPr>
          <w:color w:val="auto"/>
          <w:highlight w:val="none"/>
        </w:rPr>
        <w:tab/>
      </w:r>
      <w:r>
        <w:rPr>
          <w:color w:val="auto"/>
          <w:highlight w:val="none"/>
        </w:rPr>
        <w:fldChar w:fldCharType="begin"/>
      </w:r>
      <w:r>
        <w:rPr>
          <w:color w:val="auto"/>
          <w:highlight w:val="none"/>
        </w:rPr>
        <w:instrText xml:space="preserve"> PAGEREF _Toc32429 \h </w:instrText>
      </w:r>
      <w:r>
        <w:rPr>
          <w:color w:val="auto"/>
          <w:highlight w:val="none"/>
        </w:rPr>
        <w:fldChar w:fldCharType="separate"/>
      </w:r>
      <w:r>
        <w:rPr>
          <w:color w:val="auto"/>
          <w:highlight w:val="none"/>
        </w:rPr>
        <w:t>72</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_Toc23402 </w:instrText>
      </w:r>
      <w:r>
        <w:rPr>
          <w:rFonts w:ascii="宋体" w:hAnsi="宋体" w:cs="宋体"/>
          <w:color w:val="auto"/>
          <w:highlight w:val="none"/>
        </w:rPr>
        <w:fldChar w:fldCharType="separate"/>
      </w:r>
      <w:r>
        <w:rPr>
          <w:rFonts w:hint="eastAsia" w:ascii="宋体" w:hAnsi="宋体"/>
          <w:color w:val="auto"/>
          <w:szCs w:val="24"/>
          <w:highlight w:val="none"/>
        </w:rPr>
        <w:t>3.2.1.2.2 统一身份认证</w:t>
      </w:r>
      <w:r>
        <w:rPr>
          <w:color w:val="auto"/>
          <w:highlight w:val="none"/>
        </w:rPr>
        <w:tab/>
      </w:r>
      <w:r>
        <w:rPr>
          <w:color w:val="auto"/>
          <w:highlight w:val="none"/>
        </w:rPr>
        <w:fldChar w:fldCharType="begin"/>
      </w:r>
      <w:r>
        <w:rPr>
          <w:color w:val="auto"/>
          <w:highlight w:val="none"/>
        </w:rPr>
        <w:instrText xml:space="preserve"> PAGEREF _Toc23402 \h </w:instrText>
      </w:r>
      <w:r>
        <w:rPr>
          <w:color w:val="auto"/>
          <w:highlight w:val="none"/>
        </w:rPr>
        <w:fldChar w:fldCharType="separate"/>
      </w:r>
      <w:r>
        <w:rPr>
          <w:color w:val="auto"/>
          <w:highlight w:val="none"/>
        </w:rPr>
        <w:t>73</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_Toc31991 </w:instrText>
      </w:r>
      <w:r>
        <w:rPr>
          <w:rFonts w:ascii="宋体" w:hAnsi="宋体" w:cs="宋体"/>
          <w:color w:val="auto"/>
          <w:highlight w:val="none"/>
        </w:rPr>
        <w:fldChar w:fldCharType="separate"/>
      </w:r>
      <w:r>
        <w:rPr>
          <w:rFonts w:hint="eastAsia" w:ascii="宋体" w:hAnsi="宋体"/>
          <w:color w:val="auto"/>
          <w:szCs w:val="24"/>
          <w:highlight w:val="none"/>
        </w:rPr>
        <w:t>3.2.1.2.3 统一通讯服务</w:t>
      </w:r>
      <w:r>
        <w:rPr>
          <w:color w:val="auto"/>
          <w:highlight w:val="none"/>
        </w:rPr>
        <w:tab/>
      </w:r>
      <w:r>
        <w:rPr>
          <w:color w:val="auto"/>
          <w:highlight w:val="none"/>
        </w:rPr>
        <w:fldChar w:fldCharType="begin"/>
      </w:r>
      <w:r>
        <w:rPr>
          <w:color w:val="auto"/>
          <w:highlight w:val="none"/>
        </w:rPr>
        <w:instrText xml:space="preserve"> PAGEREF _Toc31991 \h </w:instrText>
      </w:r>
      <w:r>
        <w:rPr>
          <w:color w:val="auto"/>
          <w:highlight w:val="none"/>
        </w:rPr>
        <w:fldChar w:fldCharType="separate"/>
      </w:r>
      <w:r>
        <w:rPr>
          <w:color w:val="auto"/>
          <w:highlight w:val="none"/>
        </w:rPr>
        <w:t>74</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_Toc302 </w:instrText>
      </w:r>
      <w:r>
        <w:rPr>
          <w:rFonts w:ascii="宋体" w:hAnsi="宋体" w:cs="宋体"/>
          <w:color w:val="auto"/>
          <w:highlight w:val="none"/>
        </w:rPr>
        <w:fldChar w:fldCharType="separate"/>
      </w:r>
      <w:r>
        <w:rPr>
          <w:rFonts w:hint="eastAsia" w:ascii="宋体" w:hAnsi="宋体"/>
          <w:color w:val="auto"/>
          <w:szCs w:val="24"/>
          <w:highlight w:val="none"/>
        </w:rPr>
        <w:t xml:space="preserve">3.2.1.2.4 </w:t>
      </w:r>
      <w:r>
        <w:rPr>
          <w:rFonts w:hint="eastAsia" w:ascii="宋体" w:hAnsi="宋体"/>
          <w:color w:val="auto"/>
          <w:szCs w:val="24"/>
          <w:highlight w:val="none"/>
          <w:lang w:eastAsia="zh-CN"/>
        </w:rPr>
        <w:t>文档共享管理</w:t>
      </w:r>
      <w:r>
        <w:rPr>
          <w:color w:val="auto"/>
          <w:highlight w:val="none"/>
        </w:rPr>
        <w:tab/>
      </w:r>
      <w:r>
        <w:rPr>
          <w:color w:val="auto"/>
          <w:highlight w:val="none"/>
        </w:rPr>
        <w:fldChar w:fldCharType="begin"/>
      </w:r>
      <w:r>
        <w:rPr>
          <w:color w:val="auto"/>
          <w:highlight w:val="none"/>
        </w:rPr>
        <w:instrText xml:space="preserve"> PAGEREF _Toc302 \h </w:instrText>
      </w:r>
      <w:r>
        <w:rPr>
          <w:color w:val="auto"/>
          <w:highlight w:val="none"/>
        </w:rPr>
        <w:fldChar w:fldCharType="separate"/>
      </w:r>
      <w:r>
        <w:rPr>
          <w:color w:val="auto"/>
          <w:highlight w:val="none"/>
        </w:rPr>
        <w:t>75</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_Toc18788 </w:instrText>
      </w:r>
      <w:r>
        <w:rPr>
          <w:rFonts w:ascii="宋体" w:hAnsi="宋体" w:cs="宋体"/>
          <w:color w:val="auto"/>
          <w:highlight w:val="none"/>
        </w:rPr>
        <w:fldChar w:fldCharType="separate"/>
      </w:r>
      <w:r>
        <w:rPr>
          <w:rFonts w:hint="eastAsia" w:ascii="宋体" w:hAnsi="宋体"/>
          <w:color w:val="auto"/>
          <w:szCs w:val="24"/>
          <w:highlight w:val="none"/>
        </w:rPr>
        <w:t>3.2.1.2.5 数据统一上报</w:t>
      </w:r>
      <w:r>
        <w:rPr>
          <w:color w:val="auto"/>
          <w:highlight w:val="none"/>
        </w:rPr>
        <w:tab/>
      </w:r>
      <w:r>
        <w:rPr>
          <w:color w:val="auto"/>
          <w:highlight w:val="none"/>
        </w:rPr>
        <w:fldChar w:fldCharType="begin"/>
      </w:r>
      <w:r>
        <w:rPr>
          <w:color w:val="auto"/>
          <w:highlight w:val="none"/>
        </w:rPr>
        <w:instrText xml:space="preserve"> PAGEREF _Toc18788 \h </w:instrText>
      </w:r>
      <w:r>
        <w:rPr>
          <w:color w:val="auto"/>
          <w:highlight w:val="none"/>
        </w:rPr>
        <w:fldChar w:fldCharType="separate"/>
      </w:r>
      <w:r>
        <w:rPr>
          <w:color w:val="auto"/>
          <w:highlight w:val="none"/>
        </w:rPr>
        <w:t>76</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_Toc999 </w:instrText>
      </w:r>
      <w:r>
        <w:rPr>
          <w:rFonts w:ascii="宋体" w:hAnsi="宋体" w:cs="宋体"/>
          <w:color w:val="auto"/>
          <w:highlight w:val="none"/>
        </w:rPr>
        <w:fldChar w:fldCharType="separate"/>
      </w:r>
      <w:r>
        <w:rPr>
          <w:rFonts w:hint="eastAsia" w:ascii="宋体" w:hAnsi="宋体"/>
          <w:bCs/>
          <w:color w:val="auto"/>
          <w:highlight w:val="none"/>
          <w:lang w:val="en-US"/>
        </w:rPr>
        <w:t xml:space="preserve">3.2.1.3 </w:t>
      </w:r>
      <w:r>
        <w:rPr>
          <w:rFonts w:hint="eastAsia" w:ascii="宋体" w:hAnsi="宋体"/>
          <w:bCs/>
          <w:color w:val="auto"/>
          <w:highlight w:val="none"/>
        </w:rPr>
        <w:t>数据治理平台</w:t>
      </w:r>
      <w:r>
        <w:rPr>
          <w:color w:val="auto"/>
          <w:highlight w:val="none"/>
        </w:rPr>
        <w:tab/>
      </w:r>
      <w:r>
        <w:rPr>
          <w:color w:val="auto"/>
          <w:highlight w:val="none"/>
        </w:rPr>
        <w:fldChar w:fldCharType="begin"/>
      </w:r>
      <w:r>
        <w:rPr>
          <w:color w:val="auto"/>
          <w:highlight w:val="none"/>
        </w:rPr>
        <w:instrText xml:space="preserve"> PAGEREF _Toc999 \h </w:instrText>
      </w:r>
      <w:r>
        <w:rPr>
          <w:color w:val="auto"/>
          <w:highlight w:val="none"/>
        </w:rPr>
        <w:fldChar w:fldCharType="separate"/>
      </w:r>
      <w:r>
        <w:rPr>
          <w:color w:val="auto"/>
          <w:highlight w:val="none"/>
        </w:rPr>
        <w:t>76</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_Toc9691 </w:instrText>
      </w:r>
      <w:r>
        <w:rPr>
          <w:rFonts w:ascii="宋体" w:hAnsi="宋体" w:cs="宋体"/>
          <w:color w:val="auto"/>
          <w:highlight w:val="none"/>
        </w:rPr>
        <w:fldChar w:fldCharType="separate"/>
      </w:r>
      <w:r>
        <w:rPr>
          <w:rFonts w:hint="eastAsia" w:ascii="宋体" w:hAnsi="宋体"/>
          <w:color w:val="auto"/>
          <w:szCs w:val="24"/>
          <w:highlight w:val="none"/>
        </w:rPr>
        <w:t>3.2.1.3.1 数据获取管理</w:t>
      </w:r>
      <w:r>
        <w:rPr>
          <w:color w:val="auto"/>
          <w:highlight w:val="none"/>
        </w:rPr>
        <w:tab/>
      </w:r>
      <w:r>
        <w:rPr>
          <w:color w:val="auto"/>
          <w:highlight w:val="none"/>
        </w:rPr>
        <w:fldChar w:fldCharType="begin"/>
      </w:r>
      <w:r>
        <w:rPr>
          <w:color w:val="auto"/>
          <w:highlight w:val="none"/>
        </w:rPr>
        <w:instrText xml:space="preserve"> PAGEREF _Toc9691 \h </w:instrText>
      </w:r>
      <w:r>
        <w:rPr>
          <w:color w:val="auto"/>
          <w:highlight w:val="none"/>
        </w:rPr>
        <w:fldChar w:fldCharType="separate"/>
      </w:r>
      <w:r>
        <w:rPr>
          <w:color w:val="auto"/>
          <w:highlight w:val="none"/>
        </w:rPr>
        <w:t>76</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_Toc27317 </w:instrText>
      </w:r>
      <w:r>
        <w:rPr>
          <w:rFonts w:ascii="宋体" w:hAnsi="宋体" w:cs="宋体"/>
          <w:color w:val="auto"/>
          <w:highlight w:val="none"/>
        </w:rPr>
        <w:fldChar w:fldCharType="separate"/>
      </w:r>
      <w:r>
        <w:rPr>
          <w:rFonts w:hint="eastAsia" w:ascii="宋体" w:hAnsi="宋体"/>
          <w:color w:val="auto"/>
          <w:szCs w:val="24"/>
          <w:highlight w:val="none"/>
        </w:rPr>
        <w:t>3.2.1.3.2 元数据管理</w:t>
      </w:r>
      <w:r>
        <w:rPr>
          <w:color w:val="auto"/>
          <w:highlight w:val="none"/>
        </w:rPr>
        <w:tab/>
      </w:r>
      <w:r>
        <w:rPr>
          <w:color w:val="auto"/>
          <w:highlight w:val="none"/>
        </w:rPr>
        <w:fldChar w:fldCharType="begin"/>
      </w:r>
      <w:r>
        <w:rPr>
          <w:color w:val="auto"/>
          <w:highlight w:val="none"/>
        </w:rPr>
        <w:instrText xml:space="preserve"> PAGEREF _Toc27317 \h </w:instrText>
      </w:r>
      <w:r>
        <w:rPr>
          <w:color w:val="auto"/>
          <w:highlight w:val="none"/>
        </w:rPr>
        <w:fldChar w:fldCharType="separate"/>
      </w:r>
      <w:r>
        <w:rPr>
          <w:color w:val="auto"/>
          <w:highlight w:val="none"/>
        </w:rPr>
        <w:t>77</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_Toc32375 </w:instrText>
      </w:r>
      <w:r>
        <w:rPr>
          <w:rFonts w:ascii="宋体" w:hAnsi="宋体" w:cs="宋体"/>
          <w:color w:val="auto"/>
          <w:highlight w:val="none"/>
        </w:rPr>
        <w:fldChar w:fldCharType="separate"/>
      </w:r>
      <w:r>
        <w:rPr>
          <w:rFonts w:hint="eastAsia" w:ascii="宋体" w:hAnsi="宋体"/>
          <w:color w:val="auto"/>
          <w:szCs w:val="24"/>
          <w:highlight w:val="none"/>
        </w:rPr>
        <w:t>3.2.1.3.3 主数据管理</w:t>
      </w:r>
      <w:r>
        <w:rPr>
          <w:color w:val="auto"/>
          <w:highlight w:val="none"/>
        </w:rPr>
        <w:tab/>
      </w:r>
      <w:r>
        <w:rPr>
          <w:color w:val="auto"/>
          <w:highlight w:val="none"/>
        </w:rPr>
        <w:fldChar w:fldCharType="begin"/>
      </w:r>
      <w:r>
        <w:rPr>
          <w:color w:val="auto"/>
          <w:highlight w:val="none"/>
        </w:rPr>
        <w:instrText xml:space="preserve"> PAGEREF _Toc32375 \h </w:instrText>
      </w:r>
      <w:r>
        <w:rPr>
          <w:color w:val="auto"/>
          <w:highlight w:val="none"/>
        </w:rPr>
        <w:fldChar w:fldCharType="separate"/>
      </w:r>
      <w:r>
        <w:rPr>
          <w:color w:val="auto"/>
          <w:highlight w:val="none"/>
        </w:rPr>
        <w:t>78</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_Toc13558 </w:instrText>
      </w:r>
      <w:r>
        <w:rPr>
          <w:rFonts w:ascii="宋体" w:hAnsi="宋体" w:cs="宋体"/>
          <w:color w:val="auto"/>
          <w:highlight w:val="none"/>
        </w:rPr>
        <w:fldChar w:fldCharType="separate"/>
      </w:r>
      <w:r>
        <w:rPr>
          <w:rFonts w:hint="eastAsia" w:ascii="宋体" w:hAnsi="宋体"/>
          <w:color w:val="auto"/>
          <w:szCs w:val="24"/>
          <w:highlight w:val="none"/>
        </w:rPr>
        <w:t>3.2.1.3.4 数据质量管理</w:t>
      </w:r>
      <w:r>
        <w:rPr>
          <w:color w:val="auto"/>
          <w:highlight w:val="none"/>
        </w:rPr>
        <w:tab/>
      </w:r>
      <w:r>
        <w:rPr>
          <w:color w:val="auto"/>
          <w:highlight w:val="none"/>
        </w:rPr>
        <w:fldChar w:fldCharType="begin"/>
      </w:r>
      <w:r>
        <w:rPr>
          <w:color w:val="auto"/>
          <w:highlight w:val="none"/>
        </w:rPr>
        <w:instrText xml:space="preserve"> PAGEREF _Toc13558 \h </w:instrText>
      </w:r>
      <w:r>
        <w:rPr>
          <w:color w:val="auto"/>
          <w:highlight w:val="none"/>
        </w:rPr>
        <w:fldChar w:fldCharType="separate"/>
      </w:r>
      <w:r>
        <w:rPr>
          <w:color w:val="auto"/>
          <w:highlight w:val="none"/>
        </w:rPr>
        <w:t>78</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_Toc12826 </w:instrText>
      </w:r>
      <w:r>
        <w:rPr>
          <w:rFonts w:ascii="宋体" w:hAnsi="宋体" w:cs="宋体"/>
          <w:color w:val="auto"/>
          <w:highlight w:val="none"/>
        </w:rPr>
        <w:fldChar w:fldCharType="separate"/>
      </w:r>
      <w:r>
        <w:rPr>
          <w:rFonts w:hint="eastAsia" w:ascii="宋体" w:hAnsi="宋体"/>
          <w:color w:val="auto"/>
          <w:szCs w:val="24"/>
          <w:highlight w:val="none"/>
        </w:rPr>
        <w:t>3.2.1.3.5 A</w:t>
      </w:r>
      <w:r>
        <w:rPr>
          <w:rFonts w:ascii="宋体" w:hAnsi="宋体"/>
          <w:color w:val="auto"/>
          <w:szCs w:val="24"/>
          <w:highlight w:val="none"/>
        </w:rPr>
        <w:t>PI</w:t>
      </w:r>
      <w:r>
        <w:rPr>
          <w:rFonts w:hint="eastAsia" w:ascii="宋体" w:hAnsi="宋体"/>
          <w:color w:val="auto"/>
          <w:szCs w:val="24"/>
          <w:highlight w:val="none"/>
        </w:rPr>
        <w:t>管理平台</w:t>
      </w:r>
      <w:r>
        <w:rPr>
          <w:color w:val="auto"/>
          <w:highlight w:val="none"/>
        </w:rPr>
        <w:tab/>
      </w:r>
      <w:r>
        <w:rPr>
          <w:color w:val="auto"/>
          <w:highlight w:val="none"/>
        </w:rPr>
        <w:fldChar w:fldCharType="begin"/>
      </w:r>
      <w:r>
        <w:rPr>
          <w:color w:val="auto"/>
          <w:highlight w:val="none"/>
        </w:rPr>
        <w:instrText xml:space="preserve"> PAGEREF _Toc12826 \h </w:instrText>
      </w:r>
      <w:r>
        <w:rPr>
          <w:color w:val="auto"/>
          <w:highlight w:val="none"/>
        </w:rPr>
        <w:fldChar w:fldCharType="separate"/>
      </w:r>
      <w:r>
        <w:rPr>
          <w:color w:val="auto"/>
          <w:highlight w:val="none"/>
        </w:rPr>
        <w:t>80</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_Toc14072 </w:instrText>
      </w:r>
      <w:r>
        <w:rPr>
          <w:rFonts w:ascii="宋体" w:hAnsi="宋体" w:cs="宋体"/>
          <w:color w:val="auto"/>
          <w:highlight w:val="none"/>
        </w:rPr>
        <w:fldChar w:fldCharType="separate"/>
      </w:r>
      <w:r>
        <w:rPr>
          <w:rFonts w:hint="eastAsia" w:ascii="宋体" w:hAnsi="宋体"/>
          <w:color w:val="auto"/>
          <w:szCs w:val="24"/>
          <w:highlight w:val="none"/>
        </w:rPr>
        <w:t>3.2.1.3.6 数据资产</w:t>
      </w:r>
      <w:r>
        <w:rPr>
          <w:rFonts w:hint="eastAsia" w:ascii="宋体" w:hAnsi="宋体"/>
          <w:color w:val="auto"/>
          <w:szCs w:val="24"/>
          <w:highlight w:val="none"/>
          <w:lang w:eastAsia="zh-CN"/>
        </w:rPr>
        <w:t>管理</w:t>
      </w:r>
      <w:r>
        <w:rPr>
          <w:color w:val="auto"/>
          <w:highlight w:val="none"/>
        </w:rPr>
        <w:tab/>
      </w:r>
      <w:r>
        <w:rPr>
          <w:color w:val="auto"/>
          <w:highlight w:val="none"/>
        </w:rPr>
        <w:fldChar w:fldCharType="begin"/>
      </w:r>
      <w:r>
        <w:rPr>
          <w:color w:val="auto"/>
          <w:highlight w:val="none"/>
        </w:rPr>
        <w:instrText xml:space="preserve"> PAGEREF _Toc14072 \h </w:instrText>
      </w:r>
      <w:r>
        <w:rPr>
          <w:color w:val="auto"/>
          <w:highlight w:val="none"/>
        </w:rPr>
        <w:fldChar w:fldCharType="separate"/>
      </w:r>
      <w:r>
        <w:rPr>
          <w:color w:val="auto"/>
          <w:highlight w:val="none"/>
        </w:rPr>
        <w:t>81</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_Toc22765 </w:instrText>
      </w:r>
      <w:r>
        <w:rPr>
          <w:rFonts w:ascii="宋体" w:hAnsi="宋体" w:cs="宋体"/>
          <w:color w:val="auto"/>
          <w:highlight w:val="none"/>
        </w:rPr>
        <w:fldChar w:fldCharType="separate"/>
      </w:r>
      <w:r>
        <w:rPr>
          <w:rFonts w:hint="eastAsia" w:ascii="宋体" w:hAnsi="宋体"/>
          <w:color w:val="auto"/>
          <w:szCs w:val="24"/>
          <w:highlight w:val="none"/>
        </w:rPr>
        <w:t>3.2.1.3.7 医学文本分析</w:t>
      </w:r>
      <w:r>
        <w:rPr>
          <w:color w:val="auto"/>
          <w:highlight w:val="none"/>
        </w:rPr>
        <w:tab/>
      </w:r>
      <w:r>
        <w:rPr>
          <w:color w:val="auto"/>
          <w:highlight w:val="none"/>
        </w:rPr>
        <w:fldChar w:fldCharType="begin"/>
      </w:r>
      <w:r>
        <w:rPr>
          <w:color w:val="auto"/>
          <w:highlight w:val="none"/>
        </w:rPr>
        <w:instrText xml:space="preserve"> PAGEREF _Toc22765 \h </w:instrText>
      </w:r>
      <w:r>
        <w:rPr>
          <w:color w:val="auto"/>
          <w:highlight w:val="none"/>
        </w:rPr>
        <w:fldChar w:fldCharType="separate"/>
      </w:r>
      <w:r>
        <w:rPr>
          <w:color w:val="auto"/>
          <w:highlight w:val="none"/>
        </w:rPr>
        <w:t>82</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_Toc12560 </w:instrText>
      </w:r>
      <w:r>
        <w:rPr>
          <w:rFonts w:ascii="宋体" w:hAnsi="宋体" w:cs="宋体"/>
          <w:color w:val="auto"/>
          <w:highlight w:val="none"/>
        </w:rPr>
        <w:fldChar w:fldCharType="separate"/>
      </w:r>
      <w:r>
        <w:rPr>
          <w:rFonts w:hint="eastAsia" w:ascii="宋体" w:hAnsi="宋体"/>
          <w:bCs/>
          <w:color w:val="auto"/>
          <w:highlight w:val="none"/>
          <w:lang w:val="en-US"/>
        </w:rPr>
        <w:t xml:space="preserve">3.2.1.4 </w:t>
      </w:r>
      <w:r>
        <w:rPr>
          <w:rFonts w:hint="eastAsia" w:ascii="宋体" w:hAnsi="宋体"/>
          <w:bCs/>
          <w:color w:val="auto"/>
          <w:highlight w:val="none"/>
        </w:rPr>
        <w:t>数据中心</w:t>
      </w:r>
      <w:r>
        <w:rPr>
          <w:rFonts w:ascii="宋体" w:hAnsi="宋体"/>
          <w:bCs/>
          <w:color w:val="auto"/>
          <w:highlight w:val="none"/>
        </w:rPr>
        <w:t>平台</w:t>
      </w:r>
      <w:r>
        <w:rPr>
          <w:color w:val="auto"/>
          <w:highlight w:val="none"/>
        </w:rPr>
        <w:tab/>
      </w:r>
      <w:r>
        <w:rPr>
          <w:color w:val="auto"/>
          <w:highlight w:val="none"/>
        </w:rPr>
        <w:fldChar w:fldCharType="begin"/>
      </w:r>
      <w:r>
        <w:rPr>
          <w:color w:val="auto"/>
          <w:highlight w:val="none"/>
        </w:rPr>
        <w:instrText xml:space="preserve"> PAGEREF _Toc12560 \h </w:instrText>
      </w:r>
      <w:r>
        <w:rPr>
          <w:color w:val="auto"/>
          <w:highlight w:val="none"/>
        </w:rPr>
        <w:fldChar w:fldCharType="separate"/>
      </w:r>
      <w:r>
        <w:rPr>
          <w:color w:val="auto"/>
          <w:highlight w:val="none"/>
        </w:rPr>
        <w:t>83</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_Toc16280 </w:instrText>
      </w:r>
      <w:r>
        <w:rPr>
          <w:rFonts w:ascii="宋体" w:hAnsi="宋体" w:cs="宋体"/>
          <w:color w:val="auto"/>
          <w:highlight w:val="none"/>
        </w:rPr>
        <w:fldChar w:fldCharType="separate"/>
      </w:r>
      <w:r>
        <w:rPr>
          <w:rFonts w:hint="eastAsia" w:ascii="宋体" w:hAnsi="宋体"/>
          <w:color w:val="auto"/>
          <w:szCs w:val="24"/>
          <w:highlight w:val="none"/>
        </w:rPr>
        <w:t>3.2.1.4.1 临床数据中心</w:t>
      </w:r>
      <w:r>
        <w:rPr>
          <w:color w:val="auto"/>
          <w:highlight w:val="none"/>
        </w:rPr>
        <w:tab/>
      </w:r>
      <w:r>
        <w:rPr>
          <w:color w:val="auto"/>
          <w:highlight w:val="none"/>
        </w:rPr>
        <w:fldChar w:fldCharType="begin"/>
      </w:r>
      <w:r>
        <w:rPr>
          <w:color w:val="auto"/>
          <w:highlight w:val="none"/>
        </w:rPr>
        <w:instrText xml:space="preserve"> PAGEREF _Toc16280 \h </w:instrText>
      </w:r>
      <w:r>
        <w:rPr>
          <w:color w:val="auto"/>
          <w:highlight w:val="none"/>
        </w:rPr>
        <w:fldChar w:fldCharType="separate"/>
      </w:r>
      <w:r>
        <w:rPr>
          <w:color w:val="auto"/>
          <w:highlight w:val="none"/>
        </w:rPr>
        <w:t>83</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_Toc17777 </w:instrText>
      </w:r>
      <w:r>
        <w:rPr>
          <w:rFonts w:ascii="宋体" w:hAnsi="宋体" w:cs="宋体"/>
          <w:color w:val="auto"/>
          <w:highlight w:val="none"/>
        </w:rPr>
        <w:fldChar w:fldCharType="separate"/>
      </w:r>
      <w:r>
        <w:rPr>
          <w:rFonts w:hint="eastAsia" w:ascii="宋体" w:hAnsi="宋体"/>
          <w:color w:val="auto"/>
          <w:szCs w:val="24"/>
          <w:highlight w:val="none"/>
        </w:rPr>
        <w:t>3.2.1.4.2 运营数据中心</w:t>
      </w:r>
      <w:r>
        <w:rPr>
          <w:color w:val="auto"/>
          <w:highlight w:val="none"/>
        </w:rPr>
        <w:tab/>
      </w:r>
      <w:r>
        <w:rPr>
          <w:color w:val="auto"/>
          <w:highlight w:val="none"/>
        </w:rPr>
        <w:fldChar w:fldCharType="begin"/>
      </w:r>
      <w:r>
        <w:rPr>
          <w:color w:val="auto"/>
          <w:highlight w:val="none"/>
        </w:rPr>
        <w:instrText xml:space="preserve"> PAGEREF _Toc17777 \h </w:instrText>
      </w:r>
      <w:r>
        <w:rPr>
          <w:color w:val="auto"/>
          <w:highlight w:val="none"/>
        </w:rPr>
        <w:fldChar w:fldCharType="separate"/>
      </w:r>
      <w:r>
        <w:rPr>
          <w:color w:val="auto"/>
          <w:highlight w:val="none"/>
        </w:rPr>
        <w:t>85</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_Toc17092 </w:instrText>
      </w:r>
      <w:r>
        <w:rPr>
          <w:rFonts w:ascii="宋体" w:hAnsi="宋体" w:cs="宋体"/>
          <w:color w:val="auto"/>
          <w:highlight w:val="none"/>
        </w:rPr>
        <w:fldChar w:fldCharType="separate"/>
      </w:r>
      <w:r>
        <w:rPr>
          <w:rFonts w:hint="eastAsia" w:ascii="宋体" w:hAnsi="宋体"/>
          <w:color w:val="auto"/>
          <w:szCs w:val="24"/>
          <w:highlight w:val="none"/>
        </w:rPr>
        <w:t>3.2.1.4.3 影像数据中心</w:t>
      </w:r>
      <w:r>
        <w:rPr>
          <w:color w:val="auto"/>
          <w:highlight w:val="none"/>
        </w:rPr>
        <w:tab/>
      </w:r>
      <w:r>
        <w:rPr>
          <w:color w:val="auto"/>
          <w:highlight w:val="none"/>
        </w:rPr>
        <w:fldChar w:fldCharType="begin"/>
      </w:r>
      <w:r>
        <w:rPr>
          <w:color w:val="auto"/>
          <w:highlight w:val="none"/>
        </w:rPr>
        <w:instrText xml:space="preserve"> PAGEREF _Toc17092 \h </w:instrText>
      </w:r>
      <w:r>
        <w:rPr>
          <w:color w:val="auto"/>
          <w:highlight w:val="none"/>
        </w:rPr>
        <w:fldChar w:fldCharType="separate"/>
      </w:r>
      <w:r>
        <w:rPr>
          <w:color w:val="auto"/>
          <w:highlight w:val="none"/>
        </w:rPr>
        <w:t>86</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_Toc31992 </w:instrText>
      </w:r>
      <w:r>
        <w:rPr>
          <w:rFonts w:ascii="宋体" w:hAnsi="宋体" w:cs="宋体"/>
          <w:color w:val="auto"/>
          <w:highlight w:val="none"/>
        </w:rPr>
        <w:fldChar w:fldCharType="separate"/>
      </w:r>
      <w:r>
        <w:rPr>
          <w:rFonts w:hint="eastAsia" w:hAnsi="宋体"/>
          <w:color w:val="auto"/>
          <w:szCs w:val="24"/>
          <w:highlight w:val="none"/>
        </w:rPr>
        <w:t>3.2.2 决策支持建设</w:t>
      </w:r>
      <w:r>
        <w:rPr>
          <w:color w:val="auto"/>
          <w:highlight w:val="none"/>
        </w:rPr>
        <w:tab/>
      </w:r>
      <w:r>
        <w:rPr>
          <w:color w:val="auto"/>
          <w:highlight w:val="none"/>
        </w:rPr>
        <w:fldChar w:fldCharType="begin"/>
      </w:r>
      <w:r>
        <w:rPr>
          <w:color w:val="auto"/>
          <w:highlight w:val="none"/>
        </w:rPr>
        <w:instrText xml:space="preserve"> PAGEREF _Toc31992 \h </w:instrText>
      </w:r>
      <w:r>
        <w:rPr>
          <w:color w:val="auto"/>
          <w:highlight w:val="none"/>
        </w:rPr>
        <w:fldChar w:fldCharType="separate"/>
      </w:r>
      <w:r>
        <w:rPr>
          <w:color w:val="auto"/>
          <w:highlight w:val="none"/>
        </w:rPr>
        <w:t>87</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_Toc9221 </w:instrText>
      </w:r>
      <w:r>
        <w:rPr>
          <w:rFonts w:ascii="宋体" w:hAnsi="宋体" w:cs="宋体"/>
          <w:color w:val="auto"/>
          <w:highlight w:val="none"/>
        </w:rPr>
        <w:fldChar w:fldCharType="separate"/>
      </w:r>
      <w:r>
        <w:rPr>
          <w:rFonts w:hint="eastAsia" w:ascii="宋体" w:hAnsi="宋体"/>
          <w:bCs/>
          <w:color w:val="auto"/>
          <w:highlight w:val="none"/>
          <w:lang w:val="en-US"/>
        </w:rPr>
        <w:t xml:space="preserve">3.2.2.1 </w:t>
      </w:r>
      <w:r>
        <w:rPr>
          <w:rFonts w:hint="eastAsia" w:ascii="宋体" w:hAnsi="宋体"/>
          <w:bCs/>
          <w:color w:val="auto"/>
          <w:highlight w:val="none"/>
        </w:rPr>
        <w:t>临床决策系统</w:t>
      </w:r>
      <w:r>
        <w:rPr>
          <w:color w:val="auto"/>
          <w:highlight w:val="none"/>
        </w:rPr>
        <w:tab/>
      </w:r>
      <w:r>
        <w:rPr>
          <w:color w:val="auto"/>
          <w:highlight w:val="none"/>
        </w:rPr>
        <w:fldChar w:fldCharType="begin"/>
      </w:r>
      <w:r>
        <w:rPr>
          <w:color w:val="auto"/>
          <w:highlight w:val="none"/>
        </w:rPr>
        <w:instrText xml:space="preserve"> PAGEREF _Toc9221 \h </w:instrText>
      </w:r>
      <w:r>
        <w:rPr>
          <w:color w:val="auto"/>
          <w:highlight w:val="none"/>
        </w:rPr>
        <w:fldChar w:fldCharType="separate"/>
      </w:r>
      <w:r>
        <w:rPr>
          <w:color w:val="auto"/>
          <w:highlight w:val="none"/>
        </w:rPr>
        <w:t>87</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_Toc10581 </w:instrText>
      </w:r>
      <w:r>
        <w:rPr>
          <w:rFonts w:ascii="宋体" w:hAnsi="宋体" w:cs="宋体"/>
          <w:color w:val="auto"/>
          <w:highlight w:val="none"/>
        </w:rPr>
        <w:fldChar w:fldCharType="separate"/>
      </w:r>
      <w:r>
        <w:rPr>
          <w:rFonts w:hint="eastAsia" w:ascii="宋体" w:hAnsi="宋体"/>
          <w:color w:val="auto"/>
          <w:szCs w:val="24"/>
          <w:highlight w:val="none"/>
        </w:rPr>
        <w:t>3.2.2.1.1 智能决策引擎</w:t>
      </w:r>
      <w:r>
        <w:rPr>
          <w:color w:val="auto"/>
          <w:highlight w:val="none"/>
        </w:rPr>
        <w:tab/>
      </w:r>
      <w:r>
        <w:rPr>
          <w:color w:val="auto"/>
          <w:highlight w:val="none"/>
        </w:rPr>
        <w:fldChar w:fldCharType="begin"/>
      </w:r>
      <w:r>
        <w:rPr>
          <w:color w:val="auto"/>
          <w:highlight w:val="none"/>
        </w:rPr>
        <w:instrText xml:space="preserve"> PAGEREF _Toc10581 \h </w:instrText>
      </w:r>
      <w:r>
        <w:rPr>
          <w:color w:val="auto"/>
          <w:highlight w:val="none"/>
        </w:rPr>
        <w:fldChar w:fldCharType="separate"/>
      </w:r>
      <w:r>
        <w:rPr>
          <w:color w:val="auto"/>
          <w:highlight w:val="none"/>
        </w:rPr>
        <w:t>87</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_Toc30636 </w:instrText>
      </w:r>
      <w:r>
        <w:rPr>
          <w:rFonts w:ascii="宋体" w:hAnsi="宋体" w:cs="宋体"/>
          <w:color w:val="auto"/>
          <w:highlight w:val="none"/>
        </w:rPr>
        <w:fldChar w:fldCharType="separate"/>
      </w:r>
      <w:r>
        <w:rPr>
          <w:rFonts w:hint="eastAsia" w:ascii="宋体" w:hAnsi="宋体"/>
          <w:color w:val="auto"/>
          <w:szCs w:val="24"/>
          <w:highlight w:val="none"/>
        </w:rPr>
        <w:t>3.2.2.1.2 临床助手</w:t>
      </w:r>
      <w:r>
        <w:rPr>
          <w:color w:val="auto"/>
          <w:highlight w:val="none"/>
        </w:rPr>
        <w:tab/>
      </w:r>
      <w:r>
        <w:rPr>
          <w:color w:val="auto"/>
          <w:highlight w:val="none"/>
        </w:rPr>
        <w:fldChar w:fldCharType="begin"/>
      </w:r>
      <w:r>
        <w:rPr>
          <w:color w:val="auto"/>
          <w:highlight w:val="none"/>
        </w:rPr>
        <w:instrText xml:space="preserve"> PAGEREF _Toc30636 \h </w:instrText>
      </w:r>
      <w:r>
        <w:rPr>
          <w:color w:val="auto"/>
          <w:highlight w:val="none"/>
        </w:rPr>
        <w:fldChar w:fldCharType="separate"/>
      </w:r>
      <w:r>
        <w:rPr>
          <w:color w:val="auto"/>
          <w:highlight w:val="none"/>
        </w:rPr>
        <w:t>88</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_Toc18620 </w:instrText>
      </w:r>
      <w:r>
        <w:rPr>
          <w:rFonts w:ascii="宋体" w:hAnsi="宋体" w:cs="宋体"/>
          <w:color w:val="auto"/>
          <w:highlight w:val="none"/>
        </w:rPr>
        <w:fldChar w:fldCharType="separate"/>
      </w:r>
      <w:r>
        <w:rPr>
          <w:rFonts w:hint="eastAsia" w:ascii="宋体" w:hAnsi="宋体"/>
          <w:color w:val="auto"/>
          <w:szCs w:val="24"/>
          <w:highlight w:val="none"/>
        </w:rPr>
        <w:t>3.2.2.1.3 医学知识库</w:t>
      </w:r>
      <w:r>
        <w:rPr>
          <w:color w:val="auto"/>
          <w:highlight w:val="none"/>
        </w:rPr>
        <w:tab/>
      </w:r>
      <w:r>
        <w:rPr>
          <w:color w:val="auto"/>
          <w:highlight w:val="none"/>
        </w:rPr>
        <w:fldChar w:fldCharType="begin"/>
      </w:r>
      <w:r>
        <w:rPr>
          <w:color w:val="auto"/>
          <w:highlight w:val="none"/>
        </w:rPr>
        <w:instrText xml:space="preserve"> PAGEREF _Toc18620 \h </w:instrText>
      </w:r>
      <w:r>
        <w:rPr>
          <w:color w:val="auto"/>
          <w:highlight w:val="none"/>
        </w:rPr>
        <w:fldChar w:fldCharType="separate"/>
      </w:r>
      <w:r>
        <w:rPr>
          <w:color w:val="auto"/>
          <w:highlight w:val="none"/>
        </w:rPr>
        <w:t>89</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_Toc23677 </w:instrText>
      </w:r>
      <w:r>
        <w:rPr>
          <w:rFonts w:ascii="宋体" w:hAnsi="宋体" w:cs="宋体"/>
          <w:color w:val="auto"/>
          <w:highlight w:val="none"/>
        </w:rPr>
        <w:fldChar w:fldCharType="separate"/>
      </w:r>
      <w:r>
        <w:rPr>
          <w:rFonts w:hint="eastAsia" w:ascii="宋体" w:hAnsi="宋体"/>
          <w:color w:val="auto"/>
          <w:szCs w:val="24"/>
          <w:highlight w:val="none"/>
        </w:rPr>
        <w:t>3.2.2.1.4 流程闭环决策支持系统</w:t>
      </w:r>
      <w:r>
        <w:rPr>
          <w:color w:val="auto"/>
          <w:highlight w:val="none"/>
        </w:rPr>
        <w:tab/>
      </w:r>
      <w:r>
        <w:rPr>
          <w:color w:val="auto"/>
          <w:highlight w:val="none"/>
        </w:rPr>
        <w:fldChar w:fldCharType="begin"/>
      </w:r>
      <w:r>
        <w:rPr>
          <w:color w:val="auto"/>
          <w:highlight w:val="none"/>
        </w:rPr>
        <w:instrText xml:space="preserve"> PAGEREF _Toc23677 \h </w:instrText>
      </w:r>
      <w:r>
        <w:rPr>
          <w:color w:val="auto"/>
          <w:highlight w:val="none"/>
        </w:rPr>
        <w:fldChar w:fldCharType="separate"/>
      </w:r>
      <w:r>
        <w:rPr>
          <w:color w:val="auto"/>
          <w:highlight w:val="none"/>
        </w:rPr>
        <w:t>91</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_Toc6872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3.2.2.2 </w:t>
      </w:r>
      <w:r>
        <w:rPr>
          <w:rFonts w:hint="eastAsia" w:ascii="宋体" w:hAnsi="宋体"/>
          <w:color w:val="auto"/>
          <w:szCs w:val="24"/>
          <w:highlight w:val="none"/>
        </w:rPr>
        <w:t>智能决策系统</w:t>
      </w:r>
      <w:r>
        <w:rPr>
          <w:color w:val="auto"/>
          <w:highlight w:val="none"/>
        </w:rPr>
        <w:tab/>
      </w:r>
      <w:r>
        <w:rPr>
          <w:color w:val="auto"/>
          <w:highlight w:val="none"/>
        </w:rPr>
        <w:fldChar w:fldCharType="begin"/>
      </w:r>
      <w:r>
        <w:rPr>
          <w:color w:val="auto"/>
          <w:highlight w:val="none"/>
        </w:rPr>
        <w:instrText xml:space="preserve"> PAGEREF _Toc6872 \h </w:instrText>
      </w:r>
      <w:r>
        <w:rPr>
          <w:color w:val="auto"/>
          <w:highlight w:val="none"/>
        </w:rPr>
        <w:fldChar w:fldCharType="separate"/>
      </w:r>
      <w:r>
        <w:rPr>
          <w:color w:val="auto"/>
          <w:highlight w:val="none"/>
        </w:rPr>
        <w:t>92</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_Toc1953 </w:instrText>
      </w:r>
      <w:r>
        <w:rPr>
          <w:rFonts w:ascii="宋体" w:hAnsi="宋体" w:cs="宋体"/>
          <w:color w:val="auto"/>
          <w:highlight w:val="none"/>
        </w:rPr>
        <w:fldChar w:fldCharType="separate"/>
      </w:r>
      <w:r>
        <w:rPr>
          <w:rFonts w:hint="eastAsia" w:ascii="宋体" w:hAnsi="宋体"/>
          <w:color w:val="auto"/>
          <w:szCs w:val="24"/>
          <w:highlight w:val="none"/>
        </w:rPr>
        <w:t>3.2.2.2.1 静脉血栓栓塞症智能防治系统</w:t>
      </w:r>
      <w:r>
        <w:rPr>
          <w:color w:val="auto"/>
          <w:highlight w:val="none"/>
        </w:rPr>
        <w:tab/>
      </w:r>
      <w:r>
        <w:rPr>
          <w:color w:val="auto"/>
          <w:highlight w:val="none"/>
        </w:rPr>
        <w:fldChar w:fldCharType="begin"/>
      </w:r>
      <w:r>
        <w:rPr>
          <w:color w:val="auto"/>
          <w:highlight w:val="none"/>
        </w:rPr>
        <w:instrText xml:space="preserve"> PAGEREF _Toc1953 \h </w:instrText>
      </w:r>
      <w:r>
        <w:rPr>
          <w:color w:val="auto"/>
          <w:highlight w:val="none"/>
        </w:rPr>
        <w:fldChar w:fldCharType="separate"/>
      </w:r>
      <w:r>
        <w:rPr>
          <w:color w:val="auto"/>
          <w:highlight w:val="none"/>
        </w:rPr>
        <w:t>92</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_Toc19374 </w:instrText>
      </w:r>
      <w:r>
        <w:rPr>
          <w:rFonts w:ascii="宋体" w:hAnsi="宋体" w:cs="宋体"/>
          <w:color w:val="auto"/>
          <w:highlight w:val="none"/>
        </w:rPr>
        <w:fldChar w:fldCharType="separate"/>
      </w:r>
      <w:r>
        <w:rPr>
          <w:rFonts w:hint="eastAsia" w:ascii="宋体" w:hAnsi="宋体"/>
          <w:color w:val="auto"/>
          <w:szCs w:val="24"/>
          <w:highlight w:val="none"/>
        </w:rPr>
        <w:t>3.2.2.2.2 病历/病案智能质控系统</w:t>
      </w:r>
      <w:r>
        <w:rPr>
          <w:color w:val="auto"/>
          <w:highlight w:val="none"/>
        </w:rPr>
        <w:tab/>
      </w:r>
      <w:r>
        <w:rPr>
          <w:color w:val="auto"/>
          <w:highlight w:val="none"/>
        </w:rPr>
        <w:fldChar w:fldCharType="begin"/>
      </w:r>
      <w:r>
        <w:rPr>
          <w:color w:val="auto"/>
          <w:highlight w:val="none"/>
        </w:rPr>
        <w:instrText xml:space="preserve"> PAGEREF _Toc19374 \h </w:instrText>
      </w:r>
      <w:r>
        <w:rPr>
          <w:color w:val="auto"/>
          <w:highlight w:val="none"/>
        </w:rPr>
        <w:fldChar w:fldCharType="separate"/>
      </w:r>
      <w:r>
        <w:rPr>
          <w:color w:val="auto"/>
          <w:highlight w:val="none"/>
        </w:rPr>
        <w:t>93</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_Toc6779 </w:instrText>
      </w:r>
      <w:r>
        <w:rPr>
          <w:rFonts w:ascii="宋体" w:hAnsi="宋体" w:cs="宋体"/>
          <w:color w:val="auto"/>
          <w:highlight w:val="none"/>
        </w:rPr>
        <w:fldChar w:fldCharType="separate"/>
      </w:r>
      <w:r>
        <w:rPr>
          <w:rFonts w:hint="eastAsia" w:ascii="宋体" w:hAnsi="宋体"/>
          <w:color w:val="auto"/>
          <w:szCs w:val="24"/>
          <w:highlight w:val="none"/>
        </w:rPr>
        <w:t>3.2.2.2.3 AKI AI智能预警监控系统</w:t>
      </w:r>
      <w:r>
        <w:rPr>
          <w:color w:val="auto"/>
          <w:highlight w:val="none"/>
        </w:rPr>
        <w:tab/>
      </w:r>
      <w:r>
        <w:rPr>
          <w:color w:val="auto"/>
          <w:highlight w:val="none"/>
        </w:rPr>
        <w:fldChar w:fldCharType="begin"/>
      </w:r>
      <w:r>
        <w:rPr>
          <w:color w:val="auto"/>
          <w:highlight w:val="none"/>
        </w:rPr>
        <w:instrText xml:space="preserve"> PAGEREF _Toc6779 \h </w:instrText>
      </w:r>
      <w:r>
        <w:rPr>
          <w:color w:val="auto"/>
          <w:highlight w:val="none"/>
        </w:rPr>
        <w:fldChar w:fldCharType="separate"/>
      </w:r>
      <w:r>
        <w:rPr>
          <w:color w:val="auto"/>
          <w:highlight w:val="none"/>
        </w:rPr>
        <w:t>96</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_Toc28324 </w:instrText>
      </w:r>
      <w:r>
        <w:rPr>
          <w:rFonts w:ascii="宋体" w:hAnsi="宋体" w:cs="宋体"/>
          <w:color w:val="auto"/>
          <w:highlight w:val="none"/>
        </w:rPr>
        <w:fldChar w:fldCharType="separate"/>
      </w:r>
      <w:r>
        <w:rPr>
          <w:rFonts w:hint="eastAsia" w:ascii="宋体" w:hAnsi="宋体"/>
          <w:color w:val="auto"/>
          <w:szCs w:val="24"/>
          <w:highlight w:val="none"/>
        </w:rPr>
        <w:t>3.2.2.2.4 血糖代谢异常智能预警系统</w:t>
      </w:r>
      <w:r>
        <w:rPr>
          <w:color w:val="auto"/>
          <w:highlight w:val="none"/>
        </w:rPr>
        <w:tab/>
      </w:r>
      <w:r>
        <w:rPr>
          <w:color w:val="auto"/>
          <w:highlight w:val="none"/>
        </w:rPr>
        <w:fldChar w:fldCharType="begin"/>
      </w:r>
      <w:r>
        <w:rPr>
          <w:color w:val="auto"/>
          <w:highlight w:val="none"/>
        </w:rPr>
        <w:instrText xml:space="preserve"> PAGEREF _Toc28324 \h </w:instrText>
      </w:r>
      <w:r>
        <w:rPr>
          <w:color w:val="auto"/>
          <w:highlight w:val="none"/>
        </w:rPr>
        <w:fldChar w:fldCharType="separate"/>
      </w:r>
      <w:r>
        <w:rPr>
          <w:color w:val="auto"/>
          <w:highlight w:val="none"/>
        </w:rPr>
        <w:t>97</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_Toc15403 </w:instrText>
      </w:r>
      <w:r>
        <w:rPr>
          <w:rFonts w:ascii="宋体" w:hAnsi="宋体" w:cs="宋体"/>
          <w:color w:val="auto"/>
          <w:highlight w:val="none"/>
        </w:rPr>
        <w:fldChar w:fldCharType="separate"/>
      </w:r>
      <w:r>
        <w:rPr>
          <w:rFonts w:hint="eastAsia" w:ascii="宋体" w:hAnsi="宋体"/>
          <w:bCs/>
          <w:color w:val="auto"/>
          <w:highlight w:val="none"/>
          <w:lang w:val="en-US"/>
        </w:rPr>
        <w:t xml:space="preserve">3.2.2.3 </w:t>
      </w:r>
      <w:r>
        <w:rPr>
          <w:rFonts w:hint="eastAsia" w:ascii="宋体" w:hAnsi="宋体"/>
          <w:bCs/>
          <w:color w:val="auto"/>
          <w:highlight w:val="none"/>
        </w:rPr>
        <w:t>管理决策系统</w:t>
      </w:r>
      <w:r>
        <w:rPr>
          <w:color w:val="auto"/>
          <w:highlight w:val="none"/>
        </w:rPr>
        <w:tab/>
      </w:r>
      <w:r>
        <w:rPr>
          <w:color w:val="auto"/>
          <w:highlight w:val="none"/>
        </w:rPr>
        <w:fldChar w:fldCharType="begin"/>
      </w:r>
      <w:r>
        <w:rPr>
          <w:color w:val="auto"/>
          <w:highlight w:val="none"/>
        </w:rPr>
        <w:instrText xml:space="preserve"> PAGEREF _Toc15403 \h </w:instrText>
      </w:r>
      <w:r>
        <w:rPr>
          <w:color w:val="auto"/>
          <w:highlight w:val="none"/>
        </w:rPr>
        <w:fldChar w:fldCharType="separate"/>
      </w:r>
      <w:r>
        <w:rPr>
          <w:color w:val="auto"/>
          <w:highlight w:val="none"/>
        </w:rPr>
        <w:t>98</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_Toc4735 </w:instrText>
      </w:r>
      <w:r>
        <w:rPr>
          <w:rFonts w:ascii="宋体" w:hAnsi="宋体" w:cs="宋体"/>
          <w:color w:val="auto"/>
          <w:highlight w:val="none"/>
        </w:rPr>
        <w:fldChar w:fldCharType="separate"/>
      </w:r>
      <w:r>
        <w:rPr>
          <w:rFonts w:hint="eastAsia" w:ascii="宋体" w:hAnsi="宋体"/>
          <w:color w:val="auto"/>
          <w:szCs w:val="24"/>
          <w:highlight w:val="none"/>
        </w:rPr>
        <w:t>3.2.2.3.1 综合运营决策</w:t>
      </w:r>
      <w:r>
        <w:rPr>
          <w:color w:val="auto"/>
          <w:highlight w:val="none"/>
        </w:rPr>
        <w:tab/>
      </w:r>
      <w:r>
        <w:rPr>
          <w:color w:val="auto"/>
          <w:highlight w:val="none"/>
        </w:rPr>
        <w:fldChar w:fldCharType="begin"/>
      </w:r>
      <w:r>
        <w:rPr>
          <w:color w:val="auto"/>
          <w:highlight w:val="none"/>
        </w:rPr>
        <w:instrText xml:space="preserve"> PAGEREF _Toc4735 \h </w:instrText>
      </w:r>
      <w:r>
        <w:rPr>
          <w:color w:val="auto"/>
          <w:highlight w:val="none"/>
        </w:rPr>
        <w:fldChar w:fldCharType="separate"/>
      </w:r>
      <w:r>
        <w:rPr>
          <w:color w:val="auto"/>
          <w:highlight w:val="none"/>
        </w:rPr>
        <w:t>98</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_Toc15352 </w:instrText>
      </w:r>
      <w:r>
        <w:rPr>
          <w:rFonts w:ascii="宋体" w:hAnsi="宋体" w:cs="宋体"/>
          <w:color w:val="auto"/>
          <w:highlight w:val="none"/>
        </w:rPr>
        <w:fldChar w:fldCharType="separate"/>
      </w:r>
      <w:r>
        <w:rPr>
          <w:rFonts w:hint="eastAsia" w:ascii="宋体" w:hAnsi="宋体"/>
          <w:color w:val="auto"/>
          <w:szCs w:val="24"/>
          <w:highlight w:val="none"/>
        </w:rPr>
        <w:t>3.2.2.3.2 专题运营分析</w:t>
      </w:r>
      <w:r>
        <w:rPr>
          <w:color w:val="auto"/>
          <w:highlight w:val="none"/>
        </w:rPr>
        <w:tab/>
      </w:r>
      <w:r>
        <w:rPr>
          <w:color w:val="auto"/>
          <w:highlight w:val="none"/>
        </w:rPr>
        <w:fldChar w:fldCharType="begin"/>
      </w:r>
      <w:r>
        <w:rPr>
          <w:color w:val="auto"/>
          <w:highlight w:val="none"/>
        </w:rPr>
        <w:instrText xml:space="preserve"> PAGEREF _Toc15352 \h </w:instrText>
      </w:r>
      <w:r>
        <w:rPr>
          <w:color w:val="auto"/>
          <w:highlight w:val="none"/>
        </w:rPr>
        <w:fldChar w:fldCharType="separate"/>
      </w:r>
      <w:r>
        <w:rPr>
          <w:color w:val="auto"/>
          <w:highlight w:val="none"/>
        </w:rPr>
        <w:t>99</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_Toc16027 </w:instrText>
      </w:r>
      <w:r>
        <w:rPr>
          <w:rFonts w:ascii="宋体" w:hAnsi="宋体" w:cs="宋体"/>
          <w:color w:val="auto"/>
          <w:highlight w:val="none"/>
        </w:rPr>
        <w:fldChar w:fldCharType="separate"/>
      </w:r>
      <w:r>
        <w:rPr>
          <w:rFonts w:hint="eastAsia" w:ascii="宋体" w:hAnsi="宋体"/>
          <w:color w:val="auto"/>
          <w:szCs w:val="24"/>
          <w:highlight w:val="none"/>
        </w:rPr>
        <w:t>3.2.2.3.3 资源监控分析</w:t>
      </w:r>
      <w:r>
        <w:rPr>
          <w:color w:val="auto"/>
          <w:highlight w:val="none"/>
        </w:rPr>
        <w:tab/>
      </w:r>
      <w:r>
        <w:rPr>
          <w:color w:val="auto"/>
          <w:highlight w:val="none"/>
        </w:rPr>
        <w:fldChar w:fldCharType="begin"/>
      </w:r>
      <w:r>
        <w:rPr>
          <w:color w:val="auto"/>
          <w:highlight w:val="none"/>
        </w:rPr>
        <w:instrText xml:space="preserve"> PAGEREF _Toc16027 \h </w:instrText>
      </w:r>
      <w:r>
        <w:rPr>
          <w:color w:val="auto"/>
          <w:highlight w:val="none"/>
        </w:rPr>
        <w:fldChar w:fldCharType="separate"/>
      </w:r>
      <w:r>
        <w:rPr>
          <w:color w:val="auto"/>
          <w:highlight w:val="none"/>
        </w:rPr>
        <w:t>100</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_Toc27707 </w:instrText>
      </w:r>
      <w:r>
        <w:rPr>
          <w:rFonts w:ascii="宋体" w:hAnsi="宋体" w:cs="宋体"/>
          <w:color w:val="auto"/>
          <w:highlight w:val="none"/>
        </w:rPr>
        <w:fldChar w:fldCharType="separate"/>
      </w:r>
      <w:r>
        <w:rPr>
          <w:rFonts w:hint="eastAsia" w:hAnsi="宋体"/>
          <w:color w:val="auto"/>
          <w:szCs w:val="24"/>
          <w:highlight w:val="none"/>
        </w:rPr>
        <w:t>3.2.3 智慧医疗建设</w:t>
      </w:r>
      <w:r>
        <w:rPr>
          <w:color w:val="auto"/>
          <w:highlight w:val="none"/>
        </w:rPr>
        <w:tab/>
      </w:r>
      <w:r>
        <w:rPr>
          <w:color w:val="auto"/>
          <w:highlight w:val="none"/>
        </w:rPr>
        <w:fldChar w:fldCharType="begin"/>
      </w:r>
      <w:r>
        <w:rPr>
          <w:color w:val="auto"/>
          <w:highlight w:val="none"/>
        </w:rPr>
        <w:instrText xml:space="preserve"> PAGEREF _Toc27707 \h </w:instrText>
      </w:r>
      <w:r>
        <w:rPr>
          <w:color w:val="auto"/>
          <w:highlight w:val="none"/>
        </w:rPr>
        <w:fldChar w:fldCharType="separate"/>
      </w:r>
      <w:r>
        <w:rPr>
          <w:color w:val="auto"/>
          <w:highlight w:val="none"/>
        </w:rPr>
        <w:t>101</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_Toc27311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3.2.3.1 </w:t>
      </w:r>
      <w:r>
        <w:rPr>
          <w:rFonts w:hint="eastAsia" w:ascii="宋体" w:hAnsi="宋体"/>
          <w:color w:val="auto"/>
          <w:szCs w:val="24"/>
          <w:highlight w:val="none"/>
        </w:rPr>
        <w:t>门诊分诊叫号系统</w:t>
      </w:r>
      <w:r>
        <w:rPr>
          <w:color w:val="auto"/>
          <w:highlight w:val="none"/>
        </w:rPr>
        <w:tab/>
      </w:r>
      <w:r>
        <w:rPr>
          <w:color w:val="auto"/>
          <w:highlight w:val="none"/>
        </w:rPr>
        <w:fldChar w:fldCharType="begin"/>
      </w:r>
      <w:r>
        <w:rPr>
          <w:color w:val="auto"/>
          <w:highlight w:val="none"/>
        </w:rPr>
        <w:instrText xml:space="preserve"> PAGEREF _Toc27311 \h </w:instrText>
      </w:r>
      <w:r>
        <w:rPr>
          <w:color w:val="auto"/>
          <w:highlight w:val="none"/>
        </w:rPr>
        <w:fldChar w:fldCharType="separate"/>
      </w:r>
      <w:r>
        <w:rPr>
          <w:color w:val="auto"/>
          <w:highlight w:val="none"/>
        </w:rPr>
        <w:t>101</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_Toc8584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3.2.3.2 </w:t>
      </w:r>
      <w:r>
        <w:rPr>
          <w:rFonts w:hint="eastAsia" w:ascii="宋体" w:hAnsi="宋体"/>
          <w:color w:val="auto"/>
          <w:szCs w:val="24"/>
          <w:highlight w:val="none"/>
        </w:rPr>
        <w:t>急诊信息系统升级</w:t>
      </w:r>
      <w:r>
        <w:rPr>
          <w:color w:val="auto"/>
          <w:highlight w:val="none"/>
        </w:rPr>
        <w:tab/>
      </w:r>
      <w:r>
        <w:rPr>
          <w:color w:val="auto"/>
          <w:highlight w:val="none"/>
        </w:rPr>
        <w:fldChar w:fldCharType="begin"/>
      </w:r>
      <w:r>
        <w:rPr>
          <w:color w:val="auto"/>
          <w:highlight w:val="none"/>
        </w:rPr>
        <w:instrText xml:space="preserve"> PAGEREF _Toc8584 \h </w:instrText>
      </w:r>
      <w:r>
        <w:rPr>
          <w:color w:val="auto"/>
          <w:highlight w:val="none"/>
        </w:rPr>
        <w:fldChar w:fldCharType="separate"/>
      </w:r>
      <w:r>
        <w:rPr>
          <w:color w:val="auto"/>
          <w:highlight w:val="none"/>
        </w:rPr>
        <w:t>102</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_Toc19923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3.2.3.3 </w:t>
      </w:r>
      <w:r>
        <w:rPr>
          <w:rFonts w:hint="eastAsia" w:ascii="宋体" w:hAnsi="宋体"/>
          <w:color w:val="auto"/>
          <w:szCs w:val="24"/>
          <w:highlight w:val="none"/>
        </w:rPr>
        <w:t>手术麻醉系统升级</w:t>
      </w:r>
      <w:r>
        <w:rPr>
          <w:color w:val="auto"/>
          <w:highlight w:val="none"/>
        </w:rPr>
        <w:tab/>
      </w:r>
      <w:r>
        <w:rPr>
          <w:color w:val="auto"/>
          <w:highlight w:val="none"/>
        </w:rPr>
        <w:fldChar w:fldCharType="begin"/>
      </w:r>
      <w:r>
        <w:rPr>
          <w:color w:val="auto"/>
          <w:highlight w:val="none"/>
        </w:rPr>
        <w:instrText xml:space="preserve"> PAGEREF _Toc19923 \h </w:instrText>
      </w:r>
      <w:r>
        <w:rPr>
          <w:color w:val="auto"/>
          <w:highlight w:val="none"/>
        </w:rPr>
        <w:fldChar w:fldCharType="separate"/>
      </w:r>
      <w:r>
        <w:rPr>
          <w:color w:val="auto"/>
          <w:highlight w:val="none"/>
        </w:rPr>
        <w:t>103</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_Toc24605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3.2.3.4 </w:t>
      </w:r>
      <w:r>
        <w:rPr>
          <w:rFonts w:hint="eastAsia" w:ascii="宋体" w:hAnsi="宋体"/>
          <w:color w:val="auto"/>
          <w:szCs w:val="24"/>
          <w:highlight w:val="none"/>
        </w:rPr>
        <w:t>重症监护室信息系统升级扩容</w:t>
      </w:r>
      <w:r>
        <w:rPr>
          <w:color w:val="auto"/>
          <w:highlight w:val="none"/>
        </w:rPr>
        <w:tab/>
      </w:r>
      <w:r>
        <w:rPr>
          <w:color w:val="auto"/>
          <w:highlight w:val="none"/>
        </w:rPr>
        <w:fldChar w:fldCharType="begin"/>
      </w:r>
      <w:r>
        <w:rPr>
          <w:color w:val="auto"/>
          <w:highlight w:val="none"/>
        </w:rPr>
        <w:instrText xml:space="preserve"> PAGEREF _Toc24605 \h </w:instrText>
      </w:r>
      <w:r>
        <w:rPr>
          <w:color w:val="auto"/>
          <w:highlight w:val="none"/>
        </w:rPr>
        <w:fldChar w:fldCharType="separate"/>
      </w:r>
      <w:r>
        <w:rPr>
          <w:color w:val="auto"/>
          <w:highlight w:val="none"/>
        </w:rPr>
        <w:t>104</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_Toc1708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3.2.3.5 </w:t>
      </w:r>
      <w:r>
        <w:rPr>
          <w:rFonts w:hint="eastAsia" w:ascii="宋体" w:hAnsi="宋体"/>
          <w:color w:val="auto"/>
          <w:szCs w:val="24"/>
          <w:highlight w:val="none"/>
        </w:rPr>
        <w:t>消毒供应管理系统</w:t>
      </w:r>
      <w:r>
        <w:rPr>
          <w:color w:val="auto"/>
          <w:highlight w:val="none"/>
        </w:rPr>
        <w:tab/>
      </w:r>
      <w:r>
        <w:rPr>
          <w:color w:val="auto"/>
          <w:highlight w:val="none"/>
        </w:rPr>
        <w:fldChar w:fldCharType="begin"/>
      </w:r>
      <w:r>
        <w:rPr>
          <w:color w:val="auto"/>
          <w:highlight w:val="none"/>
        </w:rPr>
        <w:instrText xml:space="preserve"> PAGEREF _Toc1708 \h </w:instrText>
      </w:r>
      <w:r>
        <w:rPr>
          <w:color w:val="auto"/>
          <w:highlight w:val="none"/>
        </w:rPr>
        <w:fldChar w:fldCharType="separate"/>
      </w:r>
      <w:r>
        <w:rPr>
          <w:color w:val="auto"/>
          <w:highlight w:val="none"/>
        </w:rPr>
        <w:t>105</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_Toc20969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3.2.3.6 </w:t>
      </w:r>
      <w:r>
        <w:rPr>
          <w:rFonts w:hint="eastAsia" w:ascii="宋体" w:hAnsi="宋体"/>
          <w:color w:val="auto"/>
          <w:szCs w:val="24"/>
          <w:highlight w:val="none"/>
        </w:rPr>
        <w:t>挂号管理系统</w:t>
      </w:r>
      <w:r>
        <w:rPr>
          <w:color w:val="auto"/>
          <w:highlight w:val="none"/>
        </w:rPr>
        <w:tab/>
      </w:r>
      <w:r>
        <w:rPr>
          <w:color w:val="auto"/>
          <w:highlight w:val="none"/>
        </w:rPr>
        <w:fldChar w:fldCharType="begin"/>
      </w:r>
      <w:r>
        <w:rPr>
          <w:color w:val="auto"/>
          <w:highlight w:val="none"/>
        </w:rPr>
        <w:instrText xml:space="preserve"> PAGEREF _Toc20969 \h </w:instrText>
      </w:r>
      <w:r>
        <w:rPr>
          <w:color w:val="auto"/>
          <w:highlight w:val="none"/>
        </w:rPr>
        <w:fldChar w:fldCharType="separate"/>
      </w:r>
      <w:r>
        <w:rPr>
          <w:color w:val="auto"/>
          <w:highlight w:val="none"/>
        </w:rPr>
        <w:t>105</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_Toc28127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3.2.3.7 </w:t>
      </w:r>
      <w:r>
        <w:rPr>
          <w:rFonts w:hint="eastAsia" w:ascii="宋体" w:hAnsi="宋体"/>
          <w:color w:val="auto"/>
          <w:szCs w:val="24"/>
          <w:highlight w:val="none"/>
        </w:rPr>
        <w:t>门诊医生站</w:t>
      </w:r>
      <w:r>
        <w:rPr>
          <w:color w:val="auto"/>
          <w:highlight w:val="none"/>
        </w:rPr>
        <w:tab/>
      </w:r>
      <w:r>
        <w:rPr>
          <w:color w:val="auto"/>
          <w:highlight w:val="none"/>
        </w:rPr>
        <w:fldChar w:fldCharType="begin"/>
      </w:r>
      <w:r>
        <w:rPr>
          <w:color w:val="auto"/>
          <w:highlight w:val="none"/>
        </w:rPr>
        <w:instrText xml:space="preserve"> PAGEREF _Toc28127 \h </w:instrText>
      </w:r>
      <w:r>
        <w:rPr>
          <w:color w:val="auto"/>
          <w:highlight w:val="none"/>
        </w:rPr>
        <w:fldChar w:fldCharType="separate"/>
      </w:r>
      <w:r>
        <w:rPr>
          <w:color w:val="auto"/>
          <w:highlight w:val="none"/>
        </w:rPr>
        <w:t>106</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_Toc12712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3.2.3.8 </w:t>
      </w:r>
      <w:r>
        <w:rPr>
          <w:rFonts w:hint="eastAsia" w:ascii="宋体" w:hAnsi="宋体"/>
          <w:color w:val="auto"/>
          <w:szCs w:val="24"/>
          <w:highlight w:val="none"/>
        </w:rPr>
        <w:t>门诊便民医生站</w:t>
      </w:r>
      <w:r>
        <w:rPr>
          <w:color w:val="auto"/>
          <w:highlight w:val="none"/>
        </w:rPr>
        <w:tab/>
      </w:r>
      <w:r>
        <w:rPr>
          <w:color w:val="auto"/>
          <w:highlight w:val="none"/>
        </w:rPr>
        <w:fldChar w:fldCharType="begin"/>
      </w:r>
      <w:r>
        <w:rPr>
          <w:color w:val="auto"/>
          <w:highlight w:val="none"/>
        </w:rPr>
        <w:instrText xml:space="preserve"> PAGEREF _Toc12712 \h </w:instrText>
      </w:r>
      <w:r>
        <w:rPr>
          <w:color w:val="auto"/>
          <w:highlight w:val="none"/>
        </w:rPr>
        <w:fldChar w:fldCharType="separate"/>
      </w:r>
      <w:r>
        <w:rPr>
          <w:color w:val="auto"/>
          <w:highlight w:val="none"/>
        </w:rPr>
        <w:t>110</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_Toc11582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3.2.3.9 </w:t>
      </w:r>
      <w:r>
        <w:rPr>
          <w:rFonts w:hint="eastAsia" w:ascii="宋体" w:hAnsi="宋体"/>
          <w:color w:val="auto"/>
          <w:szCs w:val="24"/>
          <w:highlight w:val="none"/>
        </w:rPr>
        <w:t>门诊慢病医生站</w:t>
      </w:r>
      <w:r>
        <w:rPr>
          <w:color w:val="auto"/>
          <w:highlight w:val="none"/>
        </w:rPr>
        <w:tab/>
      </w:r>
      <w:r>
        <w:rPr>
          <w:color w:val="auto"/>
          <w:highlight w:val="none"/>
        </w:rPr>
        <w:fldChar w:fldCharType="begin"/>
      </w:r>
      <w:r>
        <w:rPr>
          <w:color w:val="auto"/>
          <w:highlight w:val="none"/>
        </w:rPr>
        <w:instrText xml:space="preserve"> PAGEREF _Toc11582 \h </w:instrText>
      </w:r>
      <w:r>
        <w:rPr>
          <w:color w:val="auto"/>
          <w:highlight w:val="none"/>
        </w:rPr>
        <w:fldChar w:fldCharType="separate"/>
      </w:r>
      <w:r>
        <w:rPr>
          <w:color w:val="auto"/>
          <w:highlight w:val="none"/>
        </w:rPr>
        <w:t>111</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_Toc31708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3.2.3.10 </w:t>
      </w:r>
      <w:r>
        <w:rPr>
          <w:rFonts w:hint="eastAsia" w:ascii="宋体" w:hAnsi="宋体"/>
          <w:color w:val="auto"/>
          <w:szCs w:val="24"/>
          <w:highlight w:val="none"/>
        </w:rPr>
        <w:t>住院医生站</w:t>
      </w:r>
      <w:r>
        <w:rPr>
          <w:color w:val="auto"/>
          <w:highlight w:val="none"/>
        </w:rPr>
        <w:tab/>
      </w:r>
      <w:r>
        <w:rPr>
          <w:color w:val="auto"/>
          <w:highlight w:val="none"/>
        </w:rPr>
        <w:fldChar w:fldCharType="begin"/>
      </w:r>
      <w:r>
        <w:rPr>
          <w:color w:val="auto"/>
          <w:highlight w:val="none"/>
        </w:rPr>
        <w:instrText xml:space="preserve"> PAGEREF _Toc31708 \h </w:instrText>
      </w:r>
      <w:r>
        <w:rPr>
          <w:color w:val="auto"/>
          <w:highlight w:val="none"/>
        </w:rPr>
        <w:fldChar w:fldCharType="separate"/>
      </w:r>
      <w:r>
        <w:rPr>
          <w:color w:val="auto"/>
          <w:highlight w:val="none"/>
        </w:rPr>
        <w:t>113</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_Toc18769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3.2.3.11 </w:t>
      </w:r>
      <w:r>
        <w:rPr>
          <w:rFonts w:hint="eastAsia" w:ascii="宋体" w:hAnsi="宋体"/>
          <w:color w:val="auto"/>
          <w:szCs w:val="24"/>
          <w:highlight w:val="none"/>
        </w:rPr>
        <w:t>住院护士站系统</w:t>
      </w:r>
      <w:r>
        <w:rPr>
          <w:color w:val="auto"/>
          <w:highlight w:val="none"/>
        </w:rPr>
        <w:tab/>
      </w:r>
      <w:r>
        <w:rPr>
          <w:color w:val="auto"/>
          <w:highlight w:val="none"/>
        </w:rPr>
        <w:fldChar w:fldCharType="begin"/>
      </w:r>
      <w:r>
        <w:rPr>
          <w:color w:val="auto"/>
          <w:highlight w:val="none"/>
        </w:rPr>
        <w:instrText xml:space="preserve"> PAGEREF _Toc18769 \h </w:instrText>
      </w:r>
      <w:r>
        <w:rPr>
          <w:color w:val="auto"/>
          <w:highlight w:val="none"/>
        </w:rPr>
        <w:fldChar w:fldCharType="separate"/>
      </w:r>
      <w:r>
        <w:rPr>
          <w:color w:val="auto"/>
          <w:highlight w:val="none"/>
        </w:rPr>
        <w:t>118</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_Toc31928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3.2.3.12 </w:t>
      </w:r>
      <w:r>
        <w:rPr>
          <w:rFonts w:hint="eastAsia" w:ascii="宋体" w:hAnsi="宋体"/>
          <w:color w:val="auto"/>
          <w:szCs w:val="24"/>
          <w:highlight w:val="none"/>
        </w:rPr>
        <w:t>门（急）诊输液系统</w:t>
      </w:r>
      <w:r>
        <w:rPr>
          <w:color w:val="auto"/>
          <w:highlight w:val="none"/>
        </w:rPr>
        <w:tab/>
      </w:r>
      <w:r>
        <w:rPr>
          <w:color w:val="auto"/>
          <w:highlight w:val="none"/>
        </w:rPr>
        <w:fldChar w:fldCharType="begin"/>
      </w:r>
      <w:r>
        <w:rPr>
          <w:color w:val="auto"/>
          <w:highlight w:val="none"/>
        </w:rPr>
        <w:instrText xml:space="preserve"> PAGEREF _Toc31928 \h </w:instrText>
      </w:r>
      <w:r>
        <w:rPr>
          <w:color w:val="auto"/>
          <w:highlight w:val="none"/>
        </w:rPr>
        <w:fldChar w:fldCharType="separate"/>
      </w:r>
      <w:r>
        <w:rPr>
          <w:color w:val="auto"/>
          <w:highlight w:val="none"/>
        </w:rPr>
        <w:t>125</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_Toc30754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3.2.3.13 </w:t>
      </w:r>
      <w:r>
        <w:rPr>
          <w:rFonts w:hint="eastAsia" w:ascii="宋体" w:hAnsi="宋体"/>
          <w:color w:val="auto"/>
          <w:szCs w:val="24"/>
          <w:highlight w:val="none"/>
        </w:rPr>
        <w:t>门急诊应急系统</w:t>
      </w:r>
      <w:r>
        <w:rPr>
          <w:color w:val="auto"/>
          <w:highlight w:val="none"/>
        </w:rPr>
        <w:tab/>
      </w:r>
      <w:r>
        <w:rPr>
          <w:color w:val="auto"/>
          <w:highlight w:val="none"/>
        </w:rPr>
        <w:fldChar w:fldCharType="begin"/>
      </w:r>
      <w:r>
        <w:rPr>
          <w:color w:val="auto"/>
          <w:highlight w:val="none"/>
        </w:rPr>
        <w:instrText xml:space="preserve"> PAGEREF _Toc30754 \h </w:instrText>
      </w:r>
      <w:r>
        <w:rPr>
          <w:color w:val="auto"/>
          <w:highlight w:val="none"/>
        </w:rPr>
        <w:fldChar w:fldCharType="separate"/>
      </w:r>
      <w:r>
        <w:rPr>
          <w:color w:val="auto"/>
          <w:highlight w:val="none"/>
        </w:rPr>
        <w:t>126</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_Toc18995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3.2.3.14 </w:t>
      </w:r>
      <w:r>
        <w:rPr>
          <w:rFonts w:hint="eastAsia" w:ascii="宋体" w:hAnsi="宋体"/>
          <w:color w:val="auto"/>
          <w:szCs w:val="24"/>
          <w:highlight w:val="none"/>
        </w:rPr>
        <w:t>结构化病历编辑器</w:t>
      </w:r>
      <w:r>
        <w:rPr>
          <w:color w:val="auto"/>
          <w:highlight w:val="none"/>
        </w:rPr>
        <w:tab/>
      </w:r>
      <w:r>
        <w:rPr>
          <w:color w:val="auto"/>
          <w:highlight w:val="none"/>
        </w:rPr>
        <w:fldChar w:fldCharType="begin"/>
      </w:r>
      <w:r>
        <w:rPr>
          <w:color w:val="auto"/>
          <w:highlight w:val="none"/>
        </w:rPr>
        <w:instrText xml:space="preserve"> PAGEREF _Toc18995 \h </w:instrText>
      </w:r>
      <w:r>
        <w:rPr>
          <w:color w:val="auto"/>
          <w:highlight w:val="none"/>
        </w:rPr>
        <w:fldChar w:fldCharType="separate"/>
      </w:r>
      <w:r>
        <w:rPr>
          <w:color w:val="auto"/>
          <w:highlight w:val="none"/>
        </w:rPr>
        <w:t>127</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_Toc14204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3.2.3.15 </w:t>
      </w:r>
      <w:r>
        <w:rPr>
          <w:rFonts w:hint="eastAsia" w:ascii="宋体" w:hAnsi="宋体"/>
          <w:color w:val="auto"/>
          <w:szCs w:val="24"/>
          <w:highlight w:val="none"/>
        </w:rPr>
        <w:t>门诊电子病历</w:t>
      </w:r>
      <w:r>
        <w:rPr>
          <w:color w:val="auto"/>
          <w:highlight w:val="none"/>
        </w:rPr>
        <w:tab/>
      </w:r>
      <w:r>
        <w:rPr>
          <w:color w:val="auto"/>
          <w:highlight w:val="none"/>
        </w:rPr>
        <w:fldChar w:fldCharType="begin"/>
      </w:r>
      <w:r>
        <w:rPr>
          <w:color w:val="auto"/>
          <w:highlight w:val="none"/>
        </w:rPr>
        <w:instrText xml:space="preserve"> PAGEREF _Toc14204 \h </w:instrText>
      </w:r>
      <w:r>
        <w:rPr>
          <w:color w:val="auto"/>
          <w:highlight w:val="none"/>
        </w:rPr>
        <w:fldChar w:fldCharType="separate"/>
      </w:r>
      <w:r>
        <w:rPr>
          <w:color w:val="auto"/>
          <w:highlight w:val="none"/>
        </w:rPr>
        <w:t>129</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_Toc29662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3.2.3.16 </w:t>
      </w:r>
      <w:r>
        <w:rPr>
          <w:rFonts w:hint="eastAsia" w:ascii="宋体" w:hAnsi="宋体"/>
          <w:color w:val="auto"/>
          <w:szCs w:val="24"/>
          <w:highlight w:val="none"/>
        </w:rPr>
        <w:t>住院电子病历</w:t>
      </w:r>
      <w:r>
        <w:rPr>
          <w:color w:val="auto"/>
          <w:highlight w:val="none"/>
        </w:rPr>
        <w:tab/>
      </w:r>
      <w:r>
        <w:rPr>
          <w:color w:val="auto"/>
          <w:highlight w:val="none"/>
        </w:rPr>
        <w:fldChar w:fldCharType="begin"/>
      </w:r>
      <w:r>
        <w:rPr>
          <w:color w:val="auto"/>
          <w:highlight w:val="none"/>
        </w:rPr>
        <w:instrText xml:space="preserve"> PAGEREF _Toc29662 \h </w:instrText>
      </w:r>
      <w:r>
        <w:rPr>
          <w:color w:val="auto"/>
          <w:highlight w:val="none"/>
        </w:rPr>
        <w:fldChar w:fldCharType="separate"/>
      </w:r>
      <w:r>
        <w:rPr>
          <w:color w:val="auto"/>
          <w:highlight w:val="none"/>
        </w:rPr>
        <w:t>131</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_Toc26102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3.2.3.17 </w:t>
      </w:r>
      <w:r>
        <w:rPr>
          <w:rFonts w:hint="eastAsia" w:ascii="宋体" w:hAnsi="宋体"/>
          <w:color w:val="auto"/>
          <w:szCs w:val="24"/>
          <w:highlight w:val="none"/>
        </w:rPr>
        <w:t>病历质控系统</w:t>
      </w:r>
      <w:r>
        <w:rPr>
          <w:color w:val="auto"/>
          <w:highlight w:val="none"/>
        </w:rPr>
        <w:tab/>
      </w:r>
      <w:r>
        <w:rPr>
          <w:color w:val="auto"/>
          <w:highlight w:val="none"/>
        </w:rPr>
        <w:fldChar w:fldCharType="begin"/>
      </w:r>
      <w:r>
        <w:rPr>
          <w:color w:val="auto"/>
          <w:highlight w:val="none"/>
        </w:rPr>
        <w:instrText xml:space="preserve"> PAGEREF _Toc26102 \h </w:instrText>
      </w:r>
      <w:r>
        <w:rPr>
          <w:color w:val="auto"/>
          <w:highlight w:val="none"/>
        </w:rPr>
        <w:fldChar w:fldCharType="separate"/>
      </w:r>
      <w:r>
        <w:rPr>
          <w:color w:val="auto"/>
          <w:highlight w:val="none"/>
        </w:rPr>
        <w:t>133</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_Toc15916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3.2.3.18 </w:t>
      </w:r>
      <w:r>
        <w:rPr>
          <w:rFonts w:hint="eastAsia" w:ascii="宋体" w:hAnsi="宋体"/>
          <w:color w:val="auto"/>
          <w:szCs w:val="24"/>
          <w:highlight w:val="none"/>
        </w:rPr>
        <w:t>电子病历浏览</w:t>
      </w:r>
      <w:r>
        <w:rPr>
          <w:rFonts w:ascii="宋体" w:hAnsi="宋体"/>
          <w:color w:val="auto"/>
          <w:szCs w:val="24"/>
          <w:highlight w:val="none"/>
        </w:rPr>
        <w:t>WEB版</w:t>
      </w:r>
      <w:r>
        <w:rPr>
          <w:color w:val="auto"/>
          <w:highlight w:val="none"/>
        </w:rPr>
        <w:tab/>
      </w:r>
      <w:r>
        <w:rPr>
          <w:color w:val="auto"/>
          <w:highlight w:val="none"/>
        </w:rPr>
        <w:fldChar w:fldCharType="begin"/>
      </w:r>
      <w:r>
        <w:rPr>
          <w:color w:val="auto"/>
          <w:highlight w:val="none"/>
        </w:rPr>
        <w:instrText xml:space="preserve"> PAGEREF _Toc15916 \h </w:instrText>
      </w:r>
      <w:r>
        <w:rPr>
          <w:color w:val="auto"/>
          <w:highlight w:val="none"/>
        </w:rPr>
        <w:fldChar w:fldCharType="separate"/>
      </w:r>
      <w:r>
        <w:rPr>
          <w:color w:val="auto"/>
          <w:highlight w:val="none"/>
        </w:rPr>
        <w:t>137</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_Toc32127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3.2.3.19 </w:t>
      </w:r>
      <w:r>
        <w:rPr>
          <w:rFonts w:hint="eastAsia" w:ascii="宋体" w:hAnsi="宋体"/>
          <w:color w:val="auto"/>
          <w:szCs w:val="24"/>
          <w:highlight w:val="none"/>
        </w:rPr>
        <w:t>药师工作站（前置审方系统）</w:t>
      </w:r>
      <w:r>
        <w:rPr>
          <w:color w:val="auto"/>
          <w:highlight w:val="none"/>
        </w:rPr>
        <w:tab/>
      </w:r>
      <w:r>
        <w:rPr>
          <w:color w:val="auto"/>
          <w:highlight w:val="none"/>
        </w:rPr>
        <w:fldChar w:fldCharType="begin"/>
      </w:r>
      <w:r>
        <w:rPr>
          <w:color w:val="auto"/>
          <w:highlight w:val="none"/>
        </w:rPr>
        <w:instrText xml:space="preserve"> PAGEREF _Toc32127 \h </w:instrText>
      </w:r>
      <w:r>
        <w:rPr>
          <w:color w:val="auto"/>
          <w:highlight w:val="none"/>
        </w:rPr>
        <w:fldChar w:fldCharType="separate"/>
      </w:r>
      <w:r>
        <w:rPr>
          <w:color w:val="auto"/>
          <w:highlight w:val="none"/>
        </w:rPr>
        <w:t>137</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_Toc11605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3.2.3.20 </w:t>
      </w:r>
      <w:r>
        <w:rPr>
          <w:rFonts w:hint="eastAsia" w:ascii="宋体" w:hAnsi="宋体"/>
          <w:color w:val="auto"/>
          <w:szCs w:val="24"/>
          <w:highlight w:val="none"/>
        </w:rPr>
        <w:t>临床路径系统</w:t>
      </w:r>
      <w:r>
        <w:rPr>
          <w:color w:val="auto"/>
          <w:highlight w:val="none"/>
        </w:rPr>
        <w:tab/>
      </w:r>
      <w:r>
        <w:rPr>
          <w:color w:val="auto"/>
          <w:highlight w:val="none"/>
        </w:rPr>
        <w:fldChar w:fldCharType="begin"/>
      </w:r>
      <w:r>
        <w:rPr>
          <w:color w:val="auto"/>
          <w:highlight w:val="none"/>
        </w:rPr>
        <w:instrText xml:space="preserve"> PAGEREF _Toc11605 \h </w:instrText>
      </w:r>
      <w:r>
        <w:rPr>
          <w:color w:val="auto"/>
          <w:highlight w:val="none"/>
        </w:rPr>
        <w:fldChar w:fldCharType="separate"/>
      </w:r>
      <w:r>
        <w:rPr>
          <w:color w:val="auto"/>
          <w:highlight w:val="none"/>
        </w:rPr>
        <w:t>139</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_Toc17237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3.2.3.21 </w:t>
      </w:r>
      <w:r>
        <w:rPr>
          <w:rFonts w:hint="eastAsia" w:ascii="宋体" w:hAnsi="宋体"/>
          <w:color w:val="auto"/>
          <w:szCs w:val="24"/>
          <w:highlight w:val="none"/>
        </w:rPr>
        <w:t>会诊管理系统</w:t>
      </w:r>
      <w:r>
        <w:rPr>
          <w:color w:val="auto"/>
          <w:highlight w:val="none"/>
        </w:rPr>
        <w:tab/>
      </w:r>
      <w:r>
        <w:rPr>
          <w:color w:val="auto"/>
          <w:highlight w:val="none"/>
        </w:rPr>
        <w:fldChar w:fldCharType="begin"/>
      </w:r>
      <w:r>
        <w:rPr>
          <w:color w:val="auto"/>
          <w:highlight w:val="none"/>
        </w:rPr>
        <w:instrText xml:space="preserve"> PAGEREF _Toc17237 \h </w:instrText>
      </w:r>
      <w:r>
        <w:rPr>
          <w:color w:val="auto"/>
          <w:highlight w:val="none"/>
        </w:rPr>
        <w:fldChar w:fldCharType="separate"/>
      </w:r>
      <w:r>
        <w:rPr>
          <w:color w:val="auto"/>
          <w:highlight w:val="none"/>
        </w:rPr>
        <w:t>140</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_Toc1021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3.2.3.22 </w:t>
      </w:r>
      <w:r>
        <w:rPr>
          <w:rFonts w:hint="eastAsia" w:ascii="宋体" w:hAnsi="宋体"/>
          <w:color w:val="auto"/>
          <w:szCs w:val="24"/>
          <w:highlight w:val="none"/>
        </w:rPr>
        <w:t>移动查房系统</w:t>
      </w:r>
      <w:r>
        <w:rPr>
          <w:color w:val="auto"/>
          <w:highlight w:val="none"/>
        </w:rPr>
        <w:tab/>
      </w:r>
      <w:r>
        <w:rPr>
          <w:color w:val="auto"/>
          <w:highlight w:val="none"/>
        </w:rPr>
        <w:fldChar w:fldCharType="begin"/>
      </w:r>
      <w:r>
        <w:rPr>
          <w:color w:val="auto"/>
          <w:highlight w:val="none"/>
        </w:rPr>
        <w:instrText xml:space="preserve"> PAGEREF _Toc1021 \h </w:instrText>
      </w:r>
      <w:r>
        <w:rPr>
          <w:color w:val="auto"/>
          <w:highlight w:val="none"/>
        </w:rPr>
        <w:fldChar w:fldCharType="separate"/>
      </w:r>
      <w:r>
        <w:rPr>
          <w:color w:val="auto"/>
          <w:highlight w:val="none"/>
        </w:rPr>
        <w:t>141</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_Toc8319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3.2.3.23 </w:t>
      </w:r>
      <w:r>
        <w:rPr>
          <w:rFonts w:hint="eastAsia" w:ascii="宋体" w:hAnsi="宋体"/>
          <w:color w:val="auto"/>
          <w:szCs w:val="24"/>
          <w:highlight w:val="none"/>
        </w:rPr>
        <w:t>移动护理系统</w:t>
      </w:r>
      <w:r>
        <w:rPr>
          <w:color w:val="auto"/>
          <w:highlight w:val="none"/>
        </w:rPr>
        <w:tab/>
      </w:r>
      <w:r>
        <w:rPr>
          <w:color w:val="auto"/>
          <w:highlight w:val="none"/>
        </w:rPr>
        <w:fldChar w:fldCharType="begin"/>
      </w:r>
      <w:r>
        <w:rPr>
          <w:color w:val="auto"/>
          <w:highlight w:val="none"/>
        </w:rPr>
        <w:instrText xml:space="preserve"> PAGEREF _Toc8319 \h </w:instrText>
      </w:r>
      <w:r>
        <w:rPr>
          <w:color w:val="auto"/>
          <w:highlight w:val="none"/>
        </w:rPr>
        <w:fldChar w:fldCharType="separate"/>
      </w:r>
      <w:r>
        <w:rPr>
          <w:color w:val="auto"/>
          <w:highlight w:val="none"/>
        </w:rPr>
        <w:t>143</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_Toc15416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3.2.3.24 </w:t>
      </w:r>
      <w:r>
        <w:rPr>
          <w:rFonts w:hint="eastAsia" w:ascii="宋体" w:hAnsi="宋体"/>
          <w:color w:val="auto"/>
          <w:szCs w:val="24"/>
          <w:highlight w:val="none"/>
        </w:rPr>
        <w:t>医技管理系统</w:t>
      </w:r>
      <w:r>
        <w:rPr>
          <w:color w:val="auto"/>
          <w:highlight w:val="none"/>
        </w:rPr>
        <w:tab/>
      </w:r>
      <w:r>
        <w:rPr>
          <w:color w:val="auto"/>
          <w:highlight w:val="none"/>
        </w:rPr>
        <w:fldChar w:fldCharType="begin"/>
      </w:r>
      <w:r>
        <w:rPr>
          <w:color w:val="auto"/>
          <w:highlight w:val="none"/>
        </w:rPr>
        <w:instrText xml:space="preserve"> PAGEREF _Toc15416 \h </w:instrText>
      </w:r>
      <w:r>
        <w:rPr>
          <w:color w:val="auto"/>
          <w:highlight w:val="none"/>
        </w:rPr>
        <w:fldChar w:fldCharType="separate"/>
      </w:r>
      <w:r>
        <w:rPr>
          <w:color w:val="auto"/>
          <w:highlight w:val="none"/>
        </w:rPr>
        <w:t>144</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_Toc12098 </w:instrText>
      </w:r>
      <w:r>
        <w:rPr>
          <w:rFonts w:ascii="宋体" w:hAnsi="宋体" w:cs="宋体"/>
          <w:color w:val="auto"/>
          <w:highlight w:val="none"/>
        </w:rPr>
        <w:fldChar w:fldCharType="separate"/>
      </w:r>
      <w:r>
        <w:rPr>
          <w:rFonts w:hint="eastAsia" w:ascii="宋体" w:hAnsi="宋体" w:cs="宋体"/>
          <w:color w:val="auto"/>
          <w:kern w:val="0"/>
          <w:szCs w:val="24"/>
          <w:highlight w:val="none"/>
          <w:lang w:val="en-US" w:bidi="ug-CN"/>
        </w:rPr>
        <w:t xml:space="preserve">3.2.3.25 </w:t>
      </w:r>
      <w:r>
        <w:rPr>
          <w:rFonts w:hint="eastAsia" w:ascii="宋体" w:hAnsi="宋体" w:cs="宋体"/>
          <w:color w:val="auto"/>
          <w:kern w:val="0"/>
          <w:szCs w:val="24"/>
          <w:highlight w:val="none"/>
          <w:lang w:bidi="ug-CN"/>
        </w:rPr>
        <w:t>血液透析管理系统</w:t>
      </w:r>
      <w:r>
        <w:rPr>
          <w:color w:val="auto"/>
          <w:highlight w:val="none"/>
        </w:rPr>
        <w:tab/>
      </w:r>
      <w:r>
        <w:rPr>
          <w:color w:val="auto"/>
          <w:highlight w:val="none"/>
        </w:rPr>
        <w:fldChar w:fldCharType="begin"/>
      </w:r>
      <w:r>
        <w:rPr>
          <w:color w:val="auto"/>
          <w:highlight w:val="none"/>
        </w:rPr>
        <w:instrText xml:space="preserve"> PAGEREF _Toc12098 \h </w:instrText>
      </w:r>
      <w:r>
        <w:rPr>
          <w:color w:val="auto"/>
          <w:highlight w:val="none"/>
        </w:rPr>
        <w:fldChar w:fldCharType="separate"/>
      </w:r>
      <w:r>
        <w:rPr>
          <w:color w:val="auto"/>
          <w:highlight w:val="none"/>
        </w:rPr>
        <w:t>146</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_Toc30128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3.2.3.26 </w:t>
      </w:r>
      <w:r>
        <w:rPr>
          <w:rFonts w:hint="eastAsia" w:ascii="宋体" w:hAnsi="宋体"/>
          <w:color w:val="auto"/>
          <w:szCs w:val="24"/>
          <w:highlight w:val="none"/>
        </w:rPr>
        <w:t>康复管理系统</w:t>
      </w:r>
      <w:r>
        <w:rPr>
          <w:color w:val="auto"/>
          <w:highlight w:val="none"/>
        </w:rPr>
        <w:tab/>
      </w:r>
      <w:r>
        <w:rPr>
          <w:color w:val="auto"/>
          <w:highlight w:val="none"/>
        </w:rPr>
        <w:fldChar w:fldCharType="begin"/>
      </w:r>
      <w:r>
        <w:rPr>
          <w:color w:val="auto"/>
          <w:highlight w:val="none"/>
        </w:rPr>
        <w:instrText xml:space="preserve"> PAGEREF _Toc30128 \h </w:instrText>
      </w:r>
      <w:r>
        <w:rPr>
          <w:color w:val="auto"/>
          <w:highlight w:val="none"/>
        </w:rPr>
        <w:fldChar w:fldCharType="separate"/>
      </w:r>
      <w:r>
        <w:rPr>
          <w:color w:val="auto"/>
          <w:highlight w:val="none"/>
        </w:rPr>
        <w:t>148</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_Toc11571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3.2.3.27 </w:t>
      </w:r>
      <w:r>
        <w:rPr>
          <w:rFonts w:hint="eastAsia" w:ascii="宋体" w:hAnsi="宋体"/>
          <w:color w:val="auto"/>
          <w:szCs w:val="24"/>
          <w:highlight w:val="none"/>
        </w:rPr>
        <w:t>高压氧舱管理系统</w:t>
      </w:r>
      <w:r>
        <w:rPr>
          <w:color w:val="auto"/>
          <w:highlight w:val="none"/>
        </w:rPr>
        <w:tab/>
      </w:r>
      <w:r>
        <w:rPr>
          <w:color w:val="auto"/>
          <w:highlight w:val="none"/>
        </w:rPr>
        <w:fldChar w:fldCharType="begin"/>
      </w:r>
      <w:r>
        <w:rPr>
          <w:color w:val="auto"/>
          <w:highlight w:val="none"/>
        </w:rPr>
        <w:instrText xml:space="preserve"> PAGEREF _Toc11571 \h </w:instrText>
      </w:r>
      <w:r>
        <w:rPr>
          <w:color w:val="auto"/>
          <w:highlight w:val="none"/>
        </w:rPr>
        <w:fldChar w:fldCharType="separate"/>
      </w:r>
      <w:r>
        <w:rPr>
          <w:color w:val="auto"/>
          <w:highlight w:val="none"/>
        </w:rPr>
        <w:t>148</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_Toc16074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3.2.3.28 </w:t>
      </w:r>
      <w:r>
        <w:rPr>
          <w:rFonts w:hint="eastAsia" w:ascii="宋体" w:hAnsi="宋体"/>
          <w:color w:val="auto"/>
          <w:szCs w:val="24"/>
          <w:highlight w:val="none"/>
        </w:rPr>
        <w:t>一般治疗系统</w:t>
      </w:r>
      <w:r>
        <w:rPr>
          <w:color w:val="auto"/>
          <w:highlight w:val="none"/>
        </w:rPr>
        <w:tab/>
      </w:r>
      <w:r>
        <w:rPr>
          <w:color w:val="auto"/>
          <w:highlight w:val="none"/>
        </w:rPr>
        <w:fldChar w:fldCharType="begin"/>
      </w:r>
      <w:r>
        <w:rPr>
          <w:color w:val="auto"/>
          <w:highlight w:val="none"/>
        </w:rPr>
        <w:instrText xml:space="preserve"> PAGEREF _Toc16074 \h </w:instrText>
      </w:r>
      <w:r>
        <w:rPr>
          <w:color w:val="auto"/>
          <w:highlight w:val="none"/>
        </w:rPr>
        <w:fldChar w:fldCharType="separate"/>
      </w:r>
      <w:r>
        <w:rPr>
          <w:color w:val="auto"/>
          <w:highlight w:val="none"/>
        </w:rPr>
        <w:t>149</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_Toc16433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3.2.3.29 </w:t>
      </w:r>
      <w:r>
        <w:rPr>
          <w:rFonts w:hint="eastAsia" w:ascii="宋体" w:hAnsi="宋体"/>
          <w:color w:val="auto"/>
          <w:szCs w:val="24"/>
          <w:highlight w:val="none"/>
        </w:rPr>
        <w:t>日间手术室信息系统</w:t>
      </w:r>
      <w:r>
        <w:rPr>
          <w:color w:val="auto"/>
          <w:highlight w:val="none"/>
        </w:rPr>
        <w:tab/>
      </w:r>
      <w:r>
        <w:rPr>
          <w:color w:val="auto"/>
          <w:highlight w:val="none"/>
        </w:rPr>
        <w:fldChar w:fldCharType="begin"/>
      </w:r>
      <w:r>
        <w:rPr>
          <w:color w:val="auto"/>
          <w:highlight w:val="none"/>
        </w:rPr>
        <w:instrText xml:space="preserve"> PAGEREF _Toc16433 \h </w:instrText>
      </w:r>
      <w:r>
        <w:rPr>
          <w:color w:val="auto"/>
          <w:highlight w:val="none"/>
        </w:rPr>
        <w:fldChar w:fldCharType="separate"/>
      </w:r>
      <w:r>
        <w:rPr>
          <w:color w:val="auto"/>
          <w:highlight w:val="none"/>
        </w:rPr>
        <w:t>151</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_Toc6310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3.2.3.30 </w:t>
      </w:r>
      <w:r>
        <w:rPr>
          <w:rFonts w:hint="eastAsia" w:ascii="宋体" w:hAnsi="宋体"/>
          <w:color w:val="auto"/>
          <w:szCs w:val="24"/>
          <w:highlight w:val="none"/>
        </w:rPr>
        <w:t>检验系统</w:t>
      </w:r>
      <w:r>
        <w:rPr>
          <w:color w:val="auto"/>
          <w:highlight w:val="none"/>
        </w:rPr>
        <w:tab/>
      </w:r>
      <w:r>
        <w:rPr>
          <w:color w:val="auto"/>
          <w:highlight w:val="none"/>
        </w:rPr>
        <w:fldChar w:fldCharType="begin"/>
      </w:r>
      <w:r>
        <w:rPr>
          <w:color w:val="auto"/>
          <w:highlight w:val="none"/>
        </w:rPr>
        <w:instrText xml:space="preserve"> PAGEREF _Toc6310 \h </w:instrText>
      </w:r>
      <w:r>
        <w:rPr>
          <w:color w:val="auto"/>
          <w:highlight w:val="none"/>
        </w:rPr>
        <w:fldChar w:fldCharType="separate"/>
      </w:r>
      <w:r>
        <w:rPr>
          <w:color w:val="auto"/>
          <w:highlight w:val="none"/>
        </w:rPr>
        <w:t>152</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_Toc9208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3.2.3.31 </w:t>
      </w:r>
      <w:r>
        <w:rPr>
          <w:rFonts w:hint="eastAsia" w:ascii="宋体" w:hAnsi="宋体"/>
          <w:color w:val="auto"/>
          <w:szCs w:val="24"/>
          <w:highlight w:val="none"/>
        </w:rPr>
        <w:t>合理用药系统</w:t>
      </w:r>
      <w:r>
        <w:rPr>
          <w:color w:val="auto"/>
          <w:highlight w:val="none"/>
        </w:rPr>
        <w:tab/>
      </w:r>
      <w:r>
        <w:rPr>
          <w:color w:val="auto"/>
          <w:highlight w:val="none"/>
        </w:rPr>
        <w:fldChar w:fldCharType="begin"/>
      </w:r>
      <w:r>
        <w:rPr>
          <w:color w:val="auto"/>
          <w:highlight w:val="none"/>
        </w:rPr>
        <w:instrText xml:space="preserve"> PAGEREF _Toc9208 \h </w:instrText>
      </w:r>
      <w:r>
        <w:rPr>
          <w:color w:val="auto"/>
          <w:highlight w:val="none"/>
        </w:rPr>
        <w:fldChar w:fldCharType="separate"/>
      </w:r>
      <w:r>
        <w:rPr>
          <w:color w:val="auto"/>
          <w:highlight w:val="none"/>
        </w:rPr>
        <w:t>152</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_Toc997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3.2.3.32 </w:t>
      </w:r>
      <w:r>
        <w:rPr>
          <w:rFonts w:hint="eastAsia" w:ascii="宋体" w:hAnsi="宋体"/>
          <w:color w:val="auto"/>
          <w:szCs w:val="24"/>
          <w:highlight w:val="none"/>
        </w:rPr>
        <w:t>PEM-D心身整体</w:t>
      </w:r>
      <w:r>
        <w:rPr>
          <w:rFonts w:hint="eastAsia" w:ascii="宋体" w:hAnsi="宋体"/>
          <w:color w:val="auto"/>
          <w:szCs w:val="24"/>
          <w:highlight w:val="none"/>
          <w:lang w:eastAsia="zh-CN"/>
        </w:rPr>
        <w:t>评审</w:t>
      </w:r>
      <w:r>
        <w:rPr>
          <w:rFonts w:hint="eastAsia" w:ascii="宋体" w:hAnsi="宋体"/>
          <w:color w:val="auto"/>
          <w:szCs w:val="24"/>
          <w:highlight w:val="none"/>
        </w:rPr>
        <w:t>干预系统</w:t>
      </w:r>
      <w:r>
        <w:rPr>
          <w:color w:val="auto"/>
          <w:highlight w:val="none"/>
        </w:rPr>
        <w:tab/>
      </w:r>
      <w:r>
        <w:rPr>
          <w:color w:val="auto"/>
          <w:highlight w:val="none"/>
        </w:rPr>
        <w:fldChar w:fldCharType="begin"/>
      </w:r>
      <w:r>
        <w:rPr>
          <w:color w:val="auto"/>
          <w:highlight w:val="none"/>
        </w:rPr>
        <w:instrText xml:space="preserve"> PAGEREF _Toc997 \h </w:instrText>
      </w:r>
      <w:r>
        <w:rPr>
          <w:color w:val="auto"/>
          <w:highlight w:val="none"/>
        </w:rPr>
        <w:fldChar w:fldCharType="separate"/>
      </w:r>
      <w:r>
        <w:rPr>
          <w:color w:val="auto"/>
          <w:highlight w:val="none"/>
        </w:rPr>
        <w:t>153</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_Toc24230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3.2.3.33 </w:t>
      </w:r>
      <w:r>
        <w:rPr>
          <w:rFonts w:hint="eastAsia" w:ascii="宋体" w:hAnsi="宋体"/>
          <w:color w:val="auto"/>
          <w:szCs w:val="24"/>
          <w:highlight w:val="none"/>
        </w:rPr>
        <w:t>小儿康复</w:t>
      </w:r>
      <w:r>
        <w:rPr>
          <w:rFonts w:hint="eastAsia" w:ascii="宋体" w:hAnsi="宋体"/>
          <w:color w:val="auto"/>
          <w:szCs w:val="24"/>
          <w:highlight w:val="none"/>
          <w:lang w:eastAsia="zh-CN"/>
        </w:rPr>
        <w:t>评审</w:t>
      </w:r>
      <w:r>
        <w:rPr>
          <w:rFonts w:hint="eastAsia" w:ascii="宋体" w:hAnsi="宋体"/>
          <w:color w:val="auto"/>
          <w:szCs w:val="24"/>
          <w:highlight w:val="none"/>
        </w:rPr>
        <w:t>系统</w:t>
      </w:r>
      <w:r>
        <w:rPr>
          <w:color w:val="auto"/>
          <w:highlight w:val="none"/>
        </w:rPr>
        <w:tab/>
      </w:r>
      <w:r>
        <w:rPr>
          <w:color w:val="auto"/>
          <w:highlight w:val="none"/>
        </w:rPr>
        <w:fldChar w:fldCharType="begin"/>
      </w:r>
      <w:r>
        <w:rPr>
          <w:color w:val="auto"/>
          <w:highlight w:val="none"/>
        </w:rPr>
        <w:instrText xml:space="preserve"> PAGEREF _Toc24230 \h </w:instrText>
      </w:r>
      <w:r>
        <w:rPr>
          <w:color w:val="auto"/>
          <w:highlight w:val="none"/>
        </w:rPr>
        <w:fldChar w:fldCharType="separate"/>
      </w:r>
      <w:r>
        <w:rPr>
          <w:color w:val="auto"/>
          <w:highlight w:val="none"/>
        </w:rPr>
        <w:t>154</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_Toc7736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3.2.3.34 </w:t>
      </w:r>
      <w:r>
        <w:rPr>
          <w:rFonts w:hint="eastAsia" w:ascii="宋体" w:hAnsi="宋体"/>
          <w:color w:val="auto"/>
          <w:szCs w:val="24"/>
          <w:highlight w:val="none"/>
        </w:rPr>
        <w:t>基础数据维护</w:t>
      </w:r>
      <w:r>
        <w:rPr>
          <w:color w:val="auto"/>
          <w:highlight w:val="none"/>
        </w:rPr>
        <w:tab/>
      </w:r>
      <w:r>
        <w:rPr>
          <w:color w:val="auto"/>
          <w:highlight w:val="none"/>
        </w:rPr>
        <w:fldChar w:fldCharType="begin"/>
      </w:r>
      <w:r>
        <w:rPr>
          <w:color w:val="auto"/>
          <w:highlight w:val="none"/>
        </w:rPr>
        <w:instrText xml:space="preserve"> PAGEREF _Toc7736 \h </w:instrText>
      </w:r>
      <w:r>
        <w:rPr>
          <w:color w:val="auto"/>
          <w:highlight w:val="none"/>
        </w:rPr>
        <w:fldChar w:fldCharType="separate"/>
      </w:r>
      <w:r>
        <w:rPr>
          <w:color w:val="auto"/>
          <w:highlight w:val="none"/>
        </w:rPr>
        <w:t>155</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_Toc29107 </w:instrText>
      </w:r>
      <w:r>
        <w:rPr>
          <w:rFonts w:ascii="宋体" w:hAnsi="宋体" w:cs="宋体"/>
          <w:color w:val="auto"/>
          <w:highlight w:val="none"/>
        </w:rPr>
        <w:fldChar w:fldCharType="separate"/>
      </w:r>
      <w:r>
        <w:rPr>
          <w:rFonts w:hint="eastAsia" w:hAnsi="宋体"/>
          <w:color w:val="auto"/>
          <w:szCs w:val="24"/>
          <w:highlight w:val="none"/>
        </w:rPr>
        <w:t>3.2.4 智慧管理建设</w:t>
      </w:r>
      <w:r>
        <w:rPr>
          <w:color w:val="auto"/>
          <w:highlight w:val="none"/>
        </w:rPr>
        <w:tab/>
      </w:r>
      <w:r>
        <w:rPr>
          <w:color w:val="auto"/>
          <w:highlight w:val="none"/>
        </w:rPr>
        <w:fldChar w:fldCharType="begin"/>
      </w:r>
      <w:r>
        <w:rPr>
          <w:color w:val="auto"/>
          <w:highlight w:val="none"/>
        </w:rPr>
        <w:instrText xml:space="preserve"> PAGEREF _Toc29107 \h </w:instrText>
      </w:r>
      <w:r>
        <w:rPr>
          <w:color w:val="auto"/>
          <w:highlight w:val="none"/>
        </w:rPr>
        <w:fldChar w:fldCharType="separate"/>
      </w:r>
      <w:r>
        <w:rPr>
          <w:color w:val="auto"/>
          <w:highlight w:val="none"/>
        </w:rPr>
        <w:t>159</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_Toc31646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3.2.4.1 </w:t>
      </w:r>
      <w:r>
        <w:rPr>
          <w:rFonts w:hint="eastAsia" w:ascii="宋体" w:hAnsi="宋体"/>
          <w:color w:val="auto"/>
          <w:szCs w:val="24"/>
          <w:highlight w:val="none"/>
        </w:rPr>
        <w:t>医疗管理系统</w:t>
      </w:r>
      <w:r>
        <w:rPr>
          <w:color w:val="auto"/>
          <w:highlight w:val="none"/>
        </w:rPr>
        <w:tab/>
      </w:r>
      <w:r>
        <w:rPr>
          <w:color w:val="auto"/>
          <w:highlight w:val="none"/>
        </w:rPr>
        <w:fldChar w:fldCharType="begin"/>
      </w:r>
      <w:r>
        <w:rPr>
          <w:color w:val="auto"/>
          <w:highlight w:val="none"/>
        </w:rPr>
        <w:instrText xml:space="preserve"> PAGEREF _Toc31646 \h </w:instrText>
      </w:r>
      <w:r>
        <w:rPr>
          <w:color w:val="auto"/>
          <w:highlight w:val="none"/>
        </w:rPr>
        <w:fldChar w:fldCharType="separate"/>
      </w:r>
      <w:r>
        <w:rPr>
          <w:color w:val="auto"/>
          <w:highlight w:val="none"/>
        </w:rPr>
        <w:t>159</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_Toc24574 </w:instrText>
      </w:r>
      <w:r>
        <w:rPr>
          <w:rFonts w:ascii="宋体" w:hAnsi="宋体" w:cs="宋体"/>
          <w:color w:val="auto"/>
          <w:highlight w:val="none"/>
        </w:rPr>
        <w:fldChar w:fldCharType="separate"/>
      </w:r>
      <w:r>
        <w:rPr>
          <w:rFonts w:hint="eastAsia" w:ascii="宋体" w:hAnsi="宋体"/>
          <w:color w:val="auto"/>
          <w:szCs w:val="24"/>
          <w:highlight w:val="none"/>
        </w:rPr>
        <w:t>3.2.4.1.1 医院感染管理系统</w:t>
      </w:r>
      <w:r>
        <w:rPr>
          <w:color w:val="auto"/>
          <w:highlight w:val="none"/>
        </w:rPr>
        <w:tab/>
      </w:r>
      <w:r>
        <w:rPr>
          <w:color w:val="auto"/>
          <w:highlight w:val="none"/>
        </w:rPr>
        <w:fldChar w:fldCharType="begin"/>
      </w:r>
      <w:r>
        <w:rPr>
          <w:color w:val="auto"/>
          <w:highlight w:val="none"/>
        </w:rPr>
        <w:instrText xml:space="preserve"> PAGEREF _Toc24574 \h </w:instrText>
      </w:r>
      <w:r>
        <w:rPr>
          <w:color w:val="auto"/>
          <w:highlight w:val="none"/>
        </w:rPr>
        <w:fldChar w:fldCharType="separate"/>
      </w:r>
      <w:r>
        <w:rPr>
          <w:color w:val="auto"/>
          <w:highlight w:val="none"/>
        </w:rPr>
        <w:t>159</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_Toc16102 </w:instrText>
      </w:r>
      <w:r>
        <w:rPr>
          <w:rFonts w:ascii="宋体" w:hAnsi="宋体" w:cs="宋体"/>
          <w:color w:val="auto"/>
          <w:highlight w:val="none"/>
        </w:rPr>
        <w:fldChar w:fldCharType="separate"/>
      </w:r>
      <w:r>
        <w:rPr>
          <w:rFonts w:hint="eastAsia" w:ascii="宋体" w:hAnsi="宋体"/>
          <w:color w:val="auto"/>
          <w:szCs w:val="24"/>
          <w:highlight w:val="none"/>
        </w:rPr>
        <w:t>3.2.4.1.2 单病种过程质控与数据上报系统</w:t>
      </w:r>
      <w:r>
        <w:rPr>
          <w:color w:val="auto"/>
          <w:highlight w:val="none"/>
        </w:rPr>
        <w:tab/>
      </w:r>
      <w:r>
        <w:rPr>
          <w:color w:val="auto"/>
          <w:highlight w:val="none"/>
        </w:rPr>
        <w:fldChar w:fldCharType="begin"/>
      </w:r>
      <w:r>
        <w:rPr>
          <w:color w:val="auto"/>
          <w:highlight w:val="none"/>
        </w:rPr>
        <w:instrText xml:space="preserve"> PAGEREF _Toc16102 \h </w:instrText>
      </w:r>
      <w:r>
        <w:rPr>
          <w:color w:val="auto"/>
          <w:highlight w:val="none"/>
        </w:rPr>
        <w:fldChar w:fldCharType="separate"/>
      </w:r>
      <w:r>
        <w:rPr>
          <w:color w:val="auto"/>
          <w:highlight w:val="none"/>
        </w:rPr>
        <w:t>159</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_Toc1727 </w:instrText>
      </w:r>
      <w:r>
        <w:rPr>
          <w:rFonts w:ascii="宋体" w:hAnsi="宋体" w:cs="宋体"/>
          <w:color w:val="auto"/>
          <w:highlight w:val="none"/>
        </w:rPr>
        <w:fldChar w:fldCharType="separate"/>
      </w:r>
      <w:r>
        <w:rPr>
          <w:rFonts w:hint="eastAsia" w:ascii="宋体" w:hAnsi="宋体"/>
          <w:color w:val="auto"/>
          <w:szCs w:val="24"/>
          <w:highlight w:val="none"/>
        </w:rPr>
        <w:t>3.2.4.1.3 不良事件</w:t>
      </w:r>
      <w:r>
        <w:rPr>
          <w:rFonts w:hint="eastAsia" w:ascii="宋体" w:hAnsi="宋体"/>
          <w:color w:val="auto"/>
          <w:szCs w:val="24"/>
          <w:highlight w:val="none"/>
          <w:lang w:eastAsia="zh-CN"/>
        </w:rPr>
        <w:t>上报</w:t>
      </w:r>
      <w:r>
        <w:rPr>
          <w:rFonts w:hint="eastAsia" w:ascii="宋体" w:hAnsi="宋体"/>
          <w:color w:val="auto"/>
          <w:szCs w:val="24"/>
          <w:highlight w:val="none"/>
        </w:rPr>
        <w:t>管理系统</w:t>
      </w:r>
      <w:r>
        <w:rPr>
          <w:color w:val="auto"/>
          <w:highlight w:val="none"/>
        </w:rPr>
        <w:tab/>
      </w:r>
      <w:r>
        <w:rPr>
          <w:color w:val="auto"/>
          <w:highlight w:val="none"/>
        </w:rPr>
        <w:fldChar w:fldCharType="begin"/>
      </w:r>
      <w:r>
        <w:rPr>
          <w:color w:val="auto"/>
          <w:highlight w:val="none"/>
        </w:rPr>
        <w:instrText xml:space="preserve"> PAGEREF _Toc1727 \h </w:instrText>
      </w:r>
      <w:r>
        <w:rPr>
          <w:color w:val="auto"/>
          <w:highlight w:val="none"/>
        </w:rPr>
        <w:fldChar w:fldCharType="separate"/>
      </w:r>
      <w:r>
        <w:rPr>
          <w:color w:val="auto"/>
          <w:highlight w:val="none"/>
        </w:rPr>
        <w:t>161</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_Toc10099 </w:instrText>
      </w:r>
      <w:r>
        <w:rPr>
          <w:rFonts w:ascii="宋体" w:hAnsi="宋体" w:cs="宋体"/>
          <w:color w:val="auto"/>
          <w:highlight w:val="none"/>
        </w:rPr>
        <w:fldChar w:fldCharType="separate"/>
      </w:r>
      <w:r>
        <w:rPr>
          <w:rFonts w:hint="eastAsia" w:ascii="宋体" w:hAnsi="宋体"/>
          <w:color w:val="auto"/>
          <w:szCs w:val="24"/>
          <w:highlight w:val="none"/>
        </w:rPr>
        <w:t>3.2.4.1.4 护士站集成视图</w:t>
      </w:r>
      <w:r>
        <w:rPr>
          <w:color w:val="auto"/>
          <w:highlight w:val="none"/>
        </w:rPr>
        <w:tab/>
      </w:r>
      <w:r>
        <w:rPr>
          <w:color w:val="auto"/>
          <w:highlight w:val="none"/>
        </w:rPr>
        <w:fldChar w:fldCharType="begin"/>
      </w:r>
      <w:r>
        <w:rPr>
          <w:color w:val="auto"/>
          <w:highlight w:val="none"/>
        </w:rPr>
        <w:instrText xml:space="preserve"> PAGEREF _Toc10099 \h </w:instrText>
      </w:r>
      <w:r>
        <w:rPr>
          <w:color w:val="auto"/>
          <w:highlight w:val="none"/>
        </w:rPr>
        <w:fldChar w:fldCharType="separate"/>
      </w:r>
      <w:r>
        <w:rPr>
          <w:color w:val="auto"/>
          <w:highlight w:val="none"/>
        </w:rPr>
        <w:t>163</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_Toc10957 </w:instrText>
      </w:r>
      <w:r>
        <w:rPr>
          <w:rFonts w:ascii="宋体" w:hAnsi="宋体" w:cs="宋体"/>
          <w:color w:val="auto"/>
          <w:highlight w:val="none"/>
        </w:rPr>
        <w:fldChar w:fldCharType="separate"/>
      </w:r>
      <w:r>
        <w:rPr>
          <w:rFonts w:hint="eastAsia" w:ascii="宋体" w:hAnsi="宋体"/>
          <w:color w:val="auto"/>
          <w:szCs w:val="24"/>
          <w:highlight w:val="none"/>
        </w:rPr>
        <w:t>3.2.4.1.5 护理管理系统</w:t>
      </w:r>
      <w:r>
        <w:rPr>
          <w:color w:val="auto"/>
          <w:highlight w:val="none"/>
        </w:rPr>
        <w:tab/>
      </w:r>
      <w:r>
        <w:rPr>
          <w:color w:val="auto"/>
          <w:highlight w:val="none"/>
        </w:rPr>
        <w:fldChar w:fldCharType="begin"/>
      </w:r>
      <w:r>
        <w:rPr>
          <w:color w:val="auto"/>
          <w:highlight w:val="none"/>
        </w:rPr>
        <w:instrText xml:space="preserve"> PAGEREF _Toc10957 \h </w:instrText>
      </w:r>
      <w:r>
        <w:rPr>
          <w:color w:val="auto"/>
          <w:highlight w:val="none"/>
        </w:rPr>
        <w:fldChar w:fldCharType="separate"/>
      </w:r>
      <w:r>
        <w:rPr>
          <w:color w:val="auto"/>
          <w:highlight w:val="none"/>
        </w:rPr>
        <w:t>163</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_Toc17868 </w:instrText>
      </w:r>
      <w:r>
        <w:rPr>
          <w:rFonts w:ascii="宋体" w:hAnsi="宋体" w:cs="宋体"/>
          <w:color w:val="auto"/>
          <w:highlight w:val="none"/>
        </w:rPr>
        <w:fldChar w:fldCharType="separate"/>
      </w:r>
      <w:r>
        <w:rPr>
          <w:rFonts w:hint="eastAsia" w:ascii="宋体" w:hAnsi="宋体"/>
          <w:color w:val="auto"/>
          <w:szCs w:val="24"/>
          <w:highlight w:val="none"/>
        </w:rPr>
        <w:t>3.2.4.1.6 医务管理系统</w:t>
      </w:r>
      <w:r>
        <w:rPr>
          <w:color w:val="auto"/>
          <w:highlight w:val="none"/>
        </w:rPr>
        <w:tab/>
      </w:r>
      <w:r>
        <w:rPr>
          <w:color w:val="auto"/>
          <w:highlight w:val="none"/>
        </w:rPr>
        <w:fldChar w:fldCharType="begin"/>
      </w:r>
      <w:r>
        <w:rPr>
          <w:color w:val="auto"/>
          <w:highlight w:val="none"/>
        </w:rPr>
        <w:instrText xml:space="preserve"> PAGEREF _Toc17868 \h </w:instrText>
      </w:r>
      <w:r>
        <w:rPr>
          <w:color w:val="auto"/>
          <w:highlight w:val="none"/>
        </w:rPr>
        <w:fldChar w:fldCharType="separate"/>
      </w:r>
      <w:r>
        <w:rPr>
          <w:color w:val="auto"/>
          <w:highlight w:val="none"/>
        </w:rPr>
        <w:t>164</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_Toc22015 </w:instrText>
      </w:r>
      <w:r>
        <w:rPr>
          <w:rFonts w:ascii="宋体" w:hAnsi="宋体" w:cs="宋体"/>
          <w:color w:val="auto"/>
          <w:highlight w:val="none"/>
        </w:rPr>
        <w:fldChar w:fldCharType="separate"/>
      </w:r>
      <w:r>
        <w:rPr>
          <w:rFonts w:hint="eastAsia" w:ascii="宋体" w:hAnsi="宋体"/>
          <w:color w:val="auto"/>
          <w:szCs w:val="24"/>
          <w:highlight w:val="none"/>
        </w:rPr>
        <w:t>3.2.4.1.7 医院传染病报告管理系统</w:t>
      </w:r>
      <w:r>
        <w:rPr>
          <w:color w:val="auto"/>
          <w:highlight w:val="none"/>
        </w:rPr>
        <w:tab/>
      </w:r>
      <w:r>
        <w:rPr>
          <w:color w:val="auto"/>
          <w:highlight w:val="none"/>
        </w:rPr>
        <w:fldChar w:fldCharType="begin"/>
      </w:r>
      <w:r>
        <w:rPr>
          <w:color w:val="auto"/>
          <w:highlight w:val="none"/>
        </w:rPr>
        <w:instrText xml:space="preserve"> PAGEREF _Toc22015 \h </w:instrText>
      </w:r>
      <w:r>
        <w:rPr>
          <w:color w:val="auto"/>
          <w:highlight w:val="none"/>
        </w:rPr>
        <w:fldChar w:fldCharType="separate"/>
      </w:r>
      <w:r>
        <w:rPr>
          <w:color w:val="auto"/>
          <w:highlight w:val="none"/>
        </w:rPr>
        <w:t>168</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_Toc13143 </w:instrText>
      </w:r>
      <w:r>
        <w:rPr>
          <w:rFonts w:ascii="宋体" w:hAnsi="宋体" w:cs="宋体"/>
          <w:color w:val="auto"/>
          <w:highlight w:val="none"/>
        </w:rPr>
        <w:fldChar w:fldCharType="separate"/>
      </w:r>
      <w:r>
        <w:rPr>
          <w:rFonts w:hint="eastAsia" w:ascii="宋体" w:hAnsi="宋体"/>
          <w:color w:val="auto"/>
          <w:szCs w:val="24"/>
          <w:highlight w:val="none"/>
        </w:rPr>
        <w:t>3.2.4.1.8 疾病预防控制信息系统</w:t>
      </w:r>
      <w:r>
        <w:rPr>
          <w:color w:val="auto"/>
          <w:highlight w:val="none"/>
        </w:rPr>
        <w:tab/>
      </w:r>
      <w:r>
        <w:rPr>
          <w:color w:val="auto"/>
          <w:highlight w:val="none"/>
        </w:rPr>
        <w:fldChar w:fldCharType="begin"/>
      </w:r>
      <w:r>
        <w:rPr>
          <w:color w:val="auto"/>
          <w:highlight w:val="none"/>
        </w:rPr>
        <w:instrText xml:space="preserve"> PAGEREF _Toc13143 \h </w:instrText>
      </w:r>
      <w:r>
        <w:rPr>
          <w:color w:val="auto"/>
          <w:highlight w:val="none"/>
        </w:rPr>
        <w:fldChar w:fldCharType="separate"/>
      </w:r>
      <w:r>
        <w:rPr>
          <w:color w:val="auto"/>
          <w:highlight w:val="none"/>
        </w:rPr>
        <w:t>169</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_Toc30184 </w:instrText>
      </w:r>
      <w:r>
        <w:rPr>
          <w:rFonts w:ascii="宋体" w:hAnsi="宋体" w:cs="宋体"/>
          <w:color w:val="auto"/>
          <w:highlight w:val="none"/>
        </w:rPr>
        <w:fldChar w:fldCharType="separate"/>
      </w:r>
      <w:r>
        <w:rPr>
          <w:rFonts w:hint="eastAsia" w:ascii="宋体" w:hAnsi="宋体"/>
          <w:color w:val="auto"/>
          <w:szCs w:val="24"/>
          <w:highlight w:val="none"/>
        </w:rPr>
        <w:t>3.2.4.1.9 药库管理系统</w:t>
      </w:r>
      <w:r>
        <w:rPr>
          <w:color w:val="auto"/>
          <w:highlight w:val="none"/>
        </w:rPr>
        <w:tab/>
      </w:r>
      <w:r>
        <w:rPr>
          <w:color w:val="auto"/>
          <w:highlight w:val="none"/>
        </w:rPr>
        <w:fldChar w:fldCharType="begin"/>
      </w:r>
      <w:r>
        <w:rPr>
          <w:color w:val="auto"/>
          <w:highlight w:val="none"/>
        </w:rPr>
        <w:instrText xml:space="preserve"> PAGEREF _Toc30184 \h </w:instrText>
      </w:r>
      <w:r>
        <w:rPr>
          <w:color w:val="auto"/>
          <w:highlight w:val="none"/>
        </w:rPr>
        <w:fldChar w:fldCharType="separate"/>
      </w:r>
      <w:r>
        <w:rPr>
          <w:color w:val="auto"/>
          <w:highlight w:val="none"/>
        </w:rPr>
        <w:t>170</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_Toc17686 </w:instrText>
      </w:r>
      <w:r>
        <w:rPr>
          <w:rFonts w:ascii="宋体" w:hAnsi="宋体" w:cs="宋体"/>
          <w:color w:val="auto"/>
          <w:highlight w:val="none"/>
        </w:rPr>
        <w:fldChar w:fldCharType="separate"/>
      </w:r>
      <w:r>
        <w:rPr>
          <w:rFonts w:hint="eastAsia" w:ascii="宋体" w:hAnsi="宋体"/>
          <w:color w:val="auto"/>
          <w:szCs w:val="24"/>
          <w:highlight w:val="none"/>
        </w:rPr>
        <w:t>3.2.4.1.10 门急诊药房管理系统</w:t>
      </w:r>
      <w:r>
        <w:rPr>
          <w:color w:val="auto"/>
          <w:highlight w:val="none"/>
        </w:rPr>
        <w:tab/>
      </w:r>
      <w:r>
        <w:rPr>
          <w:color w:val="auto"/>
          <w:highlight w:val="none"/>
        </w:rPr>
        <w:fldChar w:fldCharType="begin"/>
      </w:r>
      <w:r>
        <w:rPr>
          <w:color w:val="auto"/>
          <w:highlight w:val="none"/>
        </w:rPr>
        <w:instrText xml:space="preserve"> PAGEREF _Toc17686 \h </w:instrText>
      </w:r>
      <w:r>
        <w:rPr>
          <w:color w:val="auto"/>
          <w:highlight w:val="none"/>
        </w:rPr>
        <w:fldChar w:fldCharType="separate"/>
      </w:r>
      <w:r>
        <w:rPr>
          <w:color w:val="auto"/>
          <w:highlight w:val="none"/>
        </w:rPr>
        <w:t>177</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_Toc24278 </w:instrText>
      </w:r>
      <w:r>
        <w:rPr>
          <w:rFonts w:ascii="宋体" w:hAnsi="宋体" w:cs="宋体"/>
          <w:color w:val="auto"/>
          <w:highlight w:val="none"/>
        </w:rPr>
        <w:fldChar w:fldCharType="separate"/>
      </w:r>
      <w:r>
        <w:rPr>
          <w:rFonts w:hint="eastAsia" w:ascii="宋体" w:hAnsi="宋体"/>
          <w:color w:val="auto"/>
          <w:szCs w:val="24"/>
          <w:highlight w:val="none"/>
        </w:rPr>
        <w:t>3.2.4.1.11 住院药房管理系统</w:t>
      </w:r>
      <w:r>
        <w:rPr>
          <w:color w:val="auto"/>
          <w:highlight w:val="none"/>
        </w:rPr>
        <w:tab/>
      </w:r>
      <w:r>
        <w:rPr>
          <w:color w:val="auto"/>
          <w:highlight w:val="none"/>
        </w:rPr>
        <w:fldChar w:fldCharType="begin"/>
      </w:r>
      <w:r>
        <w:rPr>
          <w:color w:val="auto"/>
          <w:highlight w:val="none"/>
        </w:rPr>
        <w:instrText xml:space="preserve"> PAGEREF _Toc24278 \h </w:instrText>
      </w:r>
      <w:r>
        <w:rPr>
          <w:color w:val="auto"/>
          <w:highlight w:val="none"/>
        </w:rPr>
        <w:fldChar w:fldCharType="separate"/>
      </w:r>
      <w:r>
        <w:rPr>
          <w:color w:val="auto"/>
          <w:highlight w:val="none"/>
        </w:rPr>
        <w:t>179</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_Toc22506 </w:instrText>
      </w:r>
      <w:r>
        <w:rPr>
          <w:rFonts w:ascii="宋体" w:hAnsi="宋体" w:cs="宋体"/>
          <w:color w:val="auto"/>
          <w:highlight w:val="none"/>
        </w:rPr>
        <w:fldChar w:fldCharType="separate"/>
      </w:r>
      <w:r>
        <w:rPr>
          <w:rFonts w:hint="eastAsia" w:ascii="宋体" w:hAnsi="宋体"/>
          <w:color w:val="auto"/>
          <w:szCs w:val="24"/>
          <w:highlight w:val="none"/>
        </w:rPr>
        <w:t>3.2.4.1.12 病案无纸化系统</w:t>
      </w:r>
      <w:r>
        <w:rPr>
          <w:color w:val="auto"/>
          <w:highlight w:val="none"/>
        </w:rPr>
        <w:tab/>
      </w:r>
      <w:r>
        <w:rPr>
          <w:color w:val="auto"/>
          <w:highlight w:val="none"/>
        </w:rPr>
        <w:fldChar w:fldCharType="begin"/>
      </w:r>
      <w:r>
        <w:rPr>
          <w:color w:val="auto"/>
          <w:highlight w:val="none"/>
        </w:rPr>
        <w:instrText xml:space="preserve"> PAGEREF _Toc22506 \h </w:instrText>
      </w:r>
      <w:r>
        <w:rPr>
          <w:color w:val="auto"/>
          <w:highlight w:val="none"/>
        </w:rPr>
        <w:fldChar w:fldCharType="separate"/>
      </w:r>
      <w:r>
        <w:rPr>
          <w:color w:val="auto"/>
          <w:highlight w:val="none"/>
        </w:rPr>
        <w:t>181</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_Toc17697 </w:instrText>
      </w:r>
      <w:r>
        <w:rPr>
          <w:rFonts w:ascii="宋体" w:hAnsi="宋体" w:cs="宋体"/>
          <w:color w:val="auto"/>
          <w:highlight w:val="none"/>
        </w:rPr>
        <w:fldChar w:fldCharType="separate"/>
      </w:r>
      <w:r>
        <w:rPr>
          <w:rFonts w:hint="eastAsia" w:ascii="宋体" w:hAnsi="宋体"/>
          <w:color w:val="auto"/>
          <w:szCs w:val="24"/>
          <w:highlight w:val="none"/>
        </w:rPr>
        <w:t>3.2.4.1.13 院内多学科协作诊疗</w:t>
      </w:r>
      <w:r>
        <w:rPr>
          <w:color w:val="auto"/>
          <w:highlight w:val="none"/>
        </w:rPr>
        <w:tab/>
      </w:r>
      <w:r>
        <w:rPr>
          <w:color w:val="auto"/>
          <w:highlight w:val="none"/>
        </w:rPr>
        <w:fldChar w:fldCharType="begin"/>
      </w:r>
      <w:r>
        <w:rPr>
          <w:color w:val="auto"/>
          <w:highlight w:val="none"/>
        </w:rPr>
        <w:instrText xml:space="preserve"> PAGEREF _Toc17697 \h </w:instrText>
      </w:r>
      <w:r>
        <w:rPr>
          <w:color w:val="auto"/>
          <w:highlight w:val="none"/>
        </w:rPr>
        <w:fldChar w:fldCharType="separate"/>
      </w:r>
      <w:r>
        <w:rPr>
          <w:color w:val="auto"/>
          <w:highlight w:val="none"/>
        </w:rPr>
        <w:t>184</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_Toc12754 </w:instrText>
      </w:r>
      <w:r>
        <w:rPr>
          <w:rFonts w:ascii="宋体" w:hAnsi="宋体" w:cs="宋体"/>
          <w:color w:val="auto"/>
          <w:highlight w:val="none"/>
        </w:rPr>
        <w:fldChar w:fldCharType="separate"/>
      </w:r>
      <w:r>
        <w:rPr>
          <w:rFonts w:hint="eastAsia" w:ascii="宋体" w:hAnsi="宋体"/>
          <w:color w:val="auto"/>
          <w:szCs w:val="24"/>
          <w:highlight w:val="none"/>
        </w:rPr>
        <w:t>3.2.4.1.14 医疗统计系统</w:t>
      </w:r>
      <w:r>
        <w:rPr>
          <w:color w:val="auto"/>
          <w:highlight w:val="none"/>
        </w:rPr>
        <w:tab/>
      </w:r>
      <w:r>
        <w:rPr>
          <w:color w:val="auto"/>
          <w:highlight w:val="none"/>
        </w:rPr>
        <w:fldChar w:fldCharType="begin"/>
      </w:r>
      <w:r>
        <w:rPr>
          <w:color w:val="auto"/>
          <w:highlight w:val="none"/>
        </w:rPr>
        <w:instrText xml:space="preserve"> PAGEREF _Toc12754 \h </w:instrText>
      </w:r>
      <w:r>
        <w:rPr>
          <w:color w:val="auto"/>
          <w:highlight w:val="none"/>
        </w:rPr>
        <w:fldChar w:fldCharType="separate"/>
      </w:r>
      <w:r>
        <w:rPr>
          <w:color w:val="auto"/>
          <w:highlight w:val="none"/>
        </w:rPr>
        <w:t>184</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_Toc21937 </w:instrText>
      </w:r>
      <w:r>
        <w:rPr>
          <w:rFonts w:ascii="宋体" w:hAnsi="宋体" w:cs="宋体"/>
          <w:color w:val="auto"/>
          <w:highlight w:val="none"/>
        </w:rPr>
        <w:fldChar w:fldCharType="separate"/>
      </w:r>
      <w:r>
        <w:rPr>
          <w:rFonts w:hint="eastAsia" w:ascii="宋体" w:hAnsi="宋体"/>
          <w:color w:val="auto"/>
          <w:szCs w:val="24"/>
          <w:highlight w:val="none"/>
        </w:rPr>
        <w:t>3.2.4.1.15 院长查询系统</w:t>
      </w:r>
      <w:r>
        <w:rPr>
          <w:color w:val="auto"/>
          <w:highlight w:val="none"/>
        </w:rPr>
        <w:tab/>
      </w:r>
      <w:r>
        <w:rPr>
          <w:color w:val="auto"/>
          <w:highlight w:val="none"/>
        </w:rPr>
        <w:fldChar w:fldCharType="begin"/>
      </w:r>
      <w:r>
        <w:rPr>
          <w:color w:val="auto"/>
          <w:highlight w:val="none"/>
        </w:rPr>
        <w:instrText xml:space="preserve"> PAGEREF _Toc21937 \h </w:instrText>
      </w:r>
      <w:r>
        <w:rPr>
          <w:color w:val="auto"/>
          <w:highlight w:val="none"/>
        </w:rPr>
        <w:fldChar w:fldCharType="separate"/>
      </w:r>
      <w:r>
        <w:rPr>
          <w:color w:val="auto"/>
          <w:highlight w:val="none"/>
        </w:rPr>
        <w:t>187</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_Toc22386 </w:instrText>
      </w:r>
      <w:r>
        <w:rPr>
          <w:rFonts w:ascii="宋体" w:hAnsi="宋体" w:cs="宋体"/>
          <w:color w:val="auto"/>
          <w:highlight w:val="none"/>
        </w:rPr>
        <w:fldChar w:fldCharType="separate"/>
      </w:r>
      <w:r>
        <w:rPr>
          <w:rFonts w:hint="eastAsia" w:ascii="宋体" w:hAnsi="宋体"/>
          <w:color w:val="auto"/>
          <w:szCs w:val="24"/>
          <w:highlight w:val="none"/>
        </w:rPr>
        <w:t>3.2.4.1.16 图书馆管理</w:t>
      </w:r>
      <w:r>
        <w:rPr>
          <w:color w:val="auto"/>
          <w:highlight w:val="none"/>
        </w:rPr>
        <w:tab/>
      </w:r>
      <w:r>
        <w:rPr>
          <w:color w:val="auto"/>
          <w:highlight w:val="none"/>
        </w:rPr>
        <w:fldChar w:fldCharType="begin"/>
      </w:r>
      <w:r>
        <w:rPr>
          <w:color w:val="auto"/>
          <w:highlight w:val="none"/>
        </w:rPr>
        <w:instrText xml:space="preserve"> PAGEREF _Toc22386 \h </w:instrText>
      </w:r>
      <w:r>
        <w:rPr>
          <w:color w:val="auto"/>
          <w:highlight w:val="none"/>
        </w:rPr>
        <w:fldChar w:fldCharType="separate"/>
      </w:r>
      <w:r>
        <w:rPr>
          <w:color w:val="auto"/>
          <w:highlight w:val="none"/>
        </w:rPr>
        <w:t>187</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_Toc18568 </w:instrText>
      </w:r>
      <w:r>
        <w:rPr>
          <w:rFonts w:ascii="宋体" w:hAnsi="宋体" w:cs="宋体"/>
          <w:color w:val="auto"/>
          <w:highlight w:val="none"/>
        </w:rPr>
        <w:fldChar w:fldCharType="separate"/>
      </w:r>
      <w:r>
        <w:rPr>
          <w:rFonts w:hint="eastAsia" w:ascii="宋体" w:hAnsi="宋体"/>
          <w:color w:val="auto"/>
          <w:szCs w:val="24"/>
          <w:highlight w:val="none"/>
        </w:rPr>
        <w:t>3.2.4.1.17 三级医院等级评审系统</w:t>
      </w:r>
      <w:r>
        <w:rPr>
          <w:color w:val="auto"/>
          <w:highlight w:val="none"/>
        </w:rPr>
        <w:tab/>
      </w:r>
      <w:r>
        <w:rPr>
          <w:color w:val="auto"/>
          <w:highlight w:val="none"/>
        </w:rPr>
        <w:fldChar w:fldCharType="begin"/>
      </w:r>
      <w:r>
        <w:rPr>
          <w:color w:val="auto"/>
          <w:highlight w:val="none"/>
        </w:rPr>
        <w:instrText xml:space="preserve"> PAGEREF _Toc18568 \h </w:instrText>
      </w:r>
      <w:r>
        <w:rPr>
          <w:color w:val="auto"/>
          <w:highlight w:val="none"/>
        </w:rPr>
        <w:fldChar w:fldCharType="separate"/>
      </w:r>
      <w:r>
        <w:rPr>
          <w:color w:val="auto"/>
          <w:highlight w:val="none"/>
        </w:rPr>
        <w:t>188</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_Toc5865 </w:instrText>
      </w:r>
      <w:r>
        <w:rPr>
          <w:rFonts w:ascii="宋体" w:hAnsi="宋体" w:cs="宋体"/>
          <w:color w:val="auto"/>
          <w:highlight w:val="none"/>
        </w:rPr>
        <w:fldChar w:fldCharType="separate"/>
      </w:r>
      <w:r>
        <w:rPr>
          <w:rFonts w:hint="eastAsia" w:ascii="宋体" w:hAnsi="宋体"/>
          <w:color w:val="auto"/>
          <w:szCs w:val="24"/>
          <w:highlight w:val="none"/>
        </w:rPr>
        <w:t>3.2.4.1.18 三级公立医院绩效考核内控管理平台</w:t>
      </w:r>
      <w:r>
        <w:rPr>
          <w:color w:val="auto"/>
          <w:highlight w:val="none"/>
        </w:rPr>
        <w:tab/>
      </w:r>
      <w:r>
        <w:rPr>
          <w:color w:val="auto"/>
          <w:highlight w:val="none"/>
        </w:rPr>
        <w:fldChar w:fldCharType="begin"/>
      </w:r>
      <w:r>
        <w:rPr>
          <w:color w:val="auto"/>
          <w:highlight w:val="none"/>
        </w:rPr>
        <w:instrText xml:space="preserve"> PAGEREF _Toc5865 \h </w:instrText>
      </w:r>
      <w:r>
        <w:rPr>
          <w:color w:val="auto"/>
          <w:highlight w:val="none"/>
        </w:rPr>
        <w:fldChar w:fldCharType="separate"/>
      </w:r>
      <w:r>
        <w:rPr>
          <w:color w:val="auto"/>
          <w:highlight w:val="none"/>
        </w:rPr>
        <w:t>189</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_Toc30923 </w:instrText>
      </w:r>
      <w:r>
        <w:rPr>
          <w:rFonts w:ascii="宋体" w:hAnsi="宋体" w:cs="宋体"/>
          <w:color w:val="auto"/>
          <w:highlight w:val="none"/>
        </w:rPr>
        <w:fldChar w:fldCharType="separate"/>
      </w:r>
      <w:r>
        <w:rPr>
          <w:rFonts w:hint="eastAsia" w:ascii="宋体" w:hAnsi="宋体"/>
          <w:color w:val="auto"/>
          <w:szCs w:val="24"/>
          <w:highlight w:val="none"/>
        </w:rPr>
        <w:t xml:space="preserve">3.2.4.1.19 </w:t>
      </w:r>
      <w:r>
        <w:rPr>
          <w:rFonts w:hint="eastAsia" w:ascii="等线 Light" w:hAnsi="等线 Light" w:eastAsia="等线 Light" w:cs="宋体"/>
          <w:color w:val="auto"/>
          <w:kern w:val="0"/>
          <w:highlight w:val="none"/>
        </w:rPr>
        <w:t>医疗质量</w:t>
      </w:r>
      <w:r>
        <w:rPr>
          <w:rFonts w:hint="eastAsia" w:ascii="等线 Light" w:hAnsi="等线 Light" w:eastAsia="等线 Light" w:cs="宋体"/>
          <w:color w:val="auto"/>
          <w:kern w:val="0"/>
          <w:highlight w:val="none"/>
          <w:lang w:eastAsia="zh-CN"/>
        </w:rPr>
        <w:t>监控</w:t>
      </w:r>
      <w:r>
        <w:rPr>
          <w:rFonts w:hint="eastAsia" w:ascii="等线 Light" w:hAnsi="等线 Light" w:eastAsia="等线 Light" w:cs="宋体"/>
          <w:color w:val="auto"/>
          <w:kern w:val="0"/>
          <w:highlight w:val="none"/>
        </w:rPr>
        <w:t>系统</w:t>
      </w:r>
      <w:r>
        <w:rPr>
          <w:color w:val="auto"/>
          <w:highlight w:val="none"/>
        </w:rPr>
        <w:tab/>
      </w:r>
      <w:r>
        <w:rPr>
          <w:color w:val="auto"/>
          <w:highlight w:val="none"/>
        </w:rPr>
        <w:fldChar w:fldCharType="begin"/>
      </w:r>
      <w:r>
        <w:rPr>
          <w:color w:val="auto"/>
          <w:highlight w:val="none"/>
        </w:rPr>
        <w:instrText xml:space="preserve"> PAGEREF _Toc30923 \h </w:instrText>
      </w:r>
      <w:r>
        <w:rPr>
          <w:color w:val="auto"/>
          <w:highlight w:val="none"/>
        </w:rPr>
        <w:fldChar w:fldCharType="separate"/>
      </w:r>
      <w:r>
        <w:rPr>
          <w:color w:val="auto"/>
          <w:highlight w:val="none"/>
        </w:rPr>
        <w:t>190</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_Toc5703 </w:instrText>
      </w:r>
      <w:r>
        <w:rPr>
          <w:rFonts w:ascii="宋体" w:hAnsi="宋体" w:cs="宋体"/>
          <w:color w:val="auto"/>
          <w:highlight w:val="none"/>
        </w:rPr>
        <w:fldChar w:fldCharType="separate"/>
      </w:r>
      <w:r>
        <w:rPr>
          <w:rFonts w:hint="eastAsia" w:ascii="宋体" w:hAnsi="宋体"/>
          <w:color w:val="auto"/>
          <w:szCs w:val="24"/>
          <w:highlight w:val="none"/>
        </w:rPr>
        <w:t>3.2.4.1.20 危急值预警管理系统</w:t>
      </w:r>
      <w:r>
        <w:rPr>
          <w:color w:val="auto"/>
          <w:highlight w:val="none"/>
        </w:rPr>
        <w:tab/>
      </w:r>
      <w:r>
        <w:rPr>
          <w:color w:val="auto"/>
          <w:highlight w:val="none"/>
        </w:rPr>
        <w:fldChar w:fldCharType="begin"/>
      </w:r>
      <w:r>
        <w:rPr>
          <w:color w:val="auto"/>
          <w:highlight w:val="none"/>
        </w:rPr>
        <w:instrText xml:space="preserve"> PAGEREF _Toc5703 \h </w:instrText>
      </w:r>
      <w:r>
        <w:rPr>
          <w:color w:val="auto"/>
          <w:highlight w:val="none"/>
        </w:rPr>
        <w:fldChar w:fldCharType="separate"/>
      </w:r>
      <w:r>
        <w:rPr>
          <w:color w:val="auto"/>
          <w:highlight w:val="none"/>
        </w:rPr>
        <w:t>193</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_Toc13789 </w:instrText>
      </w:r>
      <w:r>
        <w:rPr>
          <w:rFonts w:ascii="宋体" w:hAnsi="宋体" w:cs="宋体"/>
          <w:color w:val="auto"/>
          <w:highlight w:val="none"/>
        </w:rPr>
        <w:fldChar w:fldCharType="separate"/>
      </w:r>
      <w:r>
        <w:rPr>
          <w:rFonts w:hint="eastAsia" w:ascii="宋体" w:hAnsi="宋体"/>
          <w:color w:val="auto"/>
          <w:szCs w:val="24"/>
          <w:highlight w:val="none"/>
        </w:rPr>
        <w:t>3.2.4.1.21 C</w:t>
      </w:r>
      <w:r>
        <w:rPr>
          <w:rFonts w:ascii="宋体" w:hAnsi="宋体"/>
          <w:color w:val="auto"/>
          <w:szCs w:val="24"/>
          <w:highlight w:val="none"/>
        </w:rPr>
        <w:t>A</w:t>
      </w:r>
      <w:r>
        <w:rPr>
          <w:rFonts w:hint="eastAsia" w:ascii="宋体" w:hAnsi="宋体"/>
          <w:color w:val="auto"/>
          <w:szCs w:val="24"/>
          <w:highlight w:val="none"/>
        </w:rPr>
        <w:t>移动签章</w:t>
      </w:r>
      <w:r>
        <w:rPr>
          <w:color w:val="auto"/>
          <w:highlight w:val="none"/>
        </w:rPr>
        <w:tab/>
      </w:r>
      <w:r>
        <w:rPr>
          <w:color w:val="auto"/>
          <w:highlight w:val="none"/>
        </w:rPr>
        <w:fldChar w:fldCharType="begin"/>
      </w:r>
      <w:r>
        <w:rPr>
          <w:color w:val="auto"/>
          <w:highlight w:val="none"/>
        </w:rPr>
        <w:instrText xml:space="preserve"> PAGEREF _Toc13789 \h </w:instrText>
      </w:r>
      <w:r>
        <w:rPr>
          <w:color w:val="auto"/>
          <w:highlight w:val="none"/>
        </w:rPr>
        <w:fldChar w:fldCharType="separate"/>
      </w:r>
      <w:r>
        <w:rPr>
          <w:color w:val="auto"/>
          <w:highlight w:val="none"/>
        </w:rPr>
        <w:t>194</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_Toc27305 </w:instrText>
      </w:r>
      <w:r>
        <w:rPr>
          <w:rFonts w:ascii="宋体" w:hAnsi="宋体" w:cs="宋体"/>
          <w:color w:val="auto"/>
          <w:highlight w:val="none"/>
        </w:rPr>
        <w:fldChar w:fldCharType="separate"/>
      </w:r>
      <w:r>
        <w:rPr>
          <w:rFonts w:hint="eastAsia" w:ascii="宋体" w:hAnsi="宋体"/>
          <w:color w:val="auto"/>
          <w:szCs w:val="24"/>
          <w:highlight w:val="none"/>
        </w:rPr>
        <w:t>3.2.4.1.22 医保软件</w:t>
      </w:r>
      <w:r>
        <w:rPr>
          <w:color w:val="auto"/>
          <w:highlight w:val="none"/>
        </w:rPr>
        <w:tab/>
      </w:r>
      <w:r>
        <w:rPr>
          <w:color w:val="auto"/>
          <w:highlight w:val="none"/>
        </w:rPr>
        <w:fldChar w:fldCharType="begin"/>
      </w:r>
      <w:r>
        <w:rPr>
          <w:color w:val="auto"/>
          <w:highlight w:val="none"/>
        </w:rPr>
        <w:instrText xml:space="preserve"> PAGEREF _Toc27305 \h </w:instrText>
      </w:r>
      <w:r>
        <w:rPr>
          <w:color w:val="auto"/>
          <w:highlight w:val="none"/>
        </w:rPr>
        <w:fldChar w:fldCharType="separate"/>
      </w:r>
      <w:r>
        <w:rPr>
          <w:color w:val="auto"/>
          <w:highlight w:val="none"/>
        </w:rPr>
        <w:t>194</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_Toc24202 </w:instrText>
      </w:r>
      <w:r>
        <w:rPr>
          <w:rFonts w:ascii="宋体" w:hAnsi="宋体" w:cs="宋体"/>
          <w:color w:val="auto"/>
          <w:highlight w:val="none"/>
        </w:rPr>
        <w:fldChar w:fldCharType="separate"/>
      </w:r>
      <w:r>
        <w:rPr>
          <w:rFonts w:hint="eastAsia" w:ascii="宋体" w:hAnsi="宋体"/>
          <w:color w:val="auto"/>
          <w:szCs w:val="24"/>
          <w:highlight w:val="none"/>
        </w:rPr>
        <w:t>3.2.4.1.23 中国医院药物警戒系统</w:t>
      </w:r>
      <w:r>
        <w:rPr>
          <w:color w:val="auto"/>
          <w:highlight w:val="none"/>
        </w:rPr>
        <w:tab/>
      </w:r>
      <w:r>
        <w:rPr>
          <w:color w:val="auto"/>
          <w:highlight w:val="none"/>
        </w:rPr>
        <w:fldChar w:fldCharType="begin"/>
      </w:r>
      <w:r>
        <w:rPr>
          <w:color w:val="auto"/>
          <w:highlight w:val="none"/>
        </w:rPr>
        <w:instrText xml:space="preserve"> PAGEREF _Toc24202 \h </w:instrText>
      </w:r>
      <w:r>
        <w:rPr>
          <w:color w:val="auto"/>
          <w:highlight w:val="none"/>
        </w:rPr>
        <w:fldChar w:fldCharType="separate"/>
      </w:r>
      <w:r>
        <w:rPr>
          <w:color w:val="auto"/>
          <w:highlight w:val="none"/>
        </w:rPr>
        <w:t>195</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_Toc9545 </w:instrText>
      </w:r>
      <w:r>
        <w:rPr>
          <w:rFonts w:ascii="宋体" w:hAnsi="宋体" w:cs="宋体"/>
          <w:color w:val="auto"/>
          <w:highlight w:val="none"/>
        </w:rPr>
        <w:fldChar w:fldCharType="separate"/>
      </w:r>
      <w:r>
        <w:rPr>
          <w:rFonts w:hint="eastAsia" w:ascii="宋体" w:hAnsi="宋体"/>
          <w:color w:val="auto"/>
          <w:szCs w:val="24"/>
          <w:highlight w:val="none"/>
        </w:rPr>
        <w:t>3.2.4.1.24 感染性疾病大数据平台</w:t>
      </w:r>
      <w:r>
        <w:rPr>
          <w:color w:val="auto"/>
          <w:highlight w:val="none"/>
        </w:rPr>
        <w:tab/>
      </w:r>
      <w:r>
        <w:rPr>
          <w:color w:val="auto"/>
          <w:highlight w:val="none"/>
        </w:rPr>
        <w:fldChar w:fldCharType="begin"/>
      </w:r>
      <w:r>
        <w:rPr>
          <w:color w:val="auto"/>
          <w:highlight w:val="none"/>
        </w:rPr>
        <w:instrText xml:space="preserve"> PAGEREF _Toc9545 \h </w:instrText>
      </w:r>
      <w:r>
        <w:rPr>
          <w:color w:val="auto"/>
          <w:highlight w:val="none"/>
        </w:rPr>
        <w:fldChar w:fldCharType="separate"/>
      </w:r>
      <w:r>
        <w:rPr>
          <w:color w:val="auto"/>
          <w:highlight w:val="none"/>
        </w:rPr>
        <w:t>195</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_Toc7765 </w:instrText>
      </w:r>
      <w:r>
        <w:rPr>
          <w:rFonts w:ascii="宋体" w:hAnsi="宋体" w:cs="宋体"/>
          <w:color w:val="auto"/>
          <w:highlight w:val="none"/>
        </w:rPr>
        <w:fldChar w:fldCharType="separate"/>
      </w:r>
      <w:r>
        <w:rPr>
          <w:rFonts w:hint="eastAsia" w:ascii="宋体" w:hAnsi="宋体"/>
          <w:color w:val="auto"/>
          <w:szCs w:val="24"/>
          <w:highlight w:val="none"/>
        </w:rPr>
        <w:t>3.2.4.1.25 医保飞行检查专项审核系统</w:t>
      </w:r>
      <w:r>
        <w:rPr>
          <w:color w:val="auto"/>
          <w:highlight w:val="none"/>
        </w:rPr>
        <w:tab/>
      </w:r>
      <w:r>
        <w:rPr>
          <w:color w:val="auto"/>
          <w:highlight w:val="none"/>
        </w:rPr>
        <w:fldChar w:fldCharType="begin"/>
      </w:r>
      <w:r>
        <w:rPr>
          <w:color w:val="auto"/>
          <w:highlight w:val="none"/>
        </w:rPr>
        <w:instrText xml:space="preserve"> PAGEREF _Toc7765 \h </w:instrText>
      </w:r>
      <w:r>
        <w:rPr>
          <w:color w:val="auto"/>
          <w:highlight w:val="none"/>
        </w:rPr>
        <w:fldChar w:fldCharType="separate"/>
      </w:r>
      <w:r>
        <w:rPr>
          <w:color w:val="auto"/>
          <w:highlight w:val="none"/>
        </w:rPr>
        <w:t>196</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_Toc28167 </w:instrText>
      </w:r>
      <w:r>
        <w:rPr>
          <w:rFonts w:ascii="宋体" w:hAnsi="宋体" w:cs="宋体"/>
          <w:color w:val="auto"/>
          <w:highlight w:val="none"/>
        </w:rPr>
        <w:fldChar w:fldCharType="separate"/>
      </w:r>
      <w:r>
        <w:rPr>
          <w:rFonts w:hint="eastAsia" w:ascii="宋体" w:hAnsi="宋体"/>
          <w:color w:val="auto"/>
          <w:szCs w:val="24"/>
          <w:highlight w:val="none"/>
        </w:rPr>
        <w:t>3.2.4.1.26 职业病管理信息系统</w:t>
      </w:r>
      <w:r>
        <w:rPr>
          <w:color w:val="auto"/>
          <w:highlight w:val="none"/>
        </w:rPr>
        <w:tab/>
      </w:r>
      <w:r>
        <w:rPr>
          <w:color w:val="auto"/>
          <w:highlight w:val="none"/>
        </w:rPr>
        <w:fldChar w:fldCharType="begin"/>
      </w:r>
      <w:r>
        <w:rPr>
          <w:color w:val="auto"/>
          <w:highlight w:val="none"/>
        </w:rPr>
        <w:instrText xml:space="preserve"> PAGEREF _Toc28167 \h </w:instrText>
      </w:r>
      <w:r>
        <w:rPr>
          <w:color w:val="auto"/>
          <w:highlight w:val="none"/>
        </w:rPr>
        <w:fldChar w:fldCharType="separate"/>
      </w:r>
      <w:r>
        <w:rPr>
          <w:color w:val="auto"/>
          <w:highlight w:val="none"/>
        </w:rPr>
        <w:t>196</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_Toc9826 </w:instrText>
      </w:r>
      <w:r>
        <w:rPr>
          <w:rFonts w:ascii="宋体" w:hAnsi="宋体" w:cs="宋体"/>
          <w:color w:val="auto"/>
          <w:highlight w:val="none"/>
        </w:rPr>
        <w:fldChar w:fldCharType="separate"/>
      </w:r>
      <w:r>
        <w:rPr>
          <w:rFonts w:hint="eastAsia" w:ascii="宋体" w:hAnsi="宋体"/>
          <w:color w:val="auto"/>
          <w:szCs w:val="24"/>
          <w:highlight w:val="none"/>
        </w:rPr>
        <w:t>3.2.4.1.27 胸痛中心质控平台</w:t>
      </w:r>
      <w:r>
        <w:rPr>
          <w:color w:val="auto"/>
          <w:highlight w:val="none"/>
        </w:rPr>
        <w:tab/>
      </w:r>
      <w:r>
        <w:rPr>
          <w:color w:val="auto"/>
          <w:highlight w:val="none"/>
        </w:rPr>
        <w:fldChar w:fldCharType="begin"/>
      </w:r>
      <w:r>
        <w:rPr>
          <w:color w:val="auto"/>
          <w:highlight w:val="none"/>
        </w:rPr>
        <w:instrText xml:space="preserve"> PAGEREF _Toc9826 \h </w:instrText>
      </w:r>
      <w:r>
        <w:rPr>
          <w:color w:val="auto"/>
          <w:highlight w:val="none"/>
        </w:rPr>
        <w:fldChar w:fldCharType="separate"/>
      </w:r>
      <w:r>
        <w:rPr>
          <w:color w:val="auto"/>
          <w:highlight w:val="none"/>
        </w:rPr>
        <w:t>198</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_Toc16175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3.2.4.2 </w:t>
      </w:r>
      <w:r>
        <w:rPr>
          <w:rFonts w:hint="eastAsia" w:ascii="宋体" w:hAnsi="宋体"/>
          <w:color w:val="auto"/>
          <w:highlight w:val="none"/>
          <w:lang w:eastAsia="zh-Hans"/>
        </w:rPr>
        <w:t>财务运营一体化</w:t>
      </w:r>
      <w:r>
        <w:rPr>
          <w:rFonts w:ascii="宋体" w:hAnsi="宋体"/>
          <w:color w:val="auto"/>
          <w:highlight w:val="none"/>
          <w:lang w:eastAsia="zh-Hans"/>
        </w:rPr>
        <w:t>HRP</w:t>
      </w:r>
      <w:r>
        <w:rPr>
          <w:color w:val="auto"/>
          <w:highlight w:val="none"/>
        </w:rPr>
        <w:tab/>
      </w:r>
      <w:r>
        <w:rPr>
          <w:color w:val="auto"/>
          <w:highlight w:val="none"/>
        </w:rPr>
        <w:fldChar w:fldCharType="begin"/>
      </w:r>
      <w:r>
        <w:rPr>
          <w:color w:val="auto"/>
          <w:highlight w:val="none"/>
        </w:rPr>
        <w:instrText xml:space="preserve"> PAGEREF _Toc16175 \h </w:instrText>
      </w:r>
      <w:r>
        <w:rPr>
          <w:color w:val="auto"/>
          <w:highlight w:val="none"/>
        </w:rPr>
        <w:fldChar w:fldCharType="separate"/>
      </w:r>
      <w:r>
        <w:rPr>
          <w:color w:val="auto"/>
          <w:highlight w:val="none"/>
        </w:rPr>
        <w:t>198</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_Toc18074 </w:instrText>
      </w:r>
      <w:r>
        <w:rPr>
          <w:rFonts w:ascii="宋体" w:hAnsi="宋体" w:cs="宋体"/>
          <w:color w:val="auto"/>
          <w:highlight w:val="none"/>
        </w:rPr>
        <w:fldChar w:fldCharType="separate"/>
      </w:r>
      <w:r>
        <w:rPr>
          <w:rFonts w:hint="eastAsia" w:ascii="宋体" w:hAnsi="宋体"/>
          <w:color w:val="auto"/>
          <w:szCs w:val="24"/>
          <w:highlight w:val="none"/>
        </w:rPr>
        <w:t>3.2.4.2.1 财务管理</w:t>
      </w:r>
      <w:r>
        <w:rPr>
          <w:color w:val="auto"/>
          <w:highlight w:val="none"/>
        </w:rPr>
        <w:tab/>
      </w:r>
      <w:r>
        <w:rPr>
          <w:color w:val="auto"/>
          <w:highlight w:val="none"/>
        </w:rPr>
        <w:fldChar w:fldCharType="begin"/>
      </w:r>
      <w:r>
        <w:rPr>
          <w:color w:val="auto"/>
          <w:highlight w:val="none"/>
        </w:rPr>
        <w:instrText xml:space="preserve"> PAGEREF _Toc18074 \h </w:instrText>
      </w:r>
      <w:r>
        <w:rPr>
          <w:color w:val="auto"/>
          <w:highlight w:val="none"/>
        </w:rPr>
        <w:fldChar w:fldCharType="separate"/>
      </w:r>
      <w:r>
        <w:rPr>
          <w:color w:val="auto"/>
          <w:highlight w:val="none"/>
        </w:rPr>
        <w:t>198</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_Toc13456 </w:instrText>
      </w:r>
      <w:r>
        <w:rPr>
          <w:rFonts w:ascii="宋体" w:hAnsi="宋体" w:cs="宋体"/>
          <w:color w:val="auto"/>
          <w:highlight w:val="none"/>
        </w:rPr>
        <w:fldChar w:fldCharType="separate"/>
      </w:r>
      <w:r>
        <w:rPr>
          <w:rFonts w:hint="eastAsia" w:ascii="宋体" w:hAnsi="宋体"/>
          <w:color w:val="auto"/>
          <w:szCs w:val="24"/>
          <w:highlight w:val="none"/>
        </w:rPr>
        <w:t>3.2.4.2.2 固定资产管理系统</w:t>
      </w:r>
      <w:r>
        <w:rPr>
          <w:color w:val="auto"/>
          <w:highlight w:val="none"/>
        </w:rPr>
        <w:tab/>
      </w:r>
      <w:r>
        <w:rPr>
          <w:color w:val="auto"/>
          <w:highlight w:val="none"/>
        </w:rPr>
        <w:fldChar w:fldCharType="begin"/>
      </w:r>
      <w:r>
        <w:rPr>
          <w:color w:val="auto"/>
          <w:highlight w:val="none"/>
        </w:rPr>
        <w:instrText xml:space="preserve"> PAGEREF _Toc13456 \h </w:instrText>
      </w:r>
      <w:r>
        <w:rPr>
          <w:color w:val="auto"/>
          <w:highlight w:val="none"/>
        </w:rPr>
        <w:fldChar w:fldCharType="separate"/>
      </w:r>
      <w:r>
        <w:rPr>
          <w:color w:val="auto"/>
          <w:highlight w:val="none"/>
        </w:rPr>
        <w:t>201</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_Toc12316 </w:instrText>
      </w:r>
      <w:r>
        <w:rPr>
          <w:rFonts w:ascii="宋体" w:hAnsi="宋体" w:cs="宋体"/>
          <w:color w:val="auto"/>
          <w:highlight w:val="none"/>
        </w:rPr>
        <w:fldChar w:fldCharType="separate"/>
      </w:r>
      <w:r>
        <w:rPr>
          <w:rFonts w:hint="eastAsia" w:ascii="宋体" w:hAnsi="宋体" w:cs="宋体"/>
          <w:color w:val="auto"/>
          <w:kern w:val="0"/>
          <w:szCs w:val="22"/>
          <w:highlight w:val="none"/>
        </w:rPr>
        <w:t xml:space="preserve">3.2.4.2.3 </w:t>
      </w:r>
      <w:r>
        <w:rPr>
          <w:rFonts w:hint="eastAsia" w:ascii="宋体" w:hAnsi="宋体" w:cs="宋体"/>
          <w:color w:val="auto"/>
          <w:kern w:val="0"/>
          <w:szCs w:val="22"/>
          <w:highlight w:val="none"/>
          <w:lang w:eastAsia="zh-CN"/>
        </w:rPr>
        <w:t>全面</w:t>
      </w:r>
      <w:r>
        <w:rPr>
          <w:rFonts w:hint="eastAsia" w:ascii="宋体" w:hAnsi="宋体" w:cs="宋体"/>
          <w:color w:val="auto"/>
          <w:kern w:val="0"/>
          <w:szCs w:val="22"/>
          <w:highlight w:val="none"/>
        </w:rPr>
        <w:t>预算管理</w:t>
      </w:r>
      <w:r>
        <w:rPr>
          <w:color w:val="auto"/>
          <w:highlight w:val="none"/>
        </w:rPr>
        <w:tab/>
      </w:r>
      <w:r>
        <w:rPr>
          <w:color w:val="auto"/>
          <w:highlight w:val="none"/>
        </w:rPr>
        <w:fldChar w:fldCharType="begin"/>
      </w:r>
      <w:r>
        <w:rPr>
          <w:color w:val="auto"/>
          <w:highlight w:val="none"/>
        </w:rPr>
        <w:instrText xml:space="preserve"> PAGEREF _Toc12316 \h </w:instrText>
      </w:r>
      <w:r>
        <w:rPr>
          <w:color w:val="auto"/>
          <w:highlight w:val="none"/>
        </w:rPr>
        <w:fldChar w:fldCharType="separate"/>
      </w:r>
      <w:r>
        <w:rPr>
          <w:color w:val="auto"/>
          <w:highlight w:val="none"/>
        </w:rPr>
        <w:t>202</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_Toc16404 </w:instrText>
      </w:r>
      <w:r>
        <w:rPr>
          <w:rFonts w:ascii="宋体" w:hAnsi="宋体" w:cs="宋体"/>
          <w:color w:val="auto"/>
          <w:highlight w:val="none"/>
        </w:rPr>
        <w:fldChar w:fldCharType="separate"/>
      </w:r>
      <w:r>
        <w:rPr>
          <w:rFonts w:hint="eastAsia" w:ascii="宋体" w:hAnsi="宋体" w:cs="宋体"/>
          <w:color w:val="auto"/>
          <w:kern w:val="0"/>
          <w:szCs w:val="22"/>
          <w:highlight w:val="none"/>
        </w:rPr>
        <w:t>3.2.4.2.4 合同管理</w:t>
      </w:r>
      <w:r>
        <w:rPr>
          <w:color w:val="auto"/>
          <w:highlight w:val="none"/>
        </w:rPr>
        <w:tab/>
      </w:r>
      <w:r>
        <w:rPr>
          <w:color w:val="auto"/>
          <w:highlight w:val="none"/>
        </w:rPr>
        <w:fldChar w:fldCharType="begin"/>
      </w:r>
      <w:r>
        <w:rPr>
          <w:color w:val="auto"/>
          <w:highlight w:val="none"/>
        </w:rPr>
        <w:instrText xml:space="preserve"> PAGEREF _Toc16404 \h </w:instrText>
      </w:r>
      <w:r>
        <w:rPr>
          <w:color w:val="auto"/>
          <w:highlight w:val="none"/>
        </w:rPr>
        <w:fldChar w:fldCharType="separate"/>
      </w:r>
      <w:r>
        <w:rPr>
          <w:color w:val="auto"/>
          <w:highlight w:val="none"/>
        </w:rPr>
        <w:t>203</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_Toc26787 </w:instrText>
      </w:r>
      <w:r>
        <w:rPr>
          <w:rFonts w:ascii="宋体" w:hAnsi="宋体" w:cs="宋体"/>
          <w:color w:val="auto"/>
          <w:highlight w:val="none"/>
        </w:rPr>
        <w:fldChar w:fldCharType="separate"/>
      </w:r>
      <w:r>
        <w:rPr>
          <w:rFonts w:hint="eastAsia" w:ascii="宋体" w:hAnsi="宋体"/>
          <w:color w:val="auto"/>
          <w:szCs w:val="24"/>
          <w:highlight w:val="none"/>
        </w:rPr>
        <w:t>3.2.4.2.5 成本管理系统（病种成本管理）</w:t>
      </w:r>
      <w:r>
        <w:rPr>
          <w:color w:val="auto"/>
          <w:highlight w:val="none"/>
        </w:rPr>
        <w:tab/>
      </w:r>
      <w:r>
        <w:rPr>
          <w:color w:val="auto"/>
          <w:highlight w:val="none"/>
        </w:rPr>
        <w:fldChar w:fldCharType="begin"/>
      </w:r>
      <w:r>
        <w:rPr>
          <w:color w:val="auto"/>
          <w:highlight w:val="none"/>
        </w:rPr>
        <w:instrText xml:space="preserve"> PAGEREF _Toc26787 \h </w:instrText>
      </w:r>
      <w:r>
        <w:rPr>
          <w:color w:val="auto"/>
          <w:highlight w:val="none"/>
        </w:rPr>
        <w:fldChar w:fldCharType="separate"/>
      </w:r>
      <w:r>
        <w:rPr>
          <w:color w:val="auto"/>
          <w:highlight w:val="none"/>
        </w:rPr>
        <w:t>204</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_Toc9089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3.2.4.3 </w:t>
      </w:r>
      <w:r>
        <w:rPr>
          <w:rFonts w:hint="eastAsia" w:ascii="宋体" w:hAnsi="宋体"/>
          <w:color w:val="auto"/>
          <w:szCs w:val="24"/>
          <w:highlight w:val="none"/>
        </w:rPr>
        <w:t>运营管理系统</w:t>
      </w:r>
      <w:r>
        <w:rPr>
          <w:color w:val="auto"/>
          <w:highlight w:val="none"/>
        </w:rPr>
        <w:tab/>
      </w:r>
      <w:r>
        <w:rPr>
          <w:color w:val="auto"/>
          <w:highlight w:val="none"/>
        </w:rPr>
        <w:fldChar w:fldCharType="begin"/>
      </w:r>
      <w:r>
        <w:rPr>
          <w:color w:val="auto"/>
          <w:highlight w:val="none"/>
        </w:rPr>
        <w:instrText xml:space="preserve"> PAGEREF _Toc9089 \h </w:instrText>
      </w:r>
      <w:r>
        <w:rPr>
          <w:color w:val="auto"/>
          <w:highlight w:val="none"/>
        </w:rPr>
        <w:fldChar w:fldCharType="separate"/>
      </w:r>
      <w:r>
        <w:rPr>
          <w:color w:val="auto"/>
          <w:highlight w:val="none"/>
        </w:rPr>
        <w:t>205</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_Toc23411 </w:instrText>
      </w:r>
      <w:r>
        <w:rPr>
          <w:rFonts w:ascii="宋体" w:hAnsi="宋体" w:cs="宋体"/>
          <w:color w:val="auto"/>
          <w:highlight w:val="none"/>
        </w:rPr>
        <w:fldChar w:fldCharType="separate"/>
      </w:r>
      <w:r>
        <w:rPr>
          <w:rFonts w:hint="eastAsia" w:ascii="宋体" w:hAnsi="宋体"/>
          <w:color w:val="auto"/>
          <w:szCs w:val="24"/>
          <w:highlight w:val="none"/>
        </w:rPr>
        <w:t>3.2.4.3.1 医疗服务价格控费系统与分析系统</w:t>
      </w:r>
      <w:r>
        <w:rPr>
          <w:color w:val="auto"/>
          <w:highlight w:val="none"/>
        </w:rPr>
        <w:tab/>
      </w:r>
      <w:r>
        <w:rPr>
          <w:color w:val="auto"/>
          <w:highlight w:val="none"/>
        </w:rPr>
        <w:fldChar w:fldCharType="begin"/>
      </w:r>
      <w:r>
        <w:rPr>
          <w:color w:val="auto"/>
          <w:highlight w:val="none"/>
        </w:rPr>
        <w:instrText xml:space="preserve"> PAGEREF _Toc23411 \h </w:instrText>
      </w:r>
      <w:r>
        <w:rPr>
          <w:color w:val="auto"/>
          <w:highlight w:val="none"/>
        </w:rPr>
        <w:fldChar w:fldCharType="separate"/>
      </w:r>
      <w:r>
        <w:rPr>
          <w:color w:val="auto"/>
          <w:highlight w:val="none"/>
        </w:rPr>
        <w:t>205</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_Toc10087 </w:instrText>
      </w:r>
      <w:r>
        <w:rPr>
          <w:rFonts w:ascii="宋体" w:hAnsi="宋体" w:cs="宋体"/>
          <w:color w:val="auto"/>
          <w:highlight w:val="none"/>
        </w:rPr>
        <w:fldChar w:fldCharType="separate"/>
      </w:r>
      <w:r>
        <w:rPr>
          <w:rFonts w:hint="eastAsia" w:ascii="宋体" w:hAnsi="宋体"/>
          <w:color w:val="auto"/>
          <w:szCs w:val="24"/>
          <w:highlight w:val="none"/>
        </w:rPr>
        <w:t xml:space="preserve">3.2.4.3.2 </w:t>
      </w:r>
      <w:r>
        <w:rPr>
          <w:rFonts w:ascii="宋体" w:hAnsi="宋体"/>
          <w:color w:val="auto"/>
          <w:szCs w:val="24"/>
          <w:highlight w:val="none"/>
          <w:lang w:eastAsia="zh-Hans"/>
        </w:rPr>
        <w:t>DRG医保付费智能审核及DRG绩效考核</w:t>
      </w:r>
      <w:r>
        <w:rPr>
          <w:color w:val="auto"/>
          <w:highlight w:val="none"/>
        </w:rPr>
        <w:tab/>
      </w:r>
      <w:r>
        <w:rPr>
          <w:color w:val="auto"/>
          <w:highlight w:val="none"/>
        </w:rPr>
        <w:fldChar w:fldCharType="begin"/>
      </w:r>
      <w:r>
        <w:rPr>
          <w:color w:val="auto"/>
          <w:highlight w:val="none"/>
        </w:rPr>
        <w:instrText xml:space="preserve"> PAGEREF _Toc10087 \h </w:instrText>
      </w:r>
      <w:r>
        <w:rPr>
          <w:color w:val="auto"/>
          <w:highlight w:val="none"/>
        </w:rPr>
        <w:fldChar w:fldCharType="separate"/>
      </w:r>
      <w:r>
        <w:rPr>
          <w:color w:val="auto"/>
          <w:highlight w:val="none"/>
        </w:rPr>
        <w:t>208</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_Toc8158 </w:instrText>
      </w:r>
      <w:r>
        <w:rPr>
          <w:rFonts w:ascii="宋体" w:hAnsi="宋体" w:cs="宋体"/>
          <w:color w:val="auto"/>
          <w:highlight w:val="none"/>
        </w:rPr>
        <w:fldChar w:fldCharType="separate"/>
      </w:r>
      <w:r>
        <w:rPr>
          <w:rFonts w:hint="eastAsia" w:ascii="宋体" w:hAnsi="宋体"/>
          <w:color w:val="auto"/>
          <w:szCs w:val="24"/>
          <w:highlight w:val="none"/>
        </w:rPr>
        <w:t>3.2.4.3.3 医保智能审核</w:t>
      </w:r>
      <w:r>
        <w:rPr>
          <w:color w:val="auto"/>
          <w:highlight w:val="none"/>
        </w:rPr>
        <w:tab/>
      </w:r>
      <w:r>
        <w:rPr>
          <w:color w:val="auto"/>
          <w:highlight w:val="none"/>
        </w:rPr>
        <w:fldChar w:fldCharType="begin"/>
      </w:r>
      <w:r>
        <w:rPr>
          <w:color w:val="auto"/>
          <w:highlight w:val="none"/>
        </w:rPr>
        <w:instrText xml:space="preserve"> PAGEREF _Toc8158 \h </w:instrText>
      </w:r>
      <w:r>
        <w:rPr>
          <w:color w:val="auto"/>
          <w:highlight w:val="none"/>
        </w:rPr>
        <w:fldChar w:fldCharType="separate"/>
      </w:r>
      <w:r>
        <w:rPr>
          <w:color w:val="auto"/>
          <w:highlight w:val="none"/>
        </w:rPr>
        <w:t>208</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_Toc14965 </w:instrText>
      </w:r>
      <w:r>
        <w:rPr>
          <w:rFonts w:ascii="宋体" w:hAnsi="宋体" w:cs="宋体"/>
          <w:color w:val="auto"/>
          <w:highlight w:val="none"/>
        </w:rPr>
        <w:fldChar w:fldCharType="separate"/>
      </w:r>
      <w:r>
        <w:rPr>
          <w:rFonts w:hint="eastAsia" w:ascii="宋体" w:hAnsi="宋体"/>
          <w:color w:val="auto"/>
          <w:szCs w:val="24"/>
          <w:highlight w:val="none"/>
        </w:rPr>
        <w:t>3.2.4.3.4 智慧党建管理系统</w:t>
      </w:r>
      <w:r>
        <w:rPr>
          <w:color w:val="auto"/>
          <w:highlight w:val="none"/>
        </w:rPr>
        <w:tab/>
      </w:r>
      <w:r>
        <w:rPr>
          <w:color w:val="auto"/>
          <w:highlight w:val="none"/>
        </w:rPr>
        <w:fldChar w:fldCharType="begin"/>
      </w:r>
      <w:r>
        <w:rPr>
          <w:color w:val="auto"/>
          <w:highlight w:val="none"/>
        </w:rPr>
        <w:instrText xml:space="preserve"> PAGEREF _Toc14965 \h </w:instrText>
      </w:r>
      <w:r>
        <w:rPr>
          <w:color w:val="auto"/>
          <w:highlight w:val="none"/>
        </w:rPr>
        <w:fldChar w:fldCharType="separate"/>
      </w:r>
      <w:r>
        <w:rPr>
          <w:color w:val="auto"/>
          <w:highlight w:val="none"/>
        </w:rPr>
        <w:t>208</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_Toc21485 </w:instrText>
      </w:r>
      <w:r>
        <w:rPr>
          <w:rFonts w:ascii="宋体" w:hAnsi="宋体" w:cs="宋体"/>
          <w:color w:val="auto"/>
          <w:highlight w:val="none"/>
        </w:rPr>
        <w:fldChar w:fldCharType="separate"/>
      </w:r>
      <w:r>
        <w:rPr>
          <w:rFonts w:hint="eastAsia" w:ascii="宋体" w:hAnsi="宋体"/>
          <w:color w:val="auto"/>
          <w:szCs w:val="24"/>
          <w:highlight w:val="none"/>
        </w:rPr>
        <w:t>3.2.4.3.5 IT运维管理系统</w:t>
      </w:r>
      <w:r>
        <w:rPr>
          <w:color w:val="auto"/>
          <w:highlight w:val="none"/>
        </w:rPr>
        <w:tab/>
      </w:r>
      <w:r>
        <w:rPr>
          <w:color w:val="auto"/>
          <w:highlight w:val="none"/>
        </w:rPr>
        <w:fldChar w:fldCharType="begin"/>
      </w:r>
      <w:r>
        <w:rPr>
          <w:color w:val="auto"/>
          <w:highlight w:val="none"/>
        </w:rPr>
        <w:instrText xml:space="preserve"> PAGEREF _Toc21485 \h </w:instrText>
      </w:r>
      <w:r>
        <w:rPr>
          <w:color w:val="auto"/>
          <w:highlight w:val="none"/>
        </w:rPr>
        <w:fldChar w:fldCharType="separate"/>
      </w:r>
      <w:r>
        <w:rPr>
          <w:color w:val="auto"/>
          <w:highlight w:val="none"/>
        </w:rPr>
        <w:t>213</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_Toc11325 </w:instrText>
      </w:r>
      <w:r>
        <w:rPr>
          <w:rFonts w:ascii="宋体" w:hAnsi="宋体" w:cs="宋体"/>
          <w:color w:val="auto"/>
          <w:highlight w:val="none"/>
        </w:rPr>
        <w:fldChar w:fldCharType="separate"/>
      </w:r>
      <w:r>
        <w:rPr>
          <w:rFonts w:hint="eastAsia" w:ascii="宋体" w:hAnsi="宋体"/>
          <w:color w:val="auto"/>
          <w:szCs w:val="24"/>
          <w:highlight w:val="none"/>
        </w:rPr>
        <w:t>3.2.4.3.6 医学装备管理系统</w:t>
      </w:r>
      <w:r>
        <w:rPr>
          <w:color w:val="auto"/>
          <w:highlight w:val="none"/>
        </w:rPr>
        <w:tab/>
      </w:r>
      <w:r>
        <w:rPr>
          <w:color w:val="auto"/>
          <w:highlight w:val="none"/>
        </w:rPr>
        <w:fldChar w:fldCharType="begin"/>
      </w:r>
      <w:r>
        <w:rPr>
          <w:color w:val="auto"/>
          <w:highlight w:val="none"/>
        </w:rPr>
        <w:instrText xml:space="preserve"> PAGEREF _Toc11325 \h </w:instrText>
      </w:r>
      <w:r>
        <w:rPr>
          <w:color w:val="auto"/>
          <w:highlight w:val="none"/>
        </w:rPr>
        <w:fldChar w:fldCharType="separate"/>
      </w:r>
      <w:r>
        <w:rPr>
          <w:color w:val="auto"/>
          <w:highlight w:val="none"/>
        </w:rPr>
        <w:t>215</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_Toc21462 </w:instrText>
      </w:r>
      <w:r>
        <w:rPr>
          <w:rFonts w:ascii="宋体" w:hAnsi="宋体" w:cs="宋体"/>
          <w:color w:val="auto"/>
          <w:highlight w:val="none"/>
        </w:rPr>
        <w:fldChar w:fldCharType="separate"/>
      </w:r>
      <w:r>
        <w:rPr>
          <w:rFonts w:hint="eastAsia" w:ascii="宋体" w:hAnsi="宋体"/>
          <w:color w:val="auto"/>
          <w:szCs w:val="24"/>
          <w:highlight w:val="none"/>
        </w:rPr>
        <w:t>3.2.4.3.7 物资管理系统</w:t>
      </w:r>
      <w:r>
        <w:rPr>
          <w:color w:val="auto"/>
          <w:highlight w:val="none"/>
        </w:rPr>
        <w:tab/>
      </w:r>
      <w:r>
        <w:rPr>
          <w:color w:val="auto"/>
          <w:highlight w:val="none"/>
        </w:rPr>
        <w:fldChar w:fldCharType="begin"/>
      </w:r>
      <w:r>
        <w:rPr>
          <w:color w:val="auto"/>
          <w:highlight w:val="none"/>
        </w:rPr>
        <w:instrText xml:space="preserve"> PAGEREF _Toc21462 \h </w:instrText>
      </w:r>
      <w:r>
        <w:rPr>
          <w:color w:val="auto"/>
          <w:highlight w:val="none"/>
        </w:rPr>
        <w:fldChar w:fldCharType="separate"/>
      </w:r>
      <w:r>
        <w:rPr>
          <w:color w:val="auto"/>
          <w:highlight w:val="none"/>
        </w:rPr>
        <w:t>219</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_Toc12130 </w:instrText>
      </w:r>
      <w:r>
        <w:rPr>
          <w:rFonts w:ascii="宋体" w:hAnsi="宋体" w:cs="宋体"/>
          <w:color w:val="auto"/>
          <w:highlight w:val="none"/>
        </w:rPr>
        <w:fldChar w:fldCharType="separate"/>
      </w:r>
      <w:r>
        <w:rPr>
          <w:rFonts w:hint="eastAsia" w:ascii="宋体" w:hAnsi="宋体"/>
          <w:color w:val="auto"/>
          <w:szCs w:val="24"/>
          <w:highlight w:val="none"/>
        </w:rPr>
        <w:t>3.2.4.3.8 客户关系管理系统CRM</w:t>
      </w:r>
      <w:r>
        <w:rPr>
          <w:color w:val="auto"/>
          <w:highlight w:val="none"/>
        </w:rPr>
        <w:tab/>
      </w:r>
      <w:r>
        <w:rPr>
          <w:color w:val="auto"/>
          <w:highlight w:val="none"/>
        </w:rPr>
        <w:fldChar w:fldCharType="begin"/>
      </w:r>
      <w:r>
        <w:rPr>
          <w:color w:val="auto"/>
          <w:highlight w:val="none"/>
        </w:rPr>
        <w:instrText xml:space="preserve"> PAGEREF _Toc12130 \h </w:instrText>
      </w:r>
      <w:r>
        <w:rPr>
          <w:color w:val="auto"/>
          <w:highlight w:val="none"/>
        </w:rPr>
        <w:fldChar w:fldCharType="separate"/>
      </w:r>
      <w:r>
        <w:rPr>
          <w:color w:val="auto"/>
          <w:highlight w:val="none"/>
        </w:rPr>
        <w:t>221</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_Toc14825 </w:instrText>
      </w:r>
      <w:r>
        <w:rPr>
          <w:rFonts w:ascii="宋体" w:hAnsi="宋体" w:cs="宋体"/>
          <w:color w:val="auto"/>
          <w:highlight w:val="none"/>
        </w:rPr>
        <w:fldChar w:fldCharType="separate"/>
      </w:r>
      <w:r>
        <w:rPr>
          <w:rFonts w:hint="eastAsia" w:ascii="宋体" w:hAnsi="宋体"/>
          <w:color w:val="auto"/>
          <w:szCs w:val="24"/>
          <w:highlight w:val="none"/>
        </w:rPr>
        <w:t>3.2.4.3.9 O</w:t>
      </w:r>
      <w:r>
        <w:rPr>
          <w:rFonts w:ascii="宋体" w:hAnsi="宋体"/>
          <w:color w:val="auto"/>
          <w:szCs w:val="24"/>
          <w:highlight w:val="none"/>
        </w:rPr>
        <w:t>A</w:t>
      </w:r>
      <w:r>
        <w:rPr>
          <w:rFonts w:hint="eastAsia" w:ascii="宋体" w:hAnsi="宋体"/>
          <w:color w:val="auto"/>
          <w:szCs w:val="24"/>
          <w:highlight w:val="none"/>
        </w:rPr>
        <w:t>系统</w:t>
      </w:r>
      <w:r>
        <w:rPr>
          <w:color w:val="auto"/>
          <w:highlight w:val="none"/>
        </w:rPr>
        <w:tab/>
      </w:r>
      <w:r>
        <w:rPr>
          <w:color w:val="auto"/>
          <w:highlight w:val="none"/>
        </w:rPr>
        <w:fldChar w:fldCharType="begin"/>
      </w:r>
      <w:r>
        <w:rPr>
          <w:color w:val="auto"/>
          <w:highlight w:val="none"/>
        </w:rPr>
        <w:instrText xml:space="preserve"> PAGEREF _Toc14825 \h </w:instrText>
      </w:r>
      <w:r>
        <w:rPr>
          <w:color w:val="auto"/>
          <w:highlight w:val="none"/>
        </w:rPr>
        <w:fldChar w:fldCharType="separate"/>
      </w:r>
      <w:r>
        <w:rPr>
          <w:color w:val="auto"/>
          <w:highlight w:val="none"/>
        </w:rPr>
        <w:t>222</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_Toc17989 </w:instrText>
      </w:r>
      <w:r>
        <w:rPr>
          <w:rFonts w:ascii="宋体" w:hAnsi="宋体" w:cs="宋体"/>
          <w:color w:val="auto"/>
          <w:highlight w:val="none"/>
        </w:rPr>
        <w:fldChar w:fldCharType="separate"/>
      </w:r>
      <w:r>
        <w:rPr>
          <w:rFonts w:hint="eastAsia" w:ascii="宋体" w:hAnsi="宋体"/>
          <w:color w:val="auto"/>
          <w:szCs w:val="24"/>
          <w:highlight w:val="none"/>
        </w:rPr>
        <w:t>3.2.4.3.10 H</w:t>
      </w:r>
      <w:r>
        <w:rPr>
          <w:rFonts w:ascii="宋体" w:hAnsi="宋体"/>
          <w:color w:val="auto"/>
          <w:szCs w:val="24"/>
          <w:highlight w:val="none"/>
        </w:rPr>
        <w:t>R</w:t>
      </w:r>
      <w:r>
        <w:rPr>
          <w:rFonts w:hint="eastAsia" w:ascii="宋体" w:hAnsi="宋体"/>
          <w:color w:val="auto"/>
          <w:szCs w:val="24"/>
          <w:highlight w:val="none"/>
        </w:rPr>
        <w:t>系统</w:t>
      </w:r>
      <w:r>
        <w:rPr>
          <w:color w:val="auto"/>
          <w:highlight w:val="none"/>
        </w:rPr>
        <w:tab/>
      </w:r>
      <w:r>
        <w:rPr>
          <w:color w:val="auto"/>
          <w:highlight w:val="none"/>
        </w:rPr>
        <w:fldChar w:fldCharType="begin"/>
      </w:r>
      <w:r>
        <w:rPr>
          <w:color w:val="auto"/>
          <w:highlight w:val="none"/>
        </w:rPr>
        <w:instrText xml:space="preserve"> PAGEREF _Toc17989 \h </w:instrText>
      </w:r>
      <w:r>
        <w:rPr>
          <w:color w:val="auto"/>
          <w:highlight w:val="none"/>
        </w:rPr>
        <w:fldChar w:fldCharType="separate"/>
      </w:r>
      <w:r>
        <w:rPr>
          <w:color w:val="auto"/>
          <w:highlight w:val="none"/>
        </w:rPr>
        <w:t>222</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_Toc21259 </w:instrText>
      </w:r>
      <w:r>
        <w:rPr>
          <w:rFonts w:ascii="宋体" w:hAnsi="宋体" w:cs="宋体"/>
          <w:color w:val="auto"/>
          <w:highlight w:val="none"/>
        </w:rPr>
        <w:fldChar w:fldCharType="separate"/>
      </w:r>
      <w:r>
        <w:rPr>
          <w:rFonts w:hint="eastAsia" w:ascii="宋体" w:hAnsi="宋体"/>
          <w:color w:val="auto"/>
          <w:szCs w:val="24"/>
          <w:highlight w:val="none"/>
        </w:rPr>
        <w:t>3.2.4.3.11 工资系统</w:t>
      </w:r>
      <w:r>
        <w:rPr>
          <w:color w:val="auto"/>
          <w:highlight w:val="none"/>
        </w:rPr>
        <w:tab/>
      </w:r>
      <w:r>
        <w:rPr>
          <w:color w:val="auto"/>
          <w:highlight w:val="none"/>
        </w:rPr>
        <w:fldChar w:fldCharType="begin"/>
      </w:r>
      <w:r>
        <w:rPr>
          <w:color w:val="auto"/>
          <w:highlight w:val="none"/>
        </w:rPr>
        <w:instrText xml:space="preserve"> PAGEREF _Toc21259 \h </w:instrText>
      </w:r>
      <w:r>
        <w:rPr>
          <w:color w:val="auto"/>
          <w:highlight w:val="none"/>
        </w:rPr>
        <w:fldChar w:fldCharType="separate"/>
      </w:r>
      <w:r>
        <w:rPr>
          <w:color w:val="auto"/>
          <w:highlight w:val="none"/>
        </w:rPr>
        <w:t>222</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_Toc13848 </w:instrText>
      </w:r>
      <w:r>
        <w:rPr>
          <w:rFonts w:ascii="宋体" w:hAnsi="宋体" w:cs="宋体"/>
          <w:color w:val="auto"/>
          <w:highlight w:val="none"/>
        </w:rPr>
        <w:fldChar w:fldCharType="separate"/>
      </w:r>
      <w:r>
        <w:rPr>
          <w:rFonts w:hint="eastAsia" w:ascii="宋体" w:hAnsi="宋体"/>
          <w:color w:val="auto"/>
          <w:szCs w:val="24"/>
          <w:highlight w:val="none"/>
        </w:rPr>
        <w:t>3.2.4.3.12 短信服务</w:t>
      </w:r>
      <w:r>
        <w:rPr>
          <w:color w:val="auto"/>
          <w:highlight w:val="none"/>
        </w:rPr>
        <w:tab/>
      </w:r>
      <w:r>
        <w:rPr>
          <w:color w:val="auto"/>
          <w:highlight w:val="none"/>
        </w:rPr>
        <w:fldChar w:fldCharType="begin"/>
      </w:r>
      <w:r>
        <w:rPr>
          <w:color w:val="auto"/>
          <w:highlight w:val="none"/>
        </w:rPr>
        <w:instrText xml:space="preserve"> PAGEREF _Toc13848 \h </w:instrText>
      </w:r>
      <w:r>
        <w:rPr>
          <w:color w:val="auto"/>
          <w:highlight w:val="none"/>
        </w:rPr>
        <w:fldChar w:fldCharType="separate"/>
      </w:r>
      <w:r>
        <w:rPr>
          <w:color w:val="auto"/>
          <w:highlight w:val="none"/>
        </w:rPr>
        <w:t>223</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_Toc21507 </w:instrText>
      </w:r>
      <w:r>
        <w:rPr>
          <w:rFonts w:ascii="宋体" w:hAnsi="宋体" w:cs="宋体"/>
          <w:color w:val="auto"/>
          <w:highlight w:val="none"/>
        </w:rPr>
        <w:fldChar w:fldCharType="separate"/>
      </w:r>
      <w:r>
        <w:rPr>
          <w:rFonts w:hint="eastAsia" w:ascii="宋体" w:hAnsi="宋体"/>
          <w:color w:val="auto"/>
          <w:szCs w:val="24"/>
          <w:highlight w:val="none"/>
        </w:rPr>
        <w:t>3.2.4.3.13 数字科教系统</w:t>
      </w:r>
      <w:r>
        <w:rPr>
          <w:color w:val="auto"/>
          <w:highlight w:val="none"/>
        </w:rPr>
        <w:tab/>
      </w:r>
      <w:r>
        <w:rPr>
          <w:color w:val="auto"/>
          <w:highlight w:val="none"/>
        </w:rPr>
        <w:fldChar w:fldCharType="begin"/>
      </w:r>
      <w:r>
        <w:rPr>
          <w:color w:val="auto"/>
          <w:highlight w:val="none"/>
        </w:rPr>
        <w:instrText xml:space="preserve"> PAGEREF _Toc21507 \h </w:instrText>
      </w:r>
      <w:r>
        <w:rPr>
          <w:color w:val="auto"/>
          <w:highlight w:val="none"/>
        </w:rPr>
        <w:fldChar w:fldCharType="separate"/>
      </w:r>
      <w:r>
        <w:rPr>
          <w:color w:val="auto"/>
          <w:highlight w:val="none"/>
        </w:rPr>
        <w:t>223</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_Toc15228 </w:instrText>
      </w:r>
      <w:r>
        <w:rPr>
          <w:rFonts w:ascii="宋体" w:hAnsi="宋体" w:cs="宋体"/>
          <w:color w:val="auto"/>
          <w:highlight w:val="none"/>
        </w:rPr>
        <w:fldChar w:fldCharType="separate"/>
      </w:r>
      <w:r>
        <w:rPr>
          <w:rFonts w:hint="eastAsia" w:ascii="宋体" w:hAnsi="宋体"/>
          <w:color w:val="auto"/>
          <w:szCs w:val="24"/>
          <w:highlight w:val="none"/>
        </w:rPr>
        <w:t>3.2.4.3.14 实验室</w:t>
      </w:r>
      <w:r>
        <w:rPr>
          <w:rFonts w:hint="eastAsia" w:ascii="宋体" w:hAnsi="宋体"/>
          <w:color w:val="auto"/>
          <w:szCs w:val="24"/>
          <w:highlight w:val="none"/>
          <w:lang w:eastAsia="zh-CN"/>
        </w:rPr>
        <w:t>设备管理软件</w:t>
      </w:r>
      <w:r>
        <w:rPr>
          <w:color w:val="auto"/>
          <w:highlight w:val="none"/>
        </w:rPr>
        <w:tab/>
      </w:r>
      <w:r>
        <w:rPr>
          <w:color w:val="auto"/>
          <w:highlight w:val="none"/>
        </w:rPr>
        <w:fldChar w:fldCharType="begin"/>
      </w:r>
      <w:r>
        <w:rPr>
          <w:color w:val="auto"/>
          <w:highlight w:val="none"/>
        </w:rPr>
        <w:instrText xml:space="preserve"> PAGEREF _Toc15228 \h </w:instrText>
      </w:r>
      <w:r>
        <w:rPr>
          <w:color w:val="auto"/>
          <w:highlight w:val="none"/>
        </w:rPr>
        <w:fldChar w:fldCharType="separate"/>
      </w:r>
      <w:r>
        <w:rPr>
          <w:color w:val="auto"/>
          <w:highlight w:val="none"/>
        </w:rPr>
        <w:t>223</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_Toc15899 </w:instrText>
      </w:r>
      <w:r>
        <w:rPr>
          <w:rFonts w:ascii="宋体" w:hAnsi="宋体" w:cs="宋体"/>
          <w:color w:val="auto"/>
          <w:highlight w:val="none"/>
        </w:rPr>
        <w:fldChar w:fldCharType="separate"/>
      </w:r>
      <w:r>
        <w:rPr>
          <w:rFonts w:hint="eastAsia" w:ascii="宋体" w:hAnsi="宋体"/>
          <w:color w:val="auto"/>
          <w:szCs w:val="24"/>
          <w:highlight w:val="none"/>
        </w:rPr>
        <w:t>3.2.4.3.15 教学培训管理系统</w:t>
      </w:r>
      <w:r>
        <w:rPr>
          <w:color w:val="auto"/>
          <w:highlight w:val="none"/>
        </w:rPr>
        <w:tab/>
      </w:r>
      <w:r>
        <w:rPr>
          <w:color w:val="auto"/>
          <w:highlight w:val="none"/>
        </w:rPr>
        <w:fldChar w:fldCharType="begin"/>
      </w:r>
      <w:r>
        <w:rPr>
          <w:color w:val="auto"/>
          <w:highlight w:val="none"/>
        </w:rPr>
        <w:instrText xml:space="preserve"> PAGEREF _Toc15899 \h </w:instrText>
      </w:r>
      <w:r>
        <w:rPr>
          <w:color w:val="auto"/>
          <w:highlight w:val="none"/>
        </w:rPr>
        <w:fldChar w:fldCharType="separate"/>
      </w:r>
      <w:r>
        <w:rPr>
          <w:color w:val="auto"/>
          <w:highlight w:val="none"/>
        </w:rPr>
        <w:t>224</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_Toc21776 </w:instrText>
      </w:r>
      <w:r>
        <w:rPr>
          <w:rFonts w:ascii="宋体" w:hAnsi="宋体" w:cs="宋体"/>
          <w:color w:val="auto"/>
          <w:highlight w:val="none"/>
        </w:rPr>
        <w:fldChar w:fldCharType="separate"/>
      </w:r>
      <w:r>
        <w:rPr>
          <w:rFonts w:hint="eastAsia" w:ascii="宋体" w:hAnsi="宋体"/>
          <w:color w:val="auto"/>
          <w:szCs w:val="24"/>
          <w:highlight w:val="none"/>
        </w:rPr>
        <w:t>3.2.4.3.16 新疆维吾尔自治区住院医师规范化培训综合管理平台</w:t>
      </w:r>
      <w:r>
        <w:rPr>
          <w:color w:val="auto"/>
          <w:highlight w:val="none"/>
        </w:rPr>
        <w:tab/>
      </w:r>
      <w:r>
        <w:rPr>
          <w:color w:val="auto"/>
          <w:highlight w:val="none"/>
        </w:rPr>
        <w:fldChar w:fldCharType="begin"/>
      </w:r>
      <w:r>
        <w:rPr>
          <w:color w:val="auto"/>
          <w:highlight w:val="none"/>
        </w:rPr>
        <w:instrText xml:space="preserve"> PAGEREF _Toc21776 \h </w:instrText>
      </w:r>
      <w:r>
        <w:rPr>
          <w:color w:val="auto"/>
          <w:highlight w:val="none"/>
        </w:rPr>
        <w:fldChar w:fldCharType="separate"/>
      </w:r>
      <w:r>
        <w:rPr>
          <w:color w:val="auto"/>
          <w:highlight w:val="none"/>
        </w:rPr>
        <w:t>225</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_Toc5607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3.2.4.4 </w:t>
      </w:r>
      <w:r>
        <w:rPr>
          <w:rFonts w:hint="eastAsia" w:ascii="宋体" w:hAnsi="宋体"/>
          <w:color w:val="auto"/>
          <w:szCs w:val="24"/>
          <w:highlight w:val="none"/>
        </w:rPr>
        <w:t>临床科研平台</w:t>
      </w:r>
      <w:r>
        <w:rPr>
          <w:color w:val="auto"/>
          <w:highlight w:val="none"/>
        </w:rPr>
        <w:tab/>
      </w:r>
      <w:r>
        <w:rPr>
          <w:color w:val="auto"/>
          <w:highlight w:val="none"/>
        </w:rPr>
        <w:fldChar w:fldCharType="begin"/>
      </w:r>
      <w:r>
        <w:rPr>
          <w:color w:val="auto"/>
          <w:highlight w:val="none"/>
        </w:rPr>
        <w:instrText xml:space="preserve"> PAGEREF _Toc5607 \h </w:instrText>
      </w:r>
      <w:r>
        <w:rPr>
          <w:color w:val="auto"/>
          <w:highlight w:val="none"/>
        </w:rPr>
        <w:fldChar w:fldCharType="separate"/>
      </w:r>
      <w:r>
        <w:rPr>
          <w:color w:val="auto"/>
          <w:highlight w:val="none"/>
        </w:rPr>
        <w:t>226</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_Toc23467 </w:instrText>
      </w:r>
      <w:r>
        <w:rPr>
          <w:rFonts w:ascii="宋体" w:hAnsi="宋体" w:cs="宋体"/>
          <w:color w:val="auto"/>
          <w:highlight w:val="none"/>
        </w:rPr>
        <w:fldChar w:fldCharType="separate"/>
      </w:r>
      <w:r>
        <w:rPr>
          <w:rFonts w:hint="eastAsia" w:ascii="宋体" w:hAnsi="宋体"/>
          <w:color w:val="auto"/>
          <w:szCs w:val="24"/>
          <w:highlight w:val="none"/>
        </w:rPr>
        <w:t>3.2.4.4.1 科研数据搜索协助系统</w:t>
      </w:r>
      <w:r>
        <w:rPr>
          <w:color w:val="auto"/>
          <w:highlight w:val="none"/>
        </w:rPr>
        <w:tab/>
      </w:r>
      <w:r>
        <w:rPr>
          <w:color w:val="auto"/>
          <w:highlight w:val="none"/>
        </w:rPr>
        <w:fldChar w:fldCharType="begin"/>
      </w:r>
      <w:r>
        <w:rPr>
          <w:color w:val="auto"/>
          <w:highlight w:val="none"/>
        </w:rPr>
        <w:instrText xml:space="preserve"> PAGEREF _Toc23467 \h </w:instrText>
      </w:r>
      <w:r>
        <w:rPr>
          <w:color w:val="auto"/>
          <w:highlight w:val="none"/>
        </w:rPr>
        <w:fldChar w:fldCharType="separate"/>
      </w:r>
      <w:r>
        <w:rPr>
          <w:color w:val="auto"/>
          <w:highlight w:val="none"/>
        </w:rPr>
        <w:t>226</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_Toc25909 </w:instrText>
      </w:r>
      <w:r>
        <w:rPr>
          <w:rFonts w:ascii="宋体" w:hAnsi="宋体" w:cs="宋体"/>
          <w:color w:val="auto"/>
          <w:highlight w:val="none"/>
        </w:rPr>
        <w:fldChar w:fldCharType="separate"/>
      </w:r>
      <w:r>
        <w:rPr>
          <w:rFonts w:hint="eastAsia" w:ascii="宋体" w:hAnsi="宋体"/>
          <w:color w:val="auto"/>
          <w:szCs w:val="24"/>
          <w:highlight w:val="none"/>
        </w:rPr>
        <w:t>3.2.4.4.2 专科科研管理协助系统</w:t>
      </w:r>
      <w:r>
        <w:rPr>
          <w:color w:val="auto"/>
          <w:highlight w:val="none"/>
        </w:rPr>
        <w:tab/>
      </w:r>
      <w:r>
        <w:rPr>
          <w:color w:val="auto"/>
          <w:highlight w:val="none"/>
        </w:rPr>
        <w:fldChar w:fldCharType="begin"/>
      </w:r>
      <w:r>
        <w:rPr>
          <w:color w:val="auto"/>
          <w:highlight w:val="none"/>
        </w:rPr>
        <w:instrText xml:space="preserve"> PAGEREF _Toc25909 \h </w:instrText>
      </w:r>
      <w:r>
        <w:rPr>
          <w:color w:val="auto"/>
          <w:highlight w:val="none"/>
        </w:rPr>
        <w:fldChar w:fldCharType="separate"/>
      </w:r>
      <w:r>
        <w:rPr>
          <w:color w:val="auto"/>
          <w:highlight w:val="none"/>
        </w:rPr>
        <w:t>228</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_Toc7432 </w:instrText>
      </w:r>
      <w:r>
        <w:rPr>
          <w:rFonts w:ascii="宋体" w:hAnsi="宋体" w:cs="宋体"/>
          <w:color w:val="auto"/>
          <w:highlight w:val="none"/>
        </w:rPr>
        <w:fldChar w:fldCharType="separate"/>
      </w:r>
      <w:r>
        <w:rPr>
          <w:rFonts w:hint="eastAsia" w:ascii="宋体" w:hAnsi="宋体"/>
          <w:color w:val="auto"/>
          <w:szCs w:val="24"/>
          <w:highlight w:val="none"/>
        </w:rPr>
        <w:t>3.2.4.4.3 科研学术服务</w:t>
      </w:r>
      <w:r>
        <w:rPr>
          <w:rFonts w:hint="eastAsia" w:ascii="宋体" w:hAnsi="宋体"/>
          <w:color w:val="auto"/>
          <w:szCs w:val="24"/>
          <w:highlight w:val="none"/>
          <w:lang w:eastAsia="zh-CN"/>
        </w:rPr>
        <w:t>系统</w:t>
      </w:r>
      <w:r>
        <w:rPr>
          <w:color w:val="auto"/>
          <w:highlight w:val="none"/>
        </w:rPr>
        <w:tab/>
      </w:r>
      <w:r>
        <w:rPr>
          <w:color w:val="auto"/>
          <w:highlight w:val="none"/>
        </w:rPr>
        <w:fldChar w:fldCharType="begin"/>
      </w:r>
      <w:r>
        <w:rPr>
          <w:color w:val="auto"/>
          <w:highlight w:val="none"/>
        </w:rPr>
        <w:instrText xml:space="preserve"> PAGEREF _Toc7432 \h </w:instrText>
      </w:r>
      <w:r>
        <w:rPr>
          <w:color w:val="auto"/>
          <w:highlight w:val="none"/>
        </w:rPr>
        <w:fldChar w:fldCharType="separate"/>
      </w:r>
      <w:r>
        <w:rPr>
          <w:color w:val="auto"/>
          <w:highlight w:val="none"/>
        </w:rPr>
        <w:t>230</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_Toc2408 </w:instrText>
      </w:r>
      <w:r>
        <w:rPr>
          <w:rFonts w:ascii="宋体" w:hAnsi="宋体" w:cs="宋体"/>
          <w:color w:val="auto"/>
          <w:highlight w:val="none"/>
        </w:rPr>
        <w:fldChar w:fldCharType="separate"/>
      </w:r>
      <w:r>
        <w:rPr>
          <w:rFonts w:hint="eastAsia" w:ascii="宋体" w:hAnsi="宋体"/>
          <w:color w:val="auto"/>
          <w:szCs w:val="24"/>
          <w:highlight w:val="none"/>
        </w:rPr>
        <w:t>3.2.4.4.4 临床数据分析平台</w:t>
      </w:r>
      <w:r>
        <w:rPr>
          <w:color w:val="auto"/>
          <w:highlight w:val="none"/>
        </w:rPr>
        <w:tab/>
      </w:r>
      <w:r>
        <w:rPr>
          <w:color w:val="auto"/>
          <w:highlight w:val="none"/>
        </w:rPr>
        <w:fldChar w:fldCharType="begin"/>
      </w:r>
      <w:r>
        <w:rPr>
          <w:color w:val="auto"/>
          <w:highlight w:val="none"/>
        </w:rPr>
        <w:instrText xml:space="preserve"> PAGEREF _Toc2408 \h </w:instrText>
      </w:r>
      <w:r>
        <w:rPr>
          <w:color w:val="auto"/>
          <w:highlight w:val="none"/>
        </w:rPr>
        <w:fldChar w:fldCharType="separate"/>
      </w:r>
      <w:r>
        <w:rPr>
          <w:color w:val="auto"/>
          <w:highlight w:val="none"/>
        </w:rPr>
        <w:t>231</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_Toc5424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3.2.4.5 </w:t>
      </w:r>
      <w:r>
        <w:rPr>
          <w:rFonts w:hint="eastAsia" w:ascii="宋体" w:hAnsi="宋体"/>
          <w:color w:val="auto"/>
          <w:szCs w:val="24"/>
          <w:highlight w:val="none"/>
        </w:rPr>
        <w:t>智慧后勤系统</w:t>
      </w:r>
      <w:r>
        <w:rPr>
          <w:color w:val="auto"/>
          <w:highlight w:val="none"/>
        </w:rPr>
        <w:tab/>
      </w:r>
      <w:r>
        <w:rPr>
          <w:color w:val="auto"/>
          <w:highlight w:val="none"/>
        </w:rPr>
        <w:fldChar w:fldCharType="begin"/>
      </w:r>
      <w:r>
        <w:rPr>
          <w:color w:val="auto"/>
          <w:highlight w:val="none"/>
        </w:rPr>
        <w:instrText xml:space="preserve"> PAGEREF _Toc5424 \h </w:instrText>
      </w:r>
      <w:r>
        <w:rPr>
          <w:color w:val="auto"/>
          <w:highlight w:val="none"/>
        </w:rPr>
        <w:fldChar w:fldCharType="separate"/>
      </w:r>
      <w:r>
        <w:rPr>
          <w:color w:val="auto"/>
          <w:highlight w:val="none"/>
        </w:rPr>
        <w:t>232</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_Toc6609 </w:instrText>
      </w:r>
      <w:r>
        <w:rPr>
          <w:rFonts w:ascii="宋体" w:hAnsi="宋体" w:cs="宋体"/>
          <w:color w:val="auto"/>
          <w:highlight w:val="none"/>
        </w:rPr>
        <w:fldChar w:fldCharType="separate"/>
      </w:r>
      <w:r>
        <w:rPr>
          <w:rFonts w:hint="eastAsia" w:ascii="宋体" w:hAnsi="宋体"/>
          <w:color w:val="auto"/>
          <w:szCs w:val="24"/>
          <w:highlight w:val="none"/>
        </w:rPr>
        <w:t>3.2.4.5.1 后勤一站式服务系统</w:t>
      </w:r>
      <w:r>
        <w:rPr>
          <w:color w:val="auto"/>
          <w:highlight w:val="none"/>
        </w:rPr>
        <w:tab/>
      </w:r>
      <w:r>
        <w:rPr>
          <w:color w:val="auto"/>
          <w:highlight w:val="none"/>
        </w:rPr>
        <w:fldChar w:fldCharType="begin"/>
      </w:r>
      <w:r>
        <w:rPr>
          <w:color w:val="auto"/>
          <w:highlight w:val="none"/>
        </w:rPr>
        <w:instrText xml:space="preserve"> PAGEREF _Toc6609 \h </w:instrText>
      </w:r>
      <w:r>
        <w:rPr>
          <w:color w:val="auto"/>
          <w:highlight w:val="none"/>
        </w:rPr>
        <w:fldChar w:fldCharType="separate"/>
      </w:r>
      <w:r>
        <w:rPr>
          <w:color w:val="auto"/>
          <w:highlight w:val="none"/>
        </w:rPr>
        <w:t>232</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_Toc1006 </w:instrText>
      </w:r>
      <w:r>
        <w:rPr>
          <w:rFonts w:ascii="宋体" w:hAnsi="宋体" w:cs="宋体"/>
          <w:color w:val="auto"/>
          <w:highlight w:val="none"/>
        </w:rPr>
        <w:fldChar w:fldCharType="separate"/>
      </w:r>
      <w:r>
        <w:rPr>
          <w:rFonts w:hint="eastAsia" w:ascii="宋体" w:hAnsi="宋体"/>
          <w:color w:val="auto"/>
          <w:szCs w:val="24"/>
          <w:highlight w:val="none"/>
        </w:rPr>
        <w:t>3.2.4.5.2 设备巡检管理</w:t>
      </w:r>
      <w:r>
        <w:rPr>
          <w:color w:val="auto"/>
          <w:highlight w:val="none"/>
        </w:rPr>
        <w:tab/>
      </w:r>
      <w:r>
        <w:rPr>
          <w:color w:val="auto"/>
          <w:highlight w:val="none"/>
        </w:rPr>
        <w:fldChar w:fldCharType="begin"/>
      </w:r>
      <w:r>
        <w:rPr>
          <w:color w:val="auto"/>
          <w:highlight w:val="none"/>
        </w:rPr>
        <w:instrText xml:space="preserve"> PAGEREF _Toc1006 \h </w:instrText>
      </w:r>
      <w:r>
        <w:rPr>
          <w:color w:val="auto"/>
          <w:highlight w:val="none"/>
        </w:rPr>
        <w:fldChar w:fldCharType="separate"/>
      </w:r>
      <w:r>
        <w:rPr>
          <w:color w:val="auto"/>
          <w:highlight w:val="none"/>
        </w:rPr>
        <w:t>232</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_Toc19916 </w:instrText>
      </w:r>
      <w:r>
        <w:rPr>
          <w:rFonts w:ascii="宋体" w:hAnsi="宋体" w:cs="宋体"/>
          <w:color w:val="auto"/>
          <w:highlight w:val="none"/>
        </w:rPr>
        <w:fldChar w:fldCharType="separate"/>
      </w:r>
      <w:r>
        <w:rPr>
          <w:rFonts w:hint="eastAsia" w:ascii="宋体" w:hAnsi="宋体"/>
          <w:color w:val="auto"/>
          <w:szCs w:val="24"/>
          <w:highlight w:val="none"/>
        </w:rPr>
        <w:t>3.2.4.5.3 医疗废弃物管理</w:t>
      </w:r>
      <w:r>
        <w:rPr>
          <w:color w:val="auto"/>
          <w:highlight w:val="none"/>
        </w:rPr>
        <w:tab/>
      </w:r>
      <w:r>
        <w:rPr>
          <w:color w:val="auto"/>
          <w:highlight w:val="none"/>
        </w:rPr>
        <w:fldChar w:fldCharType="begin"/>
      </w:r>
      <w:r>
        <w:rPr>
          <w:color w:val="auto"/>
          <w:highlight w:val="none"/>
        </w:rPr>
        <w:instrText xml:space="preserve"> PAGEREF _Toc19916 \h </w:instrText>
      </w:r>
      <w:r>
        <w:rPr>
          <w:color w:val="auto"/>
          <w:highlight w:val="none"/>
        </w:rPr>
        <w:fldChar w:fldCharType="separate"/>
      </w:r>
      <w:r>
        <w:rPr>
          <w:color w:val="auto"/>
          <w:highlight w:val="none"/>
        </w:rPr>
        <w:t>233</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_Toc18178 </w:instrText>
      </w:r>
      <w:r>
        <w:rPr>
          <w:rFonts w:ascii="宋体" w:hAnsi="宋体" w:cs="宋体"/>
          <w:color w:val="auto"/>
          <w:highlight w:val="none"/>
        </w:rPr>
        <w:fldChar w:fldCharType="separate"/>
      </w:r>
      <w:r>
        <w:rPr>
          <w:rFonts w:hint="eastAsia" w:hAnsi="宋体"/>
          <w:color w:val="auto"/>
          <w:szCs w:val="24"/>
          <w:highlight w:val="none"/>
        </w:rPr>
        <w:t>3.2.5 智慧服务建设</w:t>
      </w:r>
      <w:r>
        <w:rPr>
          <w:color w:val="auto"/>
          <w:highlight w:val="none"/>
        </w:rPr>
        <w:tab/>
      </w:r>
      <w:r>
        <w:rPr>
          <w:color w:val="auto"/>
          <w:highlight w:val="none"/>
        </w:rPr>
        <w:fldChar w:fldCharType="begin"/>
      </w:r>
      <w:r>
        <w:rPr>
          <w:color w:val="auto"/>
          <w:highlight w:val="none"/>
        </w:rPr>
        <w:instrText xml:space="preserve"> PAGEREF _Toc18178 \h </w:instrText>
      </w:r>
      <w:r>
        <w:rPr>
          <w:color w:val="auto"/>
          <w:highlight w:val="none"/>
        </w:rPr>
        <w:fldChar w:fldCharType="separate"/>
      </w:r>
      <w:r>
        <w:rPr>
          <w:color w:val="auto"/>
          <w:highlight w:val="none"/>
        </w:rPr>
        <w:t>234</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_Toc18590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3.2.5.1 </w:t>
      </w:r>
      <w:r>
        <w:rPr>
          <w:rFonts w:hint="eastAsia" w:ascii="宋体" w:hAnsi="宋体"/>
          <w:color w:val="auto"/>
          <w:szCs w:val="24"/>
          <w:highlight w:val="none"/>
        </w:rPr>
        <w:t>患者自助服务</w:t>
      </w:r>
      <w:r>
        <w:rPr>
          <w:color w:val="auto"/>
          <w:highlight w:val="none"/>
        </w:rPr>
        <w:tab/>
      </w:r>
      <w:r>
        <w:rPr>
          <w:color w:val="auto"/>
          <w:highlight w:val="none"/>
        </w:rPr>
        <w:fldChar w:fldCharType="begin"/>
      </w:r>
      <w:r>
        <w:rPr>
          <w:color w:val="auto"/>
          <w:highlight w:val="none"/>
        </w:rPr>
        <w:instrText xml:space="preserve"> PAGEREF _Toc18590 \h </w:instrText>
      </w:r>
      <w:r>
        <w:rPr>
          <w:color w:val="auto"/>
          <w:highlight w:val="none"/>
        </w:rPr>
        <w:fldChar w:fldCharType="separate"/>
      </w:r>
      <w:r>
        <w:rPr>
          <w:color w:val="auto"/>
          <w:highlight w:val="none"/>
        </w:rPr>
        <w:t>234</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_Toc26367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3.2.5.2 </w:t>
      </w:r>
      <w:r>
        <w:rPr>
          <w:rFonts w:hint="eastAsia" w:ascii="宋体" w:hAnsi="宋体"/>
          <w:color w:val="auto"/>
          <w:szCs w:val="24"/>
          <w:highlight w:val="none"/>
        </w:rPr>
        <w:t>结算窗口叫号系统</w:t>
      </w:r>
      <w:r>
        <w:rPr>
          <w:color w:val="auto"/>
          <w:highlight w:val="none"/>
        </w:rPr>
        <w:tab/>
      </w:r>
      <w:r>
        <w:rPr>
          <w:color w:val="auto"/>
          <w:highlight w:val="none"/>
        </w:rPr>
        <w:fldChar w:fldCharType="begin"/>
      </w:r>
      <w:r>
        <w:rPr>
          <w:color w:val="auto"/>
          <w:highlight w:val="none"/>
        </w:rPr>
        <w:instrText xml:space="preserve"> PAGEREF _Toc26367 \h </w:instrText>
      </w:r>
      <w:r>
        <w:rPr>
          <w:color w:val="auto"/>
          <w:highlight w:val="none"/>
        </w:rPr>
        <w:fldChar w:fldCharType="separate"/>
      </w:r>
      <w:r>
        <w:rPr>
          <w:color w:val="auto"/>
          <w:highlight w:val="none"/>
        </w:rPr>
        <w:t>235</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_Toc8554 </w:instrText>
      </w:r>
      <w:r>
        <w:rPr>
          <w:rFonts w:ascii="宋体" w:hAnsi="宋体" w:cs="宋体"/>
          <w:color w:val="auto"/>
          <w:highlight w:val="none"/>
        </w:rPr>
        <w:fldChar w:fldCharType="separate"/>
      </w:r>
      <w:r>
        <w:rPr>
          <w:rFonts w:hint="eastAsia" w:ascii="宋体" w:hAnsi="宋体"/>
          <w:bCs/>
          <w:color w:val="auto"/>
          <w:highlight w:val="none"/>
          <w:lang w:val="en-US"/>
        </w:rPr>
        <w:t xml:space="preserve">3.2.5.3 </w:t>
      </w:r>
      <w:r>
        <w:rPr>
          <w:rFonts w:hint="eastAsia" w:ascii="宋体" w:hAnsi="宋体"/>
          <w:bCs/>
          <w:color w:val="auto"/>
          <w:highlight w:val="none"/>
        </w:rPr>
        <w:t>门急诊收费系统</w:t>
      </w:r>
      <w:r>
        <w:rPr>
          <w:color w:val="auto"/>
          <w:highlight w:val="none"/>
        </w:rPr>
        <w:tab/>
      </w:r>
      <w:r>
        <w:rPr>
          <w:color w:val="auto"/>
          <w:highlight w:val="none"/>
        </w:rPr>
        <w:fldChar w:fldCharType="begin"/>
      </w:r>
      <w:r>
        <w:rPr>
          <w:color w:val="auto"/>
          <w:highlight w:val="none"/>
        </w:rPr>
        <w:instrText xml:space="preserve"> PAGEREF _Toc8554 \h </w:instrText>
      </w:r>
      <w:r>
        <w:rPr>
          <w:color w:val="auto"/>
          <w:highlight w:val="none"/>
        </w:rPr>
        <w:fldChar w:fldCharType="separate"/>
      </w:r>
      <w:r>
        <w:rPr>
          <w:color w:val="auto"/>
          <w:highlight w:val="none"/>
        </w:rPr>
        <w:t>237</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_Toc29680 </w:instrText>
      </w:r>
      <w:r>
        <w:rPr>
          <w:rFonts w:ascii="宋体" w:hAnsi="宋体" w:cs="宋体"/>
          <w:color w:val="auto"/>
          <w:highlight w:val="none"/>
        </w:rPr>
        <w:fldChar w:fldCharType="separate"/>
      </w:r>
      <w:r>
        <w:rPr>
          <w:rFonts w:hint="eastAsia" w:ascii="宋体" w:hAnsi="宋体"/>
          <w:bCs/>
          <w:color w:val="auto"/>
          <w:highlight w:val="none"/>
          <w:lang w:val="en-US"/>
        </w:rPr>
        <w:t xml:space="preserve">3.2.5.4 </w:t>
      </w:r>
      <w:r>
        <w:rPr>
          <w:rFonts w:hint="eastAsia" w:ascii="宋体" w:hAnsi="宋体"/>
          <w:bCs/>
          <w:color w:val="auto"/>
          <w:highlight w:val="none"/>
        </w:rPr>
        <w:t>住院收费系统</w:t>
      </w:r>
      <w:r>
        <w:rPr>
          <w:color w:val="auto"/>
          <w:highlight w:val="none"/>
        </w:rPr>
        <w:tab/>
      </w:r>
      <w:r>
        <w:rPr>
          <w:color w:val="auto"/>
          <w:highlight w:val="none"/>
        </w:rPr>
        <w:fldChar w:fldCharType="begin"/>
      </w:r>
      <w:r>
        <w:rPr>
          <w:color w:val="auto"/>
          <w:highlight w:val="none"/>
        </w:rPr>
        <w:instrText xml:space="preserve"> PAGEREF _Toc29680 \h </w:instrText>
      </w:r>
      <w:r>
        <w:rPr>
          <w:color w:val="auto"/>
          <w:highlight w:val="none"/>
        </w:rPr>
        <w:fldChar w:fldCharType="separate"/>
      </w:r>
      <w:r>
        <w:rPr>
          <w:color w:val="auto"/>
          <w:highlight w:val="none"/>
        </w:rPr>
        <w:t>240</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_Toc28604 </w:instrText>
      </w:r>
      <w:r>
        <w:rPr>
          <w:rFonts w:ascii="宋体" w:hAnsi="宋体" w:cs="宋体"/>
          <w:color w:val="auto"/>
          <w:highlight w:val="none"/>
        </w:rPr>
        <w:fldChar w:fldCharType="separate"/>
      </w:r>
      <w:r>
        <w:rPr>
          <w:rFonts w:hint="eastAsia" w:ascii="宋体" w:hAnsi="宋体"/>
          <w:bCs/>
          <w:color w:val="auto"/>
          <w:highlight w:val="none"/>
          <w:lang w:val="en-US"/>
        </w:rPr>
        <w:t xml:space="preserve">3.2.5.5 </w:t>
      </w:r>
      <w:r>
        <w:rPr>
          <w:rFonts w:hint="eastAsia" w:ascii="宋体" w:hAnsi="宋体"/>
          <w:bCs/>
          <w:color w:val="auto"/>
          <w:highlight w:val="none"/>
        </w:rPr>
        <w:t>门诊诊间结算</w:t>
      </w:r>
      <w:r>
        <w:rPr>
          <w:color w:val="auto"/>
          <w:highlight w:val="none"/>
        </w:rPr>
        <w:tab/>
      </w:r>
      <w:r>
        <w:rPr>
          <w:color w:val="auto"/>
          <w:highlight w:val="none"/>
        </w:rPr>
        <w:fldChar w:fldCharType="begin"/>
      </w:r>
      <w:r>
        <w:rPr>
          <w:color w:val="auto"/>
          <w:highlight w:val="none"/>
        </w:rPr>
        <w:instrText xml:space="preserve"> PAGEREF _Toc28604 \h </w:instrText>
      </w:r>
      <w:r>
        <w:rPr>
          <w:color w:val="auto"/>
          <w:highlight w:val="none"/>
        </w:rPr>
        <w:fldChar w:fldCharType="separate"/>
      </w:r>
      <w:r>
        <w:rPr>
          <w:color w:val="auto"/>
          <w:highlight w:val="none"/>
        </w:rPr>
        <w:t>246</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_Toc30768 </w:instrText>
      </w:r>
      <w:r>
        <w:rPr>
          <w:rFonts w:ascii="宋体" w:hAnsi="宋体" w:cs="宋体"/>
          <w:color w:val="auto"/>
          <w:highlight w:val="none"/>
        </w:rPr>
        <w:fldChar w:fldCharType="separate"/>
      </w:r>
      <w:r>
        <w:rPr>
          <w:rFonts w:hint="eastAsia" w:ascii="宋体" w:hAnsi="宋体"/>
          <w:bCs/>
          <w:color w:val="auto"/>
          <w:highlight w:val="none"/>
          <w:lang w:val="en-US"/>
        </w:rPr>
        <w:t xml:space="preserve">3.2.5.6 </w:t>
      </w:r>
      <w:r>
        <w:rPr>
          <w:rFonts w:hint="eastAsia" w:ascii="宋体" w:hAnsi="宋体"/>
          <w:bCs/>
          <w:color w:val="auto"/>
          <w:highlight w:val="none"/>
        </w:rPr>
        <w:t>住院床旁结算</w:t>
      </w:r>
      <w:r>
        <w:rPr>
          <w:color w:val="auto"/>
          <w:highlight w:val="none"/>
        </w:rPr>
        <w:tab/>
      </w:r>
      <w:r>
        <w:rPr>
          <w:color w:val="auto"/>
          <w:highlight w:val="none"/>
        </w:rPr>
        <w:fldChar w:fldCharType="begin"/>
      </w:r>
      <w:r>
        <w:rPr>
          <w:color w:val="auto"/>
          <w:highlight w:val="none"/>
        </w:rPr>
        <w:instrText xml:space="preserve"> PAGEREF _Toc30768 \h </w:instrText>
      </w:r>
      <w:r>
        <w:rPr>
          <w:color w:val="auto"/>
          <w:highlight w:val="none"/>
        </w:rPr>
        <w:fldChar w:fldCharType="separate"/>
      </w:r>
      <w:r>
        <w:rPr>
          <w:color w:val="auto"/>
          <w:highlight w:val="none"/>
        </w:rPr>
        <w:t>247</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_Toc10616 </w:instrText>
      </w:r>
      <w:r>
        <w:rPr>
          <w:rFonts w:ascii="宋体" w:hAnsi="宋体" w:cs="宋体"/>
          <w:color w:val="auto"/>
          <w:highlight w:val="none"/>
        </w:rPr>
        <w:fldChar w:fldCharType="separate"/>
      </w:r>
      <w:r>
        <w:rPr>
          <w:rFonts w:hint="eastAsia" w:ascii="宋体" w:hAnsi="宋体"/>
          <w:bCs/>
          <w:color w:val="auto"/>
          <w:highlight w:val="none"/>
          <w:lang w:val="en-US"/>
        </w:rPr>
        <w:t xml:space="preserve">3.2.5.7 </w:t>
      </w:r>
      <w:r>
        <w:rPr>
          <w:rFonts w:hint="eastAsia" w:ascii="宋体" w:hAnsi="宋体"/>
          <w:bCs/>
          <w:color w:val="auto"/>
          <w:highlight w:val="none"/>
        </w:rPr>
        <w:t>入出转管理系统</w:t>
      </w:r>
      <w:r>
        <w:rPr>
          <w:color w:val="auto"/>
          <w:highlight w:val="none"/>
        </w:rPr>
        <w:tab/>
      </w:r>
      <w:r>
        <w:rPr>
          <w:color w:val="auto"/>
          <w:highlight w:val="none"/>
        </w:rPr>
        <w:fldChar w:fldCharType="begin"/>
      </w:r>
      <w:r>
        <w:rPr>
          <w:color w:val="auto"/>
          <w:highlight w:val="none"/>
        </w:rPr>
        <w:instrText xml:space="preserve"> PAGEREF _Toc10616 \h </w:instrText>
      </w:r>
      <w:r>
        <w:rPr>
          <w:color w:val="auto"/>
          <w:highlight w:val="none"/>
        </w:rPr>
        <w:fldChar w:fldCharType="separate"/>
      </w:r>
      <w:r>
        <w:rPr>
          <w:color w:val="auto"/>
          <w:highlight w:val="none"/>
        </w:rPr>
        <w:t>248</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_Toc15145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3.2.5.8 </w:t>
      </w:r>
      <w:r>
        <w:rPr>
          <w:rFonts w:hint="eastAsia" w:ascii="宋体" w:hAnsi="宋体"/>
          <w:color w:val="auto"/>
          <w:szCs w:val="24"/>
          <w:highlight w:val="none"/>
        </w:rPr>
        <w:t>掌上医院</w:t>
      </w:r>
      <w:r>
        <w:rPr>
          <w:color w:val="auto"/>
          <w:highlight w:val="none"/>
        </w:rPr>
        <w:tab/>
      </w:r>
      <w:r>
        <w:rPr>
          <w:color w:val="auto"/>
          <w:highlight w:val="none"/>
        </w:rPr>
        <w:fldChar w:fldCharType="begin"/>
      </w:r>
      <w:r>
        <w:rPr>
          <w:color w:val="auto"/>
          <w:highlight w:val="none"/>
        </w:rPr>
        <w:instrText xml:space="preserve"> PAGEREF _Toc15145 \h </w:instrText>
      </w:r>
      <w:r>
        <w:rPr>
          <w:color w:val="auto"/>
          <w:highlight w:val="none"/>
        </w:rPr>
        <w:fldChar w:fldCharType="separate"/>
      </w:r>
      <w:r>
        <w:rPr>
          <w:color w:val="auto"/>
          <w:highlight w:val="none"/>
        </w:rPr>
        <w:t>249</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_Toc17708 </w:instrText>
      </w:r>
      <w:r>
        <w:rPr>
          <w:rFonts w:ascii="宋体" w:hAnsi="宋体" w:cs="宋体"/>
          <w:color w:val="auto"/>
          <w:highlight w:val="none"/>
        </w:rPr>
        <w:fldChar w:fldCharType="separate"/>
      </w:r>
      <w:r>
        <w:rPr>
          <w:rFonts w:hint="eastAsia" w:ascii="宋体" w:hAnsi="宋体"/>
          <w:bCs/>
          <w:color w:val="auto"/>
          <w:highlight w:val="none"/>
          <w:lang w:val="en-US"/>
        </w:rPr>
        <w:t xml:space="preserve">3.2.5.9 </w:t>
      </w:r>
      <w:r>
        <w:rPr>
          <w:rFonts w:hint="eastAsia" w:ascii="宋体" w:hAnsi="宋体"/>
          <w:bCs/>
          <w:color w:val="auto"/>
          <w:highlight w:val="none"/>
        </w:rPr>
        <w:t>统一支付</w:t>
      </w:r>
      <w:r>
        <w:rPr>
          <w:rFonts w:hint="eastAsia" w:ascii="宋体" w:hAnsi="宋体"/>
          <w:bCs/>
          <w:color w:val="auto"/>
          <w:highlight w:val="none"/>
          <w:lang w:eastAsia="zh-CN"/>
        </w:rPr>
        <w:t>平台</w:t>
      </w:r>
      <w:r>
        <w:rPr>
          <w:color w:val="auto"/>
          <w:highlight w:val="none"/>
        </w:rPr>
        <w:tab/>
      </w:r>
      <w:r>
        <w:rPr>
          <w:color w:val="auto"/>
          <w:highlight w:val="none"/>
        </w:rPr>
        <w:fldChar w:fldCharType="begin"/>
      </w:r>
      <w:r>
        <w:rPr>
          <w:color w:val="auto"/>
          <w:highlight w:val="none"/>
        </w:rPr>
        <w:instrText xml:space="preserve"> PAGEREF _Toc17708 \h </w:instrText>
      </w:r>
      <w:r>
        <w:rPr>
          <w:color w:val="auto"/>
          <w:highlight w:val="none"/>
        </w:rPr>
        <w:fldChar w:fldCharType="separate"/>
      </w:r>
      <w:r>
        <w:rPr>
          <w:color w:val="auto"/>
          <w:highlight w:val="none"/>
        </w:rPr>
        <w:t>256</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_Toc6861 </w:instrText>
      </w:r>
      <w:r>
        <w:rPr>
          <w:rFonts w:ascii="宋体" w:hAnsi="宋体" w:cs="宋体"/>
          <w:color w:val="auto"/>
          <w:highlight w:val="none"/>
        </w:rPr>
        <w:fldChar w:fldCharType="separate"/>
      </w:r>
      <w:r>
        <w:rPr>
          <w:rFonts w:hint="eastAsia" w:ascii="宋体" w:hAnsi="宋体"/>
          <w:color w:val="auto"/>
          <w:highlight w:val="none"/>
          <w:lang w:val="en-US"/>
        </w:rPr>
        <w:t xml:space="preserve">3.2.5.10 </w:t>
      </w:r>
      <w:r>
        <w:rPr>
          <w:rFonts w:hint="eastAsia" w:ascii="宋体" w:hAnsi="宋体"/>
          <w:color w:val="auto"/>
          <w:highlight w:val="none"/>
        </w:rPr>
        <w:t>电子处方流转</w:t>
      </w:r>
      <w:r>
        <w:rPr>
          <w:color w:val="auto"/>
          <w:highlight w:val="none"/>
        </w:rPr>
        <w:tab/>
      </w:r>
      <w:r>
        <w:rPr>
          <w:color w:val="auto"/>
          <w:highlight w:val="none"/>
        </w:rPr>
        <w:fldChar w:fldCharType="begin"/>
      </w:r>
      <w:r>
        <w:rPr>
          <w:color w:val="auto"/>
          <w:highlight w:val="none"/>
        </w:rPr>
        <w:instrText xml:space="preserve"> PAGEREF _Toc6861 \h </w:instrText>
      </w:r>
      <w:r>
        <w:rPr>
          <w:color w:val="auto"/>
          <w:highlight w:val="none"/>
        </w:rPr>
        <w:fldChar w:fldCharType="separate"/>
      </w:r>
      <w:r>
        <w:rPr>
          <w:color w:val="auto"/>
          <w:highlight w:val="none"/>
        </w:rPr>
        <w:t>256</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_Toc27678 </w:instrText>
      </w:r>
      <w:r>
        <w:rPr>
          <w:rFonts w:ascii="宋体" w:hAnsi="宋体" w:cs="宋体"/>
          <w:color w:val="auto"/>
          <w:highlight w:val="none"/>
        </w:rPr>
        <w:fldChar w:fldCharType="separate"/>
      </w:r>
      <w:r>
        <w:rPr>
          <w:rFonts w:hint="eastAsia" w:ascii="宋体" w:hAnsi="宋体"/>
          <w:bCs/>
          <w:color w:val="auto"/>
          <w:highlight w:val="none"/>
          <w:lang w:val="en-US"/>
        </w:rPr>
        <w:t xml:space="preserve">3.2.5.11 </w:t>
      </w:r>
      <w:r>
        <w:rPr>
          <w:rFonts w:hint="eastAsia" w:ascii="宋体" w:hAnsi="宋体"/>
          <w:bCs/>
          <w:color w:val="auto"/>
          <w:highlight w:val="none"/>
        </w:rPr>
        <w:t>患者随访管理</w:t>
      </w:r>
      <w:r>
        <w:rPr>
          <w:color w:val="auto"/>
          <w:highlight w:val="none"/>
        </w:rPr>
        <w:tab/>
      </w:r>
      <w:r>
        <w:rPr>
          <w:color w:val="auto"/>
          <w:highlight w:val="none"/>
        </w:rPr>
        <w:fldChar w:fldCharType="begin"/>
      </w:r>
      <w:r>
        <w:rPr>
          <w:color w:val="auto"/>
          <w:highlight w:val="none"/>
        </w:rPr>
        <w:instrText xml:space="preserve"> PAGEREF _Toc27678 \h </w:instrText>
      </w:r>
      <w:r>
        <w:rPr>
          <w:color w:val="auto"/>
          <w:highlight w:val="none"/>
        </w:rPr>
        <w:fldChar w:fldCharType="separate"/>
      </w:r>
      <w:r>
        <w:rPr>
          <w:color w:val="auto"/>
          <w:highlight w:val="none"/>
        </w:rPr>
        <w:t>257</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_Toc14849 </w:instrText>
      </w:r>
      <w:r>
        <w:rPr>
          <w:rFonts w:ascii="宋体" w:hAnsi="宋体" w:cs="宋体"/>
          <w:color w:val="auto"/>
          <w:highlight w:val="none"/>
        </w:rPr>
        <w:fldChar w:fldCharType="separate"/>
      </w:r>
      <w:r>
        <w:rPr>
          <w:rFonts w:hint="eastAsia" w:ascii="宋体" w:hAnsi="宋体"/>
          <w:bCs/>
          <w:color w:val="auto"/>
          <w:highlight w:val="none"/>
          <w:lang w:val="en-US"/>
        </w:rPr>
        <w:t xml:space="preserve">3.2.5.12 </w:t>
      </w:r>
      <w:r>
        <w:rPr>
          <w:rFonts w:hint="eastAsia" w:ascii="宋体" w:hAnsi="宋体"/>
          <w:bCs/>
          <w:color w:val="auto"/>
          <w:highlight w:val="none"/>
        </w:rPr>
        <w:t>商保结算平台</w:t>
      </w:r>
      <w:r>
        <w:rPr>
          <w:color w:val="auto"/>
          <w:highlight w:val="none"/>
        </w:rPr>
        <w:tab/>
      </w:r>
      <w:r>
        <w:rPr>
          <w:color w:val="auto"/>
          <w:highlight w:val="none"/>
        </w:rPr>
        <w:fldChar w:fldCharType="begin"/>
      </w:r>
      <w:r>
        <w:rPr>
          <w:color w:val="auto"/>
          <w:highlight w:val="none"/>
        </w:rPr>
        <w:instrText xml:space="preserve"> PAGEREF _Toc14849 \h </w:instrText>
      </w:r>
      <w:r>
        <w:rPr>
          <w:color w:val="auto"/>
          <w:highlight w:val="none"/>
        </w:rPr>
        <w:fldChar w:fldCharType="separate"/>
      </w:r>
      <w:r>
        <w:rPr>
          <w:color w:val="auto"/>
          <w:highlight w:val="none"/>
        </w:rPr>
        <w:t>259</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_Toc8581 </w:instrText>
      </w:r>
      <w:r>
        <w:rPr>
          <w:rFonts w:ascii="宋体" w:hAnsi="宋体" w:cs="宋体"/>
          <w:color w:val="auto"/>
          <w:highlight w:val="none"/>
        </w:rPr>
        <w:fldChar w:fldCharType="separate"/>
      </w:r>
      <w:r>
        <w:rPr>
          <w:rFonts w:hint="eastAsia" w:ascii="宋体" w:hAnsi="宋体"/>
          <w:bCs/>
          <w:color w:val="auto"/>
          <w:highlight w:val="none"/>
          <w:lang w:val="en-US"/>
        </w:rPr>
        <w:t xml:space="preserve">3.2.5.13 </w:t>
      </w:r>
      <w:r>
        <w:rPr>
          <w:rFonts w:hint="eastAsia" w:ascii="宋体" w:hAnsi="宋体"/>
          <w:bCs/>
          <w:color w:val="auto"/>
          <w:highlight w:val="none"/>
        </w:rPr>
        <w:t>医患纠纷管理系统</w:t>
      </w:r>
      <w:r>
        <w:rPr>
          <w:color w:val="auto"/>
          <w:highlight w:val="none"/>
        </w:rPr>
        <w:tab/>
      </w:r>
      <w:r>
        <w:rPr>
          <w:color w:val="auto"/>
          <w:highlight w:val="none"/>
        </w:rPr>
        <w:fldChar w:fldCharType="begin"/>
      </w:r>
      <w:r>
        <w:rPr>
          <w:color w:val="auto"/>
          <w:highlight w:val="none"/>
        </w:rPr>
        <w:instrText xml:space="preserve"> PAGEREF _Toc8581 \h </w:instrText>
      </w:r>
      <w:r>
        <w:rPr>
          <w:color w:val="auto"/>
          <w:highlight w:val="none"/>
        </w:rPr>
        <w:fldChar w:fldCharType="separate"/>
      </w:r>
      <w:r>
        <w:rPr>
          <w:color w:val="auto"/>
          <w:highlight w:val="none"/>
        </w:rPr>
        <w:t>259</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_Toc29536 </w:instrText>
      </w:r>
      <w:r>
        <w:rPr>
          <w:rFonts w:ascii="宋体" w:hAnsi="宋体" w:cs="宋体"/>
          <w:color w:val="auto"/>
          <w:highlight w:val="none"/>
        </w:rPr>
        <w:fldChar w:fldCharType="separate"/>
      </w:r>
      <w:r>
        <w:rPr>
          <w:rFonts w:hint="eastAsia" w:ascii="宋体" w:hAnsi="宋体"/>
          <w:bCs/>
          <w:color w:val="auto"/>
          <w:highlight w:val="none"/>
          <w:lang w:val="en-US"/>
        </w:rPr>
        <w:t xml:space="preserve">3.2.5.14 </w:t>
      </w:r>
      <w:r>
        <w:rPr>
          <w:rFonts w:hint="eastAsia" w:ascii="宋体" w:hAnsi="宋体"/>
          <w:bCs/>
          <w:color w:val="auto"/>
          <w:highlight w:val="none"/>
        </w:rPr>
        <w:t>电子发票管理</w:t>
      </w:r>
      <w:r>
        <w:rPr>
          <w:color w:val="auto"/>
          <w:highlight w:val="none"/>
        </w:rPr>
        <w:tab/>
      </w:r>
      <w:r>
        <w:rPr>
          <w:color w:val="auto"/>
          <w:highlight w:val="none"/>
        </w:rPr>
        <w:fldChar w:fldCharType="begin"/>
      </w:r>
      <w:r>
        <w:rPr>
          <w:color w:val="auto"/>
          <w:highlight w:val="none"/>
        </w:rPr>
        <w:instrText xml:space="preserve"> PAGEREF _Toc29536 \h </w:instrText>
      </w:r>
      <w:r>
        <w:rPr>
          <w:color w:val="auto"/>
          <w:highlight w:val="none"/>
        </w:rPr>
        <w:fldChar w:fldCharType="separate"/>
      </w:r>
      <w:r>
        <w:rPr>
          <w:color w:val="auto"/>
          <w:highlight w:val="none"/>
        </w:rPr>
        <w:t>261</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_Toc15090 </w:instrText>
      </w:r>
      <w:r>
        <w:rPr>
          <w:rFonts w:ascii="宋体" w:hAnsi="宋体" w:cs="宋体"/>
          <w:color w:val="auto"/>
          <w:highlight w:val="none"/>
        </w:rPr>
        <w:fldChar w:fldCharType="separate"/>
      </w:r>
      <w:r>
        <w:rPr>
          <w:rFonts w:hint="eastAsia" w:ascii="宋体" w:hAnsi="宋体"/>
          <w:bCs/>
          <w:color w:val="auto"/>
          <w:highlight w:val="none"/>
          <w:lang w:val="en-US"/>
        </w:rPr>
        <w:t xml:space="preserve">3.2.5.15 </w:t>
      </w:r>
      <w:r>
        <w:rPr>
          <w:rFonts w:hint="eastAsia" w:ascii="宋体" w:hAnsi="宋体"/>
          <w:bCs/>
          <w:color w:val="auto"/>
          <w:highlight w:val="none"/>
        </w:rPr>
        <w:t>预住院管理</w:t>
      </w:r>
      <w:r>
        <w:rPr>
          <w:color w:val="auto"/>
          <w:highlight w:val="none"/>
        </w:rPr>
        <w:tab/>
      </w:r>
      <w:r>
        <w:rPr>
          <w:color w:val="auto"/>
          <w:highlight w:val="none"/>
        </w:rPr>
        <w:fldChar w:fldCharType="begin"/>
      </w:r>
      <w:r>
        <w:rPr>
          <w:color w:val="auto"/>
          <w:highlight w:val="none"/>
        </w:rPr>
        <w:instrText xml:space="preserve"> PAGEREF _Toc15090 \h </w:instrText>
      </w:r>
      <w:r>
        <w:rPr>
          <w:color w:val="auto"/>
          <w:highlight w:val="none"/>
        </w:rPr>
        <w:fldChar w:fldCharType="separate"/>
      </w:r>
      <w:r>
        <w:rPr>
          <w:color w:val="auto"/>
          <w:highlight w:val="none"/>
        </w:rPr>
        <w:t>261</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_Toc744 </w:instrText>
      </w:r>
      <w:r>
        <w:rPr>
          <w:rFonts w:ascii="宋体" w:hAnsi="宋体" w:cs="宋体"/>
          <w:color w:val="auto"/>
          <w:highlight w:val="none"/>
        </w:rPr>
        <w:fldChar w:fldCharType="separate"/>
      </w:r>
      <w:r>
        <w:rPr>
          <w:rFonts w:hint="eastAsia" w:ascii="宋体" w:hAnsi="宋体"/>
          <w:bCs/>
          <w:color w:val="auto"/>
          <w:highlight w:val="none"/>
          <w:lang w:val="en-US"/>
        </w:rPr>
        <w:t xml:space="preserve">3.2.5.16 </w:t>
      </w:r>
      <w:r>
        <w:rPr>
          <w:rFonts w:hint="eastAsia" w:ascii="宋体" w:hAnsi="宋体"/>
          <w:bCs/>
          <w:color w:val="auto"/>
          <w:highlight w:val="none"/>
        </w:rPr>
        <w:t>医院导诊系统</w:t>
      </w:r>
      <w:r>
        <w:rPr>
          <w:color w:val="auto"/>
          <w:highlight w:val="none"/>
        </w:rPr>
        <w:tab/>
      </w:r>
      <w:r>
        <w:rPr>
          <w:color w:val="auto"/>
          <w:highlight w:val="none"/>
        </w:rPr>
        <w:fldChar w:fldCharType="begin"/>
      </w:r>
      <w:r>
        <w:rPr>
          <w:color w:val="auto"/>
          <w:highlight w:val="none"/>
        </w:rPr>
        <w:instrText xml:space="preserve"> PAGEREF _Toc744 \h </w:instrText>
      </w:r>
      <w:r>
        <w:rPr>
          <w:color w:val="auto"/>
          <w:highlight w:val="none"/>
        </w:rPr>
        <w:fldChar w:fldCharType="separate"/>
      </w:r>
      <w:r>
        <w:rPr>
          <w:color w:val="auto"/>
          <w:highlight w:val="none"/>
        </w:rPr>
        <w:t>262</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_Toc11988 </w:instrText>
      </w:r>
      <w:r>
        <w:rPr>
          <w:rFonts w:ascii="宋体" w:hAnsi="宋体" w:cs="宋体"/>
          <w:color w:val="auto"/>
          <w:highlight w:val="none"/>
        </w:rPr>
        <w:fldChar w:fldCharType="separate"/>
      </w:r>
      <w:r>
        <w:rPr>
          <w:rFonts w:hint="eastAsia" w:ascii="宋体" w:hAnsi="宋体"/>
          <w:bCs/>
          <w:color w:val="auto"/>
          <w:highlight w:val="none"/>
          <w:lang w:val="en-US"/>
        </w:rPr>
        <w:t xml:space="preserve">3.2.5.17 </w:t>
      </w:r>
      <w:r>
        <w:rPr>
          <w:rFonts w:hint="eastAsia" w:ascii="宋体" w:hAnsi="宋体"/>
          <w:bCs/>
          <w:color w:val="auto"/>
          <w:highlight w:val="none"/>
        </w:rPr>
        <w:t>院内导航系统</w:t>
      </w:r>
      <w:r>
        <w:rPr>
          <w:color w:val="auto"/>
          <w:highlight w:val="none"/>
        </w:rPr>
        <w:tab/>
      </w:r>
      <w:r>
        <w:rPr>
          <w:color w:val="auto"/>
          <w:highlight w:val="none"/>
        </w:rPr>
        <w:fldChar w:fldCharType="begin"/>
      </w:r>
      <w:r>
        <w:rPr>
          <w:color w:val="auto"/>
          <w:highlight w:val="none"/>
        </w:rPr>
        <w:instrText xml:space="preserve"> PAGEREF _Toc11988 \h </w:instrText>
      </w:r>
      <w:r>
        <w:rPr>
          <w:color w:val="auto"/>
          <w:highlight w:val="none"/>
        </w:rPr>
        <w:fldChar w:fldCharType="separate"/>
      </w:r>
      <w:r>
        <w:rPr>
          <w:color w:val="auto"/>
          <w:highlight w:val="none"/>
        </w:rPr>
        <w:t>263</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_Toc15064 </w:instrText>
      </w:r>
      <w:r>
        <w:rPr>
          <w:rFonts w:ascii="宋体" w:hAnsi="宋体" w:cs="宋体"/>
          <w:color w:val="auto"/>
          <w:highlight w:val="none"/>
        </w:rPr>
        <w:fldChar w:fldCharType="separate"/>
      </w:r>
      <w:r>
        <w:rPr>
          <w:rFonts w:hint="eastAsia" w:ascii="宋体" w:hAnsi="宋体"/>
          <w:bCs/>
          <w:color w:val="auto"/>
          <w:highlight w:val="none"/>
          <w:lang w:val="en-US"/>
        </w:rPr>
        <w:t xml:space="preserve">3.2.5.18 </w:t>
      </w:r>
      <w:r>
        <w:rPr>
          <w:rFonts w:hint="eastAsia" w:ascii="宋体" w:hAnsi="宋体"/>
          <w:bCs/>
          <w:color w:val="auto"/>
          <w:highlight w:val="none"/>
        </w:rPr>
        <w:t>患者定位管理</w:t>
      </w:r>
      <w:r>
        <w:rPr>
          <w:color w:val="auto"/>
          <w:highlight w:val="none"/>
        </w:rPr>
        <w:tab/>
      </w:r>
      <w:r>
        <w:rPr>
          <w:color w:val="auto"/>
          <w:highlight w:val="none"/>
        </w:rPr>
        <w:fldChar w:fldCharType="begin"/>
      </w:r>
      <w:r>
        <w:rPr>
          <w:color w:val="auto"/>
          <w:highlight w:val="none"/>
        </w:rPr>
        <w:instrText xml:space="preserve"> PAGEREF _Toc15064 \h </w:instrText>
      </w:r>
      <w:r>
        <w:rPr>
          <w:color w:val="auto"/>
          <w:highlight w:val="none"/>
        </w:rPr>
        <w:fldChar w:fldCharType="separate"/>
      </w:r>
      <w:r>
        <w:rPr>
          <w:color w:val="auto"/>
          <w:highlight w:val="none"/>
        </w:rPr>
        <w:t>265</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_Toc21985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3.2.5.19 </w:t>
      </w:r>
      <w:r>
        <w:rPr>
          <w:rFonts w:hint="eastAsia" w:ascii="宋体" w:hAnsi="宋体"/>
          <w:color w:val="auto"/>
          <w:szCs w:val="24"/>
          <w:highlight w:val="none"/>
        </w:rPr>
        <w:t>一卡通管理系统</w:t>
      </w:r>
      <w:r>
        <w:rPr>
          <w:color w:val="auto"/>
          <w:highlight w:val="none"/>
        </w:rPr>
        <w:tab/>
      </w:r>
      <w:r>
        <w:rPr>
          <w:color w:val="auto"/>
          <w:highlight w:val="none"/>
        </w:rPr>
        <w:fldChar w:fldCharType="begin"/>
      </w:r>
      <w:r>
        <w:rPr>
          <w:color w:val="auto"/>
          <w:highlight w:val="none"/>
        </w:rPr>
        <w:instrText xml:space="preserve"> PAGEREF _Toc21985 \h </w:instrText>
      </w:r>
      <w:r>
        <w:rPr>
          <w:color w:val="auto"/>
          <w:highlight w:val="none"/>
        </w:rPr>
        <w:fldChar w:fldCharType="separate"/>
      </w:r>
      <w:r>
        <w:rPr>
          <w:color w:val="auto"/>
          <w:highlight w:val="none"/>
        </w:rPr>
        <w:t>266</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_Toc15413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3.2.5.20 </w:t>
      </w:r>
      <w:r>
        <w:rPr>
          <w:rFonts w:hint="eastAsia" w:ascii="宋体" w:hAnsi="宋体"/>
          <w:color w:val="auto"/>
          <w:szCs w:val="24"/>
          <w:highlight w:val="none"/>
        </w:rPr>
        <w:t>3</w:t>
      </w:r>
      <w:r>
        <w:rPr>
          <w:rFonts w:ascii="宋体" w:hAnsi="宋体"/>
          <w:color w:val="auto"/>
          <w:szCs w:val="24"/>
          <w:highlight w:val="none"/>
        </w:rPr>
        <w:t>60</w:t>
      </w:r>
      <w:r>
        <w:rPr>
          <w:rFonts w:hint="eastAsia" w:ascii="宋体" w:hAnsi="宋体"/>
          <w:color w:val="auto"/>
          <w:szCs w:val="24"/>
          <w:highlight w:val="none"/>
        </w:rPr>
        <w:t>度</w:t>
      </w:r>
      <w:r>
        <w:rPr>
          <w:rFonts w:hint="eastAsia" w:ascii="宋体" w:hAnsi="宋体"/>
          <w:color w:val="auto"/>
          <w:szCs w:val="24"/>
          <w:highlight w:val="none"/>
          <w:lang w:eastAsia="zh-CN"/>
        </w:rPr>
        <w:t>评审</w:t>
      </w:r>
      <w:r>
        <w:rPr>
          <w:rFonts w:hint="eastAsia" w:ascii="宋体" w:hAnsi="宋体"/>
          <w:color w:val="auto"/>
          <w:szCs w:val="24"/>
          <w:highlight w:val="none"/>
        </w:rPr>
        <w:t>系统</w:t>
      </w:r>
      <w:r>
        <w:rPr>
          <w:color w:val="auto"/>
          <w:highlight w:val="none"/>
        </w:rPr>
        <w:tab/>
      </w:r>
      <w:r>
        <w:rPr>
          <w:color w:val="auto"/>
          <w:highlight w:val="none"/>
        </w:rPr>
        <w:fldChar w:fldCharType="begin"/>
      </w:r>
      <w:r>
        <w:rPr>
          <w:color w:val="auto"/>
          <w:highlight w:val="none"/>
        </w:rPr>
        <w:instrText xml:space="preserve"> PAGEREF _Toc15413 \h </w:instrText>
      </w:r>
      <w:r>
        <w:rPr>
          <w:color w:val="auto"/>
          <w:highlight w:val="none"/>
        </w:rPr>
        <w:fldChar w:fldCharType="separate"/>
      </w:r>
      <w:r>
        <w:rPr>
          <w:color w:val="auto"/>
          <w:highlight w:val="none"/>
        </w:rPr>
        <w:t>267</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_Toc17626 </w:instrText>
      </w:r>
      <w:r>
        <w:rPr>
          <w:rFonts w:ascii="宋体" w:hAnsi="宋体" w:cs="宋体"/>
          <w:color w:val="auto"/>
          <w:highlight w:val="none"/>
        </w:rPr>
        <w:fldChar w:fldCharType="separate"/>
      </w:r>
      <w:r>
        <w:rPr>
          <w:rFonts w:hint="eastAsia" w:ascii="宋体" w:hAnsi="宋体"/>
          <w:bCs/>
          <w:color w:val="auto"/>
          <w:highlight w:val="none"/>
          <w:lang w:val="en-US"/>
        </w:rPr>
        <w:t xml:space="preserve">3.2.5.21 </w:t>
      </w:r>
      <w:r>
        <w:rPr>
          <w:rFonts w:hint="eastAsia" w:ascii="宋体" w:hAnsi="宋体"/>
          <w:bCs/>
          <w:color w:val="auto"/>
          <w:highlight w:val="none"/>
        </w:rPr>
        <w:t>全资源预约系统</w:t>
      </w:r>
      <w:r>
        <w:rPr>
          <w:color w:val="auto"/>
          <w:highlight w:val="none"/>
        </w:rPr>
        <w:tab/>
      </w:r>
      <w:r>
        <w:rPr>
          <w:color w:val="auto"/>
          <w:highlight w:val="none"/>
        </w:rPr>
        <w:fldChar w:fldCharType="begin"/>
      </w:r>
      <w:r>
        <w:rPr>
          <w:color w:val="auto"/>
          <w:highlight w:val="none"/>
        </w:rPr>
        <w:instrText xml:space="preserve"> PAGEREF _Toc17626 \h </w:instrText>
      </w:r>
      <w:r>
        <w:rPr>
          <w:color w:val="auto"/>
          <w:highlight w:val="none"/>
        </w:rPr>
        <w:fldChar w:fldCharType="separate"/>
      </w:r>
      <w:r>
        <w:rPr>
          <w:color w:val="auto"/>
          <w:highlight w:val="none"/>
        </w:rPr>
        <w:t>269</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_Toc4665 </w:instrText>
      </w:r>
      <w:r>
        <w:rPr>
          <w:rFonts w:ascii="宋体" w:hAnsi="宋体" w:cs="宋体"/>
          <w:color w:val="auto"/>
          <w:highlight w:val="none"/>
        </w:rPr>
        <w:fldChar w:fldCharType="separate"/>
      </w:r>
      <w:r>
        <w:rPr>
          <w:rFonts w:hint="eastAsia" w:hAnsi="宋体"/>
          <w:color w:val="auto"/>
          <w:szCs w:val="24"/>
          <w:highlight w:val="none"/>
        </w:rPr>
        <w:t>3.2.6 评审评级要求</w:t>
      </w:r>
      <w:r>
        <w:rPr>
          <w:color w:val="auto"/>
          <w:highlight w:val="none"/>
        </w:rPr>
        <w:tab/>
      </w:r>
      <w:r>
        <w:rPr>
          <w:color w:val="auto"/>
          <w:highlight w:val="none"/>
        </w:rPr>
        <w:fldChar w:fldCharType="begin"/>
      </w:r>
      <w:r>
        <w:rPr>
          <w:color w:val="auto"/>
          <w:highlight w:val="none"/>
        </w:rPr>
        <w:instrText xml:space="preserve"> PAGEREF _Toc4665 \h </w:instrText>
      </w:r>
      <w:r>
        <w:rPr>
          <w:color w:val="auto"/>
          <w:highlight w:val="none"/>
        </w:rPr>
        <w:fldChar w:fldCharType="separate"/>
      </w:r>
      <w:r>
        <w:rPr>
          <w:color w:val="auto"/>
          <w:highlight w:val="none"/>
        </w:rPr>
        <w:t>274</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_Toc26019 </w:instrText>
      </w:r>
      <w:r>
        <w:rPr>
          <w:rFonts w:ascii="宋体" w:hAnsi="宋体" w:cs="宋体"/>
          <w:color w:val="auto"/>
          <w:highlight w:val="none"/>
        </w:rPr>
        <w:fldChar w:fldCharType="separate"/>
      </w:r>
      <w:r>
        <w:rPr>
          <w:rFonts w:hint="eastAsia" w:ascii="宋体" w:hAnsi="宋体"/>
          <w:color w:val="auto"/>
          <w:highlight w:val="none"/>
        </w:rPr>
        <w:t xml:space="preserve">3.3 </w:t>
      </w:r>
      <w:r>
        <w:rPr>
          <w:rFonts w:ascii="宋体" w:hAnsi="宋体"/>
          <w:color w:val="auto"/>
          <w:highlight w:val="none"/>
        </w:rPr>
        <w:t>区域大数据中心</w:t>
      </w:r>
      <w:r>
        <w:rPr>
          <w:color w:val="auto"/>
          <w:highlight w:val="none"/>
        </w:rPr>
        <w:tab/>
      </w:r>
      <w:r>
        <w:rPr>
          <w:color w:val="auto"/>
          <w:highlight w:val="none"/>
        </w:rPr>
        <w:fldChar w:fldCharType="begin"/>
      </w:r>
      <w:r>
        <w:rPr>
          <w:color w:val="auto"/>
          <w:highlight w:val="none"/>
        </w:rPr>
        <w:instrText xml:space="preserve"> PAGEREF _Toc26019 \h </w:instrText>
      </w:r>
      <w:r>
        <w:rPr>
          <w:color w:val="auto"/>
          <w:highlight w:val="none"/>
        </w:rPr>
        <w:fldChar w:fldCharType="separate"/>
      </w:r>
      <w:r>
        <w:rPr>
          <w:color w:val="auto"/>
          <w:highlight w:val="none"/>
        </w:rPr>
        <w:t>274</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_Toc9343 </w:instrText>
      </w:r>
      <w:r>
        <w:rPr>
          <w:rFonts w:ascii="宋体" w:hAnsi="宋体" w:cs="宋体"/>
          <w:color w:val="auto"/>
          <w:highlight w:val="none"/>
        </w:rPr>
        <w:fldChar w:fldCharType="separate"/>
      </w:r>
      <w:r>
        <w:rPr>
          <w:rFonts w:hint="eastAsia" w:hAnsi="宋体"/>
          <w:color w:val="auto"/>
          <w:szCs w:val="24"/>
          <w:highlight w:val="none"/>
        </w:rPr>
        <w:t>3.3.1 区域多学科专病大数据平台</w:t>
      </w:r>
      <w:r>
        <w:rPr>
          <w:color w:val="auto"/>
          <w:highlight w:val="none"/>
        </w:rPr>
        <w:tab/>
      </w:r>
      <w:r>
        <w:rPr>
          <w:color w:val="auto"/>
          <w:highlight w:val="none"/>
        </w:rPr>
        <w:fldChar w:fldCharType="begin"/>
      </w:r>
      <w:r>
        <w:rPr>
          <w:color w:val="auto"/>
          <w:highlight w:val="none"/>
        </w:rPr>
        <w:instrText xml:space="preserve"> PAGEREF _Toc9343 \h </w:instrText>
      </w:r>
      <w:r>
        <w:rPr>
          <w:color w:val="auto"/>
          <w:highlight w:val="none"/>
        </w:rPr>
        <w:fldChar w:fldCharType="separate"/>
      </w:r>
      <w:r>
        <w:rPr>
          <w:color w:val="auto"/>
          <w:highlight w:val="none"/>
        </w:rPr>
        <w:t>274</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_Toc14732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3.3.1.1 </w:t>
      </w:r>
      <w:r>
        <w:rPr>
          <w:rFonts w:hint="eastAsia" w:ascii="宋体" w:hAnsi="宋体"/>
          <w:color w:val="auto"/>
          <w:szCs w:val="24"/>
          <w:highlight w:val="none"/>
        </w:rPr>
        <w:t>数据采集</w:t>
      </w:r>
      <w:r>
        <w:rPr>
          <w:color w:val="auto"/>
          <w:highlight w:val="none"/>
        </w:rPr>
        <w:tab/>
      </w:r>
      <w:r>
        <w:rPr>
          <w:color w:val="auto"/>
          <w:highlight w:val="none"/>
        </w:rPr>
        <w:fldChar w:fldCharType="begin"/>
      </w:r>
      <w:r>
        <w:rPr>
          <w:color w:val="auto"/>
          <w:highlight w:val="none"/>
        </w:rPr>
        <w:instrText xml:space="preserve"> PAGEREF _Toc14732 \h </w:instrText>
      </w:r>
      <w:r>
        <w:rPr>
          <w:color w:val="auto"/>
          <w:highlight w:val="none"/>
        </w:rPr>
        <w:fldChar w:fldCharType="separate"/>
      </w:r>
      <w:r>
        <w:rPr>
          <w:color w:val="auto"/>
          <w:highlight w:val="none"/>
        </w:rPr>
        <w:t>274</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_Toc20148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3.3.1.2 </w:t>
      </w:r>
      <w:r>
        <w:rPr>
          <w:rFonts w:hint="eastAsia" w:ascii="宋体" w:hAnsi="宋体"/>
          <w:color w:val="auto"/>
          <w:szCs w:val="24"/>
          <w:highlight w:val="none"/>
        </w:rPr>
        <w:t>数据处理</w:t>
      </w:r>
      <w:r>
        <w:rPr>
          <w:color w:val="auto"/>
          <w:highlight w:val="none"/>
        </w:rPr>
        <w:tab/>
      </w:r>
      <w:r>
        <w:rPr>
          <w:color w:val="auto"/>
          <w:highlight w:val="none"/>
        </w:rPr>
        <w:fldChar w:fldCharType="begin"/>
      </w:r>
      <w:r>
        <w:rPr>
          <w:color w:val="auto"/>
          <w:highlight w:val="none"/>
        </w:rPr>
        <w:instrText xml:space="preserve"> PAGEREF _Toc20148 \h </w:instrText>
      </w:r>
      <w:r>
        <w:rPr>
          <w:color w:val="auto"/>
          <w:highlight w:val="none"/>
        </w:rPr>
        <w:fldChar w:fldCharType="separate"/>
      </w:r>
      <w:r>
        <w:rPr>
          <w:color w:val="auto"/>
          <w:highlight w:val="none"/>
        </w:rPr>
        <w:t>276</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_Toc23230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3.3.1.3 </w:t>
      </w:r>
      <w:r>
        <w:rPr>
          <w:rFonts w:hint="eastAsia" w:ascii="宋体" w:hAnsi="宋体"/>
          <w:color w:val="auto"/>
          <w:szCs w:val="24"/>
          <w:highlight w:val="none"/>
        </w:rPr>
        <w:t>数据管控</w:t>
      </w:r>
      <w:r>
        <w:rPr>
          <w:color w:val="auto"/>
          <w:highlight w:val="none"/>
        </w:rPr>
        <w:tab/>
      </w:r>
      <w:r>
        <w:rPr>
          <w:color w:val="auto"/>
          <w:highlight w:val="none"/>
        </w:rPr>
        <w:fldChar w:fldCharType="begin"/>
      </w:r>
      <w:r>
        <w:rPr>
          <w:color w:val="auto"/>
          <w:highlight w:val="none"/>
        </w:rPr>
        <w:instrText xml:space="preserve"> PAGEREF _Toc23230 \h </w:instrText>
      </w:r>
      <w:r>
        <w:rPr>
          <w:color w:val="auto"/>
          <w:highlight w:val="none"/>
        </w:rPr>
        <w:fldChar w:fldCharType="separate"/>
      </w:r>
      <w:r>
        <w:rPr>
          <w:color w:val="auto"/>
          <w:highlight w:val="none"/>
        </w:rPr>
        <w:t>277</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_Toc8784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3.3.1.4 </w:t>
      </w:r>
      <w:r>
        <w:rPr>
          <w:rFonts w:hint="eastAsia" w:ascii="宋体" w:hAnsi="宋体"/>
          <w:color w:val="auto"/>
          <w:szCs w:val="24"/>
          <w:highlight w:val="none"/>
        </w:rPr>
        <w:t>数据服务</w:t>
      </w:r>
      <w:r>
        <w:rPr>
          <w:color w:val="auto"/>
          <w:highlight w:val="none"/>
        </w:rPr>
        <w:tab/>
      </w:r>
      <w:r>
        <w:rPr>
          <w:color w:val="auto"/>
          <w:highlight w:val="none"/>
        </w:rPr>
        <w:fldChar w:fldCharType="begin"/>
      </w:r>
      <w:r>
        <w:rPr>
          <w:color w:val="auto"/>
          <w:highlight w:val="none"/>
        </w:rPr>
        <w:instrText xml:space="preserve"> PAGEREF _Toc8784 \h </w:instrText>
      </w:r>
      <w:r>
        <w:rPr>
          <w:color w:val="auto"/>
          <w:highlight w:val="none"/>
        </w:rPr>
        <w:fldChar w:fldCharType="separate"/>
      </w:r>
      <w:r>
        <w:rPr>
          <w:color w:val="auto"/>
          <w:highlight w:val="none"/>
        </w:rPr>
        <w:t>279</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_Toc6437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3.3.1.5 </w:t>
      </w:r>
      <w:r>
        <w:rPr>
          <w:rFonts w:hint="eastAsia" w:ascii="宋体" w:hAnsi="宋体"/>
          <w:color w:val="auto"/>
          <w:szCs w:val="24"/>
          <w:highlight w:val="none"/>
        </w:rPr>
        <w:t>数据安全</w:t>
      </w:r>
      <w:r>
        <w:rPr>
          <w:color w:val="auto"/>
          <w:highlight w:val="none"/>
        </w:rPr>
        <w:tab/>
      </w:r>
      <w:r>
        <w:rPr>
          <w:color w:val="auto"/>
          <w:highlight w:val="none"/>
        </w:rPr>
        <w:fldChar w:fldCharType="begin"/>
      </w:r>
      <w:r>
        <w:rPr>
          <w:color w:val="auto"/>
          <w:highlight w:val="none"/>
        </w:rPr>
        <w:instrText xml:space="preserve"> PAGEREF _Toc6437 \h </w:instrText>
      </w:r>
      <w:r>
        <w:rPr>
          <w:color w:val="auto"/>
          <w:highlight w:val="none"/>
        </w:rPr>
        <w:fldChar w:fldCharType="separate"/>
      </w:r>
      <w:r>
        <w:rPr>
          <w:color w:val="auto"/>
          <w:highlight w:val="none"/>
        </w:rPr>
        <w:t>279</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_Toc4983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3.3.1.6 </w:t>
      </w:r>
      <w:r>
        <w:rPr>
          <w:rFonts w:hint="eastAsia" w:ascii="宋体" w:hAnsi="宋体"/>
          <w:color w:val="auto"/>
          <w:szCs w:val="24"/>
          <w:highlight w:val="none"/>
        </w:rPr>
        <w:t>平台管理</w:t>
      </w:r>
      <w:r>
        <w:rPr>
          <w:color w:val="auto"/>
          <w:highlight w:val="none"/>
        </w:rPr>
        <w:tab/>
      </w:r>
      <w:r>
        <w:rPr>
          <w:color w:val="auto"/>
          <w:highlight w:val="none"/>
        </w:rPr>
        <w:fldChar w:fldCharType="begin"/>
      </w:r>
      <w:r>
        <w:rPr>
          <w:color w:val="auto"/>
          <w:highlight w:val="none"/>
        </w:rPr>
        <w:instrText xml:space="preserve"> PAGEREF _Toc4983 \h </w:instrText>
      </w:r>
      <w:r>
        <w:rPr>
          <w:color w:val="auto"/>
          <w:highlight w:val="none"/>
        </w:rPr>
        <w:fldChar w:fldCharType="separate"/>
      </w:r>
      <w:r>
        <w:rPr>
          <w:color w:val="auto"/>
          <w:highlight w:val="none"/>
        </w:rPr>
        <w:t>280</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_Toc29124 </w:instrText>
      </w:r>
      <w:r>
        <w:rPr>
          <w:rFonts w:ascii="宋体" w:hAnsi="宋体" w:cs="宋体"/>
          <w:color w:val="auto"/>
          <w:highlight w:val="none"/>
        </w:rPr>
        <w:fldChar w:fldCharType="separate"/>
      </w:r>
      <w:r>
        <w:rPr>
          <w:rFonts w:hint="eastAsia" w:hAnsi="宋体"/>
          <w:color w:val="auto"/>
          <w:szCs w:val="24"/>
          <w:highlight w:val="none"/>
        </w:rPr>
        <w:t>3.3.2 区域专科专病数据平台</w:t>
      </w:r>
      <w:r>
        <w:rPr>
          <w:color w:val="auto"/>
          <w:highlight w:val="none"/>
        </w:rPr>
        <w:tab/>
      </w:r>
      <w:r>
        <w:rPr>
          <w:color w:val="auto"/>
          <w:highlight w:val="none"/>
        </w:rPr>
        <w:fldChar w:fldCharType="begin"/>
      </w:r>
      <w:r>
        <w:rPr>
          <w:color w:val="auto"/>
          <w:highlight w:val="none"/>
        </w:rPr>
        <w:instrText xml:space="preserve"> PAGEREF _Toc29124 \h </w:instrText>
      </w:r>
      <w:r>
        <w:rPr>
          <w:color w:val="auto"/>
          <w:highlight w:val="none"/>
        </w:rPr>
        <w:fldChar w:fldCharType="separate"/>
      </w:r>
      <w:r>
        <w:rPr>
          <w:color w:val="auto"/>
          <w:highlight w:val="none"/>
        </w:rPr>
        <w:t>283</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_Toc29184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3.3.2.1 </w:t>
      </w:r>
      <w:r>
        <w:rPr>
          <w:rFonts w:hint="eastAsia" w:ascii="宋体" w:hAnsi="宋体"/>
          <w:color w:val="auto"/>
          <w:szCs w:val="24"/>
          <w:highlight w:val="none"/>
        </w:rPr>
        <w:t>专病数据加工平台</w:t>
      </w:r>
      <w:r>
        <w:rPr>
          <w:color w:val="auto"/>
          <w:highlight w:val="none"/>
        </w:rPr>
        <w:tab/>
      </w:r>
      <w:r>
        <w:rPr>
          <w:color w:val="auto"/>
          <w:highlight w:val="none"/>
        </w:rPr>
        <w:fldChar w:fldCharType="begin"/>
      </w:r>
      <w:r>
        <w:rPr>
          <w:color w:val="auto"/>
          <w:highlight w:val="none"/>
        </w:rPr>
        <w:instrText xml:space="preserve"> PAGEREF _Toc29184 \h </w:instrText>
      </w:r>
      <w:r>
        <w:rPr>
          <w:color w:val="auto"/>
          <w:highlight w:val="none"/>
        </w:rPr>
        <w:fldChar w:fldCharType="separate"/>
      </w:r>
      <w:r>
        <w:rPr>
          <w:color w:val="auto"/>
          <w:highlight w:val="none"/>
        </w:rPr>
        <w:t>283</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_Toc22289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3.3.2.2 </w:t>
      </w:r>
      <w:r>
        <w:rPr>
          <w:rFonts w:hint="eastAsia" w:ascii="宋体" w:hAnsi="宋体"/>
          <w:color w:val="auto"/>
          <w:szCs w:val="24"/>
          <w:highlight w:val="none"/>
        </w:rPr>
        <w:t>智能化应用平台</w:t>
      </w:r>
      <w:r>
        <w:rPr>
          <w:color w:val="auto"/>
          <w:highlight w:val="none"/>
        </w:rPr>
        <w:tab/>
      </w:r>
      <w:r>
        <w:rPr>
          <w:color w:val="auto"/>
          <w:highlight w:val="none"/>
        </w:rPr>
        <w:fldChar w:fldCharType="begin"/>
      </w:r>
      <w:r>
        <w:rPr>
          <w:color w:val="auto"/>
          <w:highlight w:val="none"/>
        </w:rPr>
        <w:instrText xml:space="preserve"> PAGEREF _Toc22289 \h </w:instrText>
      </w:r>
      <w:r>
        <w:rPr>
          <w:color w:val="auto"/>
          <w:highlight w:val="none"/>
        </w:rPr>
        <w:fldChar w:fldCharType="separate"/>
      </w:r>
      <w:r>
        <w:rPr>
          <w:color w:val="auto"/>
          <w:highlight w:val="none"/>
        </w:rPr>
        <w:t>284</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_Toc4354 </w:instrText>
      </w:r>
      <w:r>
        <w:rPr>
          <w:rFonts w:ascii="宋体" w:hAnsi="宋体" w:cs="宋体"/>
          <w:color w:val="auto"/>
          <w:highlight w:val="none"/>
        </w:rPr>
        <w:fldChar w:fldCharType="separate"/>
      </w:r>
      <w:r>
        <w:rPr>
          <w:rFonts w:hint="eastAsia"/>
          <w:color w:val="auto"/>
          <w:highlight w:val="none"/>
        </w:rPr>
        <w:t xml:space="preserve">3.3.2.2.1 </w:t>
      </w:r>
      <w:r>
        <w:rPr>
          <w:rFonts w:hint="eastAsia" w:ascii="宋体" w:hAnsi="宋体"/>
          <w:color w:val="auto"/>
          <w:szCs w:val="24"/>
          <w:highlight w:val="none"/>
        </w:rPr>
        <w:t>数字化放疗系统</w:t>
      </w:r>
      <w:r>
        <w:rPr>
          <w:color w:val="auto"/>
          <w:highlight w:val="none"/>
        </w:rPr>
        <w:tab/>
      </w:r>
      <w:r>
        <w:rPr>
          <w:color w:val="auto"/>
          <w:highlight w:val="none"/>
        </w:rPr>
        <w:fldChar w:fldCharType="begin"/>
      </w:r>
      <w:r>
        <w:rPr>
          <w:color w:val="auto"/>
          <w:highlight w:val="none"/>
        </w:rPr>
        <w:instrText xml:space="preserve"> PAGEREF _Toc4354 \h </w:instrText>
      </w:r>
      <w:r>
        <w:rPr>
          <w:color w:val="auto"/>
          <w:highlight w:val="none"/>
        </w:rPr>
        <w:fldChar w:fldCharType="separate"/>
      </w:r>
      <w:r>
        <w:rPr>
          <w:color w:val="auto"/>
          <w:highlight w:val="none"/>
        </w:rPr>
        <w:t>284</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_Toc6259 </w:instrText>
      </w:r>
      <w:r>
        <w:rPr>
          <w:rFonts w:ascii="宋体" w:hAnsi="宋体" w:cs="宋体"/>
          <w:color w:val="auto"/>
          <w:highlight w:val="none"/>
        </w:rPr>
        <w:fldChar w:fldCharType="separate"/>
      </w:r>
      <w:r>
        <w:rPr>
          <w:rFonts w:hint="eastAsia" w:ascii="宋体" w:hAnsi="宋体"/>
          <w:color w:val="auto"/>
          <w:szCs w:val="24"/>
          <w:highlight w:val="none"/>
        </w:rPr>
        <w:t>3.3.2.2.2 5G+“数字肺”肺疾病精准诊疗系统</w:t>
      </w:r>
      <w:r>
        <w:rPr>
          <w:color w:val="auto"/>
          <w:highlight w:val="none"/>
        </w:rPr>
        <w:tab/>
      </w:r>
      <w:r>
        <w:rPr>
          <w:color w:val="auto"/>
          <w:highlight w:val="none"/>
        </w:rPr>
        <w:fldChar w:fldCharType="begin"/>
      </w:r>
      <w:r>
        <w:rPr>
          <w:color w:val="auto"/>
          <w:highlight w:val="none"/>
        </w:rPr>
        <w:instrText xml:space="preserve"> PAGEREF _Toc6259 \h </w:instrText>
      </w:r>
      <w:r>
        <w:rPr>
          <w:color w:val="auto"/>
          <w:highlight w:val="none"/>
        </w:rPr>
        <w:fldChar w:fldCharType="separate"/>
      </w:r>
      <w:r>
        <w:rPr>
          <w:color w:val="auto"/>
          <w:highlight w:val="none"/>
        </w:rPr>
        <w:t>296</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_Toc20552 </w:instrText>
      </w:r>
      <w:r>
        <w:rPr>
          <w:rFonts w:ascii="宋体" w:hAnsi="宋体" w:cs="宋体"/>
          <w:color w:val="auto"/>
          <w:highlight w:val="none"/>
        </w:rPr>
        <w:fldChar w:fldCharType="separate"/>
      </w:r>
      <w:r>
        <w:rPr>
          <w:rFonts w:hint="eastAsia" w:ascii="宋体" w:hAnsi="宋体"/>
          <w:color w:val="auto"/>
          <w:szCs w:val="24"/>
          <w:highlight w:val="none"/>
        </w:rPr>
        <w:t>3.3.2.2.3 眼健康眼智能管理系统</w:t>
      </w:r>
      <w:r>
        <w:rPr>
          <w:color w:val="auto"/>
          <w:highlight w:val="none"/>
        </w:rPr>
        <w:tab/>
      </w:r>
      <w:r>
        <w:rPr>
          <w:color w:val="auto"/>
          <w:highlight w:val="none"/>
        </w:rPr>
        <w:fldChar w:fldCharType="begin"/>
      </w:r>
      <w:r>
        <w:rPr>
          <w:color w:val="auto"/>
          <w:highlight w:val="none"/>
        </w:rPr>
        <w:instrText xml:space="preserve"> PAGEREF _Toc20552 \h </w:instrText>
      </w:r>
      <w:r>
        <w:rPr>
          <w:color w:val="auto"/>
          <w:highlight w:val="none"/>
        </w:rPr>
        <w:fldChar w:fldCharType="separate"/>
      </w:r>
      <w:r>
        <w:rPr>
          <w:color w:val="auto"/>
          <w:highlight w:val="none"/>
        </w:rPr>
        <w:t>303</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_Toc13441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3.3.2.3 </w:t>
      </w:r>
      <w:r>
        <w:rPr>
          <w:rFonts w:hint="eastAsia" w:ascii="宋体" w:hAnsi="宋体"/>
          <w:color w:val="auto"/>
          <w:szCs w:val="24"/>
          <w:highlight w:val="none"/>
        </w:rPr>
        <w:t>特色专科专病中心</w:t>
      </w:r>
      <w:r>
        <w:rPr>
          <w:color w:val="auto"/>
          <w:highlight w:val="none"/>
        </w:rPr>
        <w:tab/>
      </w:r>
      <w:r>
        <w:rPr>
          <w:color w:val="auto"/>
          <w:highlight w:val="none"/>
        </w:rPr>
        <w:fldChar w:fldCharType="begin"/>
      </w:r>
      <w:r>
        <w:rPr>
          <w:color w:val="auto"/>
          <w:highlight w:val="none"/>
        </w:rPr>
        <w:instrText xml:space="preserve"> PAGEREF _Toc13441 \h </w:instrText>
      </w:r>
      <w:r>
        <w:rPr>
          <w:color w:val="auto"/>
          <w:highlight w:val="none"/>
        </w:rPr>
        <w:fldChar w:fldCharType="separate"/>
      </w:r>
      <w:r>
        <w:rPr>
          <w:color w:val="auto"/>
          <w:highlight w:val="none"/>
        </w:rPr>
        <w:t>305</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_Toc16923 </w:instrText>
      </w:r>
      <w:r>
        <w:rPr>
          <w:rFonts w:ascii="宋体" w:hAnsi="宋体" w:cs="宋体"/>
          <w:color w:val="auto"/>
          <w:highlight w:val="none"/>
        </w:rPr>
        <w:fldChar w:fldCharType="separate"/>
      </w:r>
      <w:r>
        <w:rPr>
          <w:rFonts w:hint="eastAsia" w:ascii="宋体" w:hAnsi="宋体"/>
          <w:color w:val="auto"/>
          <w:szCs w:val="24"/>
          <w:highlight w:val="none"/>
        </w:rPr>
        <w:t>3.3.2.3.1 呼吸科专科数据中心</w:t>
      </w:r>
      <w:r>
        <w:rPr>
          <w:color w:val="auto"/>
          <w:highlight w:val="none"/>
        </w:rPr>
        <w:tab/>
      </w:r>
      <w:r>
        <w:rPr>
          <w:color w:val="auto"/>
          <w:highlight w:val="none"/>
        </w:rPr>
        <w:fldChar w:fldCharType="begin"/>
      </w:r>
      <w:r>
        <w:rPr>
          <w:color w:val="auto"/>
          <w:highlight w:val="none"/>
        </w:rPr>
        <w:instrText xml:space="preserve"> PAGEREF _Toc16923 \h </w:instrText>
      </w:r>
      <w:r>
        <w:rPr>
          <w:color w:val="auto"/>
          <w:highlight w:val="none"/>
        </w:rPr>
        <w:fldChar w:fldCharType="separate"/>
      </w:r>
      <w:r>
        <w:rPr>
          <w:color w:val="auto"/>
          <w:highlight w:val="none"/>
        </w:rPr>
        <w:t>305</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_Toc4652 </w:instrText>
      </w:r>
      <w:r>
        <w:rPr>
          <w:rFonts w:ascii="宋体" w:hAnsi="宋体" w:cs="宋体"/>
          <w:color w:val="auto"/>
          <w:highlight w:val="none"/>
        </w:rPr>
        <w:fldChar w:fldCharType="separate"/>
      </w:r>
      <w:r>
        <w:rPr>
          <w:rFonts w:hint="eastAsia" w:ascii="宋体" w:hAnsi="宋体"/>
          <w:color w:val="auto"/>
          <w:szCs w:val="24"/>
          <w:highlight w:val="none"/>
        </w:rPr>
        <w:t>3.3.2.3.2 肿瘤科专科数据中心</w:t>
      </w:r>
      <w:r>
        <w:rPr>
          <w:color w:val="auto"/>
          <w:highlight w:val="none"/>
        </w:rPr>
        <w:tab/>
      </w:r>
      <w:r>
        <w:rPr>
          <w:color w:val="auto"/>
          <w:highlight w:val="none"/>
        </w:rPr>
        <w:fldChar w:fldCharType="begin"/>
      </w:r>
      <w:r>
        <w:rPr>
          <w:color w:val="auto"/>
          <w:highlight w:val="none"/>
        </w:rPr>
        <w:instrText xml:space="preserve"> PAGEREF _Toc4652 \h </w:instrText>
      </w:r>
      <w:r>
        <w:rPr>
          <w:color w:val="auto"/>
          <w:highlight w:val="none"/>
        </w:rPr>
        <w:fldChar w:fldCharType="separate"/>
      </w:r>
      <w:r>
        <w:rPr>
          <w:color w:val="auto"/>
          <w:highlight w:val="none"/>
        </w:rPr>
        <w:t>307</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_Toc79 </w:instrText>
      </w:r>
      <w:r>
        <w:rPr>
          <w:rFonts w:ascii="宋体" w:hAnsi="宋体" w:cs="宋体"/>
          <w:color w:val="auto"/>
          <w:highlight w:val="none"/>
        </w:rPr>
        <w:fldChar w:fldCharType="separate"/>
      </w:r>
      <w:r>
        <w:rPr>
          <w:rFonts w:hint="eastAsia" w:ascii="宋体" w:hAnsi="宋体"/>
          <w:color w:val="auto"/>
          <w:szCs w:val="24"/>
          <w:highlight w:val="none"/>
        </w:rPr>
        <w:t>3.3.2.3.3 心内科专科数据中心</w:t>
      </w:r>
      <w:r>
        <w:rPr>
          <w:color w:val="auto"/>
          <w:highlight w:val="none"/>
        </w:rPr>
        <w:tab/>
      </w:r>
      <w:r>
        <w:rPr>
          <w:color w:val="auto"/>
          <w:highlight w:val="none"/>
        </w:rPr>
        <w:fldChar w:fldCharType="begin"/>
      </w:r>
      <w:r>
        <w:rPr>
          <w:color w:val="auto"/>
          <w:highlight w:val="none"/>
        </w:rPr>
        <w:instrText xml:space="preserve"> PAGEREF _Toc79 \h </w:instrText>
      </w:r>
      <w:r>
        <w:rPr>
          <w:color w:val="auto"/>
          <w:highlight w:val="none"/>
        </w:rPr>
        <w:fldChar w:fldCharType="separate"/>
      </w:r>
      <w:r>
        <w:rPr>
          <w:color w:val="auto"/>
          <w:highlight w:val="none"/>
        </w:rPr>
        <w:t>309</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_Toc17 </w:instrText>
      </w:r>
      <w:r>
        <w:rPr>
          <w:rFonts w:ascii="宋体" w:hAnsi="宋体" w:cs="宋体"/>
          <w:color w:val="auto"/>
          <w:highlight w:val="none"/>
        </w:rPr>
        <w:fldChar w:fldCharType="separate"/>
      </w:r>
      <w:r>
        <w:rPr>
          <w:rFonts w:hint="eastAsia" w:ascii="宋体" w:hAnsi="宋体"/>
          <w:color w:val="auto"/>
          <w:szCs w:val="24"/>
          <w:highlight w:val="none"/>
        </w:rPr>
        <w:t>3.3.2.3.4 感染科专科数据中心</w:t>
      </w:r>
      <w:r>
        <w:rPr>
          <w:color w:val="auto"/>
          <w:highlight w:val="none"/>
        </w:rPr>
        <w:tab/>
      </w:r>
      <w:r>
        <w:rPr>
          <w:color w:val="auto"/>
          <w:highlight w:val="none"/>
        </w:rPr>
        <w:fldChar w:fldCharType="begin"/>
      </w:r>
      <w:r>
        <w:rPr>
          <w:color w:val="auto"/>
          <w:highlight w:val="none"/>
        </w:rPr>
        <w:instrText xml:space="preserve"> PAGEREF _Toc17 \h </w:instrText>
      </w:r>
      <w:r>
        <w:rPr>
          <w:color w:val="auto"/>
          <w:highlight w:val="none"/>
        </w:rPr>
        <w:fldChar w:fldCharType="separate"/>
      </w:r>
      <w:r>
        <w:rPr>
          <w:color w:val="auto"/>
          <w:highlight w:val="none"/>
        </w:rPr>
        <w:t>311</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_Toc12990 </w:instrText>
      </w:r>
      <w:r>
        <w:rPr>
          <w:rFonts w:ascii="宋体" w:hAnsi="宋体" w:cs="宋体"/>
          <w:color w:val="auto"/>
          <w:highlight w:val="none"/>
        </w:rPr>
        <w:fldChar w:fldCharType="separate"/>
      </w:r>
      <w:r>
        <w:rPr>
          <w:rFonts w:hint="eastAsia" w:ascii="宋体" w:hAnsi="宋体"/>
          <w:color w:val="auto"/>
          <w:szCs w:val="24"/>
          <w:highlight w:val="none"/>
        </w:rPr>
        <w:t>3.3.2.3.5 骨科专科数据中心</w:t>
      </w:r>
      <w:r>
        <w:rPr>
          <w:color w:val="auto"/>
          <w:highlight w:val="none"/>
        </w:rPr>
        <w:tab/>
      </w:r>
      <w:r>
        <w:rPr>
          <w:color w:val="auto"/>
          <w:highlight w:val="none"/>
        </w:rPr>
        <w:fldChar w:fldCharType="begin"/>
      </w:r>
      <w:r>
        <w:rPr>
          <w:color w:val="auto"/>
          <w:highlight w:val="none"/>
        </w:rPr>
        <w:instrText xml:space="preserve"> PAGEREF _Toc12990 \h </w:instrText>
      </w:r>
      <w:r>
        <w:rPr>
          <w:color w:val="auto"/>
          <w:highlight w:val="none"/>
        </w:rPr>
        <w:fldChar w:fldCharType="separate"/>
      </w:r>
      <w:r>
        <w:rPr>
          <w:color w:val="auto"/>
          <w:highlight w:val="none"/>
        </w:rPr>
        <w:t>312</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_Toc5002 </w:instrText>
      </w:r>
      <w:r>
        <w:rPr>
          <w:rFonts w:ascii="宋体" w:hAnsi="宋体" w:cs="宋体"/>
          <w:color w:val="auto"/>
          <w:highlight w:val="none"/>
        </w:rPr>
        <w:fldChar w:fldCharType="separate"/>
      </w:r>
      <w:r>
        <w:rPr>
          <w:rFonts w:hint="eastAsia" w:ascii="宋体" w:hAnsi="宋体"/>
          <w:color w:val="auto"/>
          <w:szCs w:val="24"/>
          <w:highlight w:val="none"/>
        </w:rPr>
        <w:t>3.3.2.3.6 眼科专科数据中心</w:t>
      </w:r>
      <w:r>
        <w:rPr>
          <w:color w:val="auto"/>
          <w:highlight w:val="none"/>
        </w:rPr>
        <w:tab/>
      </w:r>
      <w:r>
        <w:rPr>
          <w:color w:val="auto"/>
          <w:highlight w:val="none"/>
        </w:rPr>
        <w:fldChar w:fldCharType="begin"/>
      </w:r>
      <w:r>
        <w:rPr>
          <w:color w:val="auto"/>
          <w:highlight w:val="none"/>
        </w:rPr>
        <w:instrText xml:space="preserve"> PAGEREF _Toc5002 \h </w:instrText>
      </w:r>
      <w:r>
        <w:rPr>
          <w:color w:val="auto"/>
          <w:highlight w:val="none"/>
        </w:rPr>
        <w:fldChar w:fldCharType="separate"/>
      </w:r>
      <w:r>
        <w:rPr>
          <w:color w:val="auto"/>
          <w:highlight w:val="none"/>
        </w:rPr>
        <w:t>314</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_Toc6809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3.3.2.4 </w:t>
      </w:r>
      <w:r>
        <w:rPr>
          <w:rFonts w:hint="eastAsia" w:ascii="宋体" w:hAnsi="宋体"/>
          <w:color w:val="auto"/>
          <w:szCs w:val="24"/>
          <w:highlight w:val="none"/>
        </w:rPr>
        <w:t>“五大中心”建设</w:t>
      </w:r>
      <w:r>
        <w:rPr>
          <w:color w:val="auto"/>
          <w:highlight w:val="none"/>
        </w:rPr>
        <w:tab/>
      </w:r>
      <w:r>
        <w:rPr>
          <w:color w:val="auto"/>
          <w:highlight w:val="none"/>
        </w:rPr>
        <w:fldChar w:fldCharType="begin"/>
      </w:r>
      <w:r>
        <w:rPr>
          <w:color w:val="auto"/>
          <w:highlight w:val="none"/>
        </w:rPr>
        <w:instrText xml:space="preserve"> PAGEREF _Toc6809 \h </w:instrText>
      </w:r>
      <w:r>
        <w:rPr>
          <w:color w:val="auto"/>
          <w:highlight w:val="none"/>
        </w:rPr>
        <w:fldChar w:fldCharType="separate"/>
      </w:r>
      <w:r>
        <w:rPr>
          <w:color w:val="auto"/>
          <w:highlight w:val="none"/>
        </w:rPr>
        <w:t>316</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_Toc3396 </w:instrText>
      </w:r>
      <w:r>
        <w:rPr>
          <w:rFonts w:ascii="宋体" w:hAnsi="宋体" w:cs="宋体"/>
          <w:color w:val="auto"/>
          <w:highlight w:val="none"/>
        </w:rPr>
        <w:fldChar w:fldCharType="separate"/>
      </w:r>
      <w:r>
        <w:rPr>
          <w:rFonts w:hint="eastAsia" w:ascii="宋体" w:hAnsi="宋体"/>
          <w:color w:val="auto"/>
          <w:szCs w:val="24"/>
          <w:highlight w:val="none"/>
        </w:rPr>
        <w:t>3.3.2.4.1 胸痛中心</w:t>
      </w:r>
      <w:r>
        <w:rPr>
          <w:color w:val="auto"/>
          <w:highlight w:val="none"/>
        </w:rPr>
        <w:tab/>
      </w:r>
      <w:r>
        <w:rPr>
          <w:color w:val="auto"/>
          <w:highlight w:val="none"/>
        </w:rPr>
        <w:fldChar w:fldCharType="begin"/>
      </w:r>
      <w:r>
        <w:rPr>
          <w:color w:val="auto"/>
          <w:highlight w:val="none"/>
        </w:rPr>
        <w:instrText xml:space="preserve"> PAGEREF _Toc3396 \h </w:instrText>
      </w:r>
      <w:r>
        <w:rPr>
          <w:color w:val="auto"/>
          <w:highlight w:val="none"/>
        </w:rPr>
        <w:fldChar w:fldCharType="separate"/>
      </w:r>
      <w:r>
        <w:rPr>
          <w:color w:val="auto"/>
          <w:highlight w:val="none"/>
        </w:rPr>
        <w:t>316</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_Toc20785 </w:instrText>
      </w:r>
      <w:r>
        <w:rPr>
          <w:rFonts w:ascii="宋体" w:hAnsi="宋体" w:cs="宋体"/>
          <w:color w:val="auto"/>
          <w:highlight w:val="none"/>
        </w:rPr>
        <w:fldChar w:fldCharType="separate"/>
      </w:r>
      <w:r>
        <w:rPr>
          <w:rFonts w:hint="eastAsia" w:ascii="宋体" w:hAnsi="宋体"/>
          <w:color w:val="auto"/>
          <w:szCs w:val="24"/>
          <w:highlight w:val="none"/>
        </w:rPr>
        <w:t>3.3.2.4.2 卒中中心</w:t>
      </w:r>
      <w:r>
        <w:rPr>
          <w:color w:val="auto"/>
          <w:highlight w:val="none"/>
        </w:rPr>
        <w:tab/>
      </w:r>
      <w:r>
        <w:rPr>
          <w:color w:val="auto"/>
          <w:highlight w:val="none"/>
        </w:rPr>
        <w:fldChar w:fldCharType="begin"/>
      </w:r>
      <w:r>
        <w:rPr>
          <w:color w:val="auto"/>
          <w:highlight w:val="none"/>
        </w:rPr>
        <w:instrText xml:space="preserve"> PAGEREF _Toc20785 \h </w:instrText>
      </w:r>
      <w:r>
        <w:rPr>
          <w:color w:val="auto"/>
          <w:highlight w:val="none"/>
        </w:rPr>
        <w:fldChar w:fldCharType="separate"/>
      </w:r>
      <w:r>
        <w:rPr>
          <w:color w:val="auto"/>
          <w:highlight w:val="none"/>
        </w:rPr>
        <w:t>318</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_Toc22353 </w:instrText>
      </w:r>
      <w:r>
        <w:rPr>
          <w:rFonts w:ascii="宋体" w:hAnsi="宋体" w:cs="宋体"/>
          <w:color w:val="auto"/>
          <w:highlight w:val="none"/>
        </w:rPr>
        <w:fldChar w:fldCharType="separate"/>
      </w:r>
      <w:r>
        <w:rPr>
          <w:rFonts w:hint="eastAsia" w:ascii="宋体" w:hAnsi="宋体"/>
          <w:color w:val="auto"/>
          <w:szCs w:val="24"/>
          <w:highlight w:val="none"/>
        </w:rPr>
        <w:t>3.3.2.4.3 创伤中心</w:t>
      </w:r>
      <w:r>
        <w:rPr>
          <w:color w:val="auto"/>
          <w:highlight w:val="none"/>
        </w:rPr>
        <w:tab/>
      </w:r>
      <w:r>
        <w:rPr>
          <w:color w:val="auto"/>
          <w:highlight w:val="none"/>
        </w:rPr>
        <w:fldChar w:fldCharType="begin"/>
      </w:r>
      <w:r>
        <w:rPr>
          <w:color w:val="auto"/>
          <w:highlight w:val="none"/>
        </w:rPr>
        <w:instrText xml:space="preserve"> PAGEREF _Toc22353 \h </w:instrText>
      </w:r>
      <w:r>
        <w:rPr>
          <w:color w:val="auto"/>
          <w:highlight w:val="none"/>
        </w:rPr>
        <w:fldChar w:fldCharType="separate"/>
      </w:r>
      <w:r>
        <w:rPr>
          <w:color w:val="auto"/>
          <w:highlight w:val="none"/>
        </w:rPr>
        <w:t>320</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_Toc7724 </w:instrText>
      </w:r>
      <w:r>
        <w:rPr>
          <w:rFonts w:ascii="宋体" w:hAnsi="宋体" w:cs="宋体"/>
          <w:color w:val="auto"/>
          <w:highlight w:val="none"/>
        </w:rPr>
        <w:fldChar w:fldCharType="separate"/>
      </w:r>
      <w:r>
        <w:rPr>
          <w:rFonts w:hint="eastAsia" w:ascii="宋体" w:hAnsi="宋体"/>
          <w:color w:val="auto"/>
          <w:szCs w:val="24"/>
          <w:highlight w:val="none"/>
        </w:rPr>
        <w:t>3.3.2.4.4 危重症孕产妇救治中心</w:t>
      </w:r>
      <w:r>
        <w:rPr>
          <w:color w:val="auto"/>
          <w:highlight w:val="none"/>
        </w:rPr>
        <w:tab/>
      </w:r>
      <w:r>
        <w:rPr>
          <w:color w:val="auto"/>
          <w:highlight w:val="none"/>
        </w:rPr>
        <w:fldChar w:fldCharType="begin"/>
      </w:r>
      <w:r>
        <w:rPr>
          <w:color w:val="auto"/>
          <w:highlight w:val="none"/>
        </w:rPr>
        <w:instrText xml:space="preserve"> PAGEREF _Toc7724 \h </w:instrText>
      </w:r>
      <w:r>
        <w:rPr>
          <w:color w:val="auto"/>
          <w:highlight w:val="none"/>
        </w:rPr>
        <w:fldChar w:fldCharType="separate"/>
      </w:r>
      <w:r>
        <w:rPr>
          <w:color w:val="auto"/>
          <w:highlight w:val="none"/>
        </w:rPr>
        <w:t>322</w:t>
      </w:r>
      <w:r>
        <w:rPr>
          <w:color w:val="auto"/>
          <w:highlight w:val="none"/>
        </w:rPr>
        <w:fldChar w:fldCharType="end"/>
      </w:r>
      <w:r>
        <w:rPr>
          <w:rFonts w:ascii="宋体" w:hAnsi="宋体" w:cs="宋体"/>
          <w:color w:val="auto"/>
          <w:highlight w:val="none"/>
        </w:rPr>
        <w:fldChar w:fldCharType="end"/>
      </w:r>
    </w:p>
    <w:p>
      <w:pPr>
        <w:pStyle w:val="2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_Toc4378 </w:instrText>
      </w:r>
      <w:r>
        <w:rPr>
          <w:rFonts w:ascii="宋体" w:hAnsi="宋体" w:cs="宋体"/>
          <w:color w:val="auto"/>
          <w:highlight w:val="none"/>
        </w:rPr>
        <w:fldChar w:fldCharType="separate"/>
      </w:r>
      <w:r>
        <w:rPr>
          <w:rFonts w:hint="eastAsia" w:ascii="宋体" w:hAnsi="宋体"/>
          <w:color w:val="auto"/>
          <w:szCs w:val="24"/>
          <w:highlight w:val="none"/>
        </w:rPr>
        <w:t>3.3.2.4.5 危重幼儿和新生儿救治中心</w:t>
      </w:r>
      <w:r>
        <w:rPr>
          <w:color w:val="auto"/>
          <w:highlight w:val="none"/>
        </w:rPr>
        <w:tab/>
      </w:r>
      <w:r>
        <w:rPr>
          <w:color w:val="auto"/>
          <w:highlight w:val="none"/>
        </w:rPr>
        <w:fldChar w:fldCharType="begin"/>
      </w:r>
      <w:r>
        <w:rPr>
          <w:color w:val="auto"/>
          <w:highlight w:val="none"/>
        </w:rPr>
        <w:instrText xml:space="preserve"> PAGEREF _Toc4378 \h </w:instrText>
      </w:r>
      <w:r>
        <w:rPr>
          <w:color w:val="auto"/>
          <w:highlight w:val="none"/>
        </w:rPr>
        <w:fldChar w:fldCharType="separate"/>
      </w:r>
      <w:r>
        <w:rPr>
          <w:color w:val="auto"/>
          <w:highlight w:val="none"/>
        </w:rPr>
        <w:t>325</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_Toc10306 </w:instrText>
      </w:r>
      <w:r>
        <w:rPr>
          <w:rFonts w:ascii="宋体" w:hAnsi="宋体" w:cs="宋体"/>
          <w:color w:val="auto"/>
          <w:highlight w:val="none"/>
        </w:rPr>
        <w:fldChar w:fldCharType="separate"/>
      </w:r>
      <w:r>
        <w:rPr>
          <w:rFonts w:hint="eastAsia" w:hAnsi="宋体"/>
          <w:color w:val="auto"/>
          <w:szCs w:val="24"/>
          <w:highlight w:val="none"/>
        </w:rPr>
        <w:t>3.3.3 区域科研中心</w:t>
      </w:r>
      <w:r>
        <w:rPr>
          <w:color w:val="auto"/>
          <w:highlight w:val="none"/>
        </w:rPr>
        <w:tab/>
      </w:r>
      <w:r>
        <w:rPr>
          <w:color w:val="auto"/>
          <w:highlight w:val="none"/>
        </w:rPr>
        <w:fldChar w:fldCharType="begin"/>
      </w:r>
      <w:r>
        <w:rPr>
          <w:color w:val="auto"/>
          <w:highlight w:val="none"/>
        </w:rPr>
        <w:instrText xml:space="preserve"> PAGEREF _Toc10306 \h </w:instrText>
      </w:r>
      <w:r>
        <w:rPr>
          <w:color w:val="auto"/>
          <w:highlight w:val="none"/>
        </w:rPr>
        <w:fldChar w:fldCharType="separate"/>
      </w:r>
      <w:r>
        <w:rPr>
          <w:color w:val="auto"/>
          <w:highlight w:val="none"/>
        </w:rPr>
        <w:t>327</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_Toc32673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3.3.3.1 </w:t>
      </w:r>
      <w:r>
        <w:rPr>
          <w:rFonts w:hint="eastAsia" w:ascii="宋体" w:hAnsi="宋体"/>
          <w:color w:val="auto"/>
          <w:szCs w:val="24"/>
          <w:highlight w:val="none"/>
        </w:rPr>
        <w:t>区域专科科研随访管理系统</w:t>
      </w:r>
      <w:r>
        <w:rPr>
          <w:color w:val="auto"/>
          <w:highlight w:val="none"/>
        </w:rPr>
        <w:tab/>
      </w:r>
      <w:r>
        <w:rPr>
          <w:color w:val="auto"/>
          <w:highlight w:val="none"/>
        </w:rPr>
        <w:fldChar w:fldCharType="begin"/>
      </w:r>
      <w:r>
        <w:rPr>
          <w:color w:val="auto"/>
          <w:highlight w:val="none"/>
        </w:rPr>
        <w:instrText xml:space="preserve"> PAGEREF _Toc32673 \h </w:instrText>
      </w:r>
      <w:r>
        <w:rPr>
          <w:color w:val="auto"/>
          <w:highlight w:val="none"/>
        </w:rPr>
        <w:fldChar w:fldCharType="separate"/>
      </w:r>
      <w:r>
        <w:rPr>
          <w:color w:val="auto"/>
          <w:highlight w:val="none"/>
        </w:rPr>
        <w:t>327</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_Toc7409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3.3.3.2 </w:t>
      </w:r>
      <w:r>
        <w:rPr>
          <w:rFonts w:hint="eastAsia" w:ascii="宋体" w:hAnsi="宋体"/>
          <w:color w:val="auto"/>
          <w:szCs w:val="24"/>
          <w:highlight w:val="none"/>
        </w:rPr>
        <w:t>区域专科科研大数据搜索系统</w:t>
      </w:r>
      <w:r>
        <w:rPr>
          <w:color w:val="auto"/>
          <w:highlight w:val="none"/>
        </w:rPr>
        <w:tab/>
      </w:r>
      <w:r>
        <w:rPr>
          <w:color w:val="auto"/>
          <w:highlight w:val="none"/>
        </w:rPr>
        <w:fldChar w:fldCharType="begin"/>
      </w:r>
      <w:r>
        <w:rPr>
          <w:color w:val="auto"/>
          <w:highlight w:val="none"/>
        </w:rPr>
        <w:instrText xml:space="preserve"> PAGEREF _Toc7409 \h </w:instrText>
      </w:r>
      <w:r>
        <w:rPr>
          <w:color w:val="auto"/>
          <w:highlight w:val="none"/>
        </w:rPr>
        <w:fldChar w:fldCharType="separate"/>
      </w:r>
      <w:r>
        <w:rPr>
          <w:color w:val="auto"/>
          <w:highlight w:val="none"/>
        </w:rPr>
        <w:t>330</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_Toc11493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3.3.3.3 </w:t>
      </w:r>
      <w:r>
        <w:rPr>
          <w:rFonts w:hint="eastAsia" w:ascii="宋体" w:hAnsi="宋体"/>
          <w:color w:val="auto"/>
          <w:szCs w:val="24"/>
          <w:highlight w:val="none"/>
        </w:rPr>
        <w:t>区域临床数据分析平台</w:t>
      </w:r>
      <w:r>
        <w:rPr>
          <w:color w:val="auto"/>
          <w:highlight w:val="none"/>
        </w:rPr>
        <w:tab/>
      </w:r>
      <w:r>
        <w:rPr>
          <w:color w:val="auto"/>
          <w:highlight w:val="none"/>
        </w:rPr>
        <w:fldChar w:fldCharType="begin"/>
      </w:r>
      <w:r>
        <w:rPr>
          <w:color w:val="auto"/>
          <w:highlight w:val="none"/>
        </w:rPr>
        <w:instrText xml:space="preserve"> PAGEREF _Toc11493 \h </w:instrText>
      </w:r>
      <w:r>
        <w:rPr>
          <w:color w:val="auto"/>
          <w:highlight w:val="none"/>
        </w:rPr>
        <w:fldChar w:fldCharType="separate"/>
      </w:r>
      <w:r>
        <w:rPr>
          <w:color w:val="auto"/>
          <w:highlight w:val="none"/>
        </w:rPr>
        <w:t>331</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_Toc3792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3.3.3.4 </w:t>
      </w:r>
      <w:r>
        <w:rPr>
          <w:rFonts w:hint="eastAsia" w:ascii="宋体" w:hAnsi="宋体"/>
          <w:color w:val="auto"/>
          <w:szCs w:val="24"/>
          <w:highlight w:val="none"/>
        </w:rPr>
        <w:t>区域多中心临床科研管理系统</w:t>
      </w:r>
      <w:r>
        <w:rPr>
          <w:color w:val="auto"/>
          <w:highlight w:val="none"/>
        </w:rPr>
        <w:tab/>
      </w:r>
      <w:r>
        <w:rPr>
          <w:color w:val="auto"/>
          <w:highlight w:val="none"/>
        </w:rPr>
        <w:fldChar w:fldCharType="begin"/>
      </w:r>
      <w:r>
        <w:rPr>
          <w:color w:val="auto"/>
          <w:highlight w:val="none"/>
        </w:rPr>
        <w:instrText xml:space="preserve"> PAGEREF _Toc3792 \h </w:instrText>
      </w:r>
      <w:r>
        <w:rPr>
          <w:color w:val="auto"/>
          <w:highlight w:val="none"/>
        </w:rPr>
        <w:fldChar w:fldCharType="separate"/>
      </w:r>
      <w:r>
        <w:rPr>
          <w:color w:val="auto"/>
          <w:highlight w:val="none"/>
        </w:rPr>
        <w:t>333</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_Toc6000 </w:instrText>
      </w:r>
      <w:r>
        <w:rPr>
          <w:rFonts w:ascii="宋体" w:hAnsi="宋体" w:cs="宋体"/>
          <w:color w:val="auto"/>
          <w:highlight w:val="none"/>
        </w:rPr>
        <w:fldChar w:fldCharType="separate"/>
      </w:r>
      <w:r>
        <w:rPr>
          <w:rFonts w:hint="eastAsia" w:hAnsi="宋体"/>
          <w:color w:val="auto"/>
          <w:szCs w:val="24"/>
          <w:highlight w:val="none"/>
        </w:rPr>
        <w:t>3.3.4 远程医疗服务管理平台</w:t>
      </w:r>
      <w:r>
        <w:rPr>
          <w:color w:val="auto"/>
          <w:highlight w:val="none"/>
        </w:rPr>
        <w:tab/>
      </w:r>
      <w:r>
        <w:rPr>
          <w:color w:val="auto"/>
          <w:highlight w:val="none"/>
        </w:rPr>
        <w:fldChar w:fldCharType="begin"/>
      </w:r>
      <w:r>
        <w:rPr>
          <w:color w:val="auto"/>
          <w:highlight w:val="none"/>
        </w:rPr>
        <w:instrText xml:space="preserve"> PAGEREF _Toc6000 \h </w:instrText>
      </w:r>
      <w:r>
        <w:rPr>
          <w:color w:val="auto"/>
          <w:highlight w:val="none"/>
        </w:rPr>
        <w:fldChar w:fldCharType="separate"/>
      </w:r>
      <w:r>
        <w:rPr>
          <w:color w:val="auto"/>
          <w:highlight w:val="none"/>
        </w:rPr>
        <w:t>335</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_Toc1886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3.3.4.1 </w:t>
      </w:r>
      <w:r>
        <w:rPr>
          <w:rFonts w:hint="eastAsia" w:ascii="宋体" w:hAnsi="宋体"/>
          <w:color w:val="auto"/>
          <w:szCs w:val="24"/>
          <w:highlight w:val="none"/>
        </w:rPr>
        <w:t>多学科协作平台（MDT）</w:t>
      </w:r>
      <w:r>
        <w:rPr>
          <w:color w:val="auto"/>
          <w:highlight w:val="none"/>
        </w:rPr>
        <w:tab/>
      </w:r>
      <w:r>
        <w:rPr>
          <w:color w:val="auto"/>
          <w:highlight w:val="none"/>
        </w:rPr>
        <w:fldChar w:fldCharType="begin"/>
      </w:r>
      <w:r>
        <w:rPr>
          <w:color w:val="auto"/>
          <w:highlight w:val="none"/>
        </w:rPr>
        <w:instrText xml:space="preserve"> PAGEREF _Toc1886 \h </w:instrText>
      </w:r>
      <w:r>
        <w:rPr>
          <w:color w:val="auto"/>
          <w:highlight w:val="none"/>
        </w:rPr>
        <w:fldChar w:fldCharType="separate"/>
      </w:r>
      <w:r>
        <w:rPr>
          <w:color w:val="auto"/>
          <w:highlight w:val="none"/>
        </w:rPr>
        <w:t>335</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_Toc7000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3.3.4.2 </w:t>
      </w:r>
      <w:r>
        <w:rPr>
          <w:rFonts w:hint="eastAsia" w:ascii="宋体" w:hAnsi="宋体"/>
          <w:color w:val="auto"/>
          <w:szCs w:val="24"/>
          <w:highlight w:val="none"/>
        </w:rPr>
        <w:t>专科医联体</w:t>
      </w:r>
      <w:r>
        <w:rPr>
          <w:color w:val="auto"/>
          <w:highlight w:val="none"/>
        </w:rPr>
        <w:tab/>
      </w:r>
      <w:r>
        <w:rPr>
          <w:color w:val="auto"/>
          <w:highlight w:val="none"/>
        </w:rPr>
        <w:fldChar w:fldCharType="begin"/>
      </w:r>
      <w:r>
        <w:rPr>
          <w:color w:val="auto"/>
          <w:highlight w:val="none"/>
        </w:rPr>
        <w:instrText xml:space="preserve"> PAGEREF _Toc7000 \h </w:instrText>
      </w:r>
      <w:r>
        <w:rPr>
          <w:color w:val="auto"/>
          <w:highlight w:val="none"/>
        </w:rPr>
        <w:fldChar w:fldCharType="separate"/>
      </w:r>
      <w:r>
        <w:rPr>
          <w:color w:val="auto"/>
          <w:highlight w:val="none"/>
        </w:rPr>
        <w:t>337</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_Toc28812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3.3.4.3 </w:t>
      </w:r>
      <w:r>
        <w:rPr>
          <w:rFonts w:hint="eastAsia" w:ascii="宋体" w:hAnsi="宋体"/>
          <w:color w:val="auto"/>
          <w:szCs w:val="24"/>
          <w:highlight w:val="none"/>
        </w:rPr>
        <w:t>远程医疗</w:t>
      </w:r>
      <w:r>
        <w:rPr>
          <w:color w:val="auto"/>
          <w:highlight w:val="none"/>
        </w:rPr>
        <w:tab/>
      </w:r>
      <w:r>
        <w:rPr>
          <w:color w:val="auto"/>
          <w:highlight w:val="none"/>
        </w:rPr>
        <w:fldChar w:fldCharType="begin"/>
      </w:r>
      <w:r>
        <w:rPr>
          <w:color w:val="auto"/>
          <w:highlight w:val="none"/>
        </w:rPr>
        <w:instrText xml:space="preserve"> PAGEREF _Toc28812 \h </w:instrText>
      </w:r>
      <w:r>
        <w:rPr>
          <w:color w:val="auto"/>
          <w:highlight w:val="none"/>
        </w:rPr>
        <w:fldChar w:fldCharType="separate"/>
      </w:r>
      <w:r>
        <w:rPr>
          <w:color w:val="auto"/>
          <w:highlight w:val="none"/>
        </w:rPr>
        <w:t>339</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_Toc18487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3.3.4.4 </w:t>
      </w:r>
      <w:r>
        <w:rPr>
          <w:rFonts w:hint="eastAsia" w:ascii="宋体" w:hAnsi="宋体"/>
          <w:color w:val="auto"/>
          <w:szCs w:val="24"/>
          <w:highlight w:val="none"/>
        </w:rPr>
        <w:t>远程影像协作系统</w:t>
      </w:r>
      <w:r>
        <w:rPr>
          <w:color w:val="auto"/>
          <w:highlight w:val="none"/>
        </w:rPr>
        <w:tab/>
      </w:r>
      <w:r>
        <w:rPr>
          <w:color w:val="auto"/>
          <w:highlight w:val="none"/>
        </w:rPr>
        <w:fldChar w:fldCharType="begin"/>
      </w:r>
      <w:r>
        <w:rPr>
          <w:color w:val="auto"/>
          <w:highlight w:val="none"/>
        </w:rPr>
        <w:instrText xml:space="preserve"> PAGEREF _Toc18487 \h </w:instrText>
      </w:r>
      <w:r>
        <w:rPr>
          <w:color w:val="auto"/>
          <w:highlight w:val="none"/>
        </w:rPr>
        <w:fldChar w:fldCharType="separate"/>
      </w:r>
      <w:r>
        <w:rPr>
          <w:color w:val="auto"/>
          <w:highlight w:val="none"/>
        </w:rPr>
        <w:t>343</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_Toc23378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3.3.4.5 </w:t>
      </w:r>
      <w:r>
        <w:rPr>
          <w:rFonts w:hint="eastAsia" w:ascii="宋体" w:hAnsi="宋体"/>
          <w:color w:val="auto"/>
          <w:szCs w:val="24"/>
          <w:highlight w:val="none"/>
        </w:rPr>
        <w:t>远程质控中心</w:t>
      </w:r>
      <w:r>
        <w:rPr>
          <w:color w:val="auto"/>
          <w:highlight w:val="none"/>
        </w:rPr>
        <w:tab/>
      </w:r>
      <w:r>
        <w:rPr>
          <w:color w:val="auto"/>
          <w:highlight w:val="none"/>
        </w:rPr>
        <w:fldChar w:fldCharType="begin"/>
      </w:r>
      <w:r>
        <w:rPr>
          <w:color w:val="auto"/>
          <w:highlight w:val="none"/>
        </w:rPr>
        <w:instrText xml:space="preserve"> PAGEREF _Toc23378 \h </w:instrText>
      </w:r>
      <w:r>
        <w:rPr>
          <w:color w:val="auto"/>
          <w:highlight w:val="none"/>
        </w:rPr>
        <w:fldChar w:fldCharType="separate"/>
      </w:r>
      <w:r>
        <w:rPr>
          <w:color w:val="auto"/>
          <w:highlight w:val="none"/>
        </w:rPr>
        <w:t>345</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_Toc13281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3.3.4.6 </w:t>
      </w:r>
      <w:r>
        <w:rPr>
          <w:rFonts w:hint="eastAsia" w:ascii="宋体" w:hAnsi="宋体"/>
          <w:color w:val="auto"/>
          <w:szCs w:val="24"/>
          <w:highlight w:val="none"/>
        </w:rPr>
        <w:t>远程病历管理系统</w:t>
      </w:r>
      <w:r>
        <w:rPr>
          <w:color w:val="auto"/>
          <w:highlight w:val="none"/>
        </w:rPr>
        <w:tab/>
      </w:r>
      <w:r>
        <w:rPr>
          <w:color w:val="auto"/>
          <w:highlight w:val="none"/>
        </w:rPr>
        <w:fldChar w:fldCharType="begin"/>
      </w:r>
      <w:r>
        <w:rPr>
          <w:color w:val="auto"/>
          <w:highlight w:val="none"/>
        </w:rPr>
        <w:instrText xml:space="preserve"> PAGEREF _Toc13281 \h </w:instrText>
      </w:r>
      <w:r>
        <w:rPr>
          <w:color w:val="auto"/>
          <w:highlight w:val="none"/>
        </w:rPr>
        <w:fldChar w:fldCharType="separate"/>
      </w:r>
      <w:r>
        <w:rPr>
          <w:color w:val="auto"/>
          <w:highlight w:val="none"/>
        </w:rPr>
        <w:t>346</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_Toc5121 </w:instrText>
      </w:r>
      <w:r>
        <w:rPr>
          <w:rFonts w:ascii="宋体" w:hAnsi="宋体" w:cs="宋体"/>
          <w:color w:val="auto"/>
          <w:highlight w:val="none"/>
        </w:rPr>
        <w:fldChar w:fldCharType="separate"/>
      </w:r>
      <w:r>
        <w:rPr>
          <w:rFonts w:hint="eastAsia" w:ascii="宋体" w:hAnsi="宋体"/>
          <w:color w:val="auto"/>
          <w:highlight w:val="none"/>
        </w:rPr>
        <w:t xml:space="preserve">3.4 </w:t>
      </w:r>
      <w:r>
        <w:rPr>
          <w:rFonts w:hint="eastAsia" w:ascii="宋体" w:hAnsi="宋体"/>
          <w:color w:val="auto"/>
          <w:highlight w:val="none"/>
          <w:lang w:eastAsia="zh-Hans"/>
        </w:rPr>
        <w:t>区域传染病防控</w:t>
      </w:r>
      <w:r>
        <w:rPr>
          <w:rFonts w:hint="eastAsia" w:ascii="宋体" w:hAnsi="宋体"/>
          <w:color w:val="auto"/>
          <w:highlight w:val="none"/>
        </w:rPr>
        <w:t>平台</w:t>
      </w:r>
      <w:r>
        <w:rPr>
          <w:color w:val="auto"/>
          <w:highlight w:val="none"/>
        </w:rPr>
        <w:tab/>
      </w:r>
      <w:r>
        <w:rPr>
          <w:color w:val="auto"/>
          <w:highlight w:val="none"/>
        </w:rPr>
        <w:fldChar w:fldCharType="begin"/>
      </w:r>
      <w:r>
        <w:rPr>
          <w:color w:val="auto"/>
          <w:highlight w:val="none"/>
        </w:rPr>
        <w:instrText xml:space="preserve"> PAGEREF _Toc5121 \h </w:instrText>
      </w:r>
      <w:r>
        <w:rPr>
          <w:color w:val="auto"/>
          <w:highlight w:val="none"/>
        </w:rPr>
        <w:fldChar w:fldCharType="separate"/>
      </w:r>
      <w:r>
        <w:rPr>
          <w:color w:val="auto"/>
          <w:highlight w:val="none"/>
        </w:rPr>
        <w:t>348</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_Toc6122 </w:instrText>
      </w:r>
      <w:r>
        <w:rPr>
          <w:rFonts w:ascii="宋体" w:hAnsi="宋体" w:cs="宋体"/>
          <w:color w:val="auto"/>
          <w:highlight w:val="none"/>
        </w:rPr>
        <w:fldChar w:fldCharType="separate"/>
      </w:r>
      <w:r>
        <w:rPr>
          <w:rFonts w:hint="eastAsia" w:hAnsi="宋体"/>
          <w:color w:val="auto"/>
          <w:szCs w:val="24"/>
          <w:highlight w:val="none"/>
        </w:rPr>
        <w:t xml:space="preserve">3.4.1 </w:t>
      </w:r>
      <w:r>
        <w:rPr>
          <w:rFonts w:hAnsi="宋体"/>
          <w:color w:val="auto"/>
          <w:szCs w:val="24"/>
          <w:highlight w:val="none"/>
        </w:rPr>
        <w:t>公共卫生核心业务系统</w:t>
      </w:r>
      <w:r>
        <w:rPr>
          <w:color w:val="auto"/>
          <w:highlight w:val="none"/>
        </w:rPr>
        <w:tab/>
      </w:r>
      <w:r>
        <w:rPr>
          <w:color w:val="auto"/>
          <w:highlight w:val="none"/>
        </w:rPr>
        <w:fldChar w:fldCharType="begin"/>
      </w:r>
      <w:r>
        <w:rPr>
          <w:color w:val="auto"/>
          <w:highlight w:val="none"/>
        </w:rPr>
        <w:instrText xml:space="preserve"> PAGEREF _Toc6122 \h </w:instrText>
      </w:r>
      <w:r>
        <w:rPr>
          <w:color w:val="auto"/>
          <w:highlight w:val="none"/>
        </w:rPr>
        <w:fldChar w:fldCharType="separate"/>
      </w:r>
      <w:r>
        <w:rPr>
          <w:color w:val="auto"/>
          <w:highlight w:val="none"/>
        </w:rPr>
        <w:t>348</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_Toc14912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3.4.1.1 </w:t>
      </w:r>
      <w:r>
        <w:rPr>
          <w:rFonts w:hint="eastAsia" w:ascii="宋体" w:hAnsi="宋体"/>
          <w:color w:val="auto"/>
          <w:szCs w:val="24"/>
          <w:highlight w:val="none"/>
        </w:rPr>
        <w:t>传染病动态监测与管理</w:t>
      </w:r>
      <w:r>
        <w:rPr>
          <w:color w:val="auto"/>
          <w:highlight w:val="none"/>
        </w:rPr>
        <w:tab/>
      </w:r>
      <w:r>
        <w:rPr>
          <w:color w:val="auto"/>
          <w:highlight w:val="none"/>
        </w:rPr>
        <w:fldChar w:fldCharType="begin"/>
      </w:r>
      <w:r>
        <w:rPr>
          <w:color w:val="auto"/>
          <w:highlight w:val="none"/>
        </w:rPr>
        <w:instrText xml:space="preserve"> PAGEREF _Toc14912 \h </w:instrText>
      </w:r>
      <w:r>
        <w:rPr>
          <w:color w:val="auto"/>
          <w:highlight w:val="none"/>
        </w:rPr>
        <w:fldChar w:fldCharType="separate"/>
      </w:r>
      <w:r>
        <w:rPr>
          <w:color w:val="auto"/>
          <w:highlight w:val="none"/>
        </w:rPr>
        <w:t>348</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_Toc14393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3.4.1.2 </w:t>
      </w:r>
      <w:r>
        <w:rPr>
          <w:rFonts w:hint="eastAsia" w:ascii="宋体" w:hAnsi="宋体"/>
          <w:color w:val="auto"/>
          <w:szCs w:val="24"/>
          <w:highlight w:val="none"/>
        </w:rPr>
        <w:t>慢性病监测与管理</w:t>
      </w:r>
      <w:r>
        <w:rPr>
          <w:color w:val="auto"/>
          <w:highlight w:val="none"/>
        </w:rPr>
        <w:tab/>
      </w:r>
      <w:r>
        <w:rPr>
          <w:color w:val="auto"/>
          <w:highlight w:val="none"/>
        </w:rPr>
        <w:fldChar w:fldCharType="begin"/>
      </w:r>
      <w:r>
        <w:rPr>
          <w:color w:val="auto"/>
          <w:highlight w:val="none"/>
        </w:rPr>
        <w:instrText xml:space="preserve"> PAGEREF _Toc14393 \h </w:instrText>
      </w:r>
      <w:r>
        <w:rPr>
          <w:color w:val="auto"/>
          <w:highlight w:val="none"/>
        </w:rPr>
        <w:fldChar w:fldCharType="separate"/>
      </w:r>
      <w:r>
        <w:rPr>
          <w:color w:val="auto"/>
          <w:highlight w:val="none"/>
        </w:rPr>
        <w:t>350</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_Toc466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3.4.1.3 </w:t>
      </w:r>
      <w:r>
        <w:rPr>
          <w:rFonts w:hint="eastAsia" w:ascii="宋体" w:hAnsi="宋体"/>
          <w:color w:val="auto"/>
          <w:szCs w:val="24"/>
          <w:highlight w:val="none"/>
        </w:rPr>
        <w:t>精神卫生疾病管理</w:t>
      </w:r>
      <w:r>
        <w:rPr>
          <w:color w:val="auto"/>
          <w:highlight w:val="none"/>
        </w:rPr>
        <w:tab/>
      </w:r>
      <w:r>
        <w:rPr>
          <w:color w:val="auto"/>
          <w:highlight w:val="none"/>
        </w:rPr>
        <w:fldChar w:fldCharType="begin"/>
      </w:r>
      <w:r>
        <w:rPr>
          <w:color w:val="auto"/>
          <w:highlight w:val="none"/>
        </w:rPr>
        <w:instrText xml:space="preserve"> PAGEREF _Toc466 \h </w:instrText>
      </w:r>
      <w:r>
        <w:rPr>
          <w:color w:val="auto"/>
          <w:highlight w:val="none"/>
        </w:rPr>
        <w:fldChar w:fldCharType="separate"/>
      </w:r>
      <w:r>
        <w:rPr>
          <w:color w:val="auto"/>
          <w:highlight w:val="none"/>
        </w:rPr>
        <w:t>353</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_Toc10896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3.4.1.4 </w:t>
      </w:r>
      <w:r>
        <w:rPr>
          <w:rFonts w:hint="eastAsia" w:ascii="宋体" w:hAnsi="宋体"/>
          <w:color w:val="auto"/>
          <w:szCs w:val="24"/>
          <w:highlight w:val="none"/>
        </w:rPr>
        <w:t>儿童健康管理</w:t>
      </w:r>
      <w:r>
        <w:rPr>
          <w:color w:val="auto"/>
          <w:highlight w:val="none"/>
        </w:rPr>
        <w:tab/>
      </w:r>
      <w:r>
        <w:rPr>
          <w:color w:val="auto"/>
          <w:highlight w:val="none"/>
        </w:rPr>
        <w:fldChar w:fldCharType="begin"/>
      </w:r>
      <w:r>
        <w:rPr>
          <w:color w:val="auto"/>
          <w:highlight w:val="none"/>
        </w:rPr>
        <w:instrText xml:space="preserve"> PAGEREF _Toc10896 \h </w:instrText>
      </w:r>
      <w:r>
        <w:rPr>
          <w:color w:val="auto"/>
          <w:highlight w:val="none"/>
        </w:rPr>
        <w:fldChar w:fldCharType="separate"/>
      </w:r>
      <w:r>
        <w:rPr>
          <w:color w:val="auto"/>
          <w:highlight w:val="none"/>
        </w:rPr>
        <w:t>354</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_Toc8249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3.4.1.5 </w:t>
      </w:r>
      <w:r>
        <w:rPr>
          <w:rFonts w:hint="eastAsia" w:ascii="宋体" w:hAnsi="宋体"/>
          <w:color w:val="auto"/>
          <w:szCs w:val="24"/>
          <w:highlight w:val="none"/>
        </w:rPr>
        <w:t>老年人中医药健康管理</w:t>
      </w:r>
      <w:r>
        <w:rPr>
          <w:color w:val="auto"/>
          <w:highlight w:val="none"/>
        </w:rPr>
        <w:tab/>
      </w:r>
      <w:r>
        <w:rPr>
          <w:color w:val="auto"/>
          <w:highlight w:val="none"/>
        </w:rPr>
        <w:fldChar w:fldCharType="begin"/>
      </w:r>
      <w:r>
        <w:rPr>
          <w:color w:val="auto"/>
          <w:highlight w:val="none"/>
        </w:rPr>
        <w:instrText xml:space="preserve"> PAGEREF _Toc8249 \h </w:instrText>
      </w:r>
      <w:r>
        <w:rPr>
          <w:color w:val="auto"/>
          <w:highlight w:val="none"/>
        </w:rPr>
        <w:fldChar w:fldCharType="separate"/>
      </w:r>
      <w:r>
        <w:rPr>
          <w:color w:val="auto"/>
          <w:highlight w:val="none"/>
        </w:rPr>
        <w:t>357</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_Toc28995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3.4.1.6 </w:t>
      </w:r>
      <w:r>
        <w:rPr>
          <w:rFonts w:hint="eastAsia" w:ascii="宋体" w:hAnsi="宋体"/>
          <w:color w:val="auto"/>
          <w:szCs w:val="24"/>
          <w:highlight w:val="none"/>
        </w:rPr>
        <w:t>职业卫生监测管理</w:t>
      </w:r>
      <w:r>
        <w:rPr>
          <w:color w:val="auto"/>
          <w:highlight w:val="none"/>
        </w:rPr>
        <w:tab/>
      </w:r>
      <w:r>
        <w:rPr>
          <w:color w:val="auto"/>
          <w:highlight w:val="none"/>
        </w:rPr>
        <w:fldChar w:fldCharType="begin"/>
      </w:r>
      <w:r>
        <w:rPr>
          <w:color w:val="auto"/>
          <w:highlight w:val="none"/>
        </w:rPr>
        <w:instrText xml:space="preserve"> PAGEREF _Toc28995 \h </w:instrText>
      </w:r>
      <w:r>
        <w:rPr>
          <w:color w:val="auto"/>
          <w:highlight w:val="none"/>
        </w:rPr>
        <w:fldChar w:fldCharType="separate"/>
      </w:r>
      <w:r>
        <w:rPr>
          <w:color w:val="auto"/>
          <w:highlight w:val="none"/>
        </w:rPr>
        <w:t>357</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_Toc1991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3.4.1.7 </w:t>
      </w:r>
      <w:r>
        <w:rPr>
          <w:rFonts w:hint="eastAsia" w:ascii="宋体" w:hAnsi="宋体"/>
          <w:color w:val="auto"/>
          <w:szCs w:val="24"/>
          <w:highlight w:val="none"/>
        </w:rPr>
        <w:t>伤害防控管理</w:t>
      </w:r>
      <w:r>
        <w:rPr>
          <w:color w:val="auto"/>
          <w:highlight w:val="none"/>
        </w:rPr>
        <w:tab/>
      </w:r>
      <w:r>
        <w:rPr>
          <w:color w:val="auto"/>
          <w:highlight w:val="none"/>
        </w:rPr>
        <w:fldChar w:fldCharType="begin"/>
      </w:r>
      <w:r>
        <w:rPr>
          <w:color w:val="auto"/>
          <w:highlight w:val="none"/>
        </w:rPr>
        <w:instrText xml:space="preserve"> PAGEREF _Toc1991 \h </w:instrText>
      </w:r>
      <w:r>
        <w:rPr>
          <w:color w:val="auto"/>
          <w:highlight w:val="none"/>
        </w:rPr>
        <w:fldChar w:fldCharType="separate"/>
      </w:r>
      <w:r>
        <w:rPr>
          <w:color w:val="auto"/>
          <w:highlight w:val="none"/>
        </w:rPr>
        <w:t>359</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_Toc2114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3.4.1.8 </w:t>
      </w:r>
      <w:r>
        <w:rPr>
          <w:rFonts w:ascii="宋体" w:hAnsi="宋体"/>
          <w:color w:val="auto"/>
          <w:szCs w:val="24"/>
          <w:highlight w:val="none"/>
        </w:rPr>
        <w:t>地方病监测管理</w:t>
      </w:r>
      <w:r>
        <w:rPr>
          <w:color w:val="auto"/>
          <w:highlight w:val="none"/>
        </w:rPr>
        <w:tab/>
      </w:r>
      <w:r>
        <w:rPr>
          <w:color w:val="auto"/>
          <w:highlight w:val="none"/>
        </w:rPr>
        <w:fldChar w:fldCharType="begin"/>
      </w:r>
      <w:r>
        <w:rPr>
          <w:color w:val="auto"/>
          <w:highlight w:val="none"/>
        </w:rPr>
        <w:instrText xml:space="preserve"> PAGEREF _Toc2114 \h </w:instrText>
      </w:r>
      <w:r>
        <w:rPr>
          <w:color w:val="auto"/>
          <w:highlight w:val="none"/>
        </w:rPr>
        <w:fldChar w:fldCharType="separate"/>
      </w:r>
      <w:r>
        <w:rPr>
          <w:color w:val="auto"/>
          <w:highlight w:val="none"/>
        </w:rPr>
        <w:t>359</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_Toc22511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3.4.1.9 </w:t>
      </w:r>
      <w:r>
        <w:rPr>
          <w:rFonts w:hint="eastAsia" w:ascii="宋体" w:hAnsi="宋体"/>
          <w:color w:val="auto"/>
          <w:szCs w:val="24"/>
          <w:highlight w:val="none"/>
        </w:rPr>
        <w:t>死亡监测管理</w:t>
      </w:r>
      <w:r>
        <w:rPr>
          <w:color w:val="auto"/>
          <w:highlight w:val="none"/>
        </w:rPr>
        <w:tab/>
      </w:r>
      <w:r>
        <w:rPr>
          <w:color w:val="auto"/>
          <w:highlight w:val="none"/>
        </w:rPr>
        <w:fldChar w:fldCharType="begin"/>
      </w:r>
      <w:r>
        <w:rPr>
          <w:color w:val="auto"/>
          <w:highlight w:val="none"/>
        </w:rPr>
        <w:instrText xml:space="preserve"> PAGEREF _Toc22511 \h </w:instrText>
      </w:r>
      <w:r>
        <w:rPr>
          <w:color w:val="auto"/>
          <w:highlight w:val="none"/>
        </w:rPr>
        <w:fldChar w:fldCharType="separate"/>
      </w:r>
      <w:r>
        <w:rPr>
          <w:color w:val="auto"/>
          <w:highlight w:val="none"/>
        </w:rPr>
        <w:t>360</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_Toc24059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3.4.1.10 </w:t>
      </w:r>
      <w:r>
        <w:rPr>
          <w:rFonts w:hint="eastAsia" w:ascii="宋体" w:hAnsi="宋体"/>
          <w:color w:val="auto"/>
          <w:szCs w:val="24"/>
          <w:highlight w:val="none"/>
        </w:rPr>
        <w:t>突发公共卫生事件管理</w:t>
      </w:r>
      <w:r>
        <w:rPr>
          <w:color w:val="auto"/>
          <w:highlight w:val="none"/>
        </w:rPr>
        <w:tab/>
      </w:r>
      <w:r>
        <w:rPr>
          <w:color w:val="auto"/>
          <w:highlight w:val="none"/>
        </w:rPr>
        <w:fldChar w:fldCharType="begin"/>
      </w:r>
      <w:r>
        <w:rPr>
          <w:color w:val="auto"/>
          <w:highlight w:val="none"/>
        </w:rPr>
        <w:instrText xml:space="preserve"> PAGEREF _Toc24059 \h </w:instrText>
      </w:r>
      <w:r>
        <w:rPr>
          <w:color w:val="auto"/>
          <w:highlight w:val="none"/>
        </w:rPr>
        <w:fldChar w:fldCharType="separate"/>
      </w:r>
      <w:r>
        <w:rPr>
          <w:color w:val="auto"/>
          <w:highlight w:val="none"/>
        </w:rPr>
        <w:t>360</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_Toc29519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3.4.1.11 </w:t>
      </w:r>
      <w:r>
        <w:rPr>
          <w:rFonts w:hint="eastAsia" w:ascii="宋体" w:hAnsi="宋体"/>
          <w:color w:val="auto"/>
          <w:szCs w:val="24"/>
          <w:highlight w:val="none"/>
        </w:rPr>
        <w:t>健康教育管理</w:t>
      </w:r>
      <w:r>
        <w:rPr>
          <w:color w:val="auto"/>
          <w:highlight w:val="none"/>
        </w:rPr>
        <w:tab/>
      </w:r>
      <w:r>
        <w:rPr>
          <w:color w:val="auto"/>
          <w:highlight w:val="none"/>
        </w:rPr>
        <w:fldChar w:fldCharType="begin"/>
      </w:r>
      <w:r>
        <w:rPr>
          <w:color w:val="auto"/>
          <w:highlight w:val="none"/>
        </w:rPr>
        <w:instrText xml:space="preserve"> PAGEREF _Toc29519 \h </w:instrText>
      </w:r>
      <w:r>
        <w:rPr>
          <w:color w:val="auto"/>
          <w:highlight w:val="none"/>
        </w:rPr>
        <w:fldChar w:fldCharType="separate"/>
      </w:r>
      <w:r>
        <w:rPr>
          <w:color w:val="auto"/>
          <w:highlight w:val="none"/>
        </w:rPr>
        <w:t>361</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_Toc26837 </w:instrText>
      </w:r>
      <w:r>
        <w:rPr>
          <w:rFonts w:ascii="宋体" w:hAnsi="宋体" w:cs="宋体"/>
          <w:color w:val="auto"/>
          <w:highlight w:val="none"/>
        </w:rPr>
        <w:fldChar w:fldCharType="separate"/>
      </w:r>
      <w:r>
        <w:rPr>
          <w:rFonts w:hint="eastAsia" w:hAnsi="宋体"/>
          <w:color w:val="auto"/>
          <w:szCs w:val="24"/>
          <w:highlight w:val="none"/>
        </w:rPr>
        <w:t>3.4.2 公共卫生管理服务平台</w:t>
      </w:r>
      <w:r>
        <w:rPr>
          <w:color w:val="auto"/>
          <w:highlight w:val="none"/>
        </w:rPr>
        <w:tab/>
      </w:r>
      <w:r>
        <w:rPr>
          <w:color w:val="auto"/>
          <w:highlight w:val="none"/>
        </w:rPr>
        <w:fldChar w:fldCharType="begin"/>
      </w:r>
      <w:r>
        <w:rPr>
          <w:color w:val="auto"/>
          <w:highlight w:val="none"/>
        </w:rPr>
        <w:instrText xml:space="preserve"> PAGEREF _Toc26837 \h </w:instrText>
      </w:r>
      <w:r>
        <w:rPr>
          <w:color w:val="auto"/>
          <w:highlight w:val="none"/>
        </w:rPr>
        <w:fldChar w:fldCharType="separate"/>
      </w:r>
      <w:r>
        <w:rPr>
          <w:color w:val="auto"/>
          <w:highlight w:val="none"/>
        </w:rPr>
        <w:t>361</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_Toc9201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3.4.2.1 </w:t>
      </w:r>
      <w:r>
        <w:rPr>
          <w:rFonts w:hint="eastAsia" w:ascii="宋体" w:hAnsi="宋体"/>
          <w:color w:val="auto"/>
          <w:szCs w:val="24"/>
          <w:highlight w:val="none"/>
        </w:rPr>
        <w:t>数据资源服务中心</w:t>
      </w:r>
      <w:r>
        <w:rPr>
          <w:color w:val="auto"/>
          <w:highlight w:val="none"/>
        </w:rPr>
        <w:tab/>
      </w:r>
      <w:r>
        <w:rPr>
          <w:color w:val="auto"/>
          <w:highlight w:val="none"/>
        </w:rPr>
        <w:fldChar w:fldCharType="begin"/>
      </w:r>
      <w:r>
        <w:rPr>
          <w:color w:val="auto"/>
          <w:highlight w:val="none"/>
        </w:rPr>
        <w:instrText xml:space="preserve"> PAGEREF _Toc9201 \h </w:instrText>
      </w:r>
      <w:r>
        <w:rPr>
          <w:color w:val="auto"/>
          <w:highlight w:val="none"/>
        </w:rPr>
        <w:fldChar w:fldCharType="separate"/>
      </w:r>
      <w:r>
        <w:rPr>
          <w:color w:val="auto"/>
          <w:highlight w:val="none"/>
        </w:rPr>
        <w:t>361</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_Toc11017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3.4.2.2 </w:t>
      </w:r>
      <w:r>
        <w:rPr>
          <w:rFonts w:hint="eastAsia" w:ascii="宋体" w:hAnsi="宋体"/>
          <w:color w:val="auto"/>
          <w:szCs w:val="24"/>
          <w:highlight w:val="none"/>
        </w:rPr>
        <w:t>数据采集交换服务</w:t>
      </w:r>
      <w:r>
        <w:rPr>
          <w:color w:val="auto"/>
          <w:highlight w:val="none"/>
        </w:rPr>
        <w:tab/>
      </w:r>
      <w:r>
        <w:rPr>
          <w:color w:val="auto"/>
          <w:highlight w:val="none"/>
        </w:rPr>
        <w:fldChar w:fldCharType="begin"/>
      </w:r>
      <w:r>
        <w:rPr>
          <w:color w:val="auto"/>
          <w:highlight w:val="none"/>
        </w:rPr>
        <w:instrText xml:space="preserve"> PAGEREF _Toc11017 \h </w:instrText>
      </w:r>
      <w:r>
        <w:rPr>
          <w:color w:val="auto"/>
          <w:highlight w:val="none"/>
        </w:rPr>
        <w:fldChar w:fldCharType="separate"/>
      </w:r>
      <w:r>
        <w:rPr>
          <w:color w:val="auto"/>
          <w:highlight w:val="none"/>
        </w:rPr>
        <w:t>363</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_Toc2606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3.4.2.3 </w:t>
      </w:r>
      <w:r>
        <w:rPr>
          <w:rFonts w:hint="eastAsia" w:ascii="宋体" w:hAnsi="宋体"/>
          <w:color w:val="auto"/>
          <w:szCs w:val="24"/>
          <w:highlight w:val="none"/>
        </w:rPr>
        <w:t>公共卫生基础平台</w:t>
      </w:r>
      <w:r>
        <w:rPr>
          <w:color w:val="auto"/>
          <w:highlight w:val="none"/>
        </w:rPr>
        <w:tab/>
      </w:r>
      <w:r>
        <w:rPr>
          <w:color w:val="auto"/>
          <w:highlight w:val="none"/>
        </w:rPr>
        <w:fldChar w:fldCharType="begin"/>
      </w:r>
      <w:r>
        <w:rPr>
          <w:color w:val="auto"/>
          <w:highlight w:val="none"/>
        </w:rPr>
        <w:instrText xml:space="preserve"> PAGEREF _Toc2606 \h </w:instrText>
      </w:r>
      <w:r>
        <w:rPr>
          <w:color w:val="auto"/>
          <w:highlight w:val="none"/>
        </w:rPr>
        <w:fldChar w:fldCharType="separate"/>
      </w:r>
      <w:r>
        <w:rPr>
          <w:color w:val="auto"/>
          <w:highlight w:val="none"/>
        </w:rPr>
        <w:t>368</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_Toc30311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3.4.2.4 </w:t>
      </w:r>
      <w:r>
        <w:rPr>
          <w:rFonts w:hint="eastAsia" w:ascii="宋体" w:hAnsi="宋体"/>
          <w:color w:val="auto"/>
          <w:szCs w:val="24"/>
          <w:highlight w:val="none"/>
        </w:rPr>
        <w:t>平台外部接口</w:t>
      </w:r>
      <w:r>
        <w:rPr>
          <w:color w:val="auto"/>
          <w:highlight w:val="none"/>
        </w:rPr>
        <w:tab/>
      </w:r>
      <w:r>
        <w:rPr>
          <w:color w:val="auto"/>
          <w:highlight w:val="none"/>
        </w:rPr>
        <w:fldChar w:fldCharType="begin"/>
      </w:r>
      <w:r>
        <w:rPr>
          <w:color w:val="auto"/>
          <w:highlight w:val="none"/>
        </w:rPr>
        <w:instrText xml:space="preserve"> PAGEREF _Toc30311 \h </w:instrText>
      </w:r>
      <w:r>
        <w:rPr>
          <w:color w:val="auto"/>
          <w:highlight w:val="none"/>
        </w:rPr>
        <w:fldChar w:fldCharType="separate"/>
      </w:r>
      <w:r>
        <w:rPr>
          <w:color w:val="auto"/>
          <w:highlight w:val="none"/>
        </w:rPr>
        <w:t>371</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_Toc8177 </w:instrText>
      </w:r>
      <w:r>
        <w:rPr>
          <w:rFonts w:ascii="宋体" w:hAnsi="宋体" w:cs="宋体"/>
          <w:color w:val="auto"/>
          <w:highlight w:val="none"/>
        </w:rPr>
        <w:fldChar w:fldCharType="separate"/>
      </w:r>
      <w:r>
        <w:rPr>
          <w:rFonts w:hint="eastAsia" w:ascii="宋体" w:hAnsi="宋体"/>
          <w:color w:val="auto"/>
          <w:szCs w:val="24"/>
          <w:highlight w:val="none"/>
          <w:lang w:val="en-US" w:eastAsia="zh-Hans"/>
        </w:rPr>
        <w:t xml:space="preserve">3.4.2.5 </w:t>
      </w:r>
      <w:r>
        <w:rPr>
          <w:rFonts w:hint="eastAsia" w:ascii="宋体" w:hAnsi="宋体"/>
          <w:color w:val="auto"/>
          <w:szCs w:val="24"/>
          <w:highlight w:val="none"/>
          <w:lang w:eastAsia="zh-Hans"/>
        </w:rPr>
        <w:t>消毒机器人</w:t>
      </w:r>
      <w:r>
        <w:rPr>
          <w:color w:val="auto"/>
          <w:highlight w:val="none"/>
        </w:rPr>
        <w:tab/>
      </w:r>
      <w:r>
        <w:rPr>
          <w:color w:val="auto"/>
          <w:highlight w:val="none"/>
        </w:rPr>
        <w:fldChar w:fldCharType="begin"/>
      </w:r>
      <w:r>
        <w:rPr>
          <w:color w:val="auto"/>
          <w:highlight w:val="none"/>
        </w:rPr>
        <w:instrText xml:space="preserve"> PAGEREF _Toc8177 \h </w:instrText>
      </w:r>
      <w:r>
        <w:rPr>
          <w:color w:val="auto"/>
          <w:highlight w:val="none"/>
        </w:rPr>
        <w:fldChar w:fldCharType="separate"/>
      </w:r>
      <w:r>
        <w:rPr>
          <w:color w:val="auto"/>
          <w:highlight w:val="none"/>
        </w:rPr>
        <w:t>372</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_Toc30500 </w:instrText>
      </w:r>
      <w:r>
        <w:rPr>
          <w:rFonts w:ascii="宋体" w:hAnsi="宋体" w:cs="宋体"/>
          <w:color w:val="auto"/>
          <w:highlight w:val="none"/>
        </w:rPr>
        <w:fldChar w:fldCharType="separate"/>
      </w:r>
      <w:r>
        <w:rPr>
          <w:rFonts w:hint="eastAsia" w:ascii="宋体" w:hAnsi="宋体"/>
          <w:color w:val="auto"/>
          <w:highlight w:val="none"/>
        </w:rPr>
        <w:t>3.5 区域监管平台</w:t>
      </w:r>
      <w:r>
        <w:rPr>
          <w:color w:val="auto"/>
          <w:highlight w:val="none"/>
        </w:rPr>
        <w:tab/>
      </w:r>
      <w:r>
        <w:rPr>
          <w:color w:val="auto"/>
          <w:highlight w:val="none"/>
        </w:rPr>
        <w:fldChar w:fldCharType="begin"/>
      </w:r>
      <w:r>
        <w:rPr>
          <w:color w:val="auto"/>
          <w:highlight w:val="none"/>
        </w:rPr>
        <w:instrText xml:space="preserve"> PAGEREF _Toc30500 \h </w:instrText>
      </w:r>
      <w:r>
        <w:rPr>
          <w:color w:val="auto"/>
          <w:highlight w:val="none"/>
        </w:rPr>
        <w:fldChar w:fldCharType="separate"/>
      </w:r>
      <w:r>
        <w:rPr>
          <w:color w:val="auto"/>
          <w:highlight w:val="none"/>
        </w:rPr>
        <w:t>373</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_Toc23238 </w:instrText>
      </w:r>
      <w:r>
        <w:rPr>
          <w:rFonts w:ascii="宋体" w:hAnsi="宋体" w:cs="宋体"/>
          <w:color w:val="auto"/>
          <w:highlight w:val="none"/>
        </w:rPr>
        <w:fldChar w:fldCharType="separate"/>
      </w:r>
      <w:r>
        <w:rPr>
          <w:rFonts w:hint="eastAsia" w:hAnsi="宋体"/>
          <w:color w:val="auto"/>
          <w:szCs w:val="24"/>
          <w:highlight w:val="none"/>
        </w:rPr>
        <w:t>3.5.1 区域监管数据治理平台</w:t>
      </w:r>
      <w:r>
        <w:rPr>
          <w:color w:val="auto"/>
          <w:highlight w:val="none"/>
        </w:rPr>
        <w:tab/>
      </w:r>
      <w:r>
        <w:rPr>
          <w:color w:val="auto"/>
          <w:highlight w:val="none"/>
        </w:rPr>
        <w:fldChar w:fldCharType="begin"/>
      </w:r>
      <w:r>
        <w:rPr>
          <w:color w:val="auto"/>
          <w:highlight w:val="none"/>
        </w:rPr>
        <w:instrText xml:space="preserve"> PAGEREF _Toc23238 \h </w:instrText>
      </w:r>
      <w:r>
        <w:rPr>
          <w:color w:val="auto"/>
          <w:highlight w:val="none"/>
        </w:rPr>
        <w:fldChar w:fldCharType="separate"/>
      </w:r>
      <w:r>
        <w:rPr>
          <w:color w:val="auto"/>
          <w:highlight w:val="none"/>
        </w:rPr>
        <w:t>373</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_Toc1565 </w:instrText>
      </w:r>
      <w:r>
        <w:rPr>
          <w:rFonts w:ascii="宋体" w:hAnsi="宋体" w:cs="宋体"/>
          <w:color w:val="auto"/>
          <w:highlight w:val="none"/>
        </w:rPr>
        <w:fldChar w:fldCharType="separate"/>
      </w:r>
      <w:r>
        <w:rPr>
          <w:rFonts w:hint="eastAsia" w:hAnsi="宋体"/>
          <w:color w:val="auto"/>
          <w:szCs w:val="24"/>
          <w:highlight w:val="none"/>
        </w:rPr>
        <w:t>3.5.2 三级医院区域疾病数据分析平台</w:t>
      </w:r>
      <w:r>
        <w:rPr>
          <w:color w:val="auto"/>
          <w:highlight w:val="none"/>
        </w:rPr>
        <w:tab/>
      </w:r>
      <w:r>
        <w:rPr>
          <w:color w:val="auto"/>
          <w:highlight w:val="none"/>
        </w:rPr>
        <w:fldChar w:fldCharType="begin"/>
      </w:r>
      <w:r>
        <w:rPr>
          <w:color w:val="auto"/>
          <w:highlight w:val="none"/>
        </w:rPr>
        <w:instrText xml:space="preserve"> PAGEREF _Toc1565 \h </w:instrText>
      </w:r>
      <w:r>
        <w:rPr>
          <w:color w:val="auto"/>
          <w:highlight w:val="none"/>
        </w:rPr>
        <w:fldChar w:fldCharType="separate"/>
      </w:r>
      <w:r>
        <w:rPr>
          <w:color w:val="auto"/>
          <w:highlight w:val="none"/>
        </w:rPr>
        <w:t>374</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_Toc2962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3.5.2.1 </w:t>
      </w:r>
      <w:r>
        <w:rPr>
          <w:rFonts w:hint="eastAsia" w:ascii="宋体" w:hAnsi="宋体"/>
          <w:color w:val="auto"/>
          <w:szCs w:val="24"/>
          <w:highlight w:val="none"/>
        </w:rPr>
        <w:t>三级医院区域疾病数据汇聚中心</w:t>
      </w:r>
      <w:r>
        <w:rPr>
          <w:color w:val="auto"/>
          <w:highlight w:val="none"/>
        </w:rPr>
        <w:tab/>
      </w:r>
      <w:r>
        <w:rPr>
          <w:color w:val="auto"/>
          <w:highlight w:val="none"/>
        </w:rPr>
        <w:fldChar w:fldCharType="begin"/>
      </w:r>
      <w:r>
        <w:rPr>
          <w:color w:val="auto"/>
          <w:highlight w:val="none"/>
        </w:rPr>
        <w:instrText xml:space="preserve"> PAGEREF _Toc2962 \h </w:instrText>
      </w:r>
      <w:r>
        <w:rPr>
          <w:color w:val="auto"/>
          <w:highlight w:val="none"/>
        </w:rPr>
        <w:fldChar w:fldCharType="separate"/>
      </w:r>
      <w:r>
        <w:rPr>
          <w:color w:val="auto"/>
          <w:highlight w:val="none"/>
        </w:rPr>
        <w:t>374</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_Toc1591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3.5.2.2 </w:t>
      </w:r>
      <w:r>
        <w:rPr>
          <w:rFonts w:hint="eastAsia" w:ascii="宋体" w:hAnsi="宋体"/>
          <w:color w:val="auto"/>
          <w:szCs w:val="24"/>
          <w:highlight w:val="none"/>
        </w:rPr>
        <w:t>三级医院区域专病数据质控中心</w:t>
      </w:r>
      <w:r>
        <w:rPr>
          <w:color w:val="auto"/>
          <w:highlight w:val="none"/>
        </w:rPr>
        <w:tab/>
      </w:r>
      <w:r>
        <w:rPr>
          <w:color w:val="auto"/>
          <w:highlight w:val="none"/>
        </w:rPr>
        <w:fldChar w:fldCharType="begin"/>
      </w:r>
      <w:r>
        <w:rPr>
          <w:color w:val="auto"/>
          <w:highlight w:val="none"/>
        </w:rPr>
        <w:instrText xml:space="preserve"> PAGEREF _Toc1591 \h </w:instrText>
      </w:r>
      <w:r>
        <w:rPr>
          <w:color w:val="auto"/>
          <w:highlight w:val="none"/>
        </w:rPr>
        <w:fldChar w:fldCharType="separate"/>
      </w:r>
      <w:r>
        <w:rPr>
          <w:color w:val="auto"/>
          <w:highlight w:val="none"/>
        </w:rPr>
        <w:t>376</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_Toc20718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3.5.2.3 </w:t>
      </w:r>
      <w:r>
        <w:rPr>
          <w:rFonts w:hint="eastAsia" w:ascii="宋体" w:hAnsi="宋体"/>
          <w:color w:val="auto"/>
          <w:szCs w:val="24"/>
          <w:highlight w:val="none"/>
        </w:rPr>
        <w:t>三级医院区域疾病数据管控中心</w:t>
      </w:r>
      <w:r>
        <w:rPr>
          <w:color w:val="auto"/>
          <w:highlight w:val="none"/>
        </w:rPr>
        <w:tab/>
      </w:r>
      <w:r>
        <w:rPr>
          <w:color w:val="auto"/>
          <w:highlight w:val="none"/>
        </w:rPr>
        <w:fldChar w:fldCharType="begin"/>
      </w:r>
      <w:r>
        <w:rPr>
          <w:color w:val="auto"/>
          <w:highlight w:val="none"/>
        </w:rPr>
        <w:instrText xml:space="preserve"> PAGEREF _Toc20718 \h </w:instrText>
      </w:r>
      <w:r>
        <w:rPr>
          <w:color w:val="auto"/>
          <w:highlight w:val="none"/>
        </w:rPr>
        <w:fldChar w:fldCharType="separate"/>
      </w:r>
      <w:r>
        <w:rPr>
          <w:color w:val="auto"/>
          <w:highlight w:val="none"/>
        </w:rPr>
        <w:t>377</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_Toc28101 </w:instrText>
      </w:r>
      <w:r>
        <w:rPr>
          <w:rFonts w:ascii="宋体" w:hAnsi="宋体" w:cs="宋体"/>
          <w:color w:val="auto"/>
          <w:highlight w:val="none"/>
        </w:rPr>
        <w:fldChar w:fldCharType="separate"/>
      </w:r>
      <w:r>
        <w:rPr>
          <w:rFonts w:hint="eastAsia" w:hAnsi="宋体"/>
          <w:color w:val="auto"/>
          <w:szCs w:val="24"/>
          <w:highlight w:val="none"/>
        </w:rPr>
        <w:t>3.5.3 二级医院区域疾病数据分析平台</w:t>
      </w:r>
      <w:r>
        <w:rPr>
          <w:color w:val="auto"/>
          <w:highlight w:val="none"/>
        </w:rPr>
        <w:tab/>
      </w:r>
      <w:r>
        <w:rPr>
          <w:color w:val="auto"/>
          <w:highlight w:val="none"/>
        </w:rPr>
        <w:fldChar w:fldCharType="begin"/>
      </w:r>
      <w:r>
        <w:rPr>
          <w:color w:val="auto"/>
          <w:highlight w:val="none"/>
        </w:rPr>
        <w:instrText xml:space="preserve"> PAGEREF _Toc28101 \h </w:instrText>
      </w:r>
      <w:r>
        <w:rPr>
          <w:color w:val="auto"/>
          <w:highlight w:val="none"/>
        </w:rPr>
        <w:fldChar w:fldCharType="separate"/>
      </w:r>
      <w:r>
        <w:rPr>
          <w:color w:val="auto"/>
          <w:highlight w:val="none"/>
        </w:rPr>
        <w:t>378</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_Toc22906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3.5.3.1 </w:t>
      </w:r>
      <w:r>
        <w:rPr>
          <w:rFonts w:hint="eastAsia" w:ascii="宋体" w:hAnsi="宋体"/>
          <w:color w:val="auto"/>
          <w:szCs w:val="24"/>
          <w:highlight w:val="none"/>
        </w:rPr>
        <w:t>三级医院区域医疗质量数据质控中心</w:t>
      </w:r>
      <w:r>
        <w:rPr>
          <w:color w:val="auto"/>
          <w:highlight w:val="none"/>
        </w:rPr>
        <w:tab/>
      </w:r>
      <w:r>
        <w:rPr>
          <w:color w:val="auto"/>
          <w:highlight w:val="none"/>
        </w:rPr>
        <w:fldChar w:fldCharType="begin"/>
      </w:r>
      <w:r>
        <w:rPr>
          <w:color w:val="auto"/>
          <w:highlight w:val="none"/>
        </w:rPr>
        <w:instrText xml:space="preserve"> PAGEREF _Toc22906 \h </w:instrText>
      </w:r>
      <w:r>
        <w:rPr>
          <w:color w:val="auto"/>
          <w:highlight w:val="none"/>
        </w:rPr>
        <w:fldChar w:fldCharType="separate"/>
      </w:r>
      <w:r>
        <w:rPr>
          <w:color w:val="auto"/>
          <w:highlight w:val="none"/>
        </w:rPr>
        <w:t>378</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_Toc25629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3.5.3.2 </w:t>
      </w:r>
      <w:r>
        <w:rPr>
          <w:rFonts w:hint="eastAsia" w:hAnsi="宋体"/>
          <w:color w:val="auto"/>
          <w:szCs w:val="24"/>
          <w:highlight w:val="none"/>
        </w:rPr>
        <w:t>二</w:t>
      </w:r>
      <w:r>
        <w:rPr>
          <w:rFonts w:hint="eastAsia" w:ascii="宋体" w:hAnsi="宋体"/>
          <w:color w:val="auto"/>
          <w:szCs w:val="24"/>
          <w:highlight w:val="none"/>
        </w:rPr>
        <w:t>级医院区域疾病数据汇聚中心</w:t>
      </w:r>
      <w:r>
        <w:rPr>
          <w:color w:val="auto"/>
          <w:highlight w:val="none"/>
        </w:rPr>
        <w:tab/>
      </w:r>
      <w:r>
        <w:rPr>
          <w:color w:val="auto"/>
          <w:highlight w:val="none"/>
        </w:rPr>
        <w:fldChar w:fldCharType="begin"/>
      </w:r>
      <w:r>
        <w:rPr>
          <w:color w:val="auto"/>
          <w:highlight w:val="none"/>
        </w:rPr>
        <w:instrText xml:space="preserve"> PAGEREF _Toc25629 \h </w:instrText>
      </w:r>
      <w:r>
        <w:rPr>
          <w:color w:val="auto"/>
          <w:highlight w:val="none"/>
        </w:rPr>
        <w:fldChar w:fldCharType="separate"/>
      </w:r>
      <w:r>
        <w:rPr>
          <w:color w:val="auto"/>
          <w:highlight w:val="none"/>
        </w:rPr>
        <w:t>379</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_Toc23970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3.5.3.3 </w:t>
      </w:r>
      <w:r>
        <w:rPr>
          <w:rFonts w:hint="eastAsia" w:hAnsi="宋体"/>
          <w:color w:val="auto"/>
          <w:szCs w:val="24"/>
          <w:highlight w:val="none"/>
        </w:rPr>
        <w:t>二</w:t>
      </w:r>
      <w:r>
        <w:rPr>
          <w:rFonts w:hint="eastAsia" w:ascii="宋体" w:hAnsi="宋体"/>
          <w:color w:val="auto"/>
          <w:szCs w:val="24"/>
          <w:highlight w:val="none"/>
        </w:rPr>
        <w:t>级医院区域专病数据质控中心</w:t>
      </w:r>
      <w:r>
        <w:rPr>
          <w:color w:val="auto"/>
          <w:highlight w:val="none"/>
        </w:rPr>
        <w:tab/>
      </w:r>
      <w:r>
        <w:rPr>
          <w:color w:val="auto"/>
          <w:highlight w:val="none"/>
        </w:rPr>
        <w:fldChar w:fldCharType="begin"/>
      </w:r>
      <w:r>
        <w:rPr>
          <w:color w:val="auto"/>
          <w:highlight w:val="none"/>
        </w:rPr>
        <w:instrText xml:space="preserve"> PAGEREF _Toc23970 \h </w:instrText>
      </w:r>
      <w:r>
        <w:rPr>
          <w:color w:val="auto"/>
          <w:highlight w:val="none"/>
        </w:rPr>
        <w:fldChar w:fldCharType="separate"/>
      </w:r>
      <w:r>
        <w:rPr>
          <w:color w:val="auto"/>
          <w:highlight w:val="none"/>
        </w:rPr>
        <w:t>380</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_Toc23738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3.5.3.4 </w:t>
      </w:r>
      <w:r>
        <w:rPr>
          <w:rFonts w:hint="eastAsia" w:hAnsi="宋体"/>
          <w:color w:val="auto"/>
          <w:szCs w:val="24"/>
          <w:highlight w:val="none"/>
        </w:rPr>
        <w:t>二</w:t>
      </w:r>
      <w:r>
        <w:rPr>
          <w:rFonts w:hint="eastAsia" w:ascii="宋体" w:hAnsi="宋体"/>
          <w:color w:val="auto"/>
          <w:szCs w:val="24"/>
          <w:highlight w:val="none"/>
        </w:rPr>
        <w:t>级医院区域疾病数据管控中心</w:t>
      </w:r>
      <w:r>
        <w:rPr>
          <w:color w:val="auto"/>
          <w:highlight w:val="none"/>
        </w:rPr>
        <w:tab/>
      </w:r>
      <w:r>
        <w:rPr>
          <w:color w:val="auto"/>
          <w:highlight w:val="none"/>
        </w:rPr>
        <w:fldChar w:fldCharType="begin"/>
      </w:r>
      <w:r>
        <w:rPr>
          <w:color w:val="auto"/>
          <w:highlight w:val="none"/>
        </w:rPr>
        <w:instrText xml:space="preserve"> PAGEREF _Toc23738 \h </w:instrText>
      </w:r>
      <w:r>
        <w:rPr>
          <w:color w:val="auto"/>
          <w:highlight w:val="none"/>
        </w:rPr>
        <w:fldChar w:fldCharType="separate"/>
      </w:r>
      <w:r>
        <w:rPr>
          <w:color w:val="auto"/>
          <w:highlight w:val="none"/>
        </w:rPr>
        <w:t>381</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_Toc13480 </w:instrText>
      </w:r>
      <w:r>
        <w:rPr>
          <w:rFonts w:ascii="宋体" w:hAnsi="宋体" w:cs="宋体"/>
          <w:color w:val="auto"/>
          <w:highlight w:val="none"/>
        </w:rPr>
        <w:fldChar w:fldCharType="separate"/>
      </w:r>
      <w:r>
        <w:rPr>
          <w:rFonts w:hint="eastAsia" w:hAnsi="宋体"/>
          <w:color w:val="auto"/>
          <w:szCs w:val="24"/>
          <w:highlight w:val="none"/>
        </w:rPr>
        <w:t>3.5.4 三级医院区域医疗质量数据监管平台</w:t>
      </w:r>
      <w:r>
        <w:rPr>
          <w:color w:val="auto"/>
          <w:highlight w:val="none"/>
        </w:rPr>
        <w:tab/>
      </w:r>
      <w:r>
        <w:rPr>
          <w:color w:val="auto"/>
          <w:highlight w:val="none"/>
        </w:rPr>
        <w:fldChar w:fldCharType="begin"/>
      </w:r>
      <w:r>
        <w:rPr>
          <w:color w:val="auto"/>
          <w:highlight w:val="none"/>
        </w:rPr>
        <w:instrText xml:space="preserve"> PAGEREF _Toc13480 \h </w:instrText>
      </w:r>
      <w:r>
        <w:rPr>
          <w:color w:val="auto"/>
          <w:highlight w:val="none"/>
        </w:rPr>
        <w:fldChar w:fldCharType="separate"/>
      </w:r>
      <w:r>
        <w:rPr>
          <w:color w:val="auto"/>
          <w:highlight w:val="none"/>
        </w:rPr>
        <w:t>382</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_Toc9384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3.5.4.1 </w:t>
      </w:r>
      <w:r>
        <w:rPr>
          <w:rFonts w:hint="eastAsia" w:ascii="宋体" w:hAnsi="宋体"/>
          <w:color w:val="auto"/>
          <w:szCs w:val="24"/>
          <w:highlight w:val="none"/>
        </w:rPr>
        <w:t>三级医院区域医疗质量数据汇聚中心</w:t>
      </w:r>
      <w:r>
        <w:rPr>
          <w:color w:val="auto"/>
          <w:highlight w:val="none"/>
        </w:rPr>
        <w:tab/>
      </w:r>
      <w:r>
        <w:rPr>
          <w:color w:val="auto"/>
          <w:highlight w:val="none"/>
        </w:rPr>
        <w:fldChar w:fldCharType="begin"/>
      </w:r>
      <w:r>
        <w:rPr>
          <w:color w:val="auto"/>
          <w:highlight w:val="none"/>
        </w:rPr>
        <w:instrText xml:space="preserve"> PAGEREF _Toc9384 \h </w:instrText>
      </w:r>
      <w:r>
        <w:rPr>
          <w:color w:val="auto"/>
          <w:highlight w:val="none"/>
        </w:rPr>
        <w:fldChar w:fldCharType="separate"/>
      </w:r>
      <w:r>
        <w:rPr>
          <w:color w:val="auto"/>
          <w:highlight w:val="none"/>
        </w:rPr>
        <w:t>382</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_Toc18168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3.5.4.2 </w:t>
      </w:r>
      <w:r>
        <w:rPr>
          <w:rFonts w:hint="eastAsia" w:ascii="宋体" w:hAnsi="宋体"/>
          <w:color w:val="auto"/>
          <w:szCs w:val="24"/>
          <w:highlight w:val="none"/>
        </w:rPr>
        <w:t>三级医院区域医疗机构运营管控中心</w:t>
      </w:r>
      <w:r>
        <w:rPr>
          <w:color w:val="auto"/>
          <w:highlight w:val="none"/>
        </w:rPr>
        <w:tab/>
      </w:r>
      <w:r>
        <w:rPr>
          <w:color w:val="auto"/>
          <w:highlight w:val="none"/>
        </w:rPr>
        <w:fldChar w:fldCharType="begin"/>
      </w:r>
      <w:r>
        <w:rPr>
          <w:color w:val="auto"/>
          <w:highlight w:val="none"/>
        </w:rPr>
        <w:instrText xml:space="preserve"> PAGEREF _Toc18168 \h </w:instrText>
      </w:r>
      <w:r>
        <w:rPr>
          <w:color w:val="auto"/>
          <w:highlight w:val="none"/>
        </w:rPr>
        <w:fldChar w:fldCharType="separate"/>
      </w:r>
      <w:r>
        <w:rPr>
          <w:color w:val="auto"/>
          <w:highlight w:val="none"/>
        </w:rPr>
        <w:t>384</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_Toc15368 </w:instrText>
      </w:r>
      <w:r>
        <w:rPr>
          <w:rFonts w:ascii="宋体" w:hAnsi="宋体" w:cs="宋体"/>
          <w:color w:val="auto"/>
          <w:highlight w:val="none"/>
        </w:rPr>
        <w:fldChar w:fldCharType="separate"/>
      </w:r>
      <w:r>
        <w:rPr>
          <w:rFonts w:hint="eastAsia" w:hAnsi="宋体"/>
          <w:color w:val="auto"/>
          <w:szCs w:val="24"/>
          <w:highlight w:val="none"/>
        </w:rPr>
        <w:t>3.5.5 二级医院区域医疗质量数据监管平台</w:t>
      </w:r>
      <w:r>
        <w:rPr>
          <w:color w:val="auto"/>
          <w:highlight w:val="none"/>
        </w:rPr>
        <w:tab/>
      </w:r>
      <w:r>
        <w:rPr>
          <w:color w:val="auto"/>
          <w:highlight w:val="none"/>
        </w:rPr>
        <w:fldChar w:fldCharType="begin"/>
      </w:r>
      <w:r>
        <w:rPr>
          <w:color w:val="auto"/>
          <w:highlight w:val="none"/>
        </w:rPr>
        <w:instrText xml:space="preserve"> PAGEREF _Toc15368 \h </w:instrText>
      </w:r>
      <w:r>
        <w:rPr>
          <w:color w:val="auto"/>
          <w:highlight w:val="none"/>
        </w:rPr>
        <w:fldChar w:fldCharType="separate"/>
      </w:r>
      <w:r>
        <w:rPr>
          <w:color w:val="auto"/>
          <w:highlight w:val="none"/>
        </w:rPr>
        <w:t>385</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_Toc28680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3.5.5.1 </w:t>
      </w:r>
      <w:r>
        <w:rPr>
          <w:rFonts w:hint="eastAsia" w:hAnsi="宋体"/>
          <w:color w:val="auto"/>
          <w:szCs w:val="24"/>
          <w:highlight w:val="none"/>
        </w:rPr>
        <w:t>二</w:t>
      </w:r>
      <w:r>
        <w:rPr>
          <w:rFonts w:hint="eastAsia" w:ascii="宋体" w:hAnsi="宋体"/>
          <w:color w:val="auto"/>
          <w:szCs w:val="24"/>
          <w:highlight w:val="none"/>
        </w:rPr>
        <w:t>级医院区域医疗质量数据汇聚中心</w:t>
      </w:r>
      <w:r>
        <w:rPr>
          <w:color w:val="auto"/>
          <w:highlight w:val="none"/>
        </w:rPr>
        <w:tab/>
      </w:r>
      <w:r>
        <w:rPr>
          <w:color w:val="auto"/>
          <w:highlight w:val="none"/>
        </w:rPr>
        <w:fldChar w:fldCharType="begin"/>
      </w:r>
      <w:r>
        <w:rPr>
          <w:color w:val="auto"/>
          <w:highlight w:val="none"/>
        </w:rPr>
        <w:instrText xml:space="preserve"> PAGEREF _Toc28680 \h </w:instrText>
      </w:r>
      <w:r>
        <w:rPr>
          <w:color w:val="auto"/>
          <w:highlight w:val="none"/>
        </w:rPr>
        <w:fldChar w:fldCharType="separate"/>
      </w:r>
      <w:r>
        <w:rPr>
          <w:color w:val="auto"/>
          <w:highlight w:val="none"/>
        </w:rPr>
        <w:t>385</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_Toc25833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3.5.5.2 </w:t>
      </w:r>
      <w:r>
        <w:rPr>
          <w:rFonts w:hint="eastAsia" w:hAnsi="宋体"/>
          <w:color w:val="auto"/>
          <w:szCs w:val="24"/>
          <w:highlight w:val="none"/>
        </w:rPr>
        <w:t>二</w:t>
      </w:r>
      <w:r>
        <w:rPr>
          <w:rFonts w:hint="eastAsia" w:ascii="宋体" w:hAnsi="宋体"/>
          <w:color w:val="auto"/>
          <w:szCs w:val="24"/>
          <w:highlight w:val="none"/>
        </w:rPr>
        <w:t>级医院区域医疗质量数据质控中心</w:t>
      </w:r>
      <w:r>
        <w:rPr>
          <w:color w:val="auto"/>
          <w:highlight w:val="none"/>
        </w:rPr>
        <w:tab/>
      </w:r>
      <w:r>
        <w:rPr>
          <w:color w:val="auto"/>
          <w:highlight w:val="none"/>
        </w:rPr>
        <w:fldChar w:fldCharType="begin"/>
      </w:r>
      <w:r>
        <w:rPr>
          <w:color w:val="auto"/>
          <w:highlight w:val="none"/>
        </w:rPr>
        <w:instrText xml:space="preserve"> PAGEREF _Toc25833 \h </w:instrText>
      </w:r>
      <w:r>
        <w:rPr>
          <w:color w:val="auto"/>
          <w:highlight w:val="none"/>
        </w:rPr>
        <w:fldChar w:fldCharType="separate"/>
      </w:r>
      <w:r>
        <w:rPr>
          <w:color w:val="auto"/>
          <w:highlight w:val="none"/>
        </w:rPr>
        <w:t>387</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_Toc13398 </w:instrText>
      </w:r>
      <w:r>
        <w:rPr>
          <w:rFonts w:ascii="宋体" w:hAnsi="宋体" w:cs="宋体"/>
          <w:color w:val="auto"/>
          <w:highlight w:val="none"/>
        </w:rPr>
        <w:fldChar w:fldCharType="separate"/>
      </w:r>
      <w:r>
        <w:rPr>
          <w:rFonts w:hint="eastAsia" w:ascii="宋体" w:hAnsi="宋体"/>
          <w:color w:val="auto"/>
          <w:szCs w:val="24"/>
          <w:highlight w:val="none"/>
          <w:lang w:val="en-US"/>
        </w:rPr>
        <w:t xml:space="preserve">3.5.5.3 </w:t>
      </w:r>
      <w:r>
        <w:rPr>
          <w:rFonts w:hint="eastAsia" w:hAnsi="宋体"/>
          <w:color w:val="auto"/>
          <w:szCs w:val="24"/>
          <w:highlight w:val="none"/>
        </w:rPr>
        <w:t>二</w:t>
      </w:r>
      <w:r>
        <w:rPr>
          <w:rFonts w:hint="eastAsia" w:ascii="宋体" w:hAnsi="宋体"/>
          <w:color w:val="auto"/>
          <w:szCs w:val="24"/>
          <w:highlight w:val="none"/>
        </w:rPr>
        <w:t>级医院区域医疗机构运营管控中心</w:t>
      </w:r>
      <w:r>
        <w:rPr>
          <w:color w:val="auto"/>
          <w:highlight w:val="none"/>
        </w:rPr>
        <w:tab/>
      </w:r>
      <w:r>
        <w:rPr>
          <w:color w:val="auto"/>
          <w:highlight w:val="none"/>
        </w:rPr>
        <w:fldChar w:fldCharType="begin"/>
      </w:r>
      <w:r>
        <w:rPr>
          <w:color w:val="auto"/>
          <w:highlight w:val="none"/>
        </w:rPr>
        <w:instrText xml:space="preserve"> PAGEREF _Toc13398 \h </w:instrText>
      </w:r>
      <w:r>
        <w:rPr>
          <w:color w:val="auto"/>
          <w:highlight w:val="none"/>
        </w:rPr>
        <w:fldChar w:fldCharType="separate"/>
      </w:r>
      <w:r>
        <w:rPr>
          <w:color w:val="auto"/>
          <w:highlight w:val="none"/>
        </w:rPr>
        <w:t>388</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_Toc22993 </w:instrText>
      </w:r>
      <w:r>
        <w:rPr>
          <w:rFonts w:ascii="宋体" w:hAnsi="宋体" w:cs="宋体"/>
          <w:color w:val="auto"/>
          <w:highlight w:val="none"/>
        </w:rPr>
        <w:fldChar w:fldCharType="separate"/>
      </w:r>
      <w:r>
        <w:rPr>
          <w:rFonts w:hint="eastAsia" w:hAnsi="宋体"/>
          <w:color w:val="auto"/>
          <w:szCs w:val="24"/>
          <w:highlight w:val="none"/>
        </w:rPr>
        <w:t>3.5.6 区域决策支持系统</w:t>
      </w:r>
      <w:r>
        <w:rPr>
          <w:color w:val="auto"/>
          <w:highlight w:val="none"/>
        </w:rPr>
        <w:tab/>
      </w:r>
      <w:r>
        <w:rPr>
          <w:color w:val="auto"/>
          <w:highlight w:val="none"/>
        </w:rPr>
        <w:fldChar w:fldCharType="begin"/>
      </w:r>
      <w:r>
        <w:rPr>
          <w:color w:val="auto"/>
          <w:highlight w:val="none"/>
        </w:rPr>
        <w:instrText xml:space="preserve"> PAGEREF _Toc22993 \h </w:instrText>
      </w:r>
      <w:r>
        <w:rPr>
          <w:color w:val="auto"/>
          <w:highlight w:val="none"/>
        </w:rPr>
        <w:fldChar w:fldCharType="separate"/>
      </w:r>
      <w:r>
        <w:rPr>
          <w:color w:val="auto"/>
          <w:highlight w:val="none"/>
        </w:rPr>
        <w:t>389</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_Toc5189 </w:instrText>
      </w:r>
      <w:r>
        <w:rPr>
          <w:rFonts w:ascii="宋体" w:hAnsi="宋体" w:cs="宋体"/>
          <w:color w:val="auto"/>
          <w:highlight w:val="none"/>
        </w:rPr>
        <w:fldChar w:fldCharType="separate"/>
      </w:r>
      <w:r>
        <w:rPr>
          <w:rFonts w:hint="eastAsia" w:hAnsi="宋体"/>
          <w:color w:val="auto"/>
          <w:szCs w:val="24"/>
          <w:highlight w:val="none"/>
          <w:lang w:val="en-US"/>
        </w:rPr>
        <w:t xml:space="preserve">3.5.6.1 </w:t>
      </w:r>
      <w:r>
        <w:rPr>
          <w:rFonts w:hint="eastAsia" w:hAnsi="宋体"/>
          <w:color w:val="auto"/>
          <w:szCs w:val="24"/>
          <w:highlight w:val="none"/>
        </w:rPr>
        <w:t>区域综合运营决策</w:t>
      </w:r>
      <w:r>
        <w:rPr>
          <w:color w:val="auto"/>
          <w:highlight w:val="none"/>
        </w:rPr>
        <w:tab/>
      </w:r>
      <w:r>
        <w:rPr>
          <w:color w:val="auto"/>
          <w:highlight w:val="none"/>
        </w:rPr>
        <w:fldChar w:fldCharType="begin"/>
      </w:r>
      <w:r>
        <w:rPr>
          <w:color w:val="auto"/>
          <w:highlight w:val="none"/>
        </w:rPr>
        <w:instrText xml:space="preserve"> PAGEREF _Toc5189 \h </w:instrText>
      </w:r>
      <w:r>
        <w:rPr>
          <w:color w:val="auto"/>
          <w:highlight w:val="none"/>
        </w:rPr>
        <w:fldChar w:fldCharType="separate"/>
      </w:r>
      <w:r>
        <w:rPr>
          <w:color w:val="auto"/>
          <w:highlight w:val="none"/>
        </w:rPr>
        <w:t>390</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_Toc29099 </w:instrText>
      </w:r>
      <w:r>
        <w:rPr>
          <w:rFonts w:ascii="宋体" w:hAnsi="宋体" w:cs="宋体"/>
          <w:color w:val="auto"/>
          <w:highlight w:val="none"/>
        </w:rPr>
        <w:fldChar w:fldCharType="separate"/>
      </w:r>
      <w:r>
        <w:rPr>
          <w:rFonts w:hint="eastAsia" w:hAnsi="宋体"/>
          <w:color w:val="auto"/>
          <w:szCs w:val="24"/>
          <w:highlight w:val="none"/>
          <w:lang w:val="en-US"/>
        </w:rPr>
        <w:t xml:space="preserve">3.5.6.2 </w:t>
      </w:r>
      <w:r>
        <w:rPr>
          <w:rFonts w:hint="eastAsia" w:hAnsi="宋体"/>
          <w:color w:val="auto"/>
          <w:szCs w:val="24"/>
          <w:highlight w:val="none"/>
        </w:rPr>
        <w:t>区域专题运营分析</w:t>
      </w:r>
      <w:r>
        <w:rPr>
          <w:color w:val="auto"/>
          <w:highlight w:val="none"/>
        </w:rPr>
        <w:tab/>
      </w:r>
      <w:r>
        <w:rPr>
          <w:color w:val="auto"/>
          <w:highlight w:val="none"/>
        </w:rPr>
        <w:fldChar w:fldCharType="begin"/>
      </w:r>
      <w:r>
        <w:rPr>
          <w:color w:val="auto"/>
          <w:highlight w:val="none"/>
        </w:rPr>
        <w:instrText xml:space="preserve"> PAGEREF _Toc29099 \h </w:instrText>
      </w:r>
      <w:r>
        <w:rPr>
          <w:color w:val="auto"/>
          <w:highlight w:val="none"/>
        </w:rPr>
        <w:fldChar w:fldCharType="separate"/>
      </w:r>
      <w:r>
        <w:rPr>
          <w:color w:val="auto"/>
          <w:highlight w:val="none"/>
        </w:rPr>
        <w:t>390</w:t>
      </w:r>
      <w:r>
        <w:rPr>
          <w:color w:val="auto"/>
          <w:highlight w:val="none"/>
        </w:rPr>
        <w:fldChar w:fldCharType="end"/>
      </w:r>
      <w:r>
        <w:rPr>
          <w:rFonts w:ascii="宋体" w:hAnsi="宋体" w:cs="宋体"/>
          <w:color w:val="auto"/>
          <w:highlight w:val="none"/>
        </w:rPr>
        <w:fldChar w:fldCharType="end"/>
      </w:r>
    </w:p>
    <w:p>
      <w:pPr>
        <w:pStyle w:val="34"/>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_Toc19171 </w:instrText>
      </w:r>
      <w:r>
        <w:rPr>
          <w:rFonts w:ascii="宋体" w:hAnsi="宋体" w:cs="宋体"/>
          <w:color w:val="auto"/>
          <w:highlight w:val="none"/>
        </w:rPr>
        <w:fldChar w:fldCharType="separate"/>
      </w:r>
      <w:r>
        <w:rPr>
          <w:rFonts w:hint="eastAsia" w:hAnsi="宋体"/>
          <w:color w:val="auto"/>
          <w:szCs w:val="24"/>
          <w:highlight w:val="none"/>
          <w:lang w:val="en-US"/>
        </w:rPr>
        <w:t xml:space="preserve">3.5.6.3 </w:t>
      </w:r>
      <w:r>
        <w:rPr>
          <w:rFonts w:hint="eastAsia" w:hAnsi="宋体"/>
          <w:color w:val="auto"/>
          <w:szCs w:val="24"/>
          <w:highlight w:val="none"/>
        </w:rPr>
        <w:t>区域资源监控分析</w:t>
      </w:r>
      <w:r>
        <w:rPr>
          <w:color w:val="auto"/>
          <w:highlight w:val="none"/>
        </w:rPr>
        <w:tab/>
      </w:r>
      <w:r>
        <w:rPr>
          <w:color w:val="auto"/>
          <w:highlight w:val="none"/>
        </w:rPr>
        <w:fldChar w:fldCharType="begin"/>
      </w:r>
      <w:r>
        <w:rPr>
          <w:color w:val="auto"/>
          <w:highlight w:val="none"/>
        </w:rPr>
        <w:instrText xml:space="preserve"> PAGEREF _Toc19171 \h </w:instrText>
      </w:r>
      <w:r>
        <w:rPr>
          <w:color w:val="auto"/>
          <w:highlight w:val="none"/>
        </w:rPr>
        <w:fldChar w:fldCharType="separate"/>
      </w:r>
      <w:r>
        <w:rPr>
          <w:color w:val="auto"/>
          <w:highlight w:val="none"/>
        </w:rPr>
        <w:t>391</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_Toc25584 </w:instrText>
      </w:r>
      <w:r>
        <w:rPr>
          <w:rFonts w:ascii="宋体" w:hAnsi="宋体" w:cs="宋体"/>
          <w:color w:val="auto"/>
          <w:highlight w:val="none"/>
        </w:rPr>
        <w:fldChar w:fldCharType="separate"/>
      </w:r>
      <w:r>
        <w:rPr>
          <w:rFonts w:hint="eastAsia" w:ascii="宋体" w:hAnsi="宋体"/>
          <w:color w:val="auto"/>
          <w:highlight w:val="none"/>
        </w:rPr>
        <w:t>3.6 接口服务</w:t>
      </w:r>
      <w:r>
        <w:rPr>
          <w:color w:val="auto"/>
          <w:highlight w:val="none"/>
        </w:rPr>
        <w:tab/>
      </w:r>
      <w:r>
        <w:rPr>
          <w:color w:val="auto"/>
          <w:highlight w:val="none"/>
        </w:rPr>
        <w:fldChar w:fldCharType="begin"/>
      </w:r>
      <w:r>
        <w:rPr>
          <w:color w:val="auto"/>
          <w:highlight w:val="none"/>
        </w:rPr>
        <w:instrText xml:space="preserve"> PAGEREF _Toc25584 \h </w:instrText>
      </w:r>
      <w:r>
        <w:rPr>
          <w:color w:val="auto"/>
          <w:highlight w:val="none"/>
        </w:rPr>
        <w:fldChar w:fldCharType="separate"/>
      </w:r>
      <w:r>
        <w:rPr>
          <w:color w:val="auto"/>
          <w:highlight w:val="none"/>
        </w:rPr>
        <w:t>391</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_Toc32735 </w:instrText>
      </w:r>
      <w:r>
        <w:rPr>
          <w:rFonts w:ascii="宋体" w:hAnsi="宋体" w:cs="宋体"/>
          <w:color w:val="auto"/>
          <w:highlight w:val="none"/>
        </w:rPr>
        <w:fldChar w:fldCharType="separate"/>
      </w:r>
      <w:r>
        <w:rPr>
          <w:rFonts w:hint="eastAsia" w:hAnsi="宋体"/>
          <w:color w:val="auto"/>
          <w:szCs w:val="24"/>
          <w:highlight w:val="none"/>
        </w:rPr>
        <w:t>3.6.1 与院内原有系统对接</w:t>
      </w:r>
      <w:r>
        <w:rPr>
          <w:color w:val="auto"/>
          <w:highlight w:val="none"/>
        </w:rPr>
        <w:tab/>
      </w:r>
      <w:r>
        <w:rPr>
          <w:color w:val="auto"/>
          <w:highlight w:val="none"/>
        </w:rPr>
        <w:fldChar w:fldCharType="begin"/>
      </w:r>
      <w:r>
        <w:rPr>
          <w:color w:val="auto"/>
          <w:highlight w:val="none"/>
        </w:rPr>
        <w:instrText xml:space="preserve"> PAGEREF _Toc32735 \h </w:instrText>
      </w:r>
      <w:r>
        <w:rPr>
          <w:color w:val="auto"/>
          <w:highlight w:val="none"/>
        </w:rPr>
        <w:fldChar w:fldCharType="separate"/>
      </w:r>
      <w:r>
        <w:rPr>
          <w:color w:val="auto"/>
          <w:highlight w:val="none"/>
        </w:rPr>
        <w:t>392</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_Toc14145 </w:instrText>
      </w:r>
      <w:r>
        <w:rPr>
          <w:rFonts w:ascii="宋体" w:hAnsi="宋体" w:cs="宋体"/>
          <w:color w:val="auto"/>
          <w:highlight w:val="none"/>
        </w:rPr>
        <w:fldChar w:fldCharType="separate"/>
      </w:r>
      <w:r>
        <w:rPr>
          <w:rFonts w:hint="eastAsia" w:hAnsi="宋体"/>
          <w:color w:val="auto"/>
          <w:szCs w:val="24"/>
          <w:highlight w:val="none"/>
        </w:rPr>
        <w:t>3.6.2 其他接口对接</w:t>
      </w:r>
      <w:r>
        <w:rPr>
          <w:color w:val="auto"/>
          <w:highlight w:val="none"/>
        </w:rPr>
        <w:tab/>
      </w:r>
      <w:r>
        <w:rPr>
          <w:color w:val="auto"/>
          <w:highlight w:val="none"/>
        </w:rPr>
        <w:fldChar w:fldCharType="begin"/>
      </w:r>
      <w:r>
        <w:rPr>
          <w:color w:val="auto"/>
          <w:highlight w:val="none"/>
        </w:rPr>
        <w:instrText xml:space="preserve"> PAGEREF _Toc14145 \h </w:instrText>
      </w:r>
      <w:r>
        <w:rPr>
          <w:color w:val="auto"/>
          <w:highlight w:val="none"/>
        </w:rPr>
        <w:fldChar w:fldCharType="separate"/>
      </w:r>
      <w:r>
        <w:rPr>
          <w:color w:val="auto"/>
          <w:highlight w:val="none"/>
        </w:rPr>
        <w:t>393</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_Toc28219 </w:instrText>
      </w:r>
      <w:r>
        <w:rPr>
          <w:rFonts w:ascii="宋体" w:hAnsi="宋体" w:cs="宋体"/>
          <w:color w:val="auto"/>
          <w:highlight w:val="none"/>
        </w:rPr>
        <w:fldChar w:fldCharType="separate"/>
      </w:r>
      <w:r>
        <w:rPr>
          <w:rFonts w:hint="eastAsia" w:ascii="宋体" w:hAnsi="宋体"/>
          <w:color w:val="auto"/>
          <w:highlight w:val="none"/>
        </w:rPr>
        <w:t>3.7 基础系统软件</w:t>
      </w:r>
      <w:r>
        <w:rPr>
          <w:color w:val="auto"/>
          <w:highlight w:val="none"/>
        </w:rPr>
        <w:tab/>
      </w:r>
      <w:r>
        <w:rPr>
          <w:color w:val="auto"/>
          <w:highlight w:val="none"/>
        </w:rPr>
        <w:fldChar w:fldCharType="begin"/>
      </w:r>
      <w:r>
        <w:rPr>
          <w:color w:val="auto"/>
          <w:highlight w:val="none"/>
        </w:rPr>
        <w:instrText xml:space="preserve"> PAGEREF _Toc28219 \h </w:instrText>
      </w:r>
      <w:r>
        <w:rPr>
          <w:color w:val="auto"/>
          <w:highlight w:val="none"/>
        </w:rPr>
        <w:fldChar w:fldCharType="separate"/>
      </w:r>
      <w:r>
        <w:rPr>
          <w:color w:val="auto"/>
          <w:highlight w:val="none"/>
        </w:rPr>
        <w:t>394</w:t>
      </w:r>
      <w:r>
        <w:rPr>
          <w:color w:val="auto"/>
          <w:highlight w:val="none"/>
        </w:rPr>
        <w:fldChar w:fldCharType="end"/>
      </w:r>
      <w:r>
        <w:rPr>
          <w:rFonts w:ascii="宋体" w:hAnsi="宋体" w:cs="宋体"/>
          <w:color w:val="auto"/>
          <w:highlight w:val="none"/>
        </w:rPr>
        <w:fldChar w:fldCharType="end"/>
      </w:r>
    </w:p>
    <w:p>
      <w:pPr>
        <w:pStyle w:val="33"/>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_Toc30171 </w:instrText>
      </w:r>
      <w:r>
        <w:rPr>
          <w:rFonts w:ascii="宋体" w:hAnsi="宋体" w:cs="宋体"/>
          <w:color w:val="auto"/>
          <w:highlight w:val="none"/>
        </w:rPr>
        <w:fldChar w:fldCharType="separate"/>
      </w:r>
      <w:r>
        <w:rPr>
          <w:rFonts w:hint="eastAsia" w:hAnsi="宋体"/>
          <w:color w:val="auto"/>
          <w:szCs w:val="24"/>
          <w:highlight w:val="none"/>
        </w:rPr>
        <w:t>4. 等保和密评服务</w:t>
      </w:r>
      <w:r>
        <w:rPr>
          <w:color w:val="auto"/>
          <w:highlight w:val="none"/>
        </w:rPr>
        <w:tab/>
      </w:r>
      <w:r>
        <w:rPr>
          <w:color w:val="auto"/>
          <w:highlight w:val="none"/>
        </w:rPr>
        <w:fldChar w:fldCharType="begin"/>
      </w:r>
      <w:r>
        <w:rPr>
          <w:color w:val="auto"/>
          <w:highlight w:val="none"/>
        </w:rPr>
        <w:instrText xml:space="preserve"> PAGEREF _Toc30171 \h </w:instrText>
      </w:r>
      <w:r>
        <w:rPr>
          <w:color w:val="auto"/>
          <w:highlight w:val="none"/>
        </w:rPr>
        <w:fldChar w:fldCharType="separate"/>
      </w:r>
      <w:r>
        <w:rPr>
          <w:color w:val="auto"/>
          <w:highlight w:val="none"/>
        </w:rPr>
        <w:t>395</w:t>
      </w:r>
      <w:r>
        <w:rPr>
          <w:color w:val="auto"/>
          <w:highlight w:val="none"/>
        </w:rPr>
        <w:fldChar w:fldCharType="end"/>
      </w:r>
      <w:r>
        <w:rPr>
          <w:rFonts w:ascii="宋体" w:hAnsi="宋体" w:cs="宋体"/>
          <w:color w:val="auto"/>
          <w:highlight w:val="none"/>
        </w:rPr>
        <w:fldChar w:fldCharType="end"/>
      </w:r>
    </w:p>
    <w:p>
      <w:pPr>
        <w:pStyle w:val="33"/>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_Toc19837 </w:instrText>
      </w:r>
      <w:r>
        <w:rPr>
          <w:rFonts w:ascii="宋体" w:hAnsi="宋体" w:cs="宋体"/>
          <w:color w:val="auto"/>
          <w:highlight w:val="none"/>
        </w:rPr>
        <w:fldChar w:fldCharType="separate"/>
      </w:r>
      <w:r>
        <w:rPr>
          <w:rFonts w:hint="eastAsia" w:hAnsi="宋体"/>
          <w:color w:val="auto"/>
          <w:szCs w:val="24"/>
          <w:highlight w:val="none"/>
        </w:rPr>
        <w:t>5. 硬件产品功能要求</w:t>
      </w:r>
      <w:r>
        <w:rPr>
          <w:color w:val="auto"/>
          <w:highlight w:val="none"/>
        </w:rPr>
        <w:tab/>
      </w:r>
      <w:r>
        <w:rPr>
          <w:color w:val="auto"/>
          <w:highlight w:val="none"/>
        </w:rPr>
        <w:fldChar w:fldCharType="begin"/>
      </w:r>
      <w:r>
        <w:rPr>
          <w:color w:val="auto"/>
          <w:highlight w:val="none"/>
        </w:rPr>
        <w:instrText xml:space="preserve"> PAGEREF _Toc19837 \h </w:instrText>
      </w:r>
      <w:r>
        <w:rPr>
          <w:color w:val="auto"/>
          <w:highlight w:val="none"/>
        </w:rPr>
        <w:fldChar w:fldCharType="separate"/>
      </w:r>
      <w:r>
        <w:rPr>
          <w:color w:val="auto"/>
          <w:highlight w:val="none"/>
        </w:rPr>
        <w:t>396</w:t>
      </w:r>
      <w:r>
        <w:rPr>
          <w:color w:val="auto"/>
          <w:highlight w:val="none"/>
        </w:rPr>
        <w:fldChar w:fldCharType="end"/>
      </w:r>
      <w:r>
        <w:rPr>
          <w:rFonts w:ascii="宋体" w:hAnsi="宋体" w:cs="宋体"/>
          <w:color w:val="auto"/>
          <w:highlight w:val="none"/>
        </w:rPr>
        <w:fldChar w:fldCharType="end"/>
      </w:r>
    </w:p>
    <w:p>
      <w:pPr>
        <w:pStyle w:val="33"/>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_Toc24194 </w:instrText>
      </w:r>
      <w:r>
        <w:rPr>
          <w:rFonts w:ascii="宋体" w:hAnsi="宋体" w:cs="宋体"/>
          <w:color w:val="auto"/>
          <w:highlight w:val="none"/>
        </w:rPr>
        <w:fldChar w:fldCharType="separate"/>
      </w:r>
      <w:r>
        <w:rPr>
          <w:rFonts w:hint="eastAsia" w:hAnsi="宋体"/>
          <w:color w:val="auto"/>
          <w:szCs w:val="24"/>
          <w:highlight w:val="none"/>
        </w:rPr>
        <w:t xml:space="preserve">6. </w:t>
      </w:r>
      <w:r>
        <w:rPr>
          <w:rFonts w:hAnsi="宋体"/>
          <w:color w:val="auto"/>
          <w:szCs w:val="24"/>
          <w:highlight w:val="none"/>
        </w:rPr>
        <w:t>系统集成</w:t>
      </w:r>
      <w:r>
        <w:rPr>
          <w:rFonts w:hint="eastAsia" w:hAnsi="宋体"/>
          <w:color w:val="auto"/>
          <w:szCs w:val="24"/>
          <w:highlight w:val="none"/>
        </w:rPr>
        <w:t>服务</w:t>
      </w:r>
      <w:r>
        <w:rPr>
          <w:color w:val="auto"/>
          <w:highlight w:val="none"/>
        </w:rPr>
        <w:tab/>
      </w:r>
      <w:r>
        <w:rPr>
          <w:color w:val="auto"/>
          <w:highlight w:val="none"/>
        </w:rPr>
        <w:fldChar w:fldCharType="begin"/>
      </w:r>
      <w:r>
        <w:rPr>
          <w:color w:val="auto"/>
          <w:highlight w:val="none"/>
        </w:rPr>
        <w:instrText xml:space="preserve"> PAGEREF _Toc24194 \h </w:instrText>
      </w:r>
      <w:r>
        <w:rPr>
          <w:color w:val="auto"/>
          <w:highlight w:val="none"/>
        </w:rPr>
        <w:fldChar w:fldCharType="separate"/>
      </w:r>
      <w:r>
        <w:rPr>
          <w:color w:val="auto"/>
          <w:highlight w:val="none"/>
        </w:rPr>
        <w:t>429</w:t>
      </w:r>
      <w:r>
        <w:rPr>
          <w:color w:val="auto"/>
          <w:highlight w:val="none"/>
        </w:rPr>
        <w:fldChar w:fldCharType="end"/>
      </w:r>
      <w:r>
        <w:rPr>
          <w:rFonts w:ascii="宋体" w:hAnsi="宋体" w:cs="宋体"/>
          <w:color w:val="auto"/>
          <w:highlight w:val="none"/>
        </w:rPr>
        <w:fldChar w:fldCharType="end"/>
      </w:r>
    </w:p>
    <w:p>
      <w:pPr>
        <w:pStyle w:val="33"/>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_Toc31079 </w:instrText>
      </w:r>
      <w:r>
        <w:rPr>
          <w:rFonts w:ascii="宋体" w:hAnsi="宋体" w:cs="宋体"/>
          <w:color w:val="auto"/>
          <w:highlight w:val="none"/>
        </w:rPr>
        <w:fldChar w:fldCharType="separate"/>
      </w:r>
      <w:r>
        <w:rPr>
          <w:rFonts w:hint="eastAsia" w:hAnsi="宋体"/>
          <w:color w:val="auto"/>
          <w:szCs w:val="24"/>
          <w:highlight w:val="none"/>
        </w:rPr>
        <w:t>7. 系统技术及规范要求</w:t>
      </w:r>
      <w:r>
        <w:rPr>
          <w:color w:val="auto"/>
          <w:highlight w:val="none"/>
        </w:rPr>
        <w:tab/>
      </w:r>
      <w:r>
        <w:rPr>
          <w:color w:val="auto"/>
          <w:highlight w:val="none"/>
        </w:rPr>
        <w:fldChar w:fldCharType="begin"/>
      </w:r>
      <w:r>
        <w:rPr>
          <w:color w:val="auto"/>
          <w:highlight w:val="none"/>
        </w:rPr>
        <w:instrText xml:space="preserve"> PAGEREF _Toc31079 \h </w:instrText>
      </w:r>
      <w:r>
        <w:rPr>
          <w:color w:val="auto"/>
          <w:highlight w:val="none"/>
        </w:rPr>
        <w:fldChar w:fldCharType="separate"/>
      </w:r>
      <w:r>
        <w:rPr>
          <w:color w:val="auto"/>
          <w:highlight w:val="none"/>
        </w:rPr>
        <w:t>429</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_Toc15822 </w:instrText>
      </w:r>
      <w:r>
        <w:rPr>
          <w:rFonts w:ascii="宋体" w:hAnsi="宋体" w:cs="宋体"/>
          <w:color w:val="auto"/>
          <w:highlight w:val="none"/>
        </w:rPr>
        <w:fldChar w:fldCharType="separate"/>
      </w:r>
      <w:r>
        <w:rPr>
          <w:rFonts w:hint="eastAsia" w:ascii="宋体" w:hAnsi="宋体"/>
          <w:color w:val="auto"/>
          <w:highlight w:val="none"/>
        </w:rPr>
        <w:t>7.1 HIS架构与技术要求</w:t>
      </w:r>
      <w:r>
        <w:rPr>
          <w:color w:val="auto"/>
          <w:highlight w:val="none"/>
        </w:rPr>
        <w:tab/>
      </w:r>
      <w:r>
        <w:rPr>
          <w:color w:val="auto"/>
          <w:highlight w:val="none"/>
        </w:rPr>
        <w:fldChar w:fldCharType="begin"/>
      </w:r>
      <w:r>
        <w:rPr>
          <w:color w:val="auto"/>
          <w:highlight w:val="none"/>
        </w:rPr>
        <w:instrText xml:space="preserve"> PAGEREF _Toc15822 \h </w:instrText>
      </w:r>
      <w:r>
        <w:rPr>
          <w:color w:val="auto"/>
          <w:highlight w:val="none"/>
        </w:rPr>
        <w:fldChar w:fldCharType="separate"/>
      </w:r>
      <w:r>
        <w:rPr>
          <w:color w:val="auto"/>
          <w:highlight w:val="none"/>
        </w:rPr>
        <w:t>429</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_Toc29828 </w:instrText>
      </w:r>
      <w:r>
        <w:rPr>
          <w:rFonts w:ascii="宋体" w:hAnsi="宋体" w:cs="宋体"/>
          <w:color w:val="auto"/>
          <w:highlight w:val="none"/>
        </w:rPr>
        <w:fldChar w:fldCharType="separate"/>
      </w:r>
      <w:r>
        <w:rPr>
          <w:rFonts w:hint="eastAsia" w:hAnsi="宋体"/>
          <w:color w:val="auto"/>
          <w:szCs w:val="24"/>
          <w:highlight w:val="none"/>
        </w:rPr>
        <w:t>7.1.1 技术要求</w:t>
      </w:r>
      <w:r>
        <w:rPr>
          <w:color w:val="auto"/>
          <w:highlight w:val="none"/>
        </w:rPr>
        <w:tab/>
      </w:r>
      <w:r>
        <w:rPr>
          <w:color w:val="auto"/>
          <w:highlight w:val="none"/>
        </w:rPr>
        <w:fldChar w:fldCharType="begin"/>
      </w:r>
      <w:r>
        <w:rPr>
          <w:color w:val="auto"/>
          <w:highlight w:val="none"/>
        </w:rPr>
        <w:instrText xml:space="preserve"> PAGEREF _Toc29828 \h </w:instrText>
      </w:r>
      <w:r>
        <w:rPr>
          <w:color w:val="auto"/>
          <w:highlight w:val="none"/>
        </w:rPr>
        <w:fldChar w:fldCharType="separate"/>
      </w:r>
      <w:r>
        <w:rPr>
          <w:color w:val="auto"/>
          <w:highlight w:val="none"/>
        </w:rPr>
        <w:t>429</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_Toc15121 </w:instrText>
      </w:r>
      <w:r>
        <w:rPr>
          <w:rFonts w:ascii="宋体" w:hAnsi="宋体" w:cs="宋体"/>
          <w:color w:val="auto"/>
          <w:highlight w:val="none"/>
        </w:rPr>
        <w:fldChar w:fldCharType="separate"/>
      </w:r>
      <w:r>
        <w:rPr>
          <w:rFonts w:hint="eastAsia" w:hAnsi="宋体"/>
          <w:color w:val="auto"/>
          <w:szCs w:val="24"/>
          <w:highlight w:val="none"/>
        </w:rPr>
        <w:t>7.1.2 一体化要求</w:t>
      </w:r>
      <w:r>
        <w:rPr>
          <w:color w:val="auto"/>
          <w:highlight w:val="none"/>
        </w:rPr>
        <w:tab/>
      </w:r>
      <w:r>
        <w:rPr>
          <w:color w:val="auto"/>
          <w:highlight w:val="none"/>
        </w:rPr>
        <w:fldChar w:fldCharType="begin"/>
      </w:r>
      <w:r>
        <w:rPr>
          <w:color w:val="auto"/>
          <w:highlight w:val="none"/>
        </w:rPr>
        <w:instrText xml:space="preserve"> PAGEREF _Toc15121 \h </w:instrText>
      </w:r>
      <w:r>
        <w:rPr>
          <w:color w:val="auto"/>
          <w:highlight w:val="none"/>
        </w:rPr>
        <w:fldChar w:fldCharType="separate"/>
      </w:r>
      <w:r>
        <w:rPr>
          <w:color w:val="auto"/>
          <w:highlight w:val="none"/>
        </w:rPr>
        <w:t>429</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_Toc1036 </w:instrText>
      </w:r>
      <w:r>
        <w:rPr>
          <w:rFonts w:ascii="宋体" w:hAnsi="宋体" w:cs="宋体"/>
          <w:color w:val="auto"/>
          <w:highlight w:val="none"/>
        </w:rPr>
        <w:fldChar w:fldCharType="separate"/>
      </w:r>
      <w:r>
        <w:rPr>
          <w:rFonts w:hint="eastAsia" w:ascii="宋体" w:hAnsi="宋体"/>
          <w:color w:val="auto"/>
          <w:highlight w:val="none"/>
        </w:rPr>
        <w:t>7.2 集成平台架构及技术要求</w:t>
      </w:r>
      <w:r>
        <w:rPr>
          <w:color w:val="auto"/>
          <w:highlight w:val="none"/>
        </w:rPr>
        <w:tab/>
      </w:r>
      <w:r>
        <w:rPr>
          <w:color w:val="auto"/>
          <w:highlight w:val="none"/>
        </w:rPr>
        <w:fldChar w:fldCharType="begin"/>
      </w:r>
      <w:r>
        <w:rPr>
          <w:color w:val="auto"/>
          <w:highlight w:val="none"/>
        </w:rPr>
        <w:instrText xml:space="preserve"> PAGEREF _Toc1036 \h </w:instrText>
      </w:r>
      <w:r>
        <w:rPr>
          <w:color w:val="auto"/>
          <w:highlight w:val="none"/>
        </w:rPr>
        <w:fldChar w:fldCharType="separate"/>
      </w:r>
      <w:r>
        <w:rPr>
          <w:color w:val="auto"/>
          <w:highlight w:val="none"/>
        </w:rPr>
        <w:t>430</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_Toc32038 </w:instrText>
      </w:r>
      <w:r>
        <w:rPr>
          <w:rFonts w:ascii="宋体" w:hAnsi="宋体" w:cs="宋体"/>
          <w:color w:val="auto"/>
          <w:highlight w:val="none"/>
        </w:rPr>
        <w:fldChar w:fldCharType="separate"/>
      </w:r>
      <w:r>
        <w:rPr>
          <w:rFonts w:hint="eastAsia" w:hAnsi="宋体"/>
          <w:color w:val="auto"/>
          <w:szCs w:val="24"/>
          <w:highlight w:val="none"/>
        </w:rPr>
        <w:t>7.2.1 数据交换服务总线要求</w:t>
      </w:r>
      <w:r>
        <w:rPr>
          <w:color w:val="auto"/>
          <w:highlight w:val="none"/>
        </w:rPr>
        <w:tab/>
      </w:r>
      <w:r>
        <w:rPr>
          <w:color w:val="auto"/>
          <w:highlight w:val="none"/>
        </w:rPr>
        <w:fldChar w:fldCharType="begin"/>
      </w:r>
      <w:r>
        <w:rPr>
          <w:color w:val="auto"/>
          <w:highlight w:val="none"/>
        </w:rPr>
        <w:instrText xml:space="preserve"> PAGEREF _Toc32038 \h </w:instrText>
      </w:r>
      <w:r>
        <w:rPr>
          <w:color w:val="auto"/>
          <w:highlight w:val="none"/>
        </w:rPr>
        <w:fldChar w:fldCharType="separate"/>
      </w:r>
      <w:r>
        <w:rPr>
          <w:color w:val="auto"/>
          <w:highlight w:val="none"/>
        </w:rPr>
        <w:t>430</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_Toc22504 </w:instrText>
      </w:r>
      <w:r>
        <w:rPr>
          <w:rFonts w:ascii="宋体" w:hAnsi="宋体" w:cs="宋体"/>
          <w:color w:val="auto"/>
          <w:highlight w:val="none"/>
        </w:rPr>
        <w:fldChar w:fldCharType="separate"/>
      </w:r>
      <w:r>
        <w:rPr>
          <w:rFonts w:hint="eastAsia" w:hAnsi="宋体"/>
          <w:color w:val="auto"/>
          <w:szCs w:val="24"/>
          <w:highlight w:val="none"/>
        </w:rPr>
        <w:t>7.2.2 集成平台应用集成开发技术要求</w:t>
      </w:r>
      <w:r>
        <w:rPr>
          <w:color w:val="auto"/>
          <w:highlight w:val="none"/>
        </w:rPr>
        <w:tab/>
      </w:r>
      <w:r>
        <w:rPr>
          <w:color w:val="auto"/>
          <w:highlight w:val="none"/>
        </w:rPr>
        <w:fldChar w:fldCharType="begin"/>
      </w:r>
      <w:r>
        <w:rPr>
          <w:color w:val="auto"/>
          <w:highlight w:val="none"/>
        </w:rPr>
        <w:instrText xml:space="preserve"> PAGEREF _Toc22504 \h </w:instrText>
      </w:r>
      <w:r>
        <w:rPr>
          <w:color w:val="auto"/>
          <w:highlight w:val="none"/>
        </w:rPr>
        <w:fldChar w:fldCharType="separate"/>
      </w:r>
      <w:r>
        <w:rPr>
          <w:color w:val="auto"/>
          <w:highlight w:val="none"/>
        </w:rPr>
        <w:t>431</w:t>
      </w:r>
      <w:r>
        <w:rPr>
          <w:color w:val="auto"/>
          <w:highlight w:val="none"/>
        </w:rPr>
        <w:fldChar w:fldCharType="end"/>
      </w:r>
      <w:r>
        <w:rPr>
          <w:rFonts w:ascii="宋体" w:hAnsi="宋体" w:cs="宋体"/>
          <w:color w:val="auto"/>
          <w:highlight w:val="none"/>
        </w:rPr>
        <w:fldChar w:fldCharType="end"/>
      </w:r>
    </w:p>
    <w:p>
      <w:pPr>
        <w:pStyle w:val="33"/>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_Toc28386 </w:instrText>
      </w:r>
      <w:r>
        <w:rPr>
          <w:rFonts w:ascii="宋体" w:hAnsi="宋体" w:cs="宋体"/>
          <w:color w:val="auto"/>
          <w:highlight w:val="none"/>
        </w:rPr>
        <w:fldChar w:fldCharType="separate"/>
      </w:r>
      <w:r>
        <w:rPr>
          <w:rFonts w:hint="eastAsia" w:ascii="宋体" w:hAnsi="宋体"/>
          <w:color w:val="auto"/>
          <w:highlight w:val="none"/>
        </w:rPr>
        <w:t>8. 标准依据</w:t>
      </w:r>
      <w:r>
        <w:rPr>
          <w:color w:val="auto"/>
          <w:highlight w:val="none"/>
        </w:rPr>
        <w:tab/>
      </w:r>
      <w:r>
        <w:rPr>
          <w:color w:val="auto"/>
          <w:highlight w:val="none"/>
        </w:rPr>
        <w:fldChar w:fldCharType="begin"/>
      </w:r>
      <w:r>
        <w:rPr>
          <w:color w:val="auto"/>
          <w:highlight w:val="none"/>
        </w:rPr>
        <w:instrText xml:space="preserve"> PAGEREF _Toc28386 \h </w:instrText>
      </w:r>
      <w:r>
        <w:rPr>
          <w:color w:val="auto"/>
          <w:highlight w:val="none"/>
        </w:rPr>
        <w:fldChar w:fldCharType="separate"/>
      </w:r>
      <w:r>
        <w:rPr>
          <w:color w:val="auto"/>
          <w:highlight w:val="none"/>
        </w:rPr>
        <w:t>432</w:t>
      </w:r>
      <w:r>
        <w:rPr>
          <w:color w:val="auto"/>
          <w:highlight w:val="none"/>
        </w:rPr>
        <w:fldChar w:fldCharType="end"/>
      </w:r>
      <w:r>
        <w:rPr>
          <w:rFonts w:ascii="宋体" w:hAnsi="宋体" w:cs="宋体"/>
          <w:color w:val="auto"/>
          <w:highlight w:val="none"/>
        </w:rPr>
        <w:fldChar w:fldCharType="end"/>
      </w:r>
    </w:p>
    <w:p>
      <w:pPr>
        <w:pStyle w:val="33"/>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_Toc2018 </w:instrText>
      </w:r>
      <w:r>
        <w:rPr>
          <w:rFonts w:ascii="宋体" w:hAnsi="宋体" w:cs="宋体"/>
          <w:color w:val="auto"/>
          <w:highlight w:val="none"/>
        </w:rPr>
        <w:fldChar w:fldCharType="separate"/>
      </w:r>
      <w:r>
        <w:rPr>
          <w:rFonts w:hint="eastAsia" w:hAnsi="宋体"/>
          <w:color w:val="auto"/>
          <w:szCs w:val="24"/>
          <w:highlight w:val="none"/>
        </w:rPr>
        <w:t xml:space="preserve">9. </w:t>
      </w:r>
      <w:r>
        <w:rPr>
          <w:rFonts w:hAnsi="宋体"/>
          <w:color w:val="auto"/>
          <w:szCs w:val="24"/>
          <w:highlight w:val="none"/>
        </w:rPr>
        <w:t>项目实施及售后服务要求</w:t>
      </w:r>
      <w:r>
        <w:rPr>
          <w:color w:val="auto"/>
          <w:highlight w:val="none"/>
        </w:rPr>
        <w:tab/>
      </w:r>
      <w:r>
        <w:rPr>
          <w:color w:val="auto"/>
          <w:highlight w:val="none"/>
        </w:rPr>
        <w:fldChar w:fldCharType="begin"/>
      </w:r>
      <w:r>
        <w:rPr>
          <w:color w:val="auto"/>
          <w:highlight w:val="none"/>
        </w:rPr>
        <w:instrText xml:space="preserve"> PAGEREF _Toc2018 \h </w:instrText>
      </w:r>
      <w:r>
        <w:rPr>
          <w:color w:val="auto"/>
          <w:highlight w:val="none"/>
        </w:rPr>
        <w:fldChar w:fldCharType="separate"/>
      </w:r>
      <w:r>
        <w:rPr>
          <w:color w:val="auto"/>
          <w:highlight w:val="none"/>
        </w:rPr>
        <w:t>436</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_Toc26635 </w:instrText>
      </w:r>
      <w:r>
        <w:rPr>
          <w:rFonts w:ascii="宋体" w:hAnsi="宋体" w:cs="宋体"/>
          <w:color w:val="auto"/>
          <w:highlight w:val="none"/>
        </w:rPr>
        <w:fldChar w:fldCharType="separate"/>
      </w:r>
      <w:r>
        <w:rPr>
          <w:rFonts w:hint="eastAsia" w:ascii="宋体" w:hAnsi="宋体"/>
          <w:color w:val="auto"/>
          <w:highlight w:val="none"/>
        </w:rPr>
        <w:t>9.1 项目进度要求</w:t>
      </w:r>
      <w:r>
        <w:rPr>
          <w:color w:val="auto"/>
          <w:highlight w:val="none"/>
        </w:rPr>
        <w:tab/>
      </w:r>
      <w:r>
        <w:rPr>
          <w:color w:val="auto"/>
          <w:highlight w:val="none"/>
        </w:rPr>
        <w:fldChar w:fldCharType="begin"/>
      </w:r>
      <w:r>
        <w:rPr>
          <w:color w:val="auto"/>
          <w:highlight w:val="none"/>
        </w:rPr>
        <w:instrText xml:space="preserve"> PAGEREF _Toc26635 \h </w:instrText>
      </w:r>
      <w:r>
        <w:rPr>
          <w:color w:val="auto"/>
          <w:highlight w:val="none"/>
        </w:rPr>
        <w:fldChar w:fldCharType="separate"/>
      </w:r>
      <w:r>
        <w:rPr>
          <w:color w:val="auto"/>
          <w:highlight w:val="none"/>
        </w:rPr>
        <w:t>436</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_Toc14147 </w:instrText>
      </w:r>
      <w:r>
        <w:rPr>
          <w:rFonts w:ascii="宋体" w:hAnsi="宋体" w:cs="宋体"/>
          <w:color w:val="auto"/>
          <w:highlight w:val="none"/>
        </w:rPr>
        <w:fldChar w:fldCharType="separate"/>
      </w:r>
      <w:r>
        <w:rPr>
          <w:rFonts w:hint="eastAsia" w:ascii="宋体" w:hAnsi="宋体"/>
          <w:color w:val="auto"/>
          <w:highlight w:val="none"/>
        </w:rPr>
        <w:t>9.2 系统集成实施要求</w:t>
      </w:r>
      <w:r>
        <w:rPr>
          <w:color w:val="auto"/>
          <w:highlight w:val="none"/>
        </w:rPr>
        <w:tab/>
      </w:r>
      <w:r>
        <w:rPr>
          <w:color w:val="auto"/>
          <w:highlight w:val="none"/>
        </w:rPr>
        <w:fldChar w:fldCharType="begin"/>
      </w:r>
      <w:r>
        <w:rPr>
          <w:color w:val="auto"/>
          <w:highlight w:val="none"/>
        </w:rPr>
        <w:instrText xml:space="preserve"> PAGEREF _Toc14147 \h </w:instrText>
      </w:r>
      <w:r>
        <w:rPr>
          <w:color w:val="auto"/>
          <w:highlight w:val="none"/>
        </w:rPr>
        <w:fldChar w:fldCharType="separate"/>
      </w:r>
      <w:r>
        <w:rPr>
          <w:color w:val="auto"/>
          <w:highlight w:val="none"/>
        </w:rPr>
        <w:t>436</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_Toc26361 </w:instrText>
      </w:r>
      <w:r>
        <w:rPr>
          <w:rFonts w:ascii="宋体" w:hAnsi="宋体" w:cs="宋体"/>
          <w:color w:val="auto"/>
          <w:highlight w:val="none"/>
        </w:rPr>
        <w:fldChar w:fldCharType="separate"/>
      </w:r>
      <w:r>
        <w:rPr>
          <w:rFonts w:hint="eastAsia" w:ascii="宋体" w:hAnsi="宋体"/>
          <w:color w:val="auto"/>
          <w:highlight w:val="none"/>
        </w:rPr>
        <w:t>9.3 项目验收要求</w:t>
      </w:r>
      <w:r>
        <w:rPr>
          <w:color w:val="auto"/>
          <w:highlight w:val="none"/>
        </w:rPr>
        <w:tab/>
      </w:r>
      <w:r>
        <w:rPr>
          <w:color w:val="auto"/>
          <w:highlight w:val="none"/>
        </w:rPr>
        <w:fldChar w:fldCharType="begin"/>
      </w:r>
      <w:r>
        <w:rPr>
          <w:color w:val="auto"/>
          <w:highlight w:val="none"/>
        </w:rPr>
        <w:instrText xml:space="preserve"> PAGEREF _Toc26361 \h </w:instrText>
      </w:r>
      <w:r>
        <w:rPr>
          <w:color w:val="auto"/>
          <w:highlight w:val="none"/>
        </w:rPr>
        <w:fldChar w:fldCharType="separate"/>
      </w:r>
      <w:r>
        <w:rPr>
          <w:color w:val="auto"/>
          <w:highlight w:val="none"/>
        </w:rPr>
        <w:t>436</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_Toc31336 </w:instrText>
      </w:r>
      <w:r>
        <w:rPr>
          <w:rFonts w:ascii="宋体" w:hAnsi="宋体" w:cs="宋体"/>
          <w:color w:val="auto"/>
          <w:highlight w:val="none"/>
        </w:rPr>
        <w:fldChar w:fldCharType="separate"/>
      </w:r>
      <w:r>
        <w:rPr>
          <w:rFonts w:hint="eastAsia" w:ascii="宋体" w:hAnsi="宋体"/>
          <w:color w:val="auto"/>
          <w:highlight w:val="none"/>
        </w:rPr>
        <w:t>9.4 项目培训要求</w:t>
      </w:r>
      <w:r>
        <w:rPr>
          <w:color w:val="auto"/>
          <w:highlight w:val="none"/>
        </w:rPr>
        <w:tab/>
      </w:r>
      <w:r>
        <w:rPr>
          <w:color w:val="auto"/>
          <w:highlight w:val="none"/>
        </w:rPr>
        <w:fldChar w:fldCharType="begin"/>
      </w:r>
      <w:r>
        <w:rPr>
          <w:color w:val="auto"/>
          <w:highlight w:val="none"/>
        </w:rPr>
        <w:instrText xml:space="preserve"> PAGEREF _Toc31336 \h </w:instrText>
      </w:r>
      <w:r>
        <w:rPr>
          <w:color w:val="auto"/>
          <w:highlight w:val="none"/>
        </w:rPr>
        <w:fldChar w:fldCharType="separate"/>
      </w:r>
      <w:r>
        <w:rPr>
          <w:color w:val="auto"/>
          <w:highlight w:val="none"/>
        </w:rPr>
        <w:t>437</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_Toc10321 </w:instrText>
      </w:r>
      <w:r>
        <w:rPr>
          <w:rFonts w:ascii="宋体" w:hAnsi="宋体" w:cs="宋体"/>
          <w:color w:val="auto"/>
          <w:highlight w:val="none"/>
        </w:rPr>
        <w:fldChar w:fldCharType="separate"/>
      </w:r>
      <w:r>
        <w:rPr>
          <w:rFonts w:hint="eastAsia" w:ascii="宋体" w:hAnsi="宋体"/>
          <w:color w:val="auto"/>
          <w:highlight w:val="none"/>
        </w:rPr>
        <w:t>9.5 项目售后服务要求</w:t>
      </w:r>
      <w:r>
        <w:rPr>
          <w:color w:val="auto"/>
          <w:highlight w:val="none"/>
        </w:rPr>
        <w:tab/>
      </w:r>
      <w:r>
        <w:rPr>
          <w:color w:val="auto"/>
          <w:highlight w:val="none"/>
        </w:rPr>
        <w:fldChar w:fldCharType="begin"/>
      </w:r>
      <w:r>
        <w:rPr>
          <w:color w:val="auto"/>
          <w:highlight w:val="none"/>
        </w:rPr>
        <w:instrText xml:space="preserve"> PAGEREF _Toc10321 \h </w:instrText>
      </w:r>
      <w:r>
        <w:rPr>
          <w:color w:val="auto"/>
          <w:highlight w:val="none"/>
        </w:rPr>
        <w:fldChar w:fldCharType="separate"/>
      </w:r>
      <w:r>
        <w:rPr>
          <w:color w:val="auto"/>
          <w:highlight w:val="none"/>
        </w:rPr>
        <w:t>437</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_Toc13860 </w:instrText>
      </w:r>
      <w:r>
        <w:rPr>
          <w:rFonts w:ascii="宋体" w:hAnsi="宋体" w:cs="宋体"/>
          <w:color w:val="auto"/>
          <w:highlight w:val="none"/>
        </w:rPr>
        <w:fldChar w:fldCharType="separate"/>
      </w:r>
      <w:r>
        <w:rPr>
          <w:rFonts w:hint="eastAsia" w:hAnsi="宋体"/>
          <w:color w:val="auto"/>
          <w:szCs w:val="24"/>
          <w:highlight w:val="none"/>
        </w:rPr>
        <w:t>9.5.1 售后服务要求</w:t>
      </w:r>
      <w:r>
        <w:rPr>
          <w:color w:val="auto"/>
          <w:highlight w:val="none"/>
        </w:rPr>
        <w:tab/>
      </w:r>
      <w:r>
        <w:rPr>
          <w:color w:val="auto"/>
          <w:highlight w:val="none"/>
        </w:rPr>
        <w:fldChar w:fldCharType="begin"/>
      </w:r>
      <w:r>
        <w:rPr>
          <w:color w:val="auto"/>
          <w:highlight w:val="none"/>
        </w:rPr>
        <w:instrText xml:space="preserve"> PAGEREF _Toc13860 \h </w:instrText>
      </w:r>
      <w:r>
        <w:rPr>
          <w:color w:val="auto"/>
          <w:highlight w:val="none"/>
        </w:rPr>
        <w:fldChar w:fldCharType="separate"/>
      </w:r>
      <w:r>
        <w:rPr>
          <w:color w:val="auto"/>
          <w:highlight w:val="none"/>
        </w:rPr>
        <w:t>437</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_Toc5493 </w:instrText>
      </w:r>
      <w:r>
        <w:rPr>
          <w:rFonts w:ascii="宋体" w:hAnsi="宋体" w:cs="宋体"/>
          <w:color w:val="auto"/>
          <w:highlight w:val="none"/>
        </w:rPr>
        <w:fldChar w:fldCharType="separate"/>
      </w:r>
      <w:r>
        <w:rPr>
          <w:rFonts w:hint="eastAsia" w:hAnsi="宋体"/>
          <w:color w:val="auto"/>
          <w:szCs w:val="24"/>
          <w:highlight w:val="none"/>
        </w:rPr>
        <w:t>9.5.2 质保期内的技术服务</w:t>
      </w:r>
      <w:r>
        <w:rPr>
          <w:color w:val="auto"/>
          <w:highlight w:val="none"/>
        </w:rPr>
        <w:tab/>
      </w:r>
      <w:r>
        <w:rPr>
          <w:color w:val="auto"/>
          <w:highlight w:val="none"/>
        </w:rPr>
        <w:fldChar w:fldCharType="begin"/>
      </w:r>
      <w:r>
        <w:rPr>
          <w:color w:val="auto"/>
          <w:highlight w:val="none"/>
        </w:rPr>
        <w:instrText xml:space="preserve"> PAGEREF _Toc5493 \h </w:instrText>
      </w:r>
      <w:r>
        <w:rPr>
          <w:color w:val="auto"/>
          <w:highlight w:val="none"/>
        </w:rPr>
        <w:fldChar w:fldCharType="separate"/>
      </w:r>
      <w:r>
        <w:rPr>
          <w:color w:val="auto"/>
          <w:highlight w:val="none"/>
        </w:rPr>
        <w:t>438</w:t>
      </w:r>
      <w:r>
        <w:rPr>
          <w:color w:val="auto"/>
          <w:highlight w:val="none"/>
        </w:rPr>
        <w:fldChar w:fldCharType="end"/>
      </w:r>
      <w:r>
        <w:rPr>
          <w:rFonts w:ascii="宋体" w:hAnsi="宋体" w:cs="宋体"/>
          <w:color w:val="auto"/>
          <w:highlight w:val="none"/>
        </w:rPr>
        <w:fldChar w:fldCharType="end"/>
      </w:r>
    </w:p>
    <w:p>
      <w:pPr>
        <w:pStyle w:val="25"/>
        <w:tabs>
          <w:tab w:val="right" w:leader="dot" w:pos="8312"/>
          <w:tab w:val="clear" w:pos="1260"/>
          <w:tab w:val="clear" w:pos="8630"/>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_Toc11991 </w:instrText>
      </w:r>
      <w:r>
        <w:rPr>
          <w:rFonts w:ascii="宋体" w:hAnsi="宋体" w:cs="宋体"/>
          <w:color w:val="auto"/>
          <w:highlight w:val="none"/>
        </w:rPr>
        <w:fldChar w:fldCharType="separate"/>
      </w:r>
      <w:r>
        <w:rPr>
          <w:rFonts w:hint="eastAsia" w:hAnsi="宋体"/>
          <w:color w:val="auto"/>
          <w:szCs w:val="24"/>
          <w:highlight w:val="none"/>
        </w:rPr>
        <w:t>9.5.3 质保期后的技术服务</w:t>
      </w:r>
      <w:r>
        <w:rPr>
          <w:color w:val="auto"/>
          <w:highlight w:val="none"/>
        </w:rPr>
        <w:tab/>
      </w:r>
      <w:r>
        <w:rPr>
          <w:color w:val="auto"/>
          <w:highlight w:val="none"/>
        </w:rPr>
        <w:fldChar w:fldCharType="begin"/>
      </w:r>
      <w:r>
        <w:rPr>
          <w:color w:val="auto"/>
          <w:highlight w:val="none"/>
        </w:rPr>
        <w:instrText xml:space="preserve"> PAGEREF _Toc11991 \h </w:instrText>
      </w:r>
      <w:r>
        <w:rPr>
          <w:color w:val="auto"/>
          <w:highlight w:val="none"/>
        </w:rPr>
        <w:fldChar w:fldCharType="separate"/>
      </w:r>
      <w:r>
        <w:rPr>
          <w:color w:val="auto"/>
          <w:highlight w:val="none"/>
        </w:rPr>
        <w:t>439</w:t>
      </w:r>
      <w:r>
        <w:rPr>
          <w:color w:val="auto"/>
          <w:highlight w:val="none"/>
        </w:rPr>
        <w:fldChar w:fldCharType="end"/>
      </w:r>
      <w:r>
        <w:rPr>
          <w:rFonts w:ascii="宋体" w:hAnsi="宋体" w:cs="宋体"/>
          <w:color w:val="auto"/>
          <w:highlight w:val="none"/>
        </w:rPr>
        <w:fldChar w:fldCharType="end"/>
      </w:r>
    </w:p>
    <w:p>
      <w:pPr>
        <w:pStyle w:val="33"/>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_Toc1952 </w:instrText>
      </w:r>
      <w:r>
        <w:rPr>
          <w:rFonts w:ascii="宋体" w:hAnsi="宋体" w:cs="宋体"/>
          <w:color w:val="auto"/>
          <w:highlight w:val="none"/>
        </w:rPr>
        <w:fldChar w:fldCharType="separate"/>
      </w:r>
      <w:r>
        <w:rPr>
          <w:rFonts w:hint="eastAsia" w:hAnsi="宋体"/>
          <w:color w:val="auto"/>
          <w:szCs w:val="24"/>
          <w:highlight w:val="none"/>
        </w:rPr>
        <w:t>10. 项目建设周期及服务周期</w:t>
      </w:r>
      <w:r>
        <w:rPr>
          <w:color w:val="auto"/>
          <w:highlight w:val="none"/>
        </w:rPr>
        <w:tab/>
      </w:r>
      <w:r>
        <w:rPr>
          <w:color w:val="auto"/>
          <w:highlight w:val="none"/>
        </w:rPr>
        <w:fldChar w:fldCharType="begin"/>
      </w:r>
      <w:r>
        <w:rPr>
          <w:color w:val="auto"/>
          <w:highlight w:val="none"/>
        </w:rPr>
        <w:instrText xml:space="preserve"> PAGEREF _Toc1952 \h </w:instrText>
      </w:r>
      <w:r>
        <w:rPr>
          <w:color w:val="auto"/>
          <w:highlight w:val="none"/>
        </w:rPr>
        <w:fldChar w:fldCharType="separate"/>
      </w:r>
      <w:r>
        <w:rPr>
          <w:color w:val="auto"/>
          <w:highlight w:val="none"/>
        </w:rPr>
        <w:t>439</w:t>
      </w:r>
      <w:r>
        <w:rPr>
          <w:color w:val="auto"/>
          <w:highlight w:val="none"/>
        </w:rPr>
        <w:fldChar w:fldCharType="end"/>
      </w:r>
      <w:r>
        <w:rPr>
          <w:rFonts w:ascii="宋体" w:hAnsi="宋体" w:cs="宋体"/>
          <w:color w:val="auto"/>
          <w:highlight w:val="none"/>
        </w:rPr>
        <w:fldChar w:fldCharType="end"/>
      </w:r>
    </w:p>
    <w:p>
      <w:pPr>
        <w:pStyle w:val="33"/>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_Toc28073 </w:instrText>
      </w:r>
      <w:r>
        <w:rPr>
          <w:rFonts w:ascii="宋体" w:hAnsi="宋体" w:cs="宋体"/>
          <w:color w:val="auto"/>
          <w:highlight w:val="none"/>
        </w:rPr>
        <w:fldChar w:fldCharType="separate"/>
      </w:r>
      <w:r>
        <w:rPr>
          <w:rFonts w:hint="eastAsia" w:hAnsi="宋体"/>
          <w:color w:val="auto"/>
          <w:szCs w:val="24"/>
          <w:highlight w:val="none"/>
        </w:rPr>
        <w:t xml:space="preserve">11. </w:t>
      </w:r>
      <w:r>
        <w:rPr>
          <w:rFonts w:hint="eastAsia" w:hAnsi="宋体"/>
          <w:color w:val="auto"/>
          <w:szCs w:val="24"/>
          <w:highlight w:val="none"/>
          <w:lang w:eastAsia="zh-CN"/>
        </w:rPr>
        <w:t>支付方式</w:t>
      </w:r>
      <w:r>
        <w:rPr>
          <w:color w:val="auto"/>
          <w:highlight w:val="none"/>
        </w:rPr>
        <w:tab/>
      </w:r>
      <w:r>
        <w:rPr>
          <w:color w:val="auto"/>
          <w:highlight w:val="none"/>
        </w:rPr>
        <w:fldChar w:fldCharType="begin"/>
      </w:r>
      <w:r>
        <w:rPr>
          <w:color w:val="auto"/>
          <w:highlight w:val="none"/>
        </w:rPr>
        <w:instrText xml:space="preserve"> PAGEREF _Toc28073 \h </w:instrText>
      </w:r>
      <w:r>
        <w:rPr>
          <w:color w:val="auto"/>
          <w:highlight w:val="none"/>
        </w:rPr>
        <w:fldChar w:fldCharType="separate"/>
      </w:r>
      <w:r>
        <w:rPr>
          <w:color w:val="auto"/>
          <w:highlight w:val="none"/>
        </w:rPr>
        <w:t>440</w:t>
      </w:r>
      <w:r>
        <w:rPr>
          <w:color w:val="auto"/>
          <w:highlight w:val="none"/>
        </w:rPr>
        <w:fldChar w:fldCharType="end"/>
      </w:r>
      <w:r>
        <w:rPr>
          <w:rFonts w:ascii="宋体" w:hAnsi="宋体" w:cs="宋体"/>
          <w:color w:val="auto"/>
          <w:highlight w:val="none"/>
        </w:rPr>
        <w:fldChar w:fldCharType="end"/>
      </w:r>
    </w:p>
    <w:p>
      <w:pPr>
        <w:pStyle w:val="33"/>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_Toc3278 </w:instrText>
      </w:r>
      <w:r>
        <w:rPr>
          <w:rFonts w:ascii="宋体" w:hAnsi="宋体" w:cs="宋体"/>
          <w:color w:val="auto"/>
          <w:highlight w:val="none"/>
        </w:rPr>
        <w:fldChar w:fldCharType="separate"/>
      </w:r>
      <w:r>
        <w:rPr>
          <w:rFonts w:hint="eastAsia" w:hAnsi="宋体"/>
          <w:color w:val="auto"/>
          <w:szCs w:val="24"/>
          <w:highlight w:val="none"/>
          <w:lang w:val="en-US" w:eastAsia="zh-CN"/>
        </w:rPr>
        <w:t>12. 人员要求</w:t>
      </w:r>
      <w:r>
        <w:rPr>
          <w:color w:val="auto"/>
          <w:highlight w:val="none"/>
        </w:rPr>
        <w:tab/>
      </w:r>
      <w:r>
        <w:rPr>
          <w:color w:val="auto"/>
          <w:highlight w:val="none"/>
        </w:rPr>
        <w:fldChar w:fldCharType="begin"/>
      </w:r>
      <w:r>
        <w:rPr>
          <w:color w:val="auto"/>
          <w:highlight w:val="none"/>
        </w:rPr>
        <w:instrText xml:space="preserve"> PAGEREF _Toc3278 \h </w:instrText>
      </w:r>
      <w:r>
        <w:rPr>
          <w:color w:val="auto"/>
          <w:highlight w:val="none"/>
        </w:rPr>
        <w:fldChar w:fldCharType="separate"/>
      </w:r>
      <w:r>
        <w:rPr>
          <w:color w:val="auto"/>
          <w:highlight w:val="none"/>
        </w:rPr>
        <w:t>440</w:t>
      </w:r>
      <w:r>
        <w:rPr>
          <w:color w:val="auto"/>
          <w:highlight w:val="none"/>
        </w:rPr>
        <w:fldChar w:fldCharType="end"/>
      </w:r>
      <w:r>
        <w:rPr>
          <w:rFonts w:ascii="宋体" w:hAnsi="宋体" w:cs="宋体"/>
          <w:color w:val="auto"/>
          <w:highlight w:val="none"/>
        </w:rPr>
        <w:fldChar w:fldCharType="end"/>
      </w:r>
    </w:p>
    <w:p>
      <w:pPr>
        <w:pStyle w:val="33"/>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_Toc5204 </w:instrText>
      </w:r>
      <w:r>
        <w:rPr>
          <w:rFonts w:ascii="宋体" w:hAnsi="宋体" w:cs="宋体"/>
          <w:color w:val="auto"/>
          <w:highlight w:val="none"/>
        </w:rPr>
        <w:fldChar w:fldCharType="separate"/>
      </w:r>
      <w:r>
        <w:rPr>
          <w:rFonts w:hint="eastAsia" w:ascii="宋体" w:hAnsi="宋体" w:eastAsia="宋体" w:cs="宋体"/>
          <w:color w:val="auto"/>
          <w:kern w:val="44"/>
          <w:szCs w:val="20"/>
          <w:highlight w:val="none"/>
          <w:lang w:val="en-US" w:eastAsia="zh-CN" w:bidi="ar-SA"/>
        </w:rPr>
        <w:t>第6章  评标方法和标准</w:t>
      </w:r>
      <w:r>
        <w:rPr>
          <w:color w:val="auto"/>
          <w:highlight w:val="none"/>
        </w:rPr>
        <w:tab/>
      </w:r>
      <w:r>
        <w:rPr>
          <w:color w:val="auto"/>
          <w:highlight w:val="none"/>
        </w:rPr>
        <w:fldChar w:fldCharType="begin"/>
      </w:r>
      <w:r>
        <w:rPr>
          <w:color w:val="auto"/>
          <w:highlight w:val="none"/>
        </w:rPr>
        <w:instrText xml:space="preserve"> PAGEREF _Toc5204 \h </w:instrText>
      </w:r>
      <w:r>
        <w:rPr>
          <w:color w:val="auto"/>
          <w:highlight w:val="none"/>
        </w:rPr>
        <w:fldChar w:fldCharType="separate"/>
      </w:r>
      <w:r>
        <w:rPr>
          <w:color w:val="auto"/>
          <w:highlight w:val="none"/>
        </w:rPr>
        <w:t>440</w:t>
      </w:r>
      <w:r>
        <w:rPr>
          <w:color w:val="auto"/>
          <w:highlight w:val="none"/>
        </w:rPr>
        <w:fldChar w:fldCharType="end"/>
      </w:r>
      <w:r>
        <w:rPr>
          <w:rFonts w:ascii="宋体" w:hAnsi="宋体" w:cs="宋体"/>
          <w:color w:val="auto"/>
          <w:highlight w:val="none"/>
        </w:rPr>
        <w:fldChar w:fldCharType="end"/>
      </w:r>
    </w:p>
    <w:p>
      <w:pPr>
        <w:pStyle w:val="33"/>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_Toc1235 </w:instrText>
      </w:r>
      <w:r>
        <w:rPr>
          <w:rFonts w:ascii="宋体" w:hAnsi="宋体" w:cs="宋体"/>
          <w:color w:val="auto"/>
          <w:highlight w:val="none"/>
        </w:rPr>
        <w:fldChar w:fldCharType="separate"/>
      </w:r>
      <w:r>
        <w:rPr>
          <w:rFonts w:hint="eastAsia" w:hAnsi="宋体" w:cs="宋体"/>
          <w:color w:val="auto"/>
          <w:highlight w:val="none"/>
        </w:rPr>
        <w:t>第7章  政府采购合同</w:t>
      </w:r>
      <w:r>
        <w:rPr>
          <w:color w:val="auto"/>
          <w:highlight w:val="none"/>
        </w:rPr>
        <w:tab/>
      </w:r>
      <w:r>
        <w:rPr>
          <w:color w:val="auto"/>
          <w:highlight w:val="none"/>
        </w:rPr>
        <w:fldChar w:fldCharType="begin"/>
      </w:r>
      <w:r>
        <w:rPr>
          <w:color w:val="auto"/>
          <w:highlight w:val="none"/>
        </w:rPr>
        <w:instrText xml:space="preserve"> PAGEREF _Toc1235 \h </w:instrText>
      </w:r>
      <w:r>
        <w:rPr>
          <w:color w:val="auto"/>
          <w:highlight w:val="none"/>
        </w:rPr>
        <w:fldChar w:fldCharType="separate"/>
      </w:r>
      <w:r>
        <w:rPr>
          <w:color w:val="auto"/>
          <w:highlight w:val="none"/>
        </w:rPr>
        <w:t>449</w:t>
      </w:r>
      <w:r>
        <w:rPr>
          <w:color w:val="auto"/>
          <w:highlight w:val="none"/>
        </w:rPr>
        <w:fldChar w:fldCharType="end"/>
      </w:r>
      <w:r>
        <w:rPr>
          <w:rFonts w:ascii="宋体" w:hAnsi="宋体" w:cs="宋体"/>
          <w:color w:val="auto"/>
          <w:highlight w:val="none"/>
        </w:rPr>
        <w:fldChar w:fldCharType="end"/>
      </w:r>
    </w:p>
    <w:p>
      <w:pPr>
        <w:pStyle w:val="33"/>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_Toc15440 </w:instrText>
      </w:r>
      <w:r>
        <w:rPr>
          <w:rFonts w:ascii="宋体" w:hAnsi="宋体" w:cs="宋体"/>
          <w:color w:val="auto"/>
          <w:highlight w:val="none"/>
        </w:rPr>
        <w:fldChar w:fldCharType="separate"/>
      </w:r>
      <w:r>
        <w:rPr>
          <w:rFonts w:hint="eastAsia" w:ascii="宋体" w:hAnsi="宋体" w:cs="宋体"/>
          <w:color w:val="auto"/>
          <w:kern w:val="44"/>
          <w:szCs w:val="28"/>
          <w:highlight w:val="none"/>
        </w:rPr>
        <w:t>请参照</w:t>
      </w:r>
      <w:r>
        <w:rPr>
          <w:rFonts w:hint="eastAsia" w:ascii="宋体" w:hAnsi="宋体" w:cs="宋体"/>
          <w:color w:val="auto"/>
          <w:kern w:val="44"/>
          <w:szCs w:val="28"/>
          <w:highlight w:val="none"/>
          <w:lang w:eastAsia="zh-CN"/>
        </w:rPr>
        <w:t>服务类</w:t>
      </w:r>
      <w:r>
        <w:rPr>
          <w:rFonts w:hint="eastAsia" w:ascii="宋体" w:hAnsi="宋体" w:cs="宋体"/>
          <w:color w:val="auto"/>
          <w:kern w:val="44"/>
          <w:szCs w:val="28"/>
          <w:highlight w:val="none"/>
        </w:rPr>
        <w:t>政府采购合同参考范本订立采购合同。</w:t>
      </w:r>
      <w:r>
        <w:rPr>
          <w:color w:val="auto"/>
          <w:highlight w:val="none"/>
        </w:rPr>
        <w:tab/>
      </w:r>
      <w:r>
        <w:rPr>
          <w:color w:val="auto"/>
          <w:highlight w:val="none"/>
        </w:rPr>
        <w:fldChar w:fldCharType="begin"/>
      </w:r>
      <w:r>
        <w:rPr>
          <w:color w:val="auto"/>
          <w:highlight w:val="none"/>
        </w:rPr>
        <w:instrText xml:space="preserve"> PAGEREF _Toc15440 \h </w:instrText>
      </w:r>
      <w:r>
        <w:rPr>
          <w:color w:val="auto"/>
          <w:highlight w:val="none"/>
        </w:rPr>
        <w:fldChar w:fldCharType="separate"/>
      </w:r>
      <w:r>
        <w:rPr>
          <w:color w:val="auto"/>
          <w:highlight w:val="none"/>
        </w:rPr>
        <w:t>449</w:t>
      </w:r>
      <w:r>
        <w:rPr>
          <w:color w:val="auto"/>
          <w:highlight w:val="none"/>
        </w:rPr>
        <w:fldChar w:fldCharType="end"/>
      </w:r>
      <w:r>
        <w:rPr>
          <w:rFonts w:ascii="宋体" w:hAnsi="宋体" w:cs="宋体"/>
          <w:color w:val="auto"/>
          <w:highlight w:val="none"/>
        </w:rPr>
        <w:fldChar w:fldCharType="end"/>
      </w:r>
    </w:p>
    <w:p>
      <w:pPr>
        <w:pStyle w:val="33"/>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_Toc24667 </w:instrText>
      </w:r>
      <w:r>
        <w:rPr>
          <w:rFonts w:ascii="宋体" w:hAnsi="宋体" w:cs="宋体"/>
          <w:color w:val="auto"/>
          <w:highlight w:val="none"/>
        </w:rPr>
        <w:fldChar w:fldCharType="separate"/>
      </w:r>
      <w:r>
        <w:rPr>
          <w:rFonts w:hint="eastAsia" w:hAnsi="宋体" w:cs="宋体"/>
          <w:bCs/>
          <w:color w:val="auto"/>
          <w:szCs w:val="28"/>
          <w:highlight w:val="none"/>
        </w:rPr>
        <w:t>第一部分 合同书</w:t>
      </w:r>
      <w:r>
        <w:rPr>
          <w:color w:val="auto"/>
          <w:highlight w:val="none"/>
        </w:rPr>
        <w:tab/>
      </w:r>
      <w:r>
        <w:rPr>
          <w:color w:val="auto"/>
          <w:highlight w:val="none"/>
        </w:rPr>
        <w:fldChar w:fldCharType="begin"/>
      </w:r>
      <w:r>
        <w:rPr>
          <w:color w:val="auto"/>
          <w:highlight w:val="none"/>
        </w:rPr>
        <w:instrText xml:space="preserve"> PAGEREF _Toc24667 \h </w:instrText>
      </w:r>
      <w:r>
        <w:rPr>
          <w:color w:val="auto"/>
          <w:highlight w:val="none"/>
        </w:rPr>
        <w:fldChar w:fldCharType="separate"/>
      </w:r>
      <w:r>
        <w:rPr>
          <w:color w:val="auto"/>
          <w:highlight w:val="none"/>
        </w:rPr>
        <w:t>449</w:t>
      </w:r>
      <w:r>
        <w:rPr>
          <w:color w:val="auto"/>
          <w:highlight w:val="none"/>
        </w:rPr>
        <w:fldChar w:fldCharType="end"/>
      </w:r>
      <w:r>
        <w:rPr>
          <w:rFonts w:ascii="宋体" w:hAnsi="宋体" w:cs="宋体"/>
          <w:color w:val="auto"/>
          <w:highlight w:val="none"/>
        </w:rPr>
        <w:fldChar w:fldCharType="end"/>
      </w:r>
    </w:p>
    <w:p>
      <w:pPr>
        <w:pStyle w:val="33"/>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_Toc9321 </w:instrText>
      </w:r>
      <w:r>
        <w:rPr>
          <w:rFonts w:ascii="宋体" w:hAnsi="宋体" w:cs="宋体"/>
          <w:color w:val="auto"/>
          <w:highlight w:val="none"/>
        </w:rPr>
        <w:fldChar w:fldCharType="separate"/>
      </w:r>
      <w:r>
        <w:rPr>
          <w:rFonts w:hint="eastAsia" w:ascii="宋体" w:hAnsi="宋体" w:cs="宋体"/>
          <w:color w:val="auto"/>
          <w:szCs w:val="28"/>
          <w:highlight w:val="none"/>
        </w:rPr>
        <w:t>项目名称：国家区域医疗中心智慧医院、多学科（专科、专病）数据中心信息化建设项目</w:t>
      </w:r>
      <w:r>
        <w:rPr>
          <w:color w:val="auto"/>
          <w:highlight w:val="none"/>
        </w:rPr>
        <w:tab/>
      </w:r>
      <w:r>
        <w:rPr>
          <w:color w:val="auto"/>
          <w:highlight w:val="none"/>
        </w:rPr>
        <w:fldChar w:fldCharType="begin"/>
      </w:r>
      <w:r>
        <w:rPr>
          <w:color w:val="auto"/>
          <w:highlight w:val="none"/>
        </w:rPr>
        <w:instrText xml:space="preserve"> PAGEREF _Toc9321 \h </w:instrText>
      </w:r>
      <w:r>
        <w:rPr>
          <w:color w:val="auto"/>
          <w:highlight w:val="none"/>
        </w:rPr>
        <w:fldChar w:fldCharType="separate"/>
      </w:r>
      <w:r>
        <w:rPr>
          <w:color w:val="auto"/>
          <w:highlight w:val="none"/>
        </w:rPr>
        <w:t>449</w:t>
      </w:r>
      <w:r>
        <w:rPr>
          <w:color w:val="auto"/>
          <w:highlight w:val="none"/>
        </w:rPr>
        <w:fldChar w:fldCharType="end"/>
      </w:r>
      <w:r>
        <w:rPr>
          <w:rFonts w:ascii="宋体" w:hAnsi="宋体" w:cs="宋体"/>
          <w:color w:val="auto"/>
          <w:highlight w:val="none"/>
        </w:rPr>
        <w:fldChar w:fldCharType="end"/>
      </w:r>
    </w:p>
    <w:p>
      <w:pPr>
        <w:pStyle w:val="33"/>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_Toc22687 </w:instrText>
      </w:r>
      <w:r>
        <w:rPr>
          <w:rFonts w:ascii="宋体" w:hAnsi="宋体" w:cs="宋体"/>
          <w:color w:val="auto"/>
          <w:highlight w:val="none"/>
        </w:rPr>
        <w:fldChar w:fldCharType="separate"/>
      </w:r>
      <w:r>
        <w:rPr>
          <w:rFonts w:hint="eastAsia" w:ascii="宋体" w:hAnsi="宋体" w:cs="宋体"/>
          <w:bCs/>
          <w:color w:val="auto"/>
          <w:szCs w:val="28"/>
          <w:highlight w:val="none"/>
        </w:rPr>
        <w:t>1.1 合同组成部分</w:t>
      </w:r>
      <w:r>
        <w:rPr>
          <w:color w:val="auto"/>
          <w:highlight w:val="none"/>
        </w:rPr>
        <w:tab/>
      </w:r>
      <w:r>
        <w:rPr>
          <w:color w:val="auto"/>
          <w:highlight w:val="none"/>
        </w:rPr>
        <w:fldChar w:fldCharType="begin"/>
      </w:r>
      <w:r>
        <w:rPr>
          <w:color w:val="auto"/>
          <w:highlight w:val="none"/>
        </w:rPr>
        <w:instrText xml:space="preserve"> PAGEREF _Toc22687 \h </w:instrText>
      </w:r>
      <w:r>
        <w:rPr>
          <w:color w:val="auto"/>
          <w:highlight w:val="none"/>
        </w:rPr>
        <w:fldChar w:fldCharType="separate"/>
      </w:r>
      <w:r>
        <w:rPr>
          <w:color w:val="auto"/>
          <w:highlight w:val="none"/>
        </w:rPr>
        <w:t>450</w:t>
      </w:r>
      <w:r>
        <w:rPr>
          <w:color w:val="auto"/>
          <w:highlight w:val="none"/>
        </w:rPr>
        <w:fldChar w:fldCharType="end"/>
      </w:r>
      <w:r>
        <w:rPr>
          <w:rFonts w:ascii="宋体" w:hAnsi="宋体" w:cs="宋体"/>
          <w:color w:val="auto"/>
          <w:highlight w:val="none"/>
        </w:rPr>
        <w:fldChar w:fldCharType="end"/>
      </w:r>
    </w:p>
    <w:p>
      <w:pPr>
        <w:pStyle w:val="33"/>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_Toc18442 </w:instrText>
      </w:r>
      <w:r>
        <w:rPr>
          <w:rFonts w:ascii="宋体" w:hAnsi="宋体" w:cs="宋体"/>
          <w:color w:val="auto"/>
          <w:highlight w:val="none"/>
        </w:rPr>
        <w:fldChar w:fldCharType="separate"/>
      </w:r>
      <w:r>
        <w:rPr>
          <w:rFonts w:hint="eastAsia" w:ascii="宋体" w:hAnsi="宋体" w:cs="宋体"/>
          <w:bCs/>
          <w:color w:val="auto"/>
          <w:szCs w:val="28"/>
          <w:highlight w:val="none"/>
        </w:rPr>
        <w:t>1.2 标的</w:t>
      </w:r>
      <w:r>
        <w:rPr>
          <w:color w:val="auto"/>
          <w:highlight w:val="none"/>
        </w:rPr>
        <w:tab/>
      </w:r>
      <w:r>
        <w:rPr>
          <w:color w:val="auto"/>
          <w:highlight w:val="none"/>
        </w:rPr>
        <w:fldChar w:fldCharType="begin"/>
      </w:r>
      <w:r>
        <w:rPr>
          <w:color w:val="auto"/>
          <w:highlight w:val="none"/>
        </w:rPr>
        <w:instrText xml:space="preserve"> PAGEREF _Toc18442 \h </w:instrText>
      </w:r>
      <w:r>
        <w:rPr>
          <w:color w:val="auto"/>
          <w:highlight w:val="none"/>
        </w:rPr>
        <w:fldChar w:fldCharType="separate"/>
      </w:r>
      <w:r>
        <w:rPr>
          <w:color w:val="auto"/>
          <w:highlight w:val="none"/>
        </w:rPr>
        <w:t>450</w:t>
      </w:r>
      <w:r>
        <w:rPr>
          <w:color w:val="auto"/>
          <w:highlight w:val="none"/>
        </w:rPr>
        <w:fldChar w:fldCharType="end"/>
      </w:r>
      <w:r>
        <w:rPr>
          <w:rFonts w:ascii="宋体" w:hAnsi="宋体" w:cs="宋体"/>
          <w:color w:val="auto"/>
          <w:highlight w:val="none"/>
        </w:rPr>
        <w:fldChar w:fldCharType="end"/>
      </w:r>
    </w:p>
    <w:p>
      <w:pPr>
        <w:pStyle w:val="33"/>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_Toc28183 </w:instrText>
      </w:r>
      <w:r>
        <w:rPr>
          <w:rFonts w:ascii="宋体" w:hAnsi="宋体" w:cs="宋体"/>
          <w:color w:val="auto"/>
          <w:highlight w:val="none"/>
        </w:rPr>
        <w:fldChar w:fldCharType="separate"/>
      </w:r>
      <w:r>
        <w:rPr>
          <w:rFonts w:hint="eastAsia" w:ascii="宋体" w:hAnsi="宋体" w:cs="宋体"/>
          <w:bCs/>
          <w:color w:val="auto"/>
          <w:szCs w:val="28"/>
          <w:highlight w:val="none"/>
        </w:rPr>
        <w:t>1.3 价款</w:t>
      </w:r>
      <w:r>
        <w:rPr>
          <w:color w:val="auto"/>
          <w:highlight w:val="none"/>
        </w:rPr>
        <w:tab/>
      </w:r>
      <w:r>
        <w:rPr>
          <w:color w:val="auto"/>
          <w:highlight w:val="none"/>
        </w:rPr>
        <w:fldChar w:fldCharType="begin"/>
      </w:r>
      <w:r>
        <w:rPr>
          <w:color w:val="auto"/>
          <w:highlight w:val="none"/>
        </w:rPr>
        <w:instrText xml:space="preserve"> PAGEREF _Toc28183 \h </w:instrText>
      </w:r>
      <w:r>
        <w:rPr>
          <w:color w:val="auto"/>
          <w:highlight w:val="none"/>
        </w:rPr>
        <w:fldChar w:fldCharType="separate"/>
      </w:r>
      <w:r>
        <w:rPr>
          <w:color w:val="auto"/>
          <w:highlight w:val="none"/>
        </w:rPr>
        <w:t>451</w:t>
      </w:r>
      <w:r>
        <w:rPr>
          <w:color w:val="auto"/>
          <w:highlight w:val="none"/>
        </w:rPr>
        <w:fldChar w:fldCharType="end"/>
      </w:r>
      <w:r>
        <w:rPr>
          <w:rFonts w:ascii="宋体" w:hAnsi="宋体" w:cs="宋体"/>
          <w:color w:val="auto"/>
          <w:highlight w:val="none"/>
        </w:rPr>
        <w:fldChar w:fldCharType="end"/>
      </w:r>
    </w:p>
    <w:p>
      <w:pPr>
        <w:pStyle w:val="33"/>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_Toc5558 </w:instrText>
      </w:r>
      <w:r>
        <w:rPr>
          <w:rFonts w:ascii="宋体" w:hAnsi="宋体" w:cs="宋体"/>
          <w:color w:val="auto"/>
          <w:highlight w:val="none"/>
        </w:rPr>
        <w:fldChar w:fldCharType="separate"/>
      </w:r>
      <w:r>
        <w:rPr>
          <w:rFonts w:hint="eastAsia" w:ascii="宋体" w:hAnsi="宋体" w:cs="宋体"/>
          <w:bCs/>
          <w:color w:val="auto"/>
          <w:szCs w:val="28"/>
          <w:highlight w:val="none"/>
        </w:rPr>
        <w:t>1.4 付款方式和发票开具方式</w:t>
      </w:r>
      <w:r>
        <w:rPr>
          <w:color w:val="auto"/>
          <w:highlight w:val="none"/>
        </w:rPr>
        <w:tab/>
      </w:r>
      <w:r>
        <w:rPr>
          <w:color w:val="auto"/>
          <w:highlight w:val="none"/>
        </w:rPr>
        <w:fldChar w:fldCharType="begin"/>
      </w:r>
      <w:r>
        <w:rPr>
          <w:color w:val="auto"/>
          <w:highlight w:val="none"/>
        </w:rPr>
        <w:instrText xml:space="preserve"> PAGEREF _Toc5558 \h </w:instrText>
      </w:r>
      <w:r>
        <w:rPr>
          <w:color w:val="auto"/>
          <w:highlight w:val="none"/>
        </w:rPr>
        <w:fldChar w:fldCharType="separate"/>
      </w:r>
      <w:r>
        <w:rPr>
          <w:color w:val="auto"/>
          <w:highlight w:val="none"/>
        </w:rPr>
        <w:t>451</w:t>
      </w:r>
      <w:r>
        <w:rPr>
          <w:color w:val="auto"/>
          <w:highlight w:val="none"/>
        </w:rPr>
        <w:fldChar w:fldCharType="end"/>
      </w:r>
      <w:r>
        <w:rPr>
          <w:rFonts w:ascii="宋体" w:hAnsi="宋体" w:cs="宋体"/>
          <w:color w:val="auto"/>
          <w:highlight w:val="none"/>
        </w:rPr>
        <w:fldChar w:fldCharType="end"/>
      </w:r>
    </w:p>
    <w:p>
      <w:pPr>
        <w:pStyle w:val="33"/>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_Toc11637 </w:instrText>
      </w:r>
      <w:r>
        <w:rPr>
          <w:rFonts w:ascii="宋体" w:hAnsi="宋体" w:cs="宋体"/>
          <w:color w:val="auto"/>
          <w:highlight w:val="none"/>
        </w:rPr>
        <w:fldChar w:fldCharType="separate"/>
      </w:r>
      <w:r>
        <w:rPr>
          <w:rFonts w:hint="eastAsia" w:ascii="宋体" w:hAnsi="宋体" w:cs="宋体"/>
          <w:bCs/>
          <w:color w:val="auto"/>
          <w:szCs w:val="28"/>
          <w:highlight w:val="none"/>
        </w:rPr>
        <w:t>1.5 履行期限、地点和方式</w:t>
      </w:r>
      <w:r>
        <w:rPr>
          <w:color w:val="auto"/>
          <w:highlight w:val="none"/>
        </w:rPr>
        <w:tab/>
      </w:r>
      <w:r>
        <w:rPr>
          <w:color w:val="auto"/>
          <w:highlight w:val="none"/>
        </w:rPr>
        <w:fldChar w:fldCharType="begin"/>
      </w:r>
      <w:r>
        <w:rPr>
          <w:color w:val="auto"/>
          <w:highlight w:val="none"/>
        </w:rPr>
        <w:instrText xml:space="preserve"> PAGEREF _Toc11637 \h </w:instrText>
      </w:r>
      <w:r>
        <w:rPr>
          <w:color w:val="auto"/>
          <w:highlight w:val="none"/>
        </w:rPr>
        <w:fldChar w:fldCharType="separate"/>
      </w:r>
      <w:r>
        <w:rPr>
          <w:color w:val="auto"/>
          <w:highlight w:val="none"/>
        </w:rPr>
        <w:t>451</w:t>
      </w:r>
      <w:r>
        <w:rPr>
          <w:color w:val="auto"/>
          <w:highlight w:val="none"/>
        </w:rPr>
        <w:fldChar w:fldCharType="end"/>
      </w:r>
      <w:r>
        <w:rPr>
          <w:rFonts w:ascii="宋体" w:hAnsi="宋体" w:cs="宋体"/>
          <w:color w:val="auto"/>
          <w:highlight w:val="none"/>
        </w:rPr>
        <w:fldChar w:fldCharType="end"/>
      </w:r>
    </w:p>
    <w:p>
      <w:pPr>
        <w:pStyle w:val="33"/>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_Toc26257 </w:instrText>
      </w:r>
      <w:r>
        <w:rPr>
          <w:rFonts w:ascii="宋体" w:hAnsi="宋体" w:cs="宋体"/>
          <w:color w:val="auto"/>
          <w:highlight w:val="none"/>
        </w:rPr>
        <w:fldChar w:fldCharType="separate"/>
      </w:r>
      <w:r>
        <w:rPr>
          <w:rFonts w:hint="eastAsia" w:ascii="宋体" w:hAnsi="宋体" w:cs="宋体"/>
          <w:bCs/>
          <w:color w:val="auto"/>
          <w:szCs w:val="28"/>
          <w:highlight w:val="none"/>
        </w:rPr>
        <w:t>1.6 违约责任</w:t>
      </w:r>
      <w:r>
        <w:rPr>
          <w:color w:val="auto"/>
          <w:highlight w:val="none"/>
        </w:rPr>
        <w:tab/>
      </w:r>
      <w:r>
        <w:rPr>
          <w:color w:val="auto"/>
          <w:highlight w:val="none"/>
        </w:rPr>
        <w:fldChar w:fldCharType="begin"/>
      </w:r>
      <w:r>
        <w:rPr>
          <w:color w:val="auto"/>
          <w:highlight w:val="none"/>
        </w:rPr>
        <w:instrText xml:space="preserve"> PAGEREF _Toc26257 \h </w:instrText>
      </w:r>
      <w:r>
        <w:rPr>
          <w:color w:val="auto"/>
          <w:highlight w:val="none"/>
        </w:rPr>
        <w:fldChar w:fldCharType="separate"/>
      </w:r>
      <w:r>
        <w:rPr>
          <w:color w:val="auto"/>
          <w:highlight w:val="none"/>
        </w:rPr>
        <w:t>451</w:t>
      </w:r>
      <w:r>
        <w:rPr>
          <w:color w:val="auto"/>
          <w:highlight w:val="none"/>
        </w:rPr>
        <w:fldChar w:fldCharType="end"/>
      </w:r>
      <w:r>
        <w:rPr>
          <w:rFonts w:ascii="宋体" w:hAnsi="宋体" w:cs="宋体"/>
          <w:color w:val="auto"/>
          <w:highlight w:val="none"/>
        </w:rPr>
        <w:fldChar w:fldCharType="end"/>
      </w:r>
    </w:p>
    <w:p>
      <w:pPr>
        <w:pStyle w:val="33"/>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_Toc30116 </w:instrText>
      </w:r>
      <w:r>
        <w:rPr>
          <w:rFonts w:ascii="宋体" w:hAnsi="宋体" w:cs="宋体"/>
          <w:color w:val="auto"/>
          <w:highlight w:val="none"/>
        </w:rPr>
        <w:fldChar w:fldCharType="separate"/>
      </w:r>
      <w:r>
        <w:rPr>
          <w:rFonts w:hint="eastAsia" w:ascii="宋体" w:hAnsi="宋体" w:cs="宋体"/>
          <w:bCs/>
          <w:color w:val="auto"/>
          <w:szCs w:val="28"/>
          <w:highlight w:val="none"/>
        </w:rPr>
        <w:t>1.7 合同争议的解决</w:t>
      </w:r>
      <w:r>
        <w:rPr>
          <w:color w:val="auto"/>
          <w:highlight w:val="none"/>
        </w:rPr>
        <w:tab/>
      </w:r>
      <w:r>
        <w:rPr>
          <w:color w:val="auto"/>
          <w:highlight w:val="none"/>
        </w:rPr>
        <w:fldChar w:fldCharType="begin"/>
      </w:r>
      <w:r>
        <w:rPr>
          <w:color w:val="auto"/>
          <w:highlight w:val="none"/>
        </w:rPr>
        <w:instrText xml:space="preserve"> PAGEREF _Toc30116 \h </w:instrText>
      </w:r>
      <w:r>
        <w:rPr>
          <w:color w:val="auto"/>
          <w:highlight w:val="none"/>
        </w:rPr>
        <w:fldChar w:fldCharType="separate"/>
      </w:r>
      <w:r>
        <w:rPr>
          <w:color w:val="auto"/>
          <w:highlight w:val="none"/>
        </w:rPr>
        <w:t>453</w:t>
      </w:r>
      <w:r>
        <w:rPr>
          <w:color w:val="auto"/>
          <w:highlight w:val="none"/>
        </w:rPr>
        <w:fldChar w:fldCharType="end"/>
      </w:r>
      <w:r>
        <w:rPr>
          <w:rFonts w:ascii="宋体" w:hAnsi="宋体" w:cs="宋体"/>
          <w:color w:val="auto"/>
          <w:highlight w:val="none"/>
        </w:rPr>
        <w:fldChar w:fldCharType="end"/>
      </w:r>
    </w:p>
    <w:p>
      <w:pPr>
        <w:pStyle w:val="33"/>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_Toc9956 </w:instrText>
      </w:r>
      <w:r>
        <w:rPr>
          <w:rFonts w:ascii="宋体" w:hAnsi="宋体" w:cs="宋体"/>
          <w:color w:val="auto"/>
          <w:highlight w:val="none"/>
        </w:rPr>
        <w:fldChar w:fldCharType="separate"/>
      </w:r>
      <w:r>
        <w:rPr>
          <w:rFonts w:hint="eastAsia" w:ascii="宋体" w:hAnsi="宋体" w:cs="宋体"/>
          <w:bCs/>
          <w:color w:val="auto"/>
          <w:szCs w:val="28"/>
          <w:highlight w:val="none"/>
        </w:rPr>
        <w:t>1.8 合同生效</w:t>
      </w:r>
      <w:r>
        <w:rPr>
          <w:color w:val="auto"/>
          <w:highlight w:val="none"/>
        </w:rPr>
        <w:tab/>
      </w:r>
      <w:r>
        <w:rPr>
          <w:color w:val="auto"/>
          <w:highlight w:val="none"/>
        </w:rPr>
        <w:fldChar w:fldCharType="begin"/>
      </w:r>
      <w:r>
        <w:rPr>
          <w:color w:val="auto"/>
          <w:highlight w:val="none"/>
        </w:rPr>
        <w:instrText xml:space="preserve"> PAGEREF _Toc9956 \h </w:instrText>
      </w:r>
      <w:r>
        <w:rPr>
          <w:color w:val="auto"/>
          <w:highlight w:val="none"/>
        </w:rPr>
        <w:fldChar w:fldCharType="separate"/>
      </w:r>
      <w:r>
        <w:rPr>
          <w:color w:val="auto"/>
          <w:highlight w:val="none"/>
        </w:rPr>
        <w:t>453</w:t>
      </w:r>
      <w:r>
        <w:rPr>
          <w:color w:val="auto"/>
          <w:highlight w:val="none"/>
        </w:rPr>
        <w:fldChar w:fldCharType="end"/>
      </w:r>
      <w:r>
        <w:rPr>
          <w:rFonts w:ascii="宋体" w:hAnsi="宋体" w:cs="宋体"/>
          <w:color w:val="auto"/>
          <w:highlight w:val="none"/>
        </w:rPr>
        <w:fldChar w:fldCharType="end"/>
      </w:r>
    </w:p>
    <w:p>
      <w:pPr>
        <w:pStyle w:val="33"/>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_Toc3753 </w:instrText>
      </w:r>
      <w:r>
        <w:rPr>
          <w:rFonts w:ascii="宋体" w:hAnsi="宋体" w:cs="宋体"/>
          <w:color w:val="auto"/>
          <w:highlight w:val="none"/>
        </w:rPr>
        <w:fldChar w:fldCharType="separate"/>
      </w:r>
      <w:r>
        <w:rPr>
          <w:rFonts w:hint="eastAsia" w:ascii="宋体" w:hAnsi="宋体" w:cs="宋体"/>
          <w:bCs/>
          <w:color w:val="auto"/>
          <w:szCs w:val="28"/>
          <w:highlight w:val="none"/>
          <w:lang w:val="zh-CN"/>
        </w:rPr>
        <w:t>甲方</w:t>
      </w:r>
      <w:r>
        <w:rPr>
          <w:rFonts w:hint="eastAsia" w:ascii="宋体" w:hAnsi="宋体" w:cs="宋体"/>
          <w:color w:val="auto"/>
          <w:szCs w:val="28"/>
          <w:highlight w:val="none"/>
          <w:lang w:val="zh-CN"/>
        </w:rPr>
        <w:t xml:space="preserve">：                             </w:t>
      </w:r>
      <w:r>
        <w:rPr>
          <w:rFonts w:hint="eastAsia" w:ascii="宋体" w:hAnsi="宋体" w:cs="宋体"/>
          <w:bCs/>
          <w:color w:val="auto"/>
          <w:szCs w:val="28"/>
          <w:highlight w:val="none"/>
          <w:lang w:val="zh-CN"/>
        </w:rPr>
        <w:t xml:space="preserve">      乙方</w:t>
      </w:r>
      <w:r>
        <w:rPr>
          <w:rFonts w:hint="eastAsia" w:ascii="宋体" w:hAnsi="宋体" w:cs="宋体"/>
          <w:color w:val="auto"/>
          <w:szCs w:val="28"/>
          <w:highlight w:val="none"/>
          <w:lang w:val="zh-CN"/>
        </w:rPr>
        <w:t>：</w:t>
      </w:r>
      <w:r>
        <w:rPr>
          <w:color w:val="auto"/>
          <w:highlight w:val="none"/>
        </w:rPr>
        <w:tab/>
      </w:r>
      <w:r>
        <w:rPr>
          <w:color w:val="auto"/>
          <w:highlight w:val="none"/>
        </w:rPr>
        <w:fldChar w:fldCharType="begin"/>
      </w:r>
      <w:r>
        <w:rPr>
          <w:color w:val="auto"/>
          <w:highlight w:val="none"/>
        </w:rPr>
        <w:instrText xml:space="preserve"> PAGEREF _Toc3753 \h </w:instrText>
      </w:r>
      <w:r>
        <w:rPr>
          <w:color w:val="auto"/>
          <w:highlight w:val="none"/>
        </w:rPr>
        <w:fldChar w:fldCharType="separate"/>
      </w:r>
      <w:r>
        <w:rPr>
          <w:color w:val="auto"/>
          <w:highlight w:val="none"/>
        </w:rPr>
        <w:t>453</w:t>
      </w:r>
      <w:r>
        <w:rPr>
          <w:color w:val="auto"/>
          <w:highlight w:val="none"/>
        </w:rPr>
        <w:fldChar w:fldCharType="end"/>
      </w:r>
      <w:r>
        <w:rPr>
          <w:rFonts w:ascii="宋体" w:hAnsi="宋体" w:cs="宋体"/>
          <w:color w:val="auto"/>
          <w:highlight w:val="none"/>
        </w:rPr>
        <w:fldChar w:fldCharType="end"/>
      </w:r>
    </w:p>
    <w:p>
      <w:pPr>
        <w:pStyle w:val="33"/>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_Toc8336 </w:instrText>
      </w:r>
      <w:r>
        <w:rPr>
          <w:rFonts w:ascii="宋体" w:hAnsi="宋体" w:cs="宋体"/>
          <w:color w:val="auto"/>
          <w:highlight w:val="none"/>
        </w:rPr>
        <w:fldChar w:fldCharType="separate"/>
      </w:r>
      <w:r>
        <w:rPr>
          <w:rFonts w:hint="eastAsia" w:hAnsi="宋体" w:cs="宋体"/>
          <w:bCs/>
          <w:color w:val="auto"/>
          <w:szCs w:val="28"/>
          <w:highlight w:val="none"/>
        </w:rPr>
        <w:t>第二部分 合同一般条款</w:t>
      </w:r>
      <w:r>
        <w:rPr>
          <w:color w:val="auto"/>
          <w:highlight w:val="none"/>
        </w:rPr>
        <w:tab/>
      </w:r>
      <w:r>
        <w:rPr>
          <w:color w:val="auto"/>
          <w:highlight w:val="none"/>
        </w:rPr>
        <w:fldChar w:fldCharType="begin"/>
      </w:r>
      <w:r>
        <w:rPr>
          <w:color w:val="auto"/>
          <w:highlight w:val="none"/>
        </w:rPr>
        <w:instrText xml:space="preserve"> PAGEREF _Toc8336 \h </w:instrText>
      </w:r>
      <w:r>
        <w:rPr>
          <w:color w:val="auto"/>
          <w:highlight w:val="none"/>
        </w:rPr>
        <w:fldChar w:fldCharType="separate"/>
      </w:r>
      <w:r>
        <w:rPr>
          <w:color w:val="auto"/>
          <w:highlight w:val="none"/>
        </w:rPr>
        <w:t>454</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_Toc5595 </w:instrText>
      </w:r>
      <w:r>
        <w:rPr>
          <w:rFonts w:ascii="宋体" w:hAnsi="宋体" w:cs="宋体"/>
          <w:color w:val="auto"/>
          <w:highlight w:val="none"/>
        </w:rPr>
        <w:fldChar w:fldCharType="separate"/>
      </w:r>
      <w:r>
        <w:rPr>
          <w:rFonts w:hint="eastAsia" w:ascii="宋体" w:hAnsi="宋体" w:cs="宋体"/>
          <w:bCs/>
          <w:color w:val="auto"/>
          <w:szCs w:val="28"/>
          <w:highlight w:val="none"/>
        </w:rPr>
        <w:t>2.1 定义</w:t>
      </w:r>
      <w:r>
        <w:rPr>
          <w:color w:val="auto"/>
          <w:highlight w:val="none"/>
        </w:rPr>
        <w:tab/>
      </w:r>
      <w:r>
        <w:rPr>
          <w:color w:val="auto"/>
          <w:highlight w:val="none"/>
        </w:rPr>
        <w:fldChar w:fldCharType="begin"/>
      </w:r>
      <w:r>
        <w:rPr>
          <w:color w:val="auto"/>
          <w:highlight w:val="none"/>
        </w:rPr>
        <w:instrText xml:space="preserve"> PAGEREF _Toc5595 \h </w:instrText>
      </w:r>
      <w:r>
        <w:rPr>
          <w:color w:val="auto"/>
          <w:highlight w:val="none"/>
        </w:rPr>
        <w:fldChar w:fldCharType="separate"/>
      </w:r>
      <w:r>
        <w:rPr>
          <w:color w:val="auto"/>
          <w:highlight w:val="none"/>
        </w:rPr>
        <w:t>454</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_Toc21203 </w:instrText>
      </w:r>
      <w:r>
        <w:rPr>
          <w:rFonts w:ascii="宋体" w:hAnsi="宋体" w:cs="宋体"/>
          <w:color w:val="auto"/>
          <w:highlight w:val="none"/>
        </w:rPr>
        <w:fldChar w:fldCharType="separate"/>
      </w:r>
      <w:r>
        <w:rPr>
          <w:rFonts w:hint="eastAsia" w:ascii="宋体" w:hAnsi="宋体" w:cs="宋体"/>
          <w:bCs/>
          <w:color w:val="auto"/>
          <w:szCs w:val="28"/>
          <w:highlight w:val="none"/>
        </w:rPr>
        <w:t>2.2 技术规范</w:t>
      </w:r>
      <w:r>
        <w:rPr>
          <w:color w:val="auto"/>
          <w:highlight w:val="none"/>
        </w:rPr>
        <w:tab/>
      </w:r>
      <w:r>
        <w:rPr>
          <w:color w:val="auto"/>
          <w:highlight w:val="none"/>
        </w:rPr>
        <w:fldChar w:fldCharType="begin"/>
      </w:r>
      <w:r>
        <w:rPr>
          <w:color w:val="auto"/>
          <w:highlight w:val="none"/>
        </w:rPr>
        <w:instrText xml:space="preserve"> PAGEREF _Toc21203 \h </w:instrText>
      </w:r>
      <w:r>
        <w:rPr>
          <w:color w:val="auto"/>
          <w:highlight w:val="none"/>
        </w:rPr>
        <w:fldChar w:fldCharType="separate"/>
      </w:r>
      <w:r>
        <w:rPr>
          <w:color w:val="auto"/>
          <w:highlight w:val="none"/>
        </w:rPr>
        <w:t>454</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_Toc16273 </w:instrText>
      </w:r>
      <w:r>
        <w:rPr>
          <w:rFonts w:ascii="宋体" w:hAnsi="宋体" w:cs="宋体"/>
          <w:color w:val="auto"/>
          <w:highlight w:val="none"/>
        </w:rPr>
        <w:fldChar w:fldCharType="separate"/>
      </w:r>
      <w:r>
        <w:rPr>
          <w:rFonts w:hint="eastAsia" w:ascii="宋体" w:hAnsi="宋体" w:cs="宋体"/>
          <w:bCs/>
          <w:color w:val="auto"/>
          <w:szCs w:val="28"/>
          <w:highlight w:val="none"/>
        </w:rPr>
        <w:t>2.3 知识产权</w:t>
      </w:r>
      <w:r>
        <w:rPr>
          <w:color w:val="auto"/>
          <w:highlight w:val="none"/>
        </w:rPr>
        <w:tab/>
      </w:r>
      <w:r>
        <w:rPr>
          <w:color w:val="auto"/>
          <w:highlight w:val="none"/>
        </w:rPr>
        <w:fldChar w:fldCharType="begin"/>
      </w:r>
      <w:r>
        <w:rPr>
          <w:color w:val="auto"/>
          <w:highlight w:val="none"/>
        </w:rPr>
        <w:instrText xml:space="preserve"> PAGEREF _Toc16273 \h </w:instrText>
      </w:r>
      <w:r>
        <w:rPr>
          <w:color w:val="auto"/>
          <w:highlight w:val="none"/>
        </w:rPr>
        <w:fldChar w:fldCharType="separate"/>
      </w:r>
      <w:r>
        <w:rPr>
          <w:color w:val="auto"/>
          <w:highlight w:val="none"/>
        </w:rPr>
        <w:t>454</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_Toc24536 </w:instrText>
      </w:r>
      <w:r>
        <w:rPr>
          <w:rFonts w:ascii="宋体" w:hAnsi="宋体" w:cs="宋体"/>
          <w:color w:val="auto"/>
          <w:highlight w:val="none"/>
        </w:rPr>
        <w:fldChar w:fldCharType="separate"/>
      </w:r>
      <w:r>
        <w:rPr>
          <w:rFonts w:hint="eastAsia" w:ascii="宋体" w:hAnsi="宋体" w:cs="宋体"/>
          <w:bCs/>
          <w:color w:val="auto"/>
          <w:szCs w:val="28"/>
          <w:highlight w:val="none"/>
        </w:rPr>
        <w:t>2.4 包装和装运</w:t>
      </w:r>
      <w:r>
        <w:rPr>
          <w:color w:val="auto"/>
          <w:highlight w:val="none"/>
        </w:rPr>
        <w:tab/>
      </w:r>
      <w:r>
        <w:rPr>
          <w:color w:val="auto"/>
          <w:highlight w:val="none"/>
        </w:rPr>
        <w:fldChar w:fldCharType="begin"/>
      </w:r>
      <w:r>
        <w:rPr>
          <w:color w:val="auto"/>
          <w:highlight w:val="none"/>
        </w:rPr>
        <w:instrText xml:space="preserve"> PAGEREF _Toc24536 \h </w:instrText>
      </w:r>
      <w:r>
        <w:rPr>
          <w:color w:val="auto"/>
          <w:highlight w:val="none"/>
        </w:rPr>
        <w:fldChar w:fldCharType="separate"/>
      </w:r>
      <w:r>
        <w:rPr>
          <w:color w:val="auto"/>
          <w:highlight w:val="none"/>
        </w:rPr>
        <w:t>455</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_Toc5941 </w:instrText>
      </w:r>
      <w:r>
        <w:rPr>
          <w:rFonts w:ascii="宋体" w:hAnsi="宋体" w:cs="宋体"/>
          <w:color w:val="auto"/>
          <w:highlight w:val="none"/>
        </w:rPr>
        <w:fldChar w:fldCharType="separate"/>
      </w:r>
      <w:r>
        <w:rPr>
          <w:rFonts w:hint="eastAsia" w:ascii="宋体" w:hAnsi="宋体" w:cs="宋体"/>
          <w:bCs/>
          <w:color w:val="auto"/>
          <w:szCs w:val="28"/>
          <w:highlight w:val="none"/>
        </w:rPr>
        <w:t>2.5 履约检查和问题反馈</w:t>
      </w:r>
      <w:r>
        <w:rPr>
          <w:color w:val="auto"/>
          <w:highlight w:val="none"/>
        </w:rPr>
        <w:tab/>
      </w:r>
      <w:r>
        <w:rPr>
          <w:color w:val="auto"/>
          <w:highlight w:val="none"/>
        </w:rPr>
        <w:fldChar w:fldCharType="begin"/>
      </w:r>
      <w:r>
        <w:rPr>
          <w:color w:val="auto"/>
          <w:highlight w:val="none"/>
        </w:rPr>
        <w:instrText xml:space="preserve"> PAGEREF _Toc5941 \h </w:instrText>
      </w:r>
      <w:r>
        <w:rPr>
          <w:color w:val="auto"/>
          <w:highlight w:val="none"/>
        </w:rPr>
        <w:fldChar w:fldCharType="separate"/>
      </w:r>
      <w:r>
        <w:rPr>
          <w:color w:val="auto"/>
          <w:highlight w:val="none"/>
        </w:rPr>
        <w:t>455</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_Toc1398 </w:instrText>
      </w:r>
      <w:r>
        <w:rPr>
          <w:rFonts w:ascii="宋体" w:hAnsi="宋体" w:cs="宋体"/>
          <w:color w:val="auto"/>
          <w:highlight w:val="none"/>
        </w:rPr>
        <w:fldChar w:fldCharType="separate"/>
      </w:r>
      <w:r>
        <w:rPr>
          <w:rFonts w:hint="eastAsia" w:ascii="宋体" w:hAnsi="宋体" w:cs="宋体"/>
          <w:bCs/>
          <w:color w:val="auto"/>
          <w:szCs w:val="28"/>
          <w:highlight w:val="none"/>
        </w:rPr>
        <w:t>2.6 技术资料和保密义务</w:t>
      </w:r>
      <w:r>
        <w:rPr>
          <w:color w:val="auto"/>
          <w:highlight w:val="none"/>
        </w:rPr>
        <w:tab/>
      </w:r>
      <w:r>
        <w:rPr>
          <w:color w:val="auto"/>
          <w:highlight w:val="none"/>
        </w:rPr>
        <w:fldChar w:fldCharType="begin"/>
      </w:r>
      <w:r>
        <w:rPr>
          <w:color w:val="auto"/>
          <w:highlight w:val="none"/>
        </w:rPr>
        <w:instrText xml:space="preserve"> PAGEREF _Toc1398 \h </w:instrText>
      </w:r>
      <w:r>
        <w:rPr>
          <w:color w:val="auto"/>
          <w:highlight w:val="none"/>
        </w:rPr>
        <w:fldChar w:fldCharType="separate"/>
      </w:r>
      <w:r>
        <w:rPr>
          <w:color w:val="auto"/>
          <w:highlight w:val="none"/>
        </w:rPr>
        <w:t>455</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_Toc9946 </w:instrText>
      </w:r>
      <w:r>
        <w:rPr>
          <w:rFonts w:ascii="宋体" w:hAnsi="宋体" w:cs="宋体"/>
          <w:color w:val="auto"/>
          <w:highlight w:val="none"/>
        </w:rPr>
        <w:fldChar w:fldCharType="separate"/>
      </w:r>
      <w:r>
        <w:rPr>
          <w:rFonts w:hint="eastAsia" w:ascii="宋体" w:hAnsi="宋体" w:cs="宋体"/>
          <w:bCs/>
          <w:color w:val="auto"/>
          <w:szCs w:val="28"/>
          <w:highlight w:val="none"/>
        </w:rPr>
        <w:t>2.7 质量保证</w:t>
      </w:r>
      <w:r>
        <w:rPr>
          <w:color w:val="auto"/>
          <w:highlight w:val="none"/>
        </w:rPr>
        <w:tab/>
      </w:r>
      <w:r>
        <w:rPr>
          <w:color w:val="auto"/>
          <w:highlight w:val="none"/>
        </w:rPr>
        <w:fldChar w:fldCharType="begin"/>
      </w:r>
      <w:r>
        <w:rPr>
          <w:color w:val="auto"/>
          <w:highlight w:val="none"/>
        </w:rPr>
        <w:instrText xml:space="preserve"> PAGEREF _Toc9946 \h </w:instrText>
      </w:r>
      <w:r>
        <w:rPr>
          <w:color w:val="auto"/>
          <w:highlight w:val="none"/>
        </w:rPr>
        <w:fldChar w:fldCharType="separate"/>
      </w:r>
      <w:r>
        <w:rPr>
          <w:color w:val="auto"/>
          <w:highlight w:val="none"/>
        </w:rPr>
        <w:t>456</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_Toc5087 </w:instrText>
      </w:r>
      <w:r>
        <w:rPr>
          <w:rFonts w:ascii="宋体" w:hAnsi="宋体" w:cs="宋体"/>
          <w:color w:val="auto"/>
          <w:highlight w:val="none"/>
        </w:rPr>
        <w:fldChar w:fldCharType="separate"/>
      </w:r>
      <w:r>
        <w:rPr>
          <w:rFonts w:hint="eastAsia" w:ascii="宋体" w:hAnsi="宋体" w:cs="宋体"/>
          <w:bCs/>
          <w:color w:val="auto"/>
          <w:szCs w:val="28"/>
          <w:highlight w:val="none"/>
        </w:rPr>
        <w:t>2.8 货物的风险负担</w:t>
      </w:r>
      <w:r>
        <w:rPr>
          <w:color w:val="auto"/>
          <w:highlight w:val="none"/>
        </w:rPr>
        <w:tab/>
      </w:r>
      <w:r>
        <w:rPr>
          <w:color w:val="auto"/>
          <w:highlight w:val="none"/>
        </w:rPr>
        <w:fldChar w:fldCharType="begin"/>
      </w:r>
      <w:r>
        <w:rPr>
          <w:color w:val="auto"/>
          <w:highlight w:val="none"/>
        </w:rPr>
        <w:instrText xml:space="preserve"> PAGEREF _Toc5087 \h </w:instrText>
      </w:r>
      <w:r>
        <w:rPr>
          <w:color w:val="auto"/>
          <w:highlight w:val="none"/>
        </w:rPr>
        <w:fldChar w:fldCharType="separate"/>
      </w:r>
      <w:r>
        <w:rPr>
          <w:color w:val="auto"/>
          <w:highlight w:val="none"/>
        </w:rPr>
        <w:t>456</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_Toc10863 </w:instrText>
      </w:r>
      <w:r>
        <w:rPr>
          <w:rFonts w:ascii="宋体" w:hAnsi="宋体" w:cs="宋体"/>
          <w:color w:val="auto"/>
          <w:highlight w:val="none"/>
        </w:rPr>
        <w:fldChar w:fldCharType="separate"/>
      </w:r>
      <w:r>
        <w:rPr>
          <w:rFonts w:hint="eastAsia" w:ascii="宋体" w:hAnsi="宋体" w:cs="宋体"/>
          <w:bCs/>
          <w:color w:val="auto"/>
          <w:szCs w:val="28"/>
          <w:highlight w:val="none"/>
        </w:rPr>
        <w:t>2.9 延迟履行</w:t>
      </w:r>
      <w:r>
        <w:rPr>
          <w:color w:val="auto"/>
          <w:highlight w:val="none"/>
        </w:rPr>
        <w:tab/>
      </w:r>
      <w:r>
        <w:rPr>
          <w:color w:val="auto"/>
          <w:highlight w:val="none"/>
        </w:rPr>
        <w:fldChar w:fldCharType="begin"/>
      </w:r>
      <w:r>
        <w:rPr>
          <w:color w:val="auto"/>
          <w:highlight w:val="none"/>
        </w:rPr>
        <w:instrText xml:space="preserve"> PAGEREF _Toc10863 \h </w:instrText>
      </w:r>
      <w:r>
        <w:rPr>
          <w:color w:val="auto"/>
          <w:highlight w:val="none"/>
        </w:rPr>
        <w:fldChar w:fldCharType="separate"/>
      </w:r>
      <w:r>
        <w:rPr>
          <w:color w:val="auto"/>
          <w:highlight w:val="none"/>
        </w:rPr>
        <w:t>456</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_Toc9069 </w:instrText>
      </w:r>
      <w:r>
        <w:rPr>
          <w:rFonts w:ascii="宋体" w:hAnsi="宋体" w:cs="宋体"/>
          <w:color w:val="auto"/>
          <w:highlight w:val="none"/>
        </w:rPr>
        <w:fldChar w:fldCharType="separate"/>
      </w:r>
      <w:r>
        <w:rPr>
          <w:rFonts w:hint="eastAsia" w:ascii="宋体" w:hAnsi="宋体" w:cs="宋体"/>
          <w:bCs/>
          <w:color w:val="auto"/>
          <w:szCs w:val="28"/>
          <w:highlight w:val="none"/>
        </w:rPr>
        <w:t>2.10 合同变更</w:t>
      </w:r>
      <w:r>
        <w:rPr>
          <w:color w:val="auto"/>
          <w:highlight w:val="none"/>
        </w:rPr>
        <w:tab/>
      </w:r>
      <w:r>
        <w:rPr>
          <w:color w:val="auto"/>
          <w:highlight w:val="none"/>
        </w:rPr>
        <w:fldChar w:fldCharType="begin"/>
      </w:r>
      <w:r>
        <w:rPr>
          <w:color w:val="auto"/>
          <w:highlight w:val="none"/>
        </w:rPr>
        <w:instrText xml:space="preserve"> PAGEREF _Toc9069 \h </w:instrText>
      </w:r>
      <w:r>
        <w:rPr>
          <w:color w:val="auto"/>
          <w:highlight w:val="none"/>
        </w:rPr>
        <w:fldChar w:fldCharType="separate"/>
      </w:r>
      <w:r>
        <w:rPr>
          <w:color w:val="auto"/>
          <w:highlight w:val="none"/>
        </w:rPr>
        <w:t>456</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_Toc16720 </w:instrText>
      </w:r>
      <w:r>
        <w:rPr>
          <w:rFonts w:ascii="宋体" w:hAnsi="宋体" w:cs="宋体"/>
          <w:color w:val="auto"/>
          <w:highlight w:val="none"/>
        </w:rPr>
        <w:fldChar w:fldCharType="separate"/>
      </w:r>
      <w:r>
        <w:rPr>
          <w:rFonts w:hint="eastAsia" w:ascii="宋体" w:hAnsi="宋体" w:cs="宋体"/>
          <w:bCs/>
          <w:color w:val="auto"/>
          <w:szCs w:val="28"/>
          <w:highlight w:val="none"/>
        </w:rPr>
        <w:t>2.11 合同转让和分包</w:t>
      </w:r>
      <w:r>
        <w:rPr>
          <w:color w:val="auto"/>
          <w:highlight w:val="none"/>
        </w:rPr>
        <w:tab/>
      </w:r>
      <w:r>
        <w:rPr>
          <w:color w:val="auto"/>
          <w:highlight w:val="none"/>
        </w:rPr>
        <w:fldChar w:fldCharType="begin"/>
      </w:r>
      <w:r>
        <w:rPr>
          <w:color w:val="auto"/>
          <w:highlight w:val="none"/>
        </w:rPr>
        <w:instrText xml:space="preserve"> PAGEREF _Toc16720 \h </w:instrText>
      </w:r>
      <w:r>
        <w:rPr>
          <w:color w:val="auto"/>
          <w:highlight w:val="none"/>
        </w:rPr>
        <w:fldChar w:fldCharType="separate"/>
      </w:r>
      <w:r>
        <w:rPr>
          <w:color w:val="auto"/>
          <w:highlight w:val="none"/>
        </w:rPr>
        <w:t>457</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_Toc25666 </w:instrText>
      </w:r>
      <w:r>
        <w:rPr>
          <w:rFonts w:ascii="宋体" w:hAnsi="宋体" w:cs="宋体"/>
          <w:color w:val="auto"/>
          <w:highlight w:val="none"/>
        </w:rPr>
        <w:fldChar w:fldCharType="separate"/>
      </w:r>
      <w:r>
        <w:rPr>
          <w:rFonts w:hint="eastAsia" w:ascii="宋体" w:hAnsi="宋体" w:cs="宋体"/>
          <w:bCs/>
          <w:color w:val="auto"/>
          <w:szCs w:val="28"/>
          <w:highlight w:val="none"/>
        </w:rPr>
        <w:t>2.12 不可抗力</w:t>
      </w:r>
      <w:r>
        <w:rPr>
          <w:color w:val="auto"/>
          <w:highlight w:val="none"/>
        </w:rPr>
        <w:tab/>
      </w:r>
      <w:r>
        <w:rPr>
          <w:color w:val="auto"/>
          <w:highlight w:val="none"/>
        </w:rPr>
        <w:fldChar w:fldCharType="begin"/>
      </w:r>
      <w:r>
        <w:rPr>
          <w:color w:val="auto"/>
          <w:highlight w:val="none"/>
        </w:rPr>
        <w:instrText xml:space="preserve"> PAGEREF _Toc25666 \h </w:instrText>
      </w:r>
      <w:r>
        <w:rPr>
          <w:color w:val="auto"/>
          <w:highlight w:val="none"/>
        </w:rPr>
        <w:fldChar w:fldCharType="separate"/>
      </w:r>
      <w:r>
        <w:rPr>
          <w:color w:val="auto"/>
          <w:highlight w:val="none"/>
        </w:rPr>
        <w:t>457</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_Toc9 </w:instrText>
      </w:r>
      <w:r>
        <w:rPr>
          <w:rFonts w:ascii="宋体" w:hAnsi="宋体" w:cs="宋体"/>
          <w:color w:val="auto"/>
          <w:highlight w:val="none"/>
        </w:rPr>
        <w:fldChar w:fldCharType="separate"/>
      </w:r>
      <w:r>
        <w:rPr>
          <w:rFonts w:hint="eastAsia" w:ascii="宋体" w:hAnsi="宋体" w:cs="宋体"/>
          <w:bCs/>
          <w:color w:val="auto"/>
          <w:szCs w:val="28"/>
          <w:highlight w:val="none"/>
        </w:rPr>
        <w:t>2.13 税费</w:t>
      </w:r>
      <w:r>
        <w:rPr>
          <w:color w:val="auto"/>
          <w:highlight w:val="none"/>
        </w:rPr>
        <w:tab/>
      </w:r>
      <w:r>
        <w:rPr>
          <w:color w:val="auto"/>
          <w:highlight w:val="none"/>
        </w:rPr>
        <w:fldChar w:fldCharType="begin"/>
      </w:r>
      <w:r>
        <w:rPr>
          <w:color w:val="auto"/>
          <w:highlight w:val="none"/>
        </w:rPr>
        <w:instrText xml:space="preserve"> PAGEREF _Toc9 \h </w:instrText>
      </w:r>
      <w:r>
        <w:rPr>
          <w:color w:val="auto"/>
          <w:highlight w:val="none"/>
        </w:rPr>
        <w:fldChar w:fldCharType="separate"/>
      </w:r>
      <w:r>
        <w:rPr>
          <w:color w:val="auto"/>
          <w:highlight w:val="none"/>
        </w:rPr>
        <w:t>457</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_Toc28558 </w:instrText>
      </w:r>
      <w:r>
        <w:rPr>
          <w:rFonts w:ascii="宋体" w:hAnsi="宋体" w:cs="宋体"/>
          <w:color w:val="auto"/>
          <w:highlight w:val="none"/>
        </w:rPr>
        <w:fldChar w:fldCharType="separate"/>
      </w:r>
      <w:r>
        <w:rPr>
          <w:rFonts w:hint="eastAsia" w:ascii="宋体" w:hAnsi="宋体" w:cs="宋体"/>
          <w:bCs/>
          <w:color w:val="auto"/>
          <w:szCs w:val="28"/>
          <w:highlight w:val="none"/>
        </w:rPr>
        <w:t>2.14 乙方破产</w:t>
      </w:r>
      <w:r>
        <w:rPr>
          <w:color w:val="auto"/>
          <w:highlight w:val="none"/>
        </w:rPr>
        <w:tab/>
      </w:r>
      <w:r>
        <w:rPr>
          <w:color w:val="auto"/>
          <w:highlight w:val="none"/>
        </w:rPr>
        <w:fldChar w:fldCharType="begin"/>
      </w:r>
      <w:r>
        <w:rPr>
          <w:color w:val="auto"/>
          <w:highlight w:val="none"/>
        </w:rPr>
        <w:instrText xml:space="preserve"> PAGEREF _Toc28558 \h </w:instrText>
      </w:r>
      <w:r>
        <w:rPr>
          <w:color w:val="auto"/>
          <w:highlight w:val="none"/>
        </w:rPr>
        <w:fldChar w:fldCharType="separate"/>
      </w:r>
      <w:r>
        <w:rPr>
          <w:color w:val="auto"/>
          <w:highlight w:val="none"/>
        </w:rPr>
        <w:t>457</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_Toc9822 </w:instrText>
      </w:r>
      <w:r>
        <w:rPr>
          <w:rFonts w:ascii="宋体" w:hAnsi="宋体" w:cs="宋体"/>
          <w:color w:val="auto"/>
          <w:highlight w:val="none"/>
        </w:rPr>
        <w:fldChar w:fldCharType="separate"/>
      </w:r>
      <w:r>
        <w:rPr>
          <w:rFonts w:hint="eastAsia" w:ascii="宋体" w:hAnsi="宋体" w:cs="宋体"/>
          <w:bCs/>
          <w:color w:val="auto"/>
          <w:szCs w:val="28"/>
          <w:highlight w:val="none"/>
        </w:rPr>
        <w:t>2.15 合同中止、终止</w:t>
      </w:r>
      <w:r>
        <w:rPr>
          <w:color w:val="auto"/>
          <w:highlight w:val="none"/>
        </w:rPr>
        <w:tab/>
      </w:r>
      <w:r>
        <w:rPr>
          <w:color w:val="auto"/>
          <w:highlight w:val="none"/>
        </w:rPr>
        <w:fldChar w:fldCharType="begin"/>
      </w:r>
      <w:r>
        <w:rPr>
          <w:color w:val="auto"/>
          <w:highlight w:val="none"/>
        </w:rPr>
        <w:instrText xml:space="preserve"> PAGEREF _Toc9822 \h </w:instrText>
      </w:r>
      <w:r>
        <w:rPr>
          <w:color w:val="auto"/>
          <w:highlight w:val="none"/>
        </w:rPr>
        <w:fldChar w:fldCharType="separate"/>
      </w:r>
      <w:r>
        <w:rPr>
          <w:color w:val="auto"/>
          <w:highlight w:val="none"/>
        </w:rPr>
        <w:t>458</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_Toc18432 </w:instrText>
      </w:r>
      <w:r>
        <w:rPr>
          <w:rFonts w:ascii="宋体" w:hAnsi="宋体" w:cs="宋体"/>
          <w:color w:val="auto"/>
          <w:highlight w:val="none"/>
        </w:rPr>
        <w:fldChar w:fldCharType="separate"/>
      </w:r>
      <w:r>
        <w:rPr>
          <w:rFonts w:hint="eastAsia" w:ascii="宋体" w:hAnsi="宋体" w:cs="宋体"/>
          <w:bCs/>
          <w:color w:val="auto"/>
          <w:szCs w:val="28"/>
          <w:highlight w:val="none"/>
        </w:rPr>
        <w:t>2.16 检验和验收</w:t>
      </w:r>
      <w:r>
        <w:rPr>
          <w:color w:val="auto"/>
          <w:highlight w:val="none"/>
        </w:rPr>
        <w:tab/>
      </w:r>
      <w:r>
        <w:rPr>
          <w:color w:val="auto"/>
          <w:highlight w:val="none"/>
        </w:rPr>
        <w:fldChar w:fldCharType="begin"/>
      </w:r>
      <w:r>
        <w:rPr>
          <w:color w:val="auto"/>
          <w:highlight w:val="none"/>
        </w:rPr>
        <w:instrText xml:space="preserve"> PAGEREF _Toc18432 \h </w:instrText>
      </w:r>
      <w:r>
        <w:rPr>
          <w:color w:val="auto"/>
          <w:highlight w:val="none"/>
        </w:rPr>
        <w:fldChar w:fldCharType="separate"/>
      </w:r>
      <w:r>
        <w:rPr>
          <w:color w:val="auto"/>
          <w:highlight w:val="none"/>
        </w:rPr>
        <w:t>458</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_Toc20057 </w:instrText>
      </w:r>
      <w:r>
        <w:rPr>
          <w:rFonts w:ascii="宋体" w:hAnsi="宋体" w:cs="宋体"/>
          <w:color w:val="auto"/>
          <w:highlight w:val="none"/>
        </w:rPr>
        <w:fldChar w:fldCharType="separate"/>
      </w:r>
      <w:r>
        <w:rPr>
          <w:rFonts w:hint="eastAsia" w:ascii="宋体" w:hAnsi="宋体" w:cs="宋体"/>
          <w:bCs/>
          <w:color w:val="auto"/>
          <w:szCs w:val="28"/>
          <w:highlight w:val="none"/>
        </w:rPr>
        <w:t>2.17 通知和送达</w:t>
      </w:r>
      <w:r>
        <w:rPr>
          <w:color w:val="auto"/>
          <w:highlight w:val="none"/>
        </w:rPr>
        <w:tab/>
      </w:r>
      <w:r>
        <w:rPr>
          <w:color w:val="auto"/>
          <w:highlight w:val="none"/>
        </w:rPr>
        <w:fldChar w:fldCharType="begin"/>
      </w:r>
      <w:r>
        <w:rPr>
          <w:color w:val="auto"/>
          <w:highlight w:val="none"/>
        </w:rPr>
        <w:instrText xml:space="preserve"> PAGEREF _Toc20057 \h </w:instrText>
      </w:r>
      <w:r>
        <w:rPr>
          <w:color w:val="auto"/>
          <w:highlight w:val="none"/>
        </w:rPr>
        <w:fldChar w:fldCharType="separate"/>
      </w:r>
      <w:r>
        <w:rPr>
          <w:color w:val="auto"/>
          <w:highlight w:val="none"/>
        </w:rPr>
        <w:t>458</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_Toc322 </w:instrText>
      </w:r>
      <w:r>
        <w:rPr>
          <w:rFonts w:ascii="宋体" w:hAnsi="宋体" w:cs="宋体"/>
          <w:color w:val="auto"/>
          <w:highlight w:val="none"/>
        </w:rPr>
        <w:fldChar w:fldCharType="separate"/>
      </w:r>
      <w:r>
        <w:rPr>
          <w:rFonts w:hint="eastAsia" w:ascii="宋体" w:hAnsi="宋体" w:cs="宋体"/>
          <w:bCs/>
          <w:color w:val="auto"/>
          <w:szCs w:val="28"/>
          <w:highlight w:val="none"/>
        </w:rPr>
        <w:t>2.18 合同使用的文字和适用的法律</w:t>
      </w:r>
      <w:r>
        <w:rPr>
          <w:color w:val="auto"/>
          <w:highlight w:val="none"/>
        </w:rPr>
        <w:tab/>
      </w:r>
      <w:r>
        <w:rPr>
          <w:color w:val="auto"/>
          <w:highlight w:val="none"/>
        </w:rPr>
        <w:fldChar w:fldCharType="begin"/>
      </w:r>
      <w:r>
        <w:rPr>
          <w:color w:val="auto"/>
          <w:highlight w:val="none"/>
        </w:rPr>
        <w:instrText xml:space="preserve"> PAGEREF _Toc322 \h </w:instrText>
      </w:r>
      <w:r>
        <w:rPr>
          <w:color w:val="auto"/>
          <w:highlight w:val="none"/>
        </w:rPr>
        <w:fldChar w:fldCharType="separate"/>
      </w:r>
      <w:r>
        <w:rPr>
          <w:color w:val="auto"/>
          <w:highlight w:val="none"/>
        </w:rPr>
        <w:t>459</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_Toc17559 </w:instrText>
      </w:r>
      <w:r>
        <w:rPr>
          <w:rFonts w:ascii="宋体" w:hAnsi="宋体" w:cs="宋体"/>
          <w:color w:val="auto"/>
          <w:highlight w:val="none"/>
        </w:rPr>
        <w:fldChar w:fldCharType="separate"/>
      </w:r>
      <w:r>
        <w:rPr>
          <w:rFonts w:hint="eastAsia" w:ascii="宋体" w:hAnsi="宋体" w:cs="宋体"/>
          <w:bCs/>
          <w:color w:val="auto"/>
          <w:szCs w:val="28"/>
          <w:highlight w:val="none"/>
        </w:rPr>
        <w:t>2.19 计量单位</w:t>
      </w:r>
      <w:r>
        <w:rPr>
          <w:color w:val="auto"/>
          <w:highlight w:val="none"/>
        </w:rPr>
        <w:tab/>
      </w:r>
      <w:r>
        <w:rPr>
          <w:color w:val="auto"/>
          <w:highlight w:val="none"/>
        </w:rPr>
        <w:fldChar w:fldCharType="begin"/>
      </w:r>
      <w:r>
        <w:rPr>
          <w:color w:val="auto"/>
          <w:highlight w:val="none"/>
        </w:rPr>
        <w:instrText xml:space="preserve"> PAGEREF _Toc17559 \h </w:instrText>
      </w:r>
      <w:r>
        <w:rPr>
          <w:color w:val="auto"/>
          <w:highlight w:val="none"/>
        </w:rPr>
        <w:fldChar w:fldCharType="separate"/>
      </w:r>
      <w:r>
        <w:rPr>
          <w:color w:val="auto"/>
          <w:highlight w:val="none"/>
        </w:rPr>
        <w:t>459</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_Toc26117 </w:instrText>
      </w:r>
      <w:r>
        <w:rPr>
          <w:rFonts w:ascii="宋体" w:hAnsi="宋体" w:cs="宋体"/>
          <w:color w:val="auto"/>
          <w:highlight w:val="none"/>
        </w:rPr>
        <w:fldChar w:fldCharType="separate"/>
      </w:r>
      <w:r>
        <w:rPr>
          <w:rFonts w:hint="eastAsia" w:ascii="宋体" w:hAnsi="宋体" w:cs="宋体"/>
          <w:bCs/>
          <w:color w:val="auto"/>
          <w:szCs w:val="28"/>
          <w:highlight w:val="none"/>
        </w:rPr>
        <w:t>2.20 履约保证金</w:t>
      </w:r>
      <w:r>
        <w:rPr>
          <w:color w:val="auto"/>
          <w:highlight w:val="none"/>
        </w:rPr>
        <w:tab/>
      </w:r>
      <w:r>
        <w:rPr>
          <w:color w:val="auto"/>
          <w:highlight w:val="none"/>
        </w:rPr>
        <w:fldChar w:fldCharType="begin"/>
      </w:r>
      <w:r>
        <w:rPr>
          <w:color w:val="auto"/>
          <w:highlight w:val="none"/>
        </w:rPr>
        <w:instrText xml:space="preserve"> PAGEREF _Toc26117 \h </w:instrText>
      </w:r>
      <w:r>
        <w:rPr>
          <w:color w:val="auto"/>
          <w:highlight w:val="none"/>
        </w:rPr>
        <w:fldChar w:fldCharType="separate"/>
      </w:r>
      <w:r>
        <w:rPr>
          <w:color w:val="auto"/>
          <w:highlight w:val="none"/>
        </w:rPr>
        <w:t>459</w:t>
      </w:r>
      <w:r>
        <w:rPr>
          <w:color w:val="auto"/>
          <w:highlight w:val="none"/>
        </w:rPr>
        <w:fldChar w:fldCharType="end"/>
      </w:r>
      <w:r>
        <w:rPr>
          <w:rFonts w:ascii="宋体" w:hAnsi="宋体" w:cs="宋体"/>
          <w:color w:val="auto"/>
          <w:highlight w:val="none"/>
        </w:rPr>
        <w:fldChar w:fldCharType="end"/>
      </w:r>
    </w:p>
    <w:p>
      <w:pPr>
        <w:pStyle w:val="37"/>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_Toc24360 </w:instrText>
      </w:r>
      <w:r>
        <w:rPr>
          <w:rFonts w:ascii="宋体" w:hAnsi="宋体" w:cs="宋体"/>
          <w:color w:val="auto"/>
          <w:highlight w:val="none"/>
        </w:rPr>
        <w:fldChar w:fldCharType="separate"/>
      </w:r>
      <w:r>
        <w:rPr>
          <w:rFonts w:hint="eastAsia" w:ascii="宋体" w:hAnsi="宋体" w:cs="宋体"/>
          <w:bCs/>
          <w:color w:val="auto"/>
          <w:szCs w:val="28"/>
          <w:highlight w:val="none"/>
        </w:rPr>
        <w:t>2.21 合同份数</w:t>
      </w:r>
      <w:r>
        <w:rPr>
          <w:color w:val="auto"/>
          <w:highlight w:val="none"/>
        </w:rPr>
        <w:tab/>
      </w:r>
      <w:r>
        <w:rPr>
          <w:color w:val="auto"/>
          <w:highlight w:val="none"/>
        </w:rPr>
        <w:fldChar w:fldCharType="begin"/>
      </w:r>
      <w:r>
        <w:rPr>
          <w:color w:val="auto"/>
          <w:highlight w:val="none"/>
        </w:rPr>
        <w:instrText xml:space="preserve"> PAGEREF _Toc24360 \h </w:instrText>
      </w:r>
      <w:r>
        <w:rPr>
          <w:color w:val="auto"/>
          <w:highlight w:val="none"/>
        </w:rPr>
        <w:fldChar w:fldCharType="separate"/>
      </w:r>
      <w:r>
        <w:rPr>
          <w:color w:val="auto"/>
          <w:highlight w:val="none"/>
        </w:rPr>
        <w:t>459</w:t>
      </w:r>
      <w:r>
        <w:rPr>
          <w:color w:val="auto"/>
          <w:highlight w:val="none"/>
        </w:rPr>
        <w:fldChar w:fldCharType="end"/>
      </w:r>
      <w:r>
        <w:rPr>
          <w:rFonts w:ascii="宋体" w:hAnsi="宋体" w:cs="宋体"/>
          <w:color w:val="auto"/>
          <w:highlight w:val="none"/>
        </w:rPr>
        <w:fldChar w:fldCharType="end"/>
      </w:r>
    </w:p>
    <w:p>
      <w:pPr>
        <w:pStyle w:val="33"/>
        <w:tabs>
          <w:tab w:val="right" w:leader="dot" w:pos="8312"/>
        </w:tabs>
        <w:rPr>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HYPERLINK \l _Toc20329 </w:instrText>
      </w:r>
      <w:r>
        <w:rPr>
          <w:rFonts w:ascii="宋体" w:hAnsi="宋体" w:cs="宋体"/>
          <w:color w:val="auto"/>
          <w:highlight w:val="none"/>
        </w:rPr>
        <w:fldChar w:fldCharType="separate"/>
      </w:r>
      <w:r>
        <w:rPr>
          <w:rFonts w:hint="eastAsia" w:hAnsi="宋体" w:cs="宋体"/>
          <w:bCs/>
          <w:color w:val="auto"/>
          <w:kern w:val="2"/>
          <w:szCs w:val="28"/>
          <w:highlight w:val="none"/>
        </w:rPr>
        <w:t>第三部分  合同专用条款</w:t>
      </w:r>
      <w:r>
        <w:rPr>
          <w:color w:val="auto"/>
          <w:highlight w:val="none"/>
        </w:rPr>
        <w:tab/>
      </w:r>
      <w:r>
        <w:rPr>
          <w:color w:val="auto"/>
          <w:highlight w:val="none"/>
        </w:rPr>
        <w:fldChar w:fldCharType="begin"/>
      </w:r>
      <w:r>
        <w:rPr>
          <w:color w:val="auto"/>
          <w:highlight w:val="none"/>
        </w:rPr>
        <w:instrText xml:space="preserve"> PAGEREF _Toc20329 \h </w:instrText>
      </w:r>
      <w:r>
        <w:rPr>
          <w:color w:val="auto"/>
          <w:highlight w:val="none"/>
        </w:rPr>
        <w:fldChar w:fldCharType="separate"/>
      </w:r>
      <w:r>
        <w:rPr>
          <w:color w:val="auto"/>
          <w:highlight w:val="none"/>
        </w:rPr>
        <w:t>459</w:t>
      </w:r>
      <w:r>
        <w:rPr>
          <w:color w:val="auto"/>
          <w:highlight w:val="none"/>
        </w:rPr>
        <w:fldChar w:fldCharType="end"/>
      </w:r>
      <w:r>
        <w:rPr>
          <w:rFonts w:ascii="宋体" w:hAnsi="宋体" w:cs="宋体"/>
          <w:color w:val="auto"/>
          <w:highlight w:val="none"/>
        </w:rPr>
        <w:fldChar w:fldCharType="end"/>
      </w:r>
    </w:p>
    <w:p>
      <w:pPr>
        <w:spacing w:line="360" w:lineRule="auto"/>
        <w:ind w:left="1080" w:leftChars="257" w:hanging="540"/>
        <w:jc w:val="center"/>
        <w:rPr>
          <w:rFonts w:ascii="宋体" w:hAnsi="宋体" w:cs="宋体"/>
          <w:b/>
          <w:color w:val="auto"/>
          <w:sz w:val="32"/>
          <w:highlight w:val="none"/>
        </w:rPr>
      </w:pPr>
      <w:r>
        <w:rPr>
          <w:rFonts w:ascii="宋体" w:hAnsi="宋体" w:cs="宋体"/>
          <w:color w:val="auto"/>
          <w:highlight w:val="none"/>
        </w:rPr>
        <w:fldChar w:fldCharType="end"/>
      </w:r>
    </w:p>
    <w:p>
      <w:pPr>
        <w:rPr>
          <w:rFonts w:ascii="宋体" w:hAnsi="宋体" w:cs="宋体"/>
          <w:color w:val="auto"/>
          <w:highlight w:val="none"/>
        </w:rPr>
      </w:pPr>
      <w:bookmarkStart w:id="0" w:name="_Toc9228"/>
      <w:bookmarkStart w:id="1" w:name="_Toc216582804"/>
      <w:bookmarkStart w:id="2" w:name="_Toc7254"/>
    </w:p>
    <w:p>
      <w:pPr>
        <w:pStyle w:val="3"/>
        <w:tabs>
          <w:tab w:val="left" w:pos="0"/>
        </w:tabs>
        <w:spacing w:before="0" w:after="0" w:line="360" w:lineRule="auto"/>
        <w:ind w:left="630"/>
        <w:jc w:val="both"/>
        <w:rPr>
          <w:rFonts w:hAnsi="宋体" w:cs="宋体"/>
          <w:color w:val="auto"/>
          <w:highlight w:val="none"/>
        </w:rPr>
      </w:pPr>
      <w:r>
        <w:rPr>
          <w:rFonts w:hint="eastAsia" w:hAnsi="宋体" w:cs="宋体"/>
          <w:color w:val="auto"/>
          <w:kern w:val="0"/>
          <w:szCs w:val="21"/>
          <w:highlight w:val="none"/>
        </w:rPr>
        <w:br w:type="page"/>
      </w:r>
      <w:r>
        <w:rPr>
          <w:rFonts w:hint="eastAsia" w:hAnsi="宋体" w:cs="宋体"/>
          <w:color w:val="auto"/>
          <w:kern w:val="0"/>
          <w:szCs w:val="21"/>
          <w:highlight w:val="none"/>
        </w:rPr>
        <w:t xml:space="preserve">            </w:t>
      </w:r>
      <w:bookmarkStart w:id="3" w:name="_Toc17956"/>
      <w:bookmarkStart w:id="4" w:name="_Toc1061557492"/>
      <w:r>
        <w:rPr>
          <w:rFonts w:hint="eastAsia" w:hAnsi="宋体" w:cs="宋体"/>
          <w:color w:val="auto"/>
          <w:kern w:val="0"/>
          <w:szCs w:val="21"/>
          <w:highlight w:val="none"/>
        </w:rPr>
        <w:t xml:space="preserve">第1章 </w:t>
      </w:r>
      <w:r>
        <w:rPr>
          <w:rFonts w:hint="eastAsia" w:hAnsi="宋体" w:cs="宋体"/>
          <w:color w:val="auto"/>
          <w:highlight w:val="none"/>
        </w:rPr>
        <w:t xml:space="preserve"> </w:t>
      </w:r>
      <w:bookmarkStart w:id="5" w:name="_Toc518923059"/>
      <w:bookmarkStart w:id="6" w:name="_Toc24295"/>
      <w:r>
        <w:rPr>
          <w:rFonts w:hint="eastAsia" w:hAnsi="宋体" w:cs="宋体"/>
          <w:color w:val="auto"/>
          <w:highlight w:val="none"/>
        </w:rPr>
        <w:t>投标人须知</w:t>
      </w:r>
      <w:bookmarkEnd w:id="0"/>
      <w:bookmarkEnd w:id="1"/>
      <w:bookmarkEnd w:id="2"/>
      <w:bookmarkEnd w:id="3"/>
      <w:bookmarkEnd w:id="4"/>
      <w:bookmarkEnd w:id="5"/>
      <w:bookmarkEnd w:id="6"/>
    </w:p>
    <w:p>
      <w:pPr>
        <w:spacing w:line="360" w:lineRule="auto"/>
        <w:rPr>
          <w:rFonts w:ascii="宋体" w:hAnsi="宋体" w:cs="宋体"/>
          <w:color w:val="auto"/>
          <w:highlight w:val="none"/>
        </w:rPr>
      </w:pPr>
    </w:p>
    <w:p>
      <w:pPr>
        <w:pStyle w:val="4"/>
        <w:rPr>
          <w:rFonts w:ascii="宋体" w:hAnsi="宋体" w:eastAsia="宋体" w:cs="宋体"/>
          <w:color w:val="auto"/>
          <w:highlight w:val="none"/>
        </w:rPr>
      </w:pPr>
      <w:bookmarkStart w:id="7" w:name="_Toc216582805"/>
      <w:bookmarkStart w:id="8" w:name="_Toc520356143"/>
      <w:bookmarkStart w:id="9" w:name="_Toc518923060"/>
      <w:bookmarkStart w:id="10" w:name="_Toc302628768"/>
      <w:bookmarkStart w:id="11" w:name="_Toc9485"/>
      <w:bookmarkStart w:id="12" w:name="_Toc22313"/>
      <w:bookmarkStart w:id="13" w:name="_Toc22405"/>
      <w:bookmarkStart w:id="14" w:name="_Toc29666"/>
      <w:r>
        <w:rPr>
          <w:rFonts w:hint="eastAsia" w:ascii="宋体" w:hAnsi="宋体" w:eastAsia="宋体" w:cs="宋体"/>
          <w:color w:val="auto"/>
          <w:highlight w:val="none"/>
        </w:rPr>
        <w:t xml:space="preserve">一   </w:t>
      </w:r>
      <w:bookmarkEnd w:id="7"/>
      <w:bookmarkEnd w:id="8"/>
      <w:r>
        <w:rPr>
          <w:rFonts w:hint="eastAsia" w:ascii="宋体" w:hAnsi="宋体" w:eastAsia="宋体" w:cs="宋体"/>
          <w:color w:val="auto"/>
          <w:highlight w:val="none"/>
        </w:rPr>
        <w:t>总  则</w:t>
      </w:r>
      <w:bookmarkEnd w:id="9"/>
      <w:bookmarkEnd w:id="10"/>
      <w:bookmarkEnd w:id="11"/>
      <w:bookmarkEnd w:id="12"/>
      <w:bookmarkEnd w:id="13"/>
      <w:bookmarkEnd w:id="14"/>
    </w:p>
    <w:p>
      <w:pPr>
        <w:pStyle w:val="15"/>
        <w:spacing w:line="360" w:lineRule="auto"/>
        <w:rPr>
          <w:rFonts w:hAnsi="宋体" w:cs="宋体"/>
          <w:color w:val="auto"/>
          <w:highlight w:val="none"/>
        </w:rPr>
      </w:pPr>
    </w:p>
    <w:p>
      <w:pPr>
        <w:pStyle w:val="5"/>
        <w:spacing w:before="0" w:after="0" w:line="360" w:lineRule="auto"/>
        <w:rPr>
          <w:rFonts w:hAnsi="宋体" w:cs="宋体"/>
          <w:color w:val="auto"/>
          <w:highlight w:val="none"/>
          <w:u w:val="none"/>
        </w:rPr>
      </w:pPr>
      <w:bookmarkStart w:id="15" w:name="_Toc520356144"/>
      <w:bookmarkStart w:id="16" w:name="_Toc1040427680"/>
      <w:bookmarkStart w:id="17" w:name="_Toc29814"/>
      <w:bookmarkStart w:id="18" w:name="_Toc10238"/>
      <w:bookmarkStart w:id="19" w:name="_Toc518923061"/>
      <w:bookmarkStart w:id="20" w:name="_Toc12013"/>
      <w:bookmarkStart w:id="21" w:name="_Toc1500"/>
      <w:r>
        <w:rPr>
          <w:rFonts w:hint="eastAsia" w:hAnsi="宋体" w:cs="宋体"/>
          <w:color w:val="auto"/>
          <w:highlight w:val="none"/>
          <w:u w:val="none"/>
        </w:rPr>
        <w:t>1.采购人、采购代理机构及</w:t>
      </w:r>
      <w:bookmarkEnd w:id="15"/>
      <w:r>
        <w:rPr>
          <w:rFonts w:hint="eastAsia" w:hAnsi="宋体" w:cs="宋体"/>
          <w:color w:val="auto"/>
          <w:highlight w:val="none"/>
          <w:u w:val="none"/>
        </w:rPr>
        <w:t>投标人</w:t>
      </w:r>
      <w:bookmarkEnd w:id="16"/>
      <w:bookmarkEnd w:id="17"/>
      <w:bookmarkEnd w:id="18"/>
      <w:bookmarkEnd w:id="19"/>
      <w:bookmarkEnd w:id="20"/>
      <w:bookmarkEnd w:id="21"/>
    </w:p>
    <w:p>
      <w:pPr>
        <w:numPr>
          <w:ilvl w:val="1"/>
          <w:numId w:val="2"/>
        </w:numPr>
        <w:tabs>
          <w:tab w:val="left" w:pos="0"/>
          <w:tab w:val="clear" w:pos="900"/>
        </w:tabs>
        <w:spacing w:line="360" w:lineRule="auto"/>
        <w:ind w:hanging="898"/>
        <w:rPr>
          <w:rFonts w:ascii="宋体" w:hAnsi="宋体" w:cs="宋体"/>
          <w:color w:val="auto"/>
          <w:sz w:val="24"/>
          <w:highlight w:val="none"/>
        </w:rPr>
      </w:pPr>
      <w:r>
        <w:rPr>
          <w:rFonts w:hint="eastAsia" w:ascii="宋体" w:hAnsi="宋体" w:cs="宋体"/>
          <w:color w:val="auto"/>
          <w:sz w:val="24"/>
          <w:highlight w:val="none"/>
        </w:rPr>
        <w:t>采购人：是指依法开展政府采购活动的国家机关、事业单位、团体组织。</w:t>
      </w:r>
    </w:p>
    <w:p>
      <w:pPr>
        <w:tabs>
          <w:tab w:val="left" w:pos="0"/>
        </w:tabs>
        <w:spacing w:line="360" w:lineRule="auto"/>
        <w:ind w:left="900"/>
        <w:rPr>
          <w:rFonts w:ascii="宋体" w:hAnsi="宋体" w:cs="宋体"/>
          <w:color w:val="auto"/>
          <w:sz w:val="24"/>
          <w:highlight w:val="none"/>
        </w:rPr>
      </w:pPr>
      <w:r>
        <w:rPr>
          <w:rFonts w:hint="eastAsia" w:ascii="宋体" w:hAnsi="宋体" w:cs="宋体"/>
          <w:color w:val="auto"/>
          <w:sz w:val="24"/>
          <w:highlight w:val="none"/>
        </w:rPr>
        <w:t>本项目的采购人见</w:t>
      </w:r>
      <w:r>
        <w:rPr>
          <w:rFonts w:hint="eastAsia" w:ascii="宋体" w:hAnsi="宋体" w:cs="宋体"/>
          <w:b/>
          <w:bCs/>
          <w:color w:val="auto"/>
          <w:sz w:val="24"/>
          <w:highlight w:val="none"/>
          <w:u w:val="single"/>
        </w:rPr>
        <w:t>投标人须知资料表</w:t>
      </w:r>
      <w:r>
        <w:rPr>
          <w:rFonts w:hint="eastAsia" w:ascii="宋体" w:hAnsi="宋体" w:cs="宋体"/>
          <w:color w:val="auto"/>
          <w:sz w:val="24"/>
          <w:highlight w:val="none"/>
        </w:rPr>
        <w:t>。</w:t>
      </w:r>
    </w:p>
    <w:p>
      <w:pPr>
        <w:numPr>
          <w:ilvl w:val="1"/>
          <w:numId w:val="2"/>
        </w:numPr>
        <w:tabs>
          <w:tab w:val="left" w:pos="0"/>
          <w:tab w:val="clear" w:pos="900"/>
        </w:tabs>
        <w:spacing w:line="360" w:lineRule="auto"/>
        <w:ind w:hanging="898"/>
        <w:rPr>
          <w:rFonts w:ascii="宋体" w:hAnsi="宋体" w:cs="宋体"/>
          <w:color w:val="auto"/>
          <w:sz w:val="24"/>
          <w:highlight w:val="none"/>
        </w:rPr>
      </w:pPr>
      <w:r>
        <w:rPr>
          <w:rFonts w:hint="eastAsia" w:ascii="宋体" w:hAnsi="宋体" w:cs="宋体"/>
          <w:color w:val="auto"/>
          <w:sz w:val="24"/>
          <w:highlight w:val="none"/>
        </w:rPr>
        <w:t>采购代理机构：是指集中采购机构或从事采购代理业务的社会中介机构。本项目的采购代理机构见</w:t>
      </w:r>
      <w:r>
        <w:rPr>
          <w:rFonts w:hint="eastAsia" w:ascii="宋体" w:hAnsi="宋体" w:cs="宋体"/>
          <w:b/>
          <w:bCs/>
          <w:color w:val="auto"/>
          <w:sz w:val="24"/>
          <w:highlight w:val="none"/>
          <w:u w:val="single"/>
        </w:rPr>
        <w:t>投标人须知资料表</w:t>
      </w:r>
      <w:r>
        <w:rPr>
          <w:rFonts w:hint="eastAsia" w:ascii="宋体" w:hAnsi="宋体" w:cs="宋体"/>
          <w:color w:val="auto"/>
          <w:sz w:val="24"/>
          <w:highlight w:val="none"/>
        </w:rPr>
        <w:t>。</w:t>
      </w:r>
    </w:p>
    <w:p>
      <w:pPr>
        <w:numPr>
          <w:ilvl w:val="1"/>
          <w:numId w:val="2"/>
        </w:numPr>
        <w:spacing w:line="360" w:lineRule="auto"/>
        <w:ind w:hangingChars="375"/>
        <w:rPr>
          <w:rFonts w:ascii="宋体" w:hAnsi="宋体" w:cs="宋体"/>
          <w:color w:val="auto"/>
          <w:sz w:val="24"/>
          <w:highlight w:val="none"/>
        </w:rPr>
      </w:pPr>
      <w:r>
        <w:rPr>
          <w:rFonts w:hint="eastAsia" w:ascii="宋体" w:hAnsi="宋体" w:cs="宋体"/>
          <w:color w:val="auto"/>
          <w:sz w:val="24"/>
          <w:highlight w:val="none"/>
        </w:rPr>
        <w:t>投标人：是指向采购人提供货物、工程或者服务的法人、非法人组织或者自然人。本项目的投标人须满足以下条件：</w:t>
      </w:r>
    </w:p>
    <w:p>
      <w:pPr>
        <w:spacing w:line="360" w:lineRule="auto"/>
        <w:ind w:left="850" w:hanging="849" w:hangingChars="354"/>
        <w:rPr>
          <w:rFonts w:ascii="宋体" w:hAnsi="宋体" w:cs="宋体"/>
          <w:color w:val="auto"/>
          <w:sz w:val="24"/>
          <w:highlight w:val="none"/>
        </w:rPr>
      </w:pPr>
      <w:r>
        <w:rPr>
          <w:rFonts w:hint="eastAsia" w:ascii="宋体" w:hAnsi="宋体" w:cs="宋体"/>
          <w:color w:val="auto"/>
          <w:sz w:val="24"/>
          <w:highlight w:val="none"/>
        </w:rPr>
        <w:t>1.3.1</w:t>
      </w:r>
      <w:r>
        <w:rPr>
          <w:rFonts w:hint="eastAsia" w:ascii="宋体" w:hAnsi="宋体" w:cs="宋体"/>
          <w:color w:val="auto"/>
          <w:sz w:val="24"/>
          <w:highlight w:val="none"/>
        </w:rPr>
        <w:tab/>
      </w:r>
      <w:r>
        <w:rPr>
          <w:rFonts w:hint="eastAsia" w:ascii="宋体" w:hAnsi="宋体" w:cs="宋体"/>
          <w:color w:val="auto"/>
          <w:sz w:val="24"/>
          <w:highlight w:val="none"/>
        </w:rPr>
        <w:t>在中华人民共和国境内注册，能够独立承担民事责任，有生产或供应能力的本国供应商。</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1.3.2  具备《中华人民共和国政府采购法》第二十二条关于供应商条件的规定，遵守本项目采购人本级和上级财政部门政府采购的有关规定。</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1.3.3   以采购代理机构认可的方式获得了本项目的招标文件。</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1.3.4   符合</w:t>
      </w:r>
      <w:r>
        <w:rPr>
          <w:rFonts w:hint="eastAsia" w:ascii="宋体" w:hAnsi="宋体" w:cs="宋体"/>
          <w:b/>
          <w:bCs/>
          <w:color w:val="auto"/>
          <w:sz w:val="24"/>
          <w:highlight w:val="none"/>
          <w:u w:val="single"/>
        </w:rPr>
        <w:t>投标人须知资料表</w:t>
      </w:r>
      <w:r>
        <w:rPr>
          <w:rFonts w:hint="eastAsia" w:ascii="宋体" w:hAnsi="宋体" w:cs="宋体"/>
          <w:color w:val="auto"/>
          <w:sz w:val="24"/>
          <w:highlight w:val="none"/>
        </w:rPr>
        <w:t>中规定的其他要求。</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1.3.5   若</w:t>
      </w:r>
      <w:r>
        <w:rPr>
          <w:rFonts w:hint="eastAsia" w:ascii="宋体" w:hAnsi="宋体" w:cs="宋体"/>
          <w:b/>
          <w:bCs/>
          <w:color w:val="auto"/>
          <w:sz w:val="24"/>
          <w:highlight w:val="none"/>
          <w:u w:val="single"/>
        </w:rPr>
        <w:t>投标人须知资料表</w:t>
      </w:r>
      <w:r>
        <w:rPr>
          <w:rFonts w:hint="eastAsia" w:ascii="宋体" w:hAnsi="宋体" w:cs="宋体"/>
          <w:color w:val="auto"/>
          <w:sz w:val="24"/>
          <w:highlight w:val="none"/>
        </w:rPr>
        <w:t>中写明专门面向中小企业采购的，如投标人为非中小企业，其投标将被认定为投标无效。</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1.4     如</w:t>
      </w:r>
      <w:r>
        <w:rPr>
          <w:rFonts w:hint="eastAsia" w:ascii="宋体" w:hAnsi="宋体" w:cs="宋体"/>
          <w:b/>
          <w:bCs/>
          <w:color w:val="auto"/>
          <w:sz w:val="24"/>
          <w:highlight w:val="none"/>
          <w:u w:val="single"/>
        </w:rPr>
        <w:t>投标人须知资料表</w:t>
      </w:r>
      <w:r>
        <w:rPr>
          <w:rFonts w:hint="eastAsia" w:ascii="宋体" w:hAnsi="宋体" w:cs="宋体"/>
          <w:color w:val="auto"/>
          <w:sz w:val="24"/>
          <w:highlight w:val="none"/>
        </w:rPr>
        <w:t>中允许联合体投标，对联合体规定如下：</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1.4.1   两个以上供应商可以组成一个投标联合体，以一个投标人的身份投标。</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1.4.2   联合体各方均应符合《中华人民共和国政府采购法》第二十二条规定的条件。</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1.4.3   采购人根据采购项目对投标人的特殊要求，联合体中至少应当有一方符合相关规定。</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1.4.4   联合体各方应签订共同投标协议，明确约定联合体各方承担的工作和相应的责任，并将共同投标协议连同投标文件一并提交招标采购单位。</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1.4.5   大中型企业、其他自然人、法人或者非法人组织与小型、微型企业组成联合体共同参加投标，共同投标协议中应写明小型、微型企业的协议合同金额占到共同投标协议投标总金额的比例。</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1.4.6  联合体中有同类资质的供应商按照联合体分工承担相同工作的，按照资质等级较低的供应商确定资质等级。</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1.4.7  以联合体形式参加政府采购活动的，联合体各方不得再单独参加或者与其他供应商另外组成联合体参加本项目投标，否则相关投标将被认定为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1.4.8   对联合体投标的其他资格要求见</w:t>
      </w:r>
      <w:r>
        <w:rPr>
          <w:rFonts w:hint="eastAsia" w:ascii="宋体" w:hAnsi="宋体" w:cs="宋体"/>
          <w:b/>
          <w:bCs/>
          <w:color w:val="auto"/>
          <w:sz w:val="24"/>
          <w:highlight w:val="none"/>
          <w:u w:val="single"/>
        </w:rPr>
        <w:t>投标人须知资料表</w:t>
      </w:r>
      <w:r>
        <w:rPr>
          <w:rFonts w:hint="eastAsia" w:ascii="宋体" w:hAnsi="宋体" w:cs="宋体"/>
          <w:color w:val="auto"/>
          <w:sz w:val="24"/>
          <w:highlight w:val="none"/>
        </w:rPr>
        <w:t>。</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1.5    单位负责人为同一人或者存在直接控股、管理关系的不同供应商，其相关投标将被认定为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 xml:space="preserve">1.6   </w:t>
      </w:r>
      <w:r>
        <w:rPr>
          <w:rFonts w:hint="eastAsia" w:ascii="宋体" w:hAnsi="宋体" w:cs="宋体"/>
          <w:b w:val="0"/>
          <w:bCs w:val="0"/>
          <w:color w:val="auto"/>
          <w:sz w:val="24"/>
          <w:highlight w:val="none"/>
        </w:rPr>
        <w:t xml:space="preserve"> 为本项目提供过整体设计、规范编制或者项目管理、监理、检测等服务的供应商，不得再参加本项目上述服务以外的其他采购活动。否则其投标将被认定为</w:t>
      </w:r>
      <w:r>
        <w:rPr>
          <w:rFonts w:hint="eastAsia" w:ascii="宋体" w:hAnsi="宋体" w:cs="宋体"/>
          <w:b/>
          <w:color w:val="auto"/>
          <w:sz w:val="24"/>
          <w:highlight w:val="none"/>
        </w:rPr>
        <w:t>投标无效。</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1.7</w:t>
      </w:r>
      <w:r>
        <w:rPr>
          <w:rFonts w:hint="eastAsia" w:ascii="宋体" w:hAnsi="宋体" w:cs="宋体"/>
          <w:color w:val="auto"/>
          <w:sz w:val="24"/>
          <w:highlight w:val="none"/>
        </w:rPr>
        <w:tab/>
      </w:r>
      <w:r>
        <w:rPr>
          <w:rFonts w:hint="eastAsia" w:ascii="宋体" w:hAnsi="宋体" w:cs="宋体"/>
          <w:color w:val="auto"/>
          <w:sz w:val="24"/>
          <w:highlight w:val="none"/>
        </w:rPr>
        <w:t>投标人在投标过程中不得向采购人提供或给予影响其正常决策行为的任何有价值物品或服务。一经发现，其投标将被认定为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pPr>
        <w:pStyle w:val="5"/>
        <w:spacing w:before="0" w:after="0" w:line="360" w:lineRule="auto"/>
        <w:rPr>
          <w:rFonts w:hAnsi="宋体" w:cs="宋体"/>
          <w:color w:val="auto"/>
          <w:highlight w:val="none"/>
          <w:u w:val="none"/>
        </w:rPr>
      </w:pPr>
      <w:bookmarkStart w:id="22" w:name="_Toc2643"/>
      <w:bookmarkStart w:id="23" w:name="_Toc1656163886"/>
      <w:bookmarkStart w:id="24" w:name="_Toc518923062"/>
      <w:bookmarkStart w:id="25" w:name="_Toc27990"/>
      <w:bookmarkStart w:id="26" w:name="_Toc17203"/>
      <w:bookmarkStart w:id="27" w:name="_Toc17198"/>
      <w:r>
        <w:rPr>
          <w:rFonts w:hint="eastAsia" w:hAnsi="宋体" w:cs="宋体"/>
          <w:color w:val="auto"/>
          <w:highlight w:val="none"/>
          <w:u w:val="none"/>
        </w:rPr>
        <w:t>2.资金来源</w:t>
      </w:r>
      <w:bookmarkEnd w:id="22"/>
      <w:bookmarkEnd w:id="23"/>
      <w:bookmarkEnd w:id="24"/>
      <w:bookmarkEnd w:id="25"/>
      <w:bookmarkEnd w:id="26"/>
      <w:bookmarkEnd w:id="27"/>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rPr>
        <w:tab/>
      </w:r>
      <w:r>
        <w:rPr>
          <w:rFonts w:hint="eastAsia" w:ascii="宋体" w:hAnsi="宋体" w:cs="宋体"/>
          <w:color w:val="auto"/>
          <w:sz w:val="24"/>
          <w:highlight w:val="none"/>
        </w:rPr>
        <w:t>本项目的采购人已获得足以支付本次招标后所签订的合同项下的资金（包括财政性资金和本项目采购中无法与财政性资金分割的非财政性资金）。</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2.2    项目预算金额和分项或分包最高限价</w:t>
      </w:r>
      <w:r>
        <w:rPr>
          <w:rFonts w:hint="eastAsia" w:ascii="宋体" w:hAnsi="宋体" w:cs="宋体"/>
          <w:b/>
          <w:bCs/>
          <w:color w:val="auto"/>
          <w:sz w:val="24"/>
          <w:highlight w:val="none"/>
          <w:u w:val="single"/>
        </w:rPr>
        <w:t>见投标人须知资料表</w:t>
      </w:r>
      <w:r>
        <w:rPr>
          <w:rFonts w:hint="eastAsia" w:ascii="宋体" w:hAnsi="宋体" w:cs="宋体"/>
          <w:color w:val="auto"/>
          <w:sz w:val="24"/>
          <w:highlight w:val="none"/>
        </w:rPr>
        <w:t>。</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2.3    投标人报价超过招标文件规定的预算金额或者分项、分包最高限价的，其投标将被认定为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pPr>
        <w:pStyle w:val="5"/>
        <w:spacing w:before="0" w:after="0" w:line="360" w:lineRule="auto"/>
        <w:rPr>
          <w:rFonts w:hAnsi="宋体" w:cs="宋体"/>
          <w:color w:val="auto"/>
          <w:highlight w:val="none"/>
          <w:u w:val="none"/>
        </w:rPr>
      </w:pPr>
      <w:bookmarkStart w:id="28" w:name="_Toc28166"/>
      <w:bookmarkStart w:id="29" w:name="_Toc520356145"/>
      <w:bookmarkStart w:id="30" w:name="_Toc14892"/>
      <w:bookmarkStart w:id="31" w:name="_Toc518923063"/>
      <w:bookmarkStart w:id="32" w:name="_Toc2762"/>
      <w:bookmarkStart w:id="33" w:name="_Toc22756"/>
      <w:bookmarkStart w:id="34" w:name="_Toc1610883235"/>
      <w:r>
        <w:rPr>
          <w:rFonts w:hint="eastAsia" w:hAnsi="宋体" w:cs="宋体"/>
          <w:color w:val="auto"/>
          <w:highlight w:val="none"/>
          <w:u w:val="none"/>
        </w:rPr>
        <w:t>3.投标费用</w:t>
      </w:r>
      <w:bookmarkEnd w:id="28"/>
      <w:bookmarkEnd w:id="29"/>
      <w:bookmarkEnd w:id="30"/>
      <w:bookmarkEnd w:id="31"/>
      <w:bookmarkEnd w:id="32"/>
      <w:bookmarkEnd w:id="33"/>
      <w:bookmarkEnd w:id="34"/>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不论投标的结果如何，投标人应承担所有与准备和参加投标有关的费用。</w:t>
      </w:r>
      <w:r>
        <w:rPr>
          <w:rFonts w:hint="eastAsia" w:ascii="宋体" w:hAnsi="宋体" w:cs="宋体"/>
          <w:b/>
          <w:bCs/>
          <w:color w:val="auto"/>
          <w:sz w:val="24"/>
          <w:highlight w:val="none"/>
          <w:u w:val="single"/>
        </w:rPr>
        <w:t>本项目不收取招标代理费</w:t>
      </w:r>
      <w:r>
        <w:rPr>
          <w:rFonts w:hint="eastAsia" w:ascii="宋体" w:hAnsi="宋体" w:cs="宋体"/>
          <w:b/>
          <w:bCs/>
          <w:color w:val="auto"/>
          <w:sz w:val="24"/>
          <w:highlight w:val="none"/>
        </w:rPr>
        <w:t>。</w:t>
      </w:r>
    </w:p>
    <w:p>
      <w:pPr>
        <w:pStyle w:val="5"/>
        <w:spacing w:before="0" w:after="0" w:line="360" w:lineRule="auto"/>
        <w:rPr>
          <w:rFonts w:hAnsi="宋体" w:cs="宋体"/>
          <w:color w:val="auto"/>
          <w:highlight w:val="none"/>
          <w:u w:val="none"/>
        </w:rPr>
      </w:pPr>
      <w:bookmarkStart w:id="35" w:name="_Toc518923064"/>
      <w:bookmarkStart w:id="36" w:name="_Toc29858"/>
      <w:bookmarkStart w:id="37" w:name="_Toc26306"/>
      <w:bookmarkStart w:id="38" w:name="_Toc32365"/>
      <w:bookmarkStart w:id="39" w:name="_Toc30739"/>
      <w:bookmarkStart w:id="40" w:name="_Toc788192916"/>
      <w:r>
        <w:rPr>
          <w:rFonts w:hint="eastAsia" w:hAnsi="宋体" w:cs="宋体"/>
          <w:color w:val="auto"/>
          <w:highlight w:val="none"/>
          <w:u w:val="none"/>
        </w:rPr>
        <w:t>4.适用法律</w:t>
      </w:r>
      <w:bookmarkEnd w:id="35"/>
      <w:bookmarkEnd w:id="36"/>
      <w:bookmarkEnd w:id="37"/>
      <w:bookmarkEnd w:id="38"/>
      <w:bookmarkEnd w:id="39"/>
      <w:bookmarkEnd w:id="40"/>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 xml:space="preserve">       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pPr>
        <w:spacing w:line="360" w:lineRule="auto"/>
        <w:rPr>
          <w:rFonts w:ascii="宋体" w:hAnsi="宋体" w:cs="宋体"/>
          <w:color w:val="auto"/>
          <w:sz w:val="24"/>
          <w:highlight w:val="none"/>
        </w:rPr>
      </w:pPr>
    </w:p>
    <w:p>
      <w:pPr>
        <w:pStyle w:val="4"/>
        <w:spacing w:before="0" w:line="360" w:lineRule="auto"/>
        <w:ind w:left="1080" w:leftChars="257" w:hanging="540"/>
        <w:rPr>
          <w:rFonts w:ascii="宋体" w:hAnsi="宋体" w:eastAsia="宋体" w:cs="宋体"/>
          <w:color w:val="auto"/>
          <w:sz w:val="28"/>
          <w:highlight w:val="none"/>
        </w:rPr>
      </w:pPr>
      <w:bookmarkStart w:id="41" w:name="_Toc520356146"/>
      <w:bookmarkStart w:id="42" w:name="_Toc4348"/>
      <w:bookmarkStart w:id="43" w:name="_Toc1479204516"/>
      <w:bookmarkStart w:id="44" w:name="_Toc30516"/>
      <w:bookmarkStart w:id="45" w:name="_Toc216582806"/>
      <w:bookmarkStart w:id="46" w:name="_Toc809"/>
      <w:bookmarkStart w:id="47" w:name="_Toc8494"/>
      <w:bookmarkStart w:id="48" w:name="_Toc518923065"/>
      <w:r>
        <w:rPr>
          <w:rFonts w:hint="eastAsia" w:ascii="宋体" w:hAnsi="宋体" w:eastAsia="宋体" w:cs="宋体"/>
          <w:color w:val="auto"/>
          <w:sz w:val="28"/>
          <w:highlight w:val="none"/>
        </w:rPr>
        <w:t>二   招标文件</w:t>
      </w:r>
      <w:bookmarkEnd w:id="41"/>
      <w:bookmarkEnd w:id="42"/>
      <w:bookmarkEnd w:id="43"/>
      <w:bookmarkEnd w:id="44"/>
      <w:bookmarkEnd w:id="45"/>
      <w:bookmarkEnd w:id="46"/>
      <w:bookmarkEnd w:id="47"/>
      <w:bookmarkEnd w:id="48"/>
    </w:p>
    <w:p>
      <w:pPr>
        <w:pStyle w:val="15"/>
        <w:spacing w:line="360" w:lineRule="auto"/>
        <w:rPr>
          <w:rFonts w:hAnsi="宋体" w:cs="宋体"/>
          <w:color w:val="auto"/>
          <w:highlight w:val="none"/>
        </w:rPr>
      </w:pPr>
    </w:p>
    <w:p>
      <w:pPr>
        <w:pStyle w:val="5"/>
        <w:spacing w:before="0" w:after="0" w:line="360" w:lineRule="auto"/>
        <w:rPr>
          <w:rFonts w:hAnsi="宋体" w:cs="宋体"/>
          <w:color w:val="auto"/>
          <w:highlight w:val="none"/>
          <w:u w:val="none"/>
        </w:rPr>
      </w:pPr>
      <w:bookmarkStart w:id="49" w:name="_Toc520356147"/>
      <w:bookmarkStart w:id="50" w:name="_Toc22990"/>
      <w:bookmarkStart w:id="51" w:name="_Toc5195"/>
      <w:bookmarkStart w:id="52" w:name="_Toc518923066"/>
      <w:bookmarkStart w:id="53" w:name="_Toc2882"/>
      <w:bookmarkStart w:id="54" w:name="_Toc1719602740"/>
      <w:bookmarkStart w:id="55" w:name="_Toc11127"/>
      <w:r>
        <w:rPr>
          <w:rFonts w:hint="eastAsia" w:hAnsi="宋体" w:cs="宋体"/>
          <w:color w:val="auto"/>
          <w:highlight w:val="none"/>
          <w:u w:val="none"/>
        </w:rPr>
        <w:t>5.招标文件构成</w:t>
      </w:r>
      <w:bookmarkEnd w:id="49"/>
      <w:bookmarkEnd w:id="50"/>
      <w:bookmarkEnd w:id="51"/>
      <w:bookmarkEnd w:id="52"/>
      <w:bookmarkEnd w:id="53"/>
      <w:bookmarkEnd w:id="54"/>
      <w:bookmarkEnd w:id="55"/>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5.1</w:t>
      </w:r>
      <w:r>
        <w:rPr>
          <w:rFonts w:hint="eastAsia" w:ascii="宋体" w:hAnsi="宋体" w:cs="宋体"/>
          <w:color w:val="auto"/>
          <w:sz w:val="24"/>
          <w:highlight w:val="none"/>
        </w:rPr>
        <w:tab/>
      </w:r>
      <w:r>
        <w:rPr>
          <w:rFonts w:hint="eastAsia" w:ascii="宋体" w:hAnsi="宋体" w:cs="宋体"/>
          <w:color w:val="auto"/>
          <w:sz w:val="24"/>
          <w:highlight w:val="none"/>
        </w:rPr>
        <w:t>招标文件分为三册共7章，内容如下：</w:t>
      </w:r>
    </w:p>
    <w:p>
      <w:pPr>
        <w:spacing w:line="360" w:lineRule="auto"/>
        <w:ind w:left="1079" w:leftChars="428" w:hanging="180" w:hangingChars="75"/>
        <w:outlineLvl w:val="2"/>
        <w:rPr>
          <w:rFonts w:ascii="宋体" w:hAnsi="宋体" w:cs="宋体"/>
          <w:color w:val="auto"/>
          <w:sz w:val="24"/>
          <w:highlight w:val="none"/>
        </w:rPr>
      </w:pPr>
      <w:bookmarkStart w:id="56" w:name="_Toc13327"/>
      <w:r>
        <w:rPr>
          <w:rFonts w:hint="eastAsia" w:ascii="宋体" w:hAnsi="宋体" w:cs="宋体"/>
          <w:color w:val="auto"/>
          <w:sz w:val="24"/>
          <w:highlight w:val="none"/>
        </w:rPr>
        <w:t>第一册</w:t>
      </w:r>
      <w:bookmarkEnd w:id="56"/>
      <w:r>
        <w:rPr>
          <w:rFonts w:hint="eastAsia" w:ascii="宋体" w:hAnsi="宋体" w:cs="宋体"/>
          <w:color w:val="auto"/>
          <w:sz w:val="24"/>
          <w:highlight w:val="none"/>
        </w:rPr>
        <w:t xml:space="preserve"> </w:t>
      </w:r>
    </w:p>
    <w:p>
      <w:pPr>
        <w:spacing w:line="360" w:lineRule="auto"/>
        <w:ind w:left="1079" w:leftChars="428" w:hanging="180" w:hangingChars="75"/>
        <w:rPr>
          <w:rFonts w:ascii="宋体" w:hAnsi="宋体" w:cs="宋体"/>
          <w:color w:val="auto"/>
          <w:sz w:val="24"/>
          <w:highlight w:val="none"/>
        </w:rPr>
      </w:pPr>
      <w:r>
        <w:rPr>
          <w:rFonts w:hint="eastAsia" w:ascii="宋体" w:hAnsi="宋体" w:cs="宋体"/>
          <w:color w:val="auto"/>
          <w:sz w:val="24"/>
          <w:highlight w:val="none"/>
        </w:rPr>
        <w:t>第1章  投标人须知</w:t>
      </w:r>
    </w:p>
    <w:p>
      <w:pPr>
        <w:spacing w:line="360" w:lineRule="auto"/>
        <w:ind w:left="901"/>
        <w:rPr>
          <w:rFonts w:ascii="宋体" w:hAnsi="宋体" w:cs="宋体"/>
          <w:color w:val="auto"/>
          <w:sz w:val="24"/>
          <w:highlight w:val="none"/>
        </w:rPr>
      </w:pPr>
      <w:r>
        <w:rPr>
          <w:rFonts w:hint="eastAsia" w:ascii="宋体" w:hAnsi="宋体" w:cs="宋体"/>
          <w:color w:val="auto"/>
          <w:sz w:val="24"/>
          <w:highlight w:val="none"/>
        </w:rPr>
        <w:t>第2章　投标文件格式</w:t>
      </w:r>
    </w:p>
    <w:p>
      <w:pPr>
        <w:spacing w:line="360" w:lineRule="auto"/>
        <w:ind w:left="1081" w:leftChars="429" w:hanging="180"/>
        <w:outlineLvl w:val="2"/>
        <w:rPr>
          <w:rFonts w:ascii="宋体" w:hAnsi="宋体" w:cs="宋体"/>
          <w:color w:val="auto"/>
          <w:sz w:val="24"/>
          <w:highlight w:val="none"/>
        </w:rPr>
      </w:pPr>
      <w:bookmarkStart w:id="57" w:name="_Toc8700"/>
      <w:r>
        <w:rPr>
          <w:rFonts w:hint="eastAsia" w:ascii="宋体" w:hAnsi="宋体" w:cs="宋体"/>
          <w:color w:val="auto"/>
          <w:sz w:val="24"/>
          <w:highlight w:val="none"/>
        </w:rPr>
        <w:t>第二册</w:t>
      </w:r>
      <w:bookmarkEnd w:id="57"/>
    </w:p>
    <w:p>
      <w:pPr>
        <w:spacing w:line="360" w:lineRule="auto"/>
        <w:ind w:left="901" w:leftChars="429"/>
        <w:rPr>
          <w:rFonts w:ascii="宋体" w:hAnsi="宋体" w:cs="宋体"/>
          <w:color w:val="auto"/>
          <w:sz w:val="24"/>
          <w:highlight w:val="none"/>
        </w:rPr>
      </w:pPr>
      <w:r>
        <w:rPr>
          <w:rFonts w:hint="eastAsia" w:ascii="宋体" w:hAnsi="宋体" w:cs="宋体"/>
          <w:color w:val="auto"/>
          <w:sz w:val="24"/>
          <w:highlight w:val="none"/>
        </w:rPr>
        <w:t>第3章  投标邀请</w:t>
      </w:r>
    </w:p>
    <w:p>
      <w:pPr>
        <w:spacing w:line="360" w:lineRule="auto"/>
        <w:ind w:left="901" w:leftChars="429"/>
        <w:rPr>
          <w:rFonts w:ascii="宋体" w:hAnsi="宋体" w:cs="宋体"/>
          <w:color w:val="auto"/>
          <w:sz w:val="24"/>
          <w:highlight w:val="none"/>
        </w:rPr>
      </w:pPr>
      <w:r>
        <w:rPr>
          <w:rFonts w:hint="eastAsia" w:ascii="宋体" w:hAnsi="宋体" w:cs="宋体"/>
          <w:color w:val="auto"/>
          <w:sz w:val="24"/>
          <w:highlight w:val="none"/>
        </w:rPr>
        <w:t>第4章  投标人须知资料表</w:t>
      </w:r>
    </w:p>
    <w:p>
      <w:pPr>
        <w:spacing w:line="360" w:lineRule="auto"/>
        <w:ind w:left="901" w:leftChars="429"/>
        <w:rPr>
          <w:rFonts w:ascii="宋体" w:hAnsi="宋体" w:cs="宋体"/>
          <w:color w:val="auto"/>
          <w:sz w:val="24"/>
          <w:highlight w:val="none"/>
        </w:rPr>
      </w:pPr>
      <w:r>
        <w:rPr>
          <w:rFonts w:hint="eastAsia" w:ascii="宋体" w:hAnsi="宋体" w:cs="宋体"/>
          <w:color w:val="auto"/>
          <w:sz w:val="24"/>
          <w:highlight w:val="none"/>
        </w:rPr>
        <w:t>第5章  项目服务及建设需求</w:t>
      </w:r>
    </w:p>
    <w:p>
      <w:pPr>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第6章 评标方法和标准</w:t>
      </w:r>
    </w:p>
    <w:p>
      <w:pPr>
        <w:spacing w:line="360" w:lineRule="auto"/>
        <w:ind w:left="901"/>
        <w:outlineLvl w:val="2"/>
        <w:rPr>
          <w:rFonts w:ascii="宋体" w:hAnsi="宋体" w:cs="宋体"/>
          <w:color w:val="auto"/>
          <w:sz w:val="24"/>
          <w:highlight w:val="none"/>
        </w:rPr>
      </w:pPr>
      <w:bookmarkStart w:id="58" w:name="_Toc1764"/>
      <w:r>
        <w:rPr>
          <w:rFonts w:hint="eastAsia" w:ascii="宋体" w:hAnsi="宋体" w:cs="宋体"/>
          <w:color w:val="auto"/>
          <w:sz w:val="24"/>
          <w:highlight w:val="none"/>
        </w:rPr>
        <w:t>第三册</w:t>
      </w:r>
      <w:bookmarkEnd w:id="58"/>
    </w:p>
    <w:p>
      <w:pPr>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第7章  政府采购合同格式</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5.2</w:t>
      </w:r>
      <w:r>
        <w:rPr>
          <w:rFonts w:hint="eastAsia" w:ascii="宋体" w:hAnsi="宋体" w:cs="宋体"/>
          <w:color w:val="auto"/>
          <w:sz w:val="24"/>
          <w:highlight w:val="none"/>
        </w:rPr>
        <w:tab/>
      </w:r>
      <w:r>
        <w:rPr>
          <w:rFonts w:hint="eastAsia" w:ascii="宋体" w:hAnsi="宋体" w:cs="宋体"/>
          <w:color w:val="auto"/>
          <w:sz w:val="24"/>
          <w:highlight w:val="none"/>
        </w:rPr>
        <w:t>如本文件的前后内容不一致，以最后描述为准。</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5.3    投标人应认真阅读招标文件所有的事项、格式、条款和技术规范等。如投标人没有按照招标文件要求提交全部资料，或者投标文件没有对招标文件在各方面都做出实质性响应，可能导致其投标被认定为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pPr>
        <w:pStyle w:val="5"/>
        <w:spacing w:before="0" w:after="0" w:line="360" w:lineRule="auto"/>
        <w:rPr>
          <w:rFonts w:hAnsi="宋体" w:cs="宋体"/>
          <w:b w:val="0"/>
          <w:color w:val="auto"/>
          <w:highlight w:val="none"/>
          <w:u w:val="none"/>
        </w:rPr>
      </w:pPr>
      <w:bookmarkStart w:id="59" w:name="_Toc520356148"/>
      <w:bookmarkStart w:id="60" w:name="_Toc518923067"/>
      <w:bookmarkStart w:id="61" w:name="_Toc25261"/>
      <w:bookmarkStart w:id="62" w:name="_Toc528329854"/>
      <w:bookmarkStart w:id="63" w:name="_Toc21779"/>
      <w:bookmarkStart w:id="64" w:name="_Toc21314"/>
      <w:bookmarkStart w:id="65" w:name="_Toc3735"/>
      <w:r>
        <w:rPr>
          <w:rFonts w:hint="eastAsia" w:hAnsi="宋体" w:cs="宋体"/>
          <w:color w:val="auto"/>
          <w:highlight w:val="none"/>
          <w:u w:val="none"/>
        </w:rPr>
        <w:t>6.招标文件的澄清</w:t>
      </w:r>
      <w:bookmarkEnd w:id="59"/>
      <w:r>
        <w:rPr>
          <w:rFonts w:hint="eastAsia" w:hAnsi="宋体" w:cs="宋体"/>
          <w:color w:val="auto"/>
          <w:highlight w:val="none"/>
          <w:u w:val="none"/>
        </w:rPr>
        <w:t>与修改</w:t>
      </w:r>
      <w:bookmarkEnd w:id="60"/>
      <w:bookmarkEnd w:id="61"/>
      <w:bookmarkEnd w:id="62"/>
      <w:bookmarkEnd w:id="63"/>
      <w:bookmarkEnd w:id="64"/>
      <w:bookmarkEnd w:id="65"/>
    </w:p>
    <w:p>
      <w:pPr>
        <w:pStyle w:val="15"/>
        <w:spacing w:line="360" w:lineRule="auto"/>
        <w:ind w:left="840" w:hanging="840" w:hangingChars="350"/>
        <w:rPr>
          <w:rFonts w:hAnsi="宋体" w:cs="宋体"/>
          <w:color w:val="auto"/>
          <w:szCs w:val="24"/>
          <w:highlight w:val="none"/>
        </w:rPr>
      </w:pPr>
      <w:r>
        <w:rPr>
          <w:rFonts w:hint="eastAsia" w:hAnsi="宋体" w:cs="宋体"/>
          <w:color w:val="auto"/>
          <w:szCs w:val="24"/>
          <w:highlight w:val="none"/>
        </w:rPr>
        <w:t>6.1    为了保证对招标文件的澄清和修改满足法律的时限要求，任何要求对招标文件进行澄清的投标人，均应在投标截止期十五日前，以书面形式将澄清要求通知采购人或采购代理机构。</w:t>
      </w:r>
    </w:p>
    <w:p>
      <w:pPr>
        <w:pStyle w:val="15"/>
        <w:spacing w:line="360" w:lineRule="auto"/>
        <w:ind w:left="840" w:hanging="840" w:hangingChars="350"/>
        <w:rPr>
          <w:rFonts w:hAnsi="宋体" w:cs="宋体"/>
          <w:color w:val="auto"/>
          <w:szCs w:val="24"/>
          <w:highlight w:val="none"/>
        </w:rPr>
      </w:pPr>
      <w:bookmarkStart w:id="66" w:name="_Toc520356149"/>
      <w:bookmarkStart w:id="67" w:name="_Ref467378678"/>
      <w:r>
        <w:rPr>
          <w:rFonts w:hint="eastAsia" w:hAnsi="宋体" w:cs="宋体"/>
          <w:color w:val="auto"/>
          <w:szCs w:val="24"/>
          <w:highlight w:val="none"/>
        </w:rPr>
        <w:t>6.2</w:t>
      </w:r>
      <w:r>
        <w:rPr>
          <w:rFonts w:hint="eastAsia" w:hAnsi="宋体" w:cs="宋体"/>
          <w:color w:val="auto"/>
          <w:szCs w:val="24"/>
          <w:highlight w:val="none"/>
        </w:rPr>
        <w:tab/>
      </w:r>
      <w:r>
        <w:rPr>
          <w:rFonts w:hint="eastAsia" w:hAnsi="宋体" w:cs="宋体"/>
          <w:color w:val="auto"/>
          <w:szCs w:val="24"/>
          <w:highlight w:val="none"/>
        </w:rPr>
        <w:t>采购人可主动地或在解答投标人提出的澄清问题时对招标文件澄清或修改。采购代理机构将以发布澄清（更正）公告的方式，澄清或修改招标文件，澄清或修改内容作为招标文件的组成部分。</w:t>
      </w:r>
    </w:p>
    <w:p>
      <w:pPr>
        <w:pStyle w:val="15"/>
        <w:spacing w:line="360" w:lineRule="auto"/>
        <w:ind w:left="840" w:hanging="840" w:hangingChars="350"/>
        <w:rPr>
          <w:rFonts w:hAnsi="宋体" w:cs="宋体"/>
          <w:color w:val="auto"/>
          <w:szCs w:val="24"/>
          <w:highlight w:val="none"/>
        </w:rPr>
      </w:pPr>
      <w:r>
        <w:rPr>
          <w:rFonts w:hint="eastAsia" w:hAnsi="宋体" w:cs="宋体"/>
          <w:color w:val="auto"/>
          <w:szCs w:val="24"/>
          <w:highlight w:val="none"/>
        </w:rPr>
        <w:t>6.3</w:t>
      </w:r>
      <w:r>
        <w:rPr>
          <w:rFonts w:hint="eastAsia" w:hAnsi="宋体" w:cs="宋体"/>
          <w:color w:val="auto"/>
          <w:szCs w:val="24"/>
          <w:highlight w:val="none"/>
        </w:rPr>
        <w:tab/>
      </w:r>
      <w:r>
        <w:rPr>
          <w:rFonts w:hint="eastAsia" w:hAnsi="宋体" w:cs="宋体"/>
          <w:color w:val="auto"/>
          <w:szCs w:val="24"/>
          <w:highlight w:val="none"/>
        </w:rPr>
        <w:t>澄清或者修改的内容可能影响投标文件编制的，采购代理机构将以发布澄清（更正）公告的方式告知所有潜在投标人，并对其具有约束力。</w:t>
      </w:r>
    </w:p>
    <w:p>
      <w:pPr>
        <w:pStyle w:val="5"/>
        <w:tabs>
          <w:tab w:val="left" w:pos="900"/>
        </w:tabs>
        <w:spacing w:before="0" w:after="0" w:line="360" w:lineRule="auto"/>
        <w:rPr>
          <w:rFonts w:hAnsi="宋体" w:cs="宋体"/>
          <w:color w:val="auto"/>
          <w:highlight w:val="none"/>
          <w:u w:val="none"/>
        </w:rPr>
      </w:pPr>
      <w:bookmarkStart w:id="68" w:name="_Toc1942459480"/>
      <w:bookmarkStart w:id="69" w:name="_Toc518923068"/>
      <w:bookmarkStart w:id="70" w:name="_Toc13430"/>
      <w:bookmarkStart w:id="71" w:name="_Toc6399"/>
      <w:bookmarkStart w:id="72" w:name="_Toc10994"/>
      <w:bookmarkStart w:id="73" w:name="_Toc17979"/>
      <w:r>
        <w:rPr>
          <w:rFonts w:hint="eastAsia" w:hAnsi="宋体" w:cs="宋体"/>
          <w:color w:val="auto"/>
          <w:highlight w:val="none"/>
          <w:u w:val="none"/>
        </w:rPr>
        <w:t>7</w:t>
      </w:r>
      <w:bookmarkEnd w:id="66"/>
      <w:bookmarkEnd w:id="67"/>
      <w:r>
        <w:rPr>
          <w:rFonts w:hint="eastAsia" w:hAnsi="宋体" w:cs="宋体"/>
          <w:color w:val="auto"/>
          <w:highlight w:val="none"/>
          <w:u w:val="none"/>
        </w:rPr>
        <w:t>.投标截止时间的顺延</w:t>
      </w:r>
      <w:bookmarkEnd w:id="68"/>
      <w:bookmarkEnd w:id="69"/>
      <w:bookmarkEnd w:id="70"/>
      <w:bookmarkEnd w:id="71"/>
      <w:bookmarkEnd w:id="72"/>
      <w:bookmarkEnd w:id="73"/>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为使投标人准备投标时有足够的时间对招标文件的澄清或者修改部分进行研究，采购人将依法决定是否顺延投标截止时间。</w:t>
      </w:r>
    </w:p>
    <w:p>
      <w:pPr>
        <w:spacing w:line="360" w:lineRule="auto"/>
        <w:ind w:left="900" w:hanging="900" w:hangingChars="375"/>
        <w:rPr>
          <w:rFonts w:ascii="宋体" w:hAnsi="宋体" w:cs="宋体"/>
          <w:color w:val="auto"/>
          <w:sz w:val="24"/>
          <w:highlight w:val="none"/>
        </w:rPr>
      </w:pPr>
    </w:p>
    <w:p>
      <w:pPr>
        <w:pStyle w:val="4"/>
        <w:tabs>
          <w:tab w:val="left" w:pos="900"/>
        </w:tabs>
        <w:spacing w:before="0" w:line="360" w:lineRule="auto"/>
        <w:ind w:left="1080" w:leftChars="257" w:hanging="540"/>
        <w:rPr>
          <w:rFonts w:ascii="宋体" w:hAnsi="宋体" w:eastAsia="宋体" w:cs="宋体"/>
          <w:color w:val="auto"/>
          <w:sz w:val="28"/>
          <w:highlight w:val="none"/>
        </w:rPr>
      </w:pPr>
      <w:bookmarkStart w:id="74" w:name="_Toc516367020"/>
      <w:bookmarkStart w:id="75" w:name="_Toc25389"/>
      <w:bookmarkStart w:id="76" w:name="_Toc870078666"/>
      <w:bookmarkStart w:id="77" w:name="_Toc518923069"/>
      <w:bookmarkStart w:id="78" w:name="_Toc24640"/>
      <w:bookmarkStart w:id="79" w:name="_Toc12398"/>
      <w:bookmarkStart w:id="80" w:name="_Toc216582807"/>
      <w:bookmarkStart w:id="81" w:name="_Toc520356150"/>
      <w:bookmarkStart w:id="82" w:name="_Toc4672"/>
      <w:r>
        <w:rPr>
          <w:rFonts w:hint="eastAsia" w:ascii="宋体" w:hAnsi="宋体" w:eastAsia="宋体" w:cs="宋体"/>
          <w:color w:val="auto"/>
          <w:sz w:val="28"/>
          <w:highlight w:val="none"/>
        </w:rPr>
        <w:t>三   投标文件</w:t>
      </w:r>
      <w:bookmarkEnd w:id="74"/>
      <w:r>
        <w:rPr>
          <w:rFonts w:hint="eastAsia" w:ascii="宋体" w:hAnsi="宋体" w:eastAsia="宋体" w:cs="宋体"/>
          <w:color w:val="auto"/>
          <w:sz w:val="28"/>
          <w:highlight w:val="none"/>
        </w:rPr>
        <w:t>的编制</w:t>
      </w:r>
      <w:bookmarkEnd w:id="75"/>
      <w:bookmarkEnd w:id="76"/>
      <w:bookmarkEnd w:id="77"/>
      <w:bookmarkEnd w:id="78"/>
      <w:bookmarkEnd w:id="79"/>
      <w:bookmarkEnd w:id="80"/>
      <w:bookmarkEnd w:id="81"/>
      <w:bookmarkEnd w:id="82"/>
    </w:p>
    <w:p>
      <w:pPr>
        <w:pStyle w:val="15"/>
        <w:spacing w:line="360" w:lineRule="auto"/>
        <w:rPr>
          <w:rFonts w:hAnsi="宋体" w:cs="宋体"/>
          <w:color w:val="auto"/>
          <w:highlight w:val="none"/>
        </w:rPr>
      </w:pPr>
    </w:p>
    <w:p>
      <w:pPr>
        <w:pStyle w:val="5"/>
        <w:tabs>
          <w:tab w:val="left" w:pos="900"/>
        </w:tabs>
        <w:spacing w:before="0" w:after="0" w:line="360" w:lineRule="auto"/>
        <w:rPr>
          <w:rFonts w:hAnsi="宋体" w:cs="宋体"/>
          <w:color w:val="auto"/>
          <w:highlight w:val="none"/>
          <w:u w:val="none"/>
        </w:rPr>
      </w:pPr>
      <w:bookmarkStart w:id="83" w:name="_Toc9762"/>
      <w:bookmarkStart w:id="84" w:name="_Toc6728"/>
      <w:bookmarkStart w:id="85" w:name="_Toc516367021"/>
      <w:bookmarkStart w:id="86" w:name="_Toc12703"/>
      <w:bookmarkStart w:id="87" w:name="_Toc520356151"/>
      <w:bookmarkStart w:id="88" w:name="_Toc1195987039"/>
      <w:bookmarkStart w:id="89" w:name="_Toc25074"/>
      <w:bookmarkStart w:id="90" w:name="_Toc518923070"/>
      <w:r>
        <w:rPr>
          <w:rFonts w:hint="eastAsia" w:hAnsi="宋体" w:cs="宋体"/>
          <w:color w:val="auto"/>
          <w:highlight w:val="none"/>
          <w:u w:val="none"/>
        </w:rPr>
        <w:t>8.</w:t>
      </w:r>
      <w:r>
        <w:rPr>
          <w:rFonts w:hint="eastAsia" w:hAnsi="宋体" w:cs="宋体"/>
          <w:color w:val="auto"/>
          <w:highlight w:val="none"/>
          <w:u w:val="none"/>
        </w:rPr>
        <w:tab/>
      </w:r>
      <w:r>
        <w:rPr>
          <w:rFonts w:hint="eastAsia" w:hAnsi="宋体" w:cs="宋体"/>
          <w:color w:val="auto"/>
          <w:highlight w:val="none"/>
          <w:u w:val="none"/>
        </w:rPr>
        <w:t>投标范围及投标文件中标准和计量单位的使用</w:t>
      </w:r>
      <w:bookmarkEnd w:id="83"/>
      <w:bookmarkEnd w:id="84"/>
      <w:bookmarkEnd w:id="85"/>
      <w:bookmarkEnd w:id="86"/>
      <w:bookmarkEnd w:id="87"/>
      <w:bookmarkEnd w:id="88"/>
      <w:bookmarkEnd w:id="89"/>
      <w:bookmarkEnd w:id="90"/>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8.1</w:t>
      </w:r>
      <w:r>
        <w:rPr>
          <w:rFonts w:hint="eastAsia" w:ascii="宋体" w:hAnsi="宋体" w:cs="宋体"/>
          <w:color w:val="auto"/>
          <w:sz w:val="24"/>
          <w:highlight w:val="none"/>
        </w:rPr>
        <w:tab/>
      </w:r>
      <w:r>
        <w:rPr>
          <w:rFonts w:hint="eastAsia" w:ascii="宋体" w:hAnsi="宋体" w:cs="宋体"/>
          <w:color w:val="auto"/>
          <w:sz w:val="24"/>
          <w:highlight w:val="none"/>
        </w:rPr>
        <w:t>项目有分包的，投标人可对招标文件其中一个或几个分包进行投标，除非在</w:t>
      </w:r>
      <w:r>
        <w:rPr>
          <w:rFonts w:hint="eastAsia" w:ascii="宋体" w:hAnsi="宋体" w:cs="宋体"/>
          <w:b/>
          <w:bCs/>
          <w:color w:val="auto"/>
          <w:sz w:val="24"/>
          <w:highlight w:val="none"/>
          <w:u w:val="single"/>
        </w:rPr>
        <w:t>投标人须知资料表</w:t>
      </w:r>
      <w:r>
        <w:rPr>
          <w:rFonts w:hint="eastAsia" w:ascii="宋体" w:hAnsi="宋体" w:cs="宋体"/>
          <w:color w:val="auto"/>
          <w:sz w:val="24"/>
          <w:highlight w:val="none"/>
        </w:rPr>
        <w:t>中另有规定。</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8.2    投标人应当对所投分包招标文件中“服务需求”所列的所有服务内容进行投标，如仅响应分包中的部分内容，其投标将被认定为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8.3     无论招标文件第5章服务需求中是否要求，投标人所投服务均应符合国家强制性标准。</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8.4     除招标文件中有特殊要求外，投标文件中所使用的计量单位，应采用中华人民共和国法定计量单位。</w:t>
      </w:r>
    </w:p>
    <w:p>
      <w:pPr>
        <w:pStyle w:val="5"/>
        <w:tabs>
          <w:tab w:val="left" w:pos="900"/>
        </w:tabs>
        <w:spacing w:before="0" w:after="0" w:line="360" w:lineRule="auto"/>
        <w:rPr>
          <w:rFonts w:hAnsi="宋体" w:cs="宋体"/>
          <w:color w:val="auto"/>
          <w:highlight w:val="none"/>
          <w:u w:val="none"/>
        </w:rPr>
      </w:pPr>
      <w:bookmarkStart w:id="91" w:name="_Toc516367022"/>
      <w:bookmarkStart w:id="92" w:name="_Ref467306676"/>
      <w:bookmarkStart w:id="93" w:name="_Ref467306195"/>
      <w:bookmarkStart w:id="94" w:name="_Toc30846"/>
      <w:bookmarkStart w:id="95" w:name="_Toc507228553"/>
      <w:bookmarkStart w:id="96" w:name="_Toc520356152"/>
      <w:bookmarkStart w:id="97" w:name="_Toc16255"/>
      <w:bookmarkStart w:id="98" w:name="_Toc15487"/>
      <w:bookmarkStart w:id="99" w:name="_Toc518923071"/>
      <w:bookmarkStart w:id="100" w:name="_Toc12543"/>
      <w:r>
        <w:rPr>
          <w:rFonts w:hint="eastAsia" w:hAnsi="宋体" w:cs="宋体"/>
          <w:color w:val="auto"/>
          <w:highlight w:val="none"/>
          <w:u w:val="none"/>
        </w:rPr>
        <w:t>9.投标文件</w:t>
      </w:r>
      <w:bookmarkEnd w:id="91"/>
      <w:bookmarkEnd w:id="92"/>
      <w:bookmarkEnd w:id="93"/>
      <w:r>
        <w:rPr>
          <w:rFonts w:hint="eastAsia" w:hAnsi="宋体" w:cs="宋体"/>
          <w:color w:val="auto"/>
          <w:highlight w:val="none"/>
          <w:u w:val="none"/>
        </w:rPr>
        <w:t>构成</w:t>
      </w:r>
      <w:bookmarkEnd w:id="94"/>
      <w:bookmarkEnd w:id="95"/>
      <w:bookmarkEnd w:id="96"/>
      <w:bookmarkEnd w:id="97"/>
      <w:bookmarkEnd w:id="98"/>
      <w:bookmarkEnd w:id="99"/>
      <w:bookmarkEnd w:id="100"/>
    </w:p>
    <w:p>
      <w:pPr>
        <w:tabs>
          <w:tab w:val="left" w:pos="900"/>
          <w:tab w:val="left" w:pos="5580"/>
        </w:tabs>
        <w:spacing w:line="360" w:lineRule="auto"/>
        <w:ind w:left="960" w:hanging="960" w:hangingChars="400"/>
        <w:jc w:val="left"/>
        <w:rPr>
          <w:rFonts w:ascii="宋体" w:hAnsi="宋体" w:cs="宋体"/>
          <w:b/>
          <w:bCs/>
          <w:color w:val="auto"/>
          <w:sz w:val="24"/>
          <w:highlight w:val="none"/>
          <w:u w:val="single"/>
        </w:rPr>
      </w:pPr>
      <w:bookmarkStart w:id="101" w:name="_Ref467052588"/>
      <w:r>
        <w:rPr>
          <w:rFonts w:hint="eastAsia" w:ascii="宋体" w:hAnsi="宋体" w:cs="宋体"/>
          <w:color w:val="auto"/>
          <w:sz w:val="24"/>
          <w:highlight w:val="none"/>
        </w:rPr>
        <w:t xml:space="preserve">9.1    </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投标人应完整地按招标文件提供的投标文件格式及要求编写投标文件，投标文件应包括</w:t>
      </w:r>
      <w:bookmarkEnd w:id="101"/>
      <w:r>
        <w:rPr>
          <w:rFonts w:hint="eastAsia" w:ascii="宋体" w:hAnsi="宋体" w:cs="宋体"/>
          <w:b/>
          <w:bCs/>
          <w:color w:val="auto"/>
          <w:sz w:val="24"/>
          <w:highlight w:val="none"/>
          <w:u w:val="single"/>
        </w:rPr>
        <w:t>“开标一览表及资格证明文件”和“商务及技术文件”两</w:t>
      </w:r>
      <w:r>
        <w:rPr>
          <w:rFonts w:hint="eastAsia" w:ascii="宋体" w:hAnsi="宋体" w:cs="宋体"/>
          <w:b/>
          <w:bCs/>
          <w:color w:val="auto"/>
          <w:sz w:val="24"/>
          <w:highlight w:val="none"/>
          <w:u w:val="thick"/>
        </w:rPr>
        <w:t>部分。两部分合成一册，上传至政采云平台。</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9.2    上述文件应按照招标文件规定的格式填写、签署和盖章。若投标人未依照要求制作投标文件的，则视为不响应招标文件编制投标文件的要求，</w:t>
      </w:r>
      <w:r>
        <w:rPr>
          <w:rFonts w:hint="eastAsia" w:ascii="宋体" w:hAnsi="宋体" w:cs="宋体"/>
          <w:b/>
          <w:bCs/>
          <w:color w:val="auto"/>
          <w:sz w:val="24"/>
          <w:highlight w:val="none"/>
        </w:rPr>
        <w:t>为无效投标。</w:t>
      </w:r>
    </w:p>
    <w:p>
      <w:pPr>
        <w:pStyle w:val="5"/>
        <w:tabs>
          <w:tab w:val="left" w:pos="900"/>
        </w:tabs>
        <w:spacing w:before="0" w:after="0" w:line="360" w:lineRule="auto"/>
        <w:rPr>
          <w:rFonts w:hAnsi="宋体" w:cs="宋体"/>
          <w:color w:val="auto"/>
          <w:highlight w:val="none"/>
          <w:u w:val="none"/>
        </w:rPr>
      </w:pPr>
      <w:bookmarkStart w:id="102" w:name="_Toc520356153"/>
      <w:bookmarkStart w:id="103" w:name="_Toc15670"/>
      <w:bookmarkStart w:id="104" w:name="_Toc518923072"/>
      <w:bookmarkStart w:id="105" w:name="_Toc516367023"/>
      <w:bookmarkStart w:id="106" w:name="_Toc14477"/>
      <w:bookmarkStart w:id="107" w:name="_Toc508185920"/>
      <w:bookmarkStart w:id="108" w:name="_Toc2671"/>
      <w:bookmarkStart w:id="109" w:name="_Toc1889"/>
      <w:bookmarkStart w:id="110" w:name="_Toc1627695328"/>
      <w:bookmarkStart w:id="111" w:name="_Toc520356155"/>
      <w:r>
        <w:rPr>
          <w:rFonts w:hint="eastAsia" w:hAnsi="宋体" w:cs="宋体"/>
          <w:color w:val="auto"/>
          <w:highlight w:val="none"/>
          <w:u w:val="none"/>
        </w:rPr>
        <w:t>10.</w:t>
      </w:r>
      <w:r>
        <w:rPr>
          <w:rFonts w:hint="eastAsia" w:hAnsi="宋体" w:cs="宋体"/>
          <w:color w:val="auto"/>
          <w:highlight w:val="none"/>
          <w:u w:val="none"/>
        </w:rPr>
        <w:tab/>
      </w:r>
      <w:r>
        <w:rPr>
          <w:rFonts w:hint="eastAsia" w:hAnsi="宋体" w:cs="宋体"/>
          <w:color w:val="auto"/>
          <w:highlight w:val="none"/>
          <w:u w:val="none"/>
        </w:rPr>
        <w:t>证明投标标的的合格性和符合招标文件规定的响应文件</w:t>
      </w:r>
      <w:bookmarkEnd w:id="102"/>
      <w:bookmarkEnd w:id="103"/>
      <w:bookmarkEnd w:id="104"/>
      <w:bookmarkEnd w:id="105"/>
      <w:bookmarkEnd w:id="106"/>
      <w:bookmarkEnd w:id="107"/>
      <w:bookmarkEnd w:id="108"/>
      <w:bookmarkEnd w:id="109"/>
      <w:bookmarkEnd w:id="110"/>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10.1</w:t>
      </w:r>
      <w:r>
        <w:rPr>
          <w:rFonts w:hint="eastAsia" w:ascii="宋体" w:hAnsi="宋体" w:cs="宋体"/>
          <w:color w:val="auto"/>
          <w:sz w:val="24"/>
          <w:highlight w:val="none"/>
        </w:rPr>
        <w:tab/>
      </w:r>
      <w:r>
        <w:rPr>
          <w:rFonts w:hint="eastAsia" w:ascii="宋体" w:hAnsi="宋体" w:cs="宋体"/>
          <w:color w:val="auto"/>
          <w:sz w:val="24"/>
          <w:highlight w:val="none"/>
        </w:rPr>
        <w:t>投标人应提交证明文件，证明其投标内容符合招标文件规定。该证明文件是投标文件的一部分。</w:t>
      </w:r>
    </w:p>
    <w:p>
      <w:pPr>
        <w:spacing w:line="360" w:lineRule="auto"/>
        <w:ind w:left="900" w:hanging="900" w:hangingChars="375"/>
        <w:rPr>
          <w:rFonts w:ascii="宋体" w:hAnsi="宋体" w:cs="宋体"/>
          <w:color w:val="auto"/>
          <w:sz w:val="24"/>
          <w:highlight w:val="none"/>
        </w:rPr>
      </w:pPr>
      <w:bookmarkStart w:id="112" w:name="_Ref467306244"/>
      <w:r>
        <w:rPr>
          <w:rFonts w:hint="eastAsia" w:ascii="宋体" w:hAnsi="宋体" w:cs="宋体"/>
          <w:color w:val="auto"/>
          <w:sz w:val="24"/>
          <w:highlight w:val="none"/>
        </w:rPr>
        <w:t>10.2</w:t>
      </w:r>
      <w:r>
        <w:rPr>
          <w:rFonts w:hint="eastAsia" w:ascii="宋体" w:hAnsi="宋体" w:cs="宋体"/>
          <w:color w:val="auto"/>
          <w:sz w:val="24"/>
          <w:highlight w:val="none"/>
        </w:rPr>
        <w:tab/>
      </w:r>
      <w:r>
        <w:rPr>
          <w:rFonts w:hint="eastAsia" w:ascii="宋体" w:hAnsi="宋体" w:cs="宋体"/>
          <w:color w:val="auto"/>
          <w:sz w:val="24"/>
          <w:highlight w:val="none"/>
        </w:rPr>
        <w:t>上款所述的证明文件，可以是文字资料、图纸和数据</w:t>
      </w:r>
      <w:bookmarkEnd w:id="112"/>
      <w:r>
        <w:rPr>
          <w:rFonts w:hint="eastAsia" w:ascii="宋体" w:hAnsi="宋体" w:cs="宋体"/>
          <w:color w:val="auto"/>
          <w:sz w:val="24"/>
          <w:highlight w:val="none"/>
        </w:rPr>
        <w:t>。</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10.2.1</w:t>
      </w:r>
      <w:r>
        <w:rPr>
          <w:rFonts w:hint="eastAsia" w:ascii="宋体" w:hAnsi="宋体" w:cs="宋体"/>
          <w:color w:val="auto"/>
          <w:sz w:val="24"/>
          <w:highlight w:val="none"/>
        </w:rPr>
        <w:tab/>
      </w:r>
      <w:r>
        <w:rPr>
          <w:rFonts w:hint="eastAsia" w:ascii="宋体" w:hAnsi="宋体" w:cs="宋体"/>
          <w:color w:val="auto"/>
          <w:sz w:val="24"/>
          <w:highlight w:val="none"/>
        </w:rPr>
        <w:t>设备主要技术指标的详细说明；</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10.2.2</w:t>
      </w:r>
      <w:r>
        <w:rPr>
          <w:rFonts w:hint="eastAsia" w:ascii="宋体" w:hAnsi="宋体" w:cs="宋体"/>
          <w:color w:val="auto"/>
          <w:sz w:val="24"/>
          <w:highlight w:val="none"/>
        </w:rPr>
        <w:tab/>
      </w:r>
      <w:r>
        <w:rPr>
          <w:rFonts w:hint="eastAsia" w:ascii="宋体" w:hAnsi="宋体" w:cs="宋体"/>
          <w:color w:val="auto"/>
          <w:sz w:val="24"/>
          <w:highlight w:val="none"/>
        </w:rPr>
        <w:t>货物从买方开始使用至招标文件规定的保质期内正常、连续地使用所必须的备件和专用工具清单，包括备件和专用工具的货源及现行价格；</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10.2.3</w:t>
      </w:r>
      <w:r>
        <w:rPr>
          <w:rFonts w:hint="eastAsia" w:ascii="宋体" w:hAnsi="宋体" w:cs="宋体"/>
          <w:color w:val="auto"/>
          <w:sz w:val="24"/>
          <w:highlight w:val="none"/>
        </w:rPr>
        <w:tab/>
      </w:r>
      <w:r>
        <w:rPr>
          <w:rFonts w:hint="eastAsia" w:ascii="宋体" w:hAnsi="宋体" w:cs="宋体"/>
          <w:color w:val="auto"/>
          <w:sz w:val="24"/>
          <w:highlight w:val="none"/>
        </w:rPr>
        <w:t>对照招标文件技术规格，逐条说明所提供货物及伴随的工程和货物已对招标文件的技术规格做出了实质性的响应，或申明与技术规格条文的偏差和例外。</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10.3</w:t>
      </w:r>
      <w:r>
        <w:rPr>
          <w:rFonts w:hint="eastAsia" w:ascii="宋体" w:hAnsi="宋体" w:cs="宋体"/>
          <w:color w:val="auto"/>
          <w:sz w:val="24"/>
          <w:highlight w:val="none"/>
        </w:rPr>
        <w:tab/>
      </w:r>
      <w:r>
        <w:rPr>
          <w:rFonts w:hint="eastAsia" w:ascii="宋体" w:hAnsi="宋体" w:cs="宋体"/>
          <w:color w:val="auto"/>
          <w:sz w:val="24"/>
          <w:highlight w:val="none"/>
        </w:rPr>
        <w:t>供应商在投标中可以选用替代牌号或分类号，但这些替代要实质上相当于技术规格的要求。采购人、采购代理机构承诺不以上述参照品牌型号或分类号作为评标时判定其投标是否有效的标准。</w:t>
      </w:r>
    </w:p>
    <w:p>
      <w:pPr>
        <w:pStyle w:val="5"/>
        <w:spacing w:before="0" w:after="0" w:line="360" w:lineRule="auto"/>
        <w:rPr>
          <w:rFonts w:hAnsi="宋体" w:cs="宋体"/>
          <w:color w:val="auto"/>
          <w:highlight w:val="none"/>
          <w:u w:val="none"/>
        </w:rPr>
      </w:pPr>
      <w:bookmarkStart w:id="113" w:name="_Toc8529"/>
      <w:bookmarkStart w:id="114" w:name="_Toc518923073"/>
      <w:bookmarkStart w:id="115" w:name="_Toc13028"/>
      <w:bookmarkStart w:id="116" w:name="_Toc32744"/>
      <w:bookmarkStart w:id="117" w:name="_Toc29026"/>
      <w:bookmarkStart w:id="118" w:name="_Toc2028682210"/>
      <w:r>
        <w:rPr>
          <w:rFonts w:hint="eastAsia" w:hAnsi="宋体" w:cs="宋体"/>
          <w:color w:val="auto"/>
          <w:highlight w:val="none"/>
          <w:u w:val="none"/>
        </w:rPr>
        <w:t>11.投标报价</w:t>
      </w:r>
      <w:bookmarkEnd w:id="111"/>
      <w:bookmarkEnd w:id="113"/>
      <w:bookmarkEnd w:id="114"/>
      <w:bookmarkEnd w:id="115"/>
      <w:bookmarkEnd w:id="116"/>
      <w:bookmarkEnd w:id="117"/>
      <w:bookmarkEnd w:id="118"/>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color w:val="auto"/>
          <w:sz w:val="24"/>
          <w:highlight w:val="none"/>
        </w:rPr>
        <w:tab/>
      </w:r>
      <w:r>
        <w:rPr>
          <w:rFonts w:hint="eastAsia" w:ascii="宋体" w:hAnsi="宋体" w:cs="宋体"/>
          <w:color w:val="auto"/>
          <w:sz w:val="24"/>
          <w:highlight w:val="none"/>
        </w:rPr>
        <w:t>所有投标均以人民币报价。投标人的投标报价应遵守《中华人民共和国价格法》。同时，根据《中华人民共和国政府采购法》第二条的规定，为保证公平竞争，如有主体投标标的的赠与行为，其投标将被认定为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11.2</w:t>
      </w:r>
      <w:r>
        <w:rPr>
          <w:rFonts w:hint="eastAsia" w:ascii="宋体" w:hAnsi="宋体" w:cs="宋体"/>
          <w:color w:val="auto"/>
          <w:sz w:val="24"/>
          <w:highlight w:val="none"/>
        </w:rPr>
        <w:tab/>
      </w:r>
      <w:r>
        <w:rPr>
          <w:rFonts w:hint="eastAsia" w:ascii="宋体" w:hAnsi="宋体" w:cs="宋体"/>
          <w:color w:val="auto"/>
          <w:sz w:val="24"/>
          <w:highlight w:val="none"/>
        </w:rPr>
        <w:t>投标人应在投标分项报价表上标明分项服务的价格（如适用）和总价，并由法定代表人或其委托代理人签署。</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11.3</w:t>
      </w:r>
      <w:r>
        <w:rPr>
          <w:rFonts w:hint="eastAsia" w:ascii="宋体" w:hAnsi="宋体" w:cs="宋体"/>
          <w:color w:val="auto"/>
          <w:sz w:val="24"/>
          <w:highlight w:val="none"/>
        </w:rPr>
        <w:tab/>
      </w:r>
      <w:r>
        <w:rPr>
          <w:rFonts w:hint="eastAsia" w:ascii="宋体" w:hAnsi="宋体" w:cs="宋体"/>
          <w:color w:val="auto"/>
          <w:sz w:val="24"/>
          <w:highlight w:val="none"/>
        </w:rPr>
        <w:t>投标分项报价表上的价格应按下列方式填写：</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11.3.1  投标货物（包括备品备件、专用工具等）的出厂价（包括已在中国国内的进口货物完税后的仓库交货价、展室交货价或货架交货价），投标货物安装、调试、检验、技术服务和培训等费用；</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11.3.2  货物运至最终目的地的运输费和保险费用。</w:t>
      </w:r>
    </w:p>
    <w:p>
      <w:pPr>
        <w:spacing w:line="360" w:lineRule="auto"/>
        <w:ind w:left="900" w:hanging="900" w:hangingChars="375"/>
        <w:rPr>
          <w:rFonts w:ascii="宋体" w:hAnsi="宋体" w:cs="宋体"/>
          <w:b/>
          <w:bCs/>
          <w:color w:val="auto"/>
          <w:sz w:val="24"/>
          <w:highlight w:val="none"/>
        </w:rPr>
      </w:pPr>
      <w:r>
        <w:rPr>
          <w:rFonts w:hint="eastAsia" w:ascii="宋体" w:hAnsi="宋体" w:cs="宋体"/>
          <w:color w:val="auto"/>
          <w:sz w:val="24"/>
          <w:highlight w:val="none"/>
        </w:rPr>
        <w:t>11.4</w:t>
      </w:r>
      <w:r>
        <w:rPr>
          <w:rFonts w:hint="eastAsia" w:ascii="宋体" w:hAnsi="宋体" w:cs="宋体"/>
          <w:color w:val="auto"/>
          <w:sz w:val="24"/>
          <w:highlight w:val="none"/>
        </w:rPr>
        <w:tab/>
      </w:r>
      <w:r>
        <w:rPr>
          <w:rFonts w:hint="eastAsia" w:ascii="宋体" w:hAnsi="宋体" w:cs="宋体"/>
          <w:color w:val="auto"/>
          <w:sz w:val="24"/>
          <w:highlight w:val="none"/>
        </w:rPr>
        <w:t>投标人所报的各分项投标报价在合同履行过程中是固定不变的，不得以任何理由予以变更。任何包含价格调整要求的投标，将被认定为</w:t>
      </w:r>
      <w:r>
        <w:rPr>
          <w:rFonts w:hint="eastAsia" w:ascii="宋体" w:hAnsi="宋体" w:cs="宋体"/>
          <w:b/>
          <w:bCs/>
          <w:color w:val="auto"/>
          <w:sz w:val="24"/>
          <w:highlight w:val="none"/>
        </w:rPr>
        <w:t>投标无效。</w:t>
      </w:r>
    </w:p>
    <w:p>
      <w:pPr>
        <w:pStyle w:val="54"/>
        <w:ind w:left="0" w:leftChars="0" w:firstLine="0" w:firstLineChars="0"/>
        <w:rPr>
          <w:rFonts w:ascii="宋体" w:hAnsi="宋体" w:cs="宋体"/>
          <w:color w:val="auto"/>
          <w:sz w:val="24"/>
          <w:szCs w:val="24"/>
          <w:highlight w:val="none"/>
        </w:rPr>
      </w:pPr>
      <w:r>
        <w:rPr>
          <w:rFonts w:hint="eastAsia" w:ascii="宋体" w:hAnsi="宋体" w:cs="宋体"/>
          <w:color w:val="auto"/>
          <w:sz w:val="24"/>
          <w:szCs w:val="24"/>
          <w:highlight w:val="none"/>
        </w:rPr>
        <w:t>11.5</w:t>
      </w:r>
      <w:r>
        <w:rPr>
          <w:rFonts w:hint="eastAsia" w:ascii="宋体" w:hAnsi="宋体" w:cs="宋体"/>
          <w:color w:val="auto"/>
          <w:sz w:val="24"/>
          <w:szCs w:val="24"/>
          <w:highlight w:val="none"/>
        </w:rPr>
        <w:tab/>
      </w:r>
      <w:r>
        <w:rPr>
          <w:rFonts w:hint="eastAsia" w:ascii="宋体" w:hAnsi="宋体" w:cs="宋体"/>
          <w:color w:val="auto"/>
          <w:sz w:val="24"/>
          <w:szCs w:val="24"/>
          <w:highlight w:val="none"/>
        </w:rPr>
        <w:t xml:space="preserve">   每种货物只能有一个投标报价。采购人不接受具有附加条件的报价。</w:t>
      </w:r>
    </w:p>
    <w:p>
      <w:pPr>
        <w:pStyle w:val="5"/>
        <w:spacing w:before="0" w:after="0" w:line="360" w:lineRule="auto"/>
        <w:rPr>
          <w:rFonts w:hAnsi="宋体" w:cs="宋体"/>
          <w:color w:val="auto"/>
          <w:highlight w:val="none"/>
          <w:u w:val="none"/>
        </w:rPr>
      </w:pPr>
      <w:bookmarkStart w:id="119" w:name="_Toc24515"/>
      <w:bookmarkStart w:id="120" w:name="_Ref467306513"/>
      <w:bookmarkStart w:id="121" w:name="_Toc18305"/>
      <w:bookmarkStart w:id="122" w:name="_Toc464040051"/>
      <w:bookmarkStart w:id="123" w:name="_Toc16539"/>
      <w:bookmarkStart w:id="124" w:name="_Toc520356156"/>
      <w:bookmarkStart w:id="125" w:name="_Toc518923074"/>
      <w:bookmarkStart w:id="126" w:name="_Toc16199"/>
      <w:r>
        <w:rPr>
          <w:rFonts w:hint="eastAsia" w:hAnsi="宋体" w:cs="宋体"/>
          <w:color w:val="auto"/>
          <w:highlight w:val="none"/>
          <w:u w:val="none"/>
        </w:rPr>
        <w:t>12.投标保证金</w:t>
      </w:r>
      <w:bookmarkEnd w:id="119"/>
      <w:bookmarkEnd w:id="120"/>
      <w:bookmarkEnd w:id="121"/>
      <w:bookmarkEnd w:id="122"/>
      <w:bookmarkEnd w:id="123"/>
      <w:bookmarkEnd w:id="124"/>
      <w:bookmarkEnd w:id="125"/>
      <w:bookmarkEnd w:id="126"/>
    </w:p>
    <w:p>
      <w:pPr>
        <w:spacing w:line="360" w:lineRule="auto"/>
        <w:ind w:left="900" w:hanging="900" w:hangingChars="375"/>
        <w:rPr>
          <w:rFonts w:ascii="宋体" w:hAnsi="宋体" w:cs="宋体"/>
          <w:color w:val="auto"/>
          <w:sz w:val="24"/>
          <w:highlight w:val="none"/>
        </w:rPr>
      </w:pPr>
      <w:bookmarkStart w:id="127" w:name="_Ref467306302"/>
      <w:r>
        <w:rPr>
          <w:rFonts w:hint="eastAsia" w:ascii="宋体" w:hAnsi="宋体" w:cs="宋体"/>
          <w:color w:val="auto"/>
          <w:sz w:val="24"/>
          <w:highlight w:val="none"/>
        </w:rPr>
        <w:t>12.1</w:t>
      </w:r>
      <w:r>
        <w:rPr>
          <w:rFonts w:hint="eastAsia" w:ascii="宋体" w:hAnsi="宋体" w:cs="宋体"/>
          <w:color w:val="auto"/>
          <w:sz w:val="24"/>
          <w:highlight w:val="none"/>
        </w:rPr>
        <w:tab/>
      </w:r>
      <w:r>
        <w:rPr>
          <w:rFonts w:hint="eastAsia" w:ascii="宋体" w:hAnsi="宋体" w:cs="宋体"/>
          <w:color w:val="auto"/>
          <w:sz w:val="24"/>
          <w:highlight w:val="none"/>
        </w:rPr>
        <w:t>投标人应提交</w:t>
      </w:r>
      <w:r>
        <w:rPr>
          <w:rFonts w:hint="eastAsia" w:ascii="宋体" w:hAnsi="宋体" w:cs="宋体"/>
          <w:b/>
          <w:bCs/>
          <w:color w:val="auto"/>
          <w:sz w:val="24"/>
          <w:highlight w:val="none"/>
          <w:u w:val="single"/>
        </w:rPr>
        <w:t>投标人须知资料表</w:t>
      </w:r>
      <w:r>
        <w:rPr>
          <w:rFonts w:hint="eastAsia" w:ascii="宋体" w:hAnsi="宋体" w:cs="宋体"/>
          <w:color w:val="auto"/>
          <w:sz w:val="24"/>
          <w:highlight w:val="none"/>
        </w:rPr>
        <w:t>中规定的投标保证金</w:t>
      </w:r>
      <w:bookmarkEnd w:id="127"/>
      <w:r>
        <w:rPr>
          <w:rFonts w:hint="eastAsia" w:ascii="宋体" w:hAnsi="宋体" w:cs="宋体"/>
          <w:color w:val="auto"/>
          <w:sz w:val="24"/>
          <w:highlight w:val="none"/>
        </w:rPr>
        <w:t>，并作为其投标的一部分。</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12.2</w:t>
      </w:r>
      <w:r>
        <w:rPr>
          <w:rFonts w:hint="eastAsia" w:ascii="宋体" w:hAnsi="宋体" w:cs="宋体"/>
          <w:color w:val="auto"/>
          <w:sz w:val="24"/>
          <w:highlight w:val="none"/>
        </w:rPr>
        <w:tab/>
      </w:r>
      <w:r>
        <w:rPr>
          <w:rFonts w:hint="eastAsia" w:ascii="宋体" w:hAnsi="宋体" w:cs="宋体"/>
          <w:color w:val="auto"/>
          <w:sz w:val="24"/>
          <w:highlight w:val="none"/>
        </w:rPr>
        <w:t>投标人存在下列情形的，投标保证金不予退还：</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 xml:space="preserve">      （1）在投标有效期内，撤销投标的；</w:t>
      </w:r>
    </w:p>
    <w:p>
      <w:pPr>
        <w:pStyle w:val="26"/>
        <w:tabs>
          <w:tab w:val="left" w:pos="2240"/>
        </w:tabs>
        <w:spacing w:line="360" w:lineRule="auto"/>
        <w:ind w:left="1079" w:leftChars="371" w:hanging="300" w:hangingChars="125"/>
        <w:rPr>
          <w:rFonts w:hAnsi="宋体" w:cs="宋体"/>
          <w:color w:val="auto"/>
          <w:sz w:val="24"/>
          <w:highlight w:val="none"/>
        </w:rPr>
      </w:pPr>
      <w:r>
        <w:rPr>
          <w:rFonts w:hint="eastAsia" w:hAnsi="宋体" w:cs="宋体"/>
          <w:color w:val="auto"/>
          <w:sz w:val="24"/>
          <w:highlight w:val="none"/>
        </w:rPr>
        <w:t>（2）中标后不按本须知第30条的规定与采购人签订合同的；</w:t>
      </w:r>
    </w:p>
    <w:p>
      <w:pPr>
        <w:pStyle w:val="26"/>
        <w:tabs>
          <w:tab w:val="left" w:pos="2240"/>
        </w:tabs>
        <w:spacing w:line="360" w:lineRule="auto"/>
        <w:ind w:left="1079" w:leftChars="371" w:hanging="300" w:hangingChars="125"/>
        <w:rPr>
          <w:rFonts w:hAnsi="宋体" w:cs="宋体"/>
          <w:color w:val="auto"/>
          <w:sz w:val="24"/>
          <w:highlight w:val="none"/>
        </w:rPr>
      </w:pPr>
      <w:r>
        <w:rPr>
          <w:rFonts w:hint="eastAsia" w:hAnsi="宋体" w:cs="宋体"/>
          <w:color w:val="auto"/>
          <w:sz w:val="24"/>
          <w:highlight w:val="none"/>
        </w:rPr>
        <w:t>（3）中标后不按本须知第31条的规定提交履约保证金的；</w:t>
      </w:r>
    </w:p>
    <w:p>
      <w:pPr>
        <w:pStyle w:val="26"/>
        <w:tabs>
          <w:tab w:val="left" w:pos="2240"/>
        </w:tabs>
        <w:spacing w:line="360" w:lineRule="auto"/>
        <w:ind w:left="1079" w:leftChars="371" w:hanging="300" w:hangingChars="125"/>
        <w:rPr>
          <w:rFonts w:hAnsi="宋体" w:cs="宋体"/>
          <w:color w:val="auto"/>
          <w:sz w:val="24"/>
          <w:highlight w:val="none"/>
        </w:rPr>
      </w:pPr>
      <w:r>
        <w:rPr>
          <w:rFonts w:hint="eastAsia" w:hAnsi="宋体" w:cs="宋体"/>
          <w:color w:val="auto"/>
          <w:sz w:val="24"/>
          <w:highlight w:val="none"/>
        </w:rPr>
        <w:t>（4）中标后不按本须知第32条的规定缴纳中标服务费的；</w:t>
      </w:r>
    </w:p>
    <w:p>
      <w:pPr>
        <w:pStyle w:val="26"/>
        <w:tabs>
          <w:tab w:val="left" w:pos="2240"/>
        </w:tabs>
        <w:spacing w:line="360" w:lineRule="auto"/>
        <w:ind w:left="1079" w:leftChars="371" w:hanging="300" w:hangingChars="125"/>
        <w:rPr>
          <w:rFonts w:hAnsi="宋体" w:cs="宋体"/>
          <w:color w:val="auto"/>
          <w:sz w:val="24"/>
          <w:highlight w:val="none"/>
        </w:rPr>
      </w:pPr>
      <w:r>
        <w:rPr>
          <w:rFonts w:hint="eastAsia" w:hAnsi="宋体" w:cs="宋体"/>
          <w:color w:val="auto"/>
          <w:sz w:val="24"/>
          <w:highlight w:val="none"/>
        </w:rPr>
        <w:t>（5）存在其他违法违规行为的。</w:t>
      </w:r>
    </w:p>
    <w:p>
      <w:pPr>
        <w:spacing w:line="360" w:lineRule="auto"/>
        <w:ind w:left="900" w:hanging="900" w:hangingChars="375"/>
        <w:rPr>
          <w:rFonts w:ascii="宋体" w:hAnsi="宋体" w:cs="宋体"/>
          <w:color w:val="auto"/>
          <w:sz w:val="24"/>
          <w:highlight w:val="none"/>
        </w:rPr>
      </w:pPr>
      <w:bookmarkStart w:id="128" w:name="_Ref467306336"/>
      <w:r>
        <w:rPr>
          <w:rFonts w:hint="eastAsia" w:ascii="宋体" w:hAnsi="宋体" w:cs="宋体"/>
          <w:color w:val="auto"/>
          <w:sz w:val="24"/>
          <w:highlight w:val="none"/>
        </w:rPr>
        <w:t>12.3</w:t>
      </w:r>
      <w:r>
        <w:rPr>
          <w:rFonts w:hint="eastAsia" w:ascii="宋体" w:hAnsi="宋体" w:cs="宋体"/>
          <w:color w:val="auto"/>
          <w:sz w:val="24"/>
          <w:highlight w:val="none"/>
        </w:rPr>
        <w:tab/>
      </w:r>
      <w:bookmarkEnd w:id="128"/>
      <w:r>
        <w:rPr>
          <w:rFonts w:hint="eastAsia" w:ascii="宋体" w:hAnsi="宋体" w:cs="宋体"/>
          <w:color w:val="auto"/>
          <w:sz w:val="24"/>
          <w:highlight w:val="none"/>
        </w:rPr>
        <w:t>政府采购信用担保试点范围内的项目，接受符合财政部门规定的政府采购投标担保函原件。</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12.4</w:t>
      </w:r>
      <w:r>
        <w:rPr>
          <w:rFonts w:hint="eastAsia" w:ascii="宋体" w:hAnsi="宋体" w:cs="宋体"/>
          <w:color w:val="auto"/>
          <w:sz w:val="24"/>
          <w:highlight w:val="none"/>
        </w:rPr>
        <w:tab/>
      </w:r>
      <w:r>
        <w:rPr>
          <w:rFonts w:hint="eastAsia" w:ascii="宋体" w:hAnsi="宋体" w:cs="宋体"/>
          <w:color w:val="auto"/>
          <w:sz w:val="24"/>
          <w:highlight w:val="none"/>
        </w:rPr>
        <w:t>投标人未按本须知第12.1和12.3条规定提交投标保证金的，其投标将被认定为</w:t>
      </w:r>
      <w:r>
        <w:rPr>
          <w:rFonts w:hint="eastAsia" w:ascii="宋体" w:hAnsi="宋体" w:cs="宋体"/>
          <w:b/>
          <w:color w:val="auto"/>
          <w:sz w:val="24"/>
          <w:highlight w:val="none"/>
        </w:rPr>
        <w:t>投标无效</w:t>
      </w:r>
      <w:r>
        <w:rPr>
          <w:rFonts w:hint="eastAsia" w:ascii="宋体" w:hAnsi="宋体" w:cs="宋体"/>
          <w:color w:val="auto"/>
          <w:sz w:val="24"/>
          <w:highlight w:val="none"/>
        </w:rPr>
        <w:t>。</w:t>
      </w:r>
    </w:p>
    <w:p>
      <w:pPr>
        <w:spacing w:line="360" w:lineRule="auto"/>
        <w:rPr>
          <w:rFonts w:ascii="宋体" w:hAnsi="宋体" w:cs="宋体"/>
          <w:color w:val="auto"/>
          <w:sz w:val="24"/>
          <w:highlight w:val="none"/>
        </w:rPr>
      </w:pPr>
      <w:r>
        <w:rPr>
          <w:rFonts w:hint="eastAsia" w:ascii="宋体" w:hAnsi="宋体" w:cs="宋体"/>
          <w:color w:val="auto"/>
          <w:sz w:val="24"/>
          <w:highlight w:val="none"/>
        </w:rPr>
        <w:t>12.4.1  采用电汇形式的，一般可以实时入账；</w:t>
      </w:r>
    </w:p>
    <w:p>
      <w:pPr>
        <w:spacing w:line="360" w:lineRule="auto"/>
        <w:ind w:left="960" w:hanging="960" w:hangingChars="400"/>
        <w:rPr>
          <w:rFonts w:ascii="宋体" w:hAnsi="宋体" w:cs="宋体"/>
          <w:color w:val="auto"/>
          <w:sz w:val="24"/>
          <w:highlight w:val="none"/>
        </w:rPr>
      </w:pPr>
      <w:r>
        <w:rPr>
          <w:rFonts w:hint="eastAsia" w:ascii="宋体" w:hAnsi="宋体" w:cs="宋体"/>
          <w:color w:val="auto"/>
          <w:sz w:val="24"/>
          <w:highlight w:val="none"/>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12.5    联合体投标的，可以由联合体中的一方或者共同提交投标保证金。以一方名义提交投标保证金的，对联合体各方均具有约束力。</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12.6</w:t>
      </w:r>
      <w:r>
        <w:rPr>
          <w:rFonts w:hint="eastAsia" w:ascii="宋体" w:hAnsi="宋体" w:cs="宋体"/>
          <w:color w:val="auto"/>
          <w:sz w:val="24"/>
          <w:highlight w:val="none"/>
        </w:rPr>
        <w:tab/>
      </w:r>
      <w:r>
        <w:rPr>
          <w:rFonts w:hint="eastAsia" w:ascii="宋体" w:hAnsi="宋体" w:cs="宋体"/>
          <w:color w:val="auto"/>
          <w:sz w:val="24"/>
          <w:highlight w:val="none"/>
        </w:rPr>
        <w:t xml:space="preserve"> </w:t>
      </w:r>
      <w:r>
        <w:rPr>
          <w:rFonts w:hint="eastAsia" w:ascii="宋体" w:hAnsi="宋体" w:cs="宋体"/>
          <w:b/>
          <w:color w:val="auto"/>
          <w:sz w:val="24"/>
          <w:highlight w:val="none"/>
        </w:rPr>
        <w:t>投标保证金的退还</w:t>
      </w:r>
    </w:p>
    <w:p>
      <w:pPr>
        <w:spacing w:line="360" w:lineRule="auto"/>
        <w:ind w:left="1020" w:hanging="1020" w:hangingChars="425"/>
        <w:rPr>
          <w:rFonts w:ascii="宋体" w:hAnsi="宋体" w:cs="宋体"/>
          <w:color w:val="auto"/>
          <w:sz w:val="24"/>
          <w:highlight w:val="none"/>
        </w:rPr>
      </w:pPr>
      <w:r>
        <w:rPr>
          <w:rFonts w:hint="eastAsia" w:ascii="宋体" w:hAnsi="宋体" w:cs="宋体"/>
          <w:color w:val="auto"/>
          <w:sz w:val="24"/>
          <w:highlight w:val="none"/>
        </w:rPr>
        <w:t xml:space="preserve">12.6.1  </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应在与采购人签订合同之日起5个工作日内，及时联系保证金收受机构办理投标保证金无息退还手续。</w:t>
      </w:r>
    </w:p>
    <w:p>
      <w:pPr>
        <w:spacing w:line="360" w:lineRule="auto"/>
        <w:ind w:left="1020" w:hanging="1020" w:hangingChars="425"/>
        <w:rPr>
          <w:rFonts w:ascii="宋体" w:hAnsi="宋体" w:cs="宋体"/>
          <w:color w:val="auto"/>
          <w:sz w:val="24"/>
          <w:highlight w:val="none"/>
        </w:rPr>
      </w:pPr>
      <w:r>
        <w:rPr>
          <w:rFonts w:hint="eastAsia" w:ascii="宋体" w:hAnsi="宋体" w:cs="宋体"/>
          <w:color w:val="auto"/>
          <w:sz w:val="24"/>
          <w:highlight w:val="none"/>
        </w:rPr>
        <w:t>12.6.2  未中标投标人的投标保证金将在中标通知书发出之日暨中标结果公告公布之日起5个工作日内无息退还。投标人及时联系保证金收受机构办理退还投标保证金手续。</w:t>
      </w:r>
      <w:bookmarkStart w:id="129" w:name="_Toc518923075"/>
    </w:p>
    <w:p>
      <w:pPr>
        <w:spacing w:line="360" w:lineRule="auto"/>
        <w:ind w:left="1020" w:hanging="1020" w:hangingChars="425"/>
        <w:rPr>
          <w:rFonts w:ascii="宋体" w:hAnsi="宋体" w:cs="宋体"/>
          <w:color w:val="auto"/>
          <w:sz w:val="24"/>
          <w:highlight w:val="none"/>
        </w:rPr>
      </w:pPr>
      <w:r>
        <w:rPr>
          <w:rFonts w:hint="eastAsia" w:ascii="宋体" w:hAnsi="宋体" w:cs="宋体"/>
          <w:color w:val="auto"/>
          <w:sz w:val="24"/>
          <w:highlight w:val="none"/>
        </w:rPr>
        <w:t>12.6.3  政府采购投标担保函不予退回。</w:t>
      </w:r>
      <w:bookmarkEnd w:id="129"/>
    </w:p>
    <w:p>
      <w:pPr>
        <w:spacing w:line="360" w:lineRule="auto"/>
        <w:ind w:left="960" w:hanging="960" w:hangingChars="400"/>
        <w:rPr>
          <w:rFonts w:ascii="宋体" w:hAnsi="宋体" w:cs="宋体"/>
          <w:color w:val="auto"/>
          <w:sz w:val="24"/>
          <w:highlight w:val="none"/>
        </w:rPr>
      </w:pPr>
      <w:r>
        <w:rPr>
          <w:rFonts w:hint="eastAsia" w:ascii="宋体" w:hAnsi="宋体" w:cs="宋体"/>
          <w:color w:val="auto"/>
          <w:sz w:val="24"/>
          <w:highlight w:val="none"/>
        </w:rPr>
        <w:t>12.7    因投标人自身原因导致无法及时退还的，采购人或采购代理机构将不承担相应责任。</w:t>
      </w:r>
    </w:p>
    <w:p>
      <w:pPr>
        <w:pStyle w:val="5"/>
        <w:spacing w:before="0" w:after="0" w:line="360" w:lineRule="auto"/>
        <w:rPr>
          <w:rFonts w:hAnsi="宋体" w:cs="宋体"/>
          <w:color w:val="auto"/>
          <w:highlight w:val="none"/>
          <w:u w:val="none"/>
        </w:rPr>
      </w:pPr>
      <w:bookmarkStart w:id="130" w:name="_Toc1608014900"/>
      <w:bookmarkStart w:id="131" w:name="_Toc520356157"/>
      <w:bookmarkStart w:id="132" w:name="_Toc29883"/>
      <w:bookmarkStart w:id="133" w:name="_Toc518923076"/>
      <w:bookmarkStart w:id="134" w:name="_Toc25375"/>
      <w:bookmarkStart w:id="135" w:name="_Toc12440"/>
      <w:bookmarkStart w:id="136" w:name="_Toc20355"/>
      <w:r>
        <w:rPr>
          <w:rFonts w:hint="eastAsia" w:hAnsi="宋体" w:cs="宋体"/>
          <w:color w:val="auto"/>
          <w:highlight w:val="none"/>
          <w:u w:val="none"/>
        </w:rPr>
        <w:t>13.投标有效期</w:t>
      </w:r>
      <w:bookmarkEnd w:id="130"/>
      <w:bookmarkEnd w:id="131"/>
      <w:bookmarkEnd w:id="132"/>
      <w:bookmarkEnd w:id="133"/>
      <w:bookmarkEnd w:id="134"/>
      <w:bookmarkEnd w:id="135"/>
      <w:bookmarkEnd w:id="136"/>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13.1</w:t>
      </w:r>
      <w:r>
        <w:rPr>
          <w:rFonts w:hint="eastAsia" w:ascii="宋体" w:hAnsi="宋体" w:cs="宋体"/>
          <w:color w:val="auto"/>
          <w:sz w:val="24"/>
          <w:highlight w:val="none"/>
        </w:rPr>
        <w:tab/>
      </w:r>
      <w:r>
        <w:rPr>
          <w:rFonts w:hint="eastAsia" w:ascii="宋体" w:hAnsi="宋体" w:cs="宋体"/>
          <w:color w:val="auto"/>
          <w:sz w:val="24"/>
          <w:highlight w:val="none"/>
        </w:rPr>
        <w:t>投标应在</w:t>
      </w:r>
      <w:r>
        <w:rPr>
          <w:rFonts w:hint="eastAsia" w:ascii="宋体" w:hAnsi="宋体" w:cs="宋体"/>
          <w:b/>
          <w:bCs/>
          <w:color w:val="auto"/>
          <w:sz w:val="24"/>
          <w:highlight w:val="none"/>
          <w:u w:val="single"/>
        </w:rPr>
        <w:t>投标人须知资料表</w:t>
      </w:r>
      <w:r>
        <w:rPr>
          <w:rFonts w:hint="eastAsia" w:ascii="宋体" w:hAnsi="宋体" w:cs="宋体"/>
          <w:color w:val="auto"/>
          <w:sz w:val="24"/>
          <w:highlight w:val="none"/>
        </w:rPr>
        <w:t>中规定时间内保持有效。投标有效期不满足要求的投标，其投标将被认定为</w:t>
      </w:r>
      <w:r>
        <w:rPr>
          <w:rFonts w:hint="eastAsia" w:ascii="宋体" w:hAnsi="宋体" w:cs="宋体"/>
          <w:b/>
          <w:color w:val="auto"/>
          <w:sz w:val="24"/>
          <w:highlight w:val="none"/>
        </w:rPr>
        <w:t>投标无效</w:t>
      </w:r>
      <w:r>
        <w:rPr>
          <w:rFonts w:hint="eastAsia" w:ascii="宋体" w:hAnsi="宋体" w:cs="宋体"/>
          <w:color w:val="auto"/>
          <w:sz w:val="24"/>
          <w:highlight w:val="none"/>
        </w:rPr>
        <w:t>。</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13.2</w:t>
      </w:r>
      <w:r>
        <w:rPr>
          <w:rFonts w:hint="eastAsia" w:ascii="宋体" w:hAnsi="宋体" w:cs="宋体"/>
          <w:color w:val="auto"/>
          <w:sz w:val="24"/>
          <w:highlight w:val="none"/>
        </w:rPr>
        <w:tab/>
      </w:r>
      <w:r>
        <w:rPr>
          <w:rFonts w:hint="eastAsia" w:ascii="宋体" w:hAnsi="宋体" w:cs="宋体"/>
          <w:color w:val="auto"/>
          <w:sz w:val="24"/>
          <w:highlight w:val="none"/>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按规定无息退还。上述要求和答复都应以书面形式提交。</w:t>
      </w:r>
    </w:p>
    <w:p>
      <w:pPr>
        <w:pStyle w:val="5"/>
        <w:spacing w:before="0" w:after="0" w:line="360" w:lineRule="auto"/>
        <w:rPr>
          <w:rFonts w:hAnsi="宋体" w:cs="宋体"/>
          <w:color w:val="auto"/>
          <w:highlight w:val="none"/>
          <w:u w:val="none"/>
        </w:rPr>
      </w:pPr>
      <w:bookmarkStart w:id="137" w:name="_Toc520356158"/>
      <w:bookmarkStart w:id="138" w:name="_Toc1577"/>
      <w:bookmarkStart w:id="139" w:name="_Toc1972210452"/>
      <w:bookmarkStart w:id="140" w:name="_Toc27303"/>
      <w:bookmarkStart w:id="141" w:name="_Toc12950"/>
      <w:bookmarkStart w:id="142" w:name="_Toc518923077"/>
      <w:bookmarkStart w:id="143" w:name="_Toc10460"/>
      <w:r>
        <w:rPr>
          <w:rFonts w:hint="eastAsia" w:hAnsi="宋体" w:cs="宋体"/>
          <w:color w:val="auto"/>
          <w:highlight w:val="none"/>
          <w:u w:val="none"/>
        </w:rPr>
        <w:t>14.投标文件的签署</w:t>
      </w:r>
      <w:bookmarkEnd w:id="137"/>
      <w:r>
        <w:rPr>
          <w:rFonts w:hint="eastAsia" w:hAnsi="宋体" w:cs="宋体"/>
          <w:color w:val="auto"/>
          <w:highlight w:val="none"/>
          <w:u w:val="none"/>
        </w:rPr>
        <w:t>及规定</w:t>
      </w:r>
      <w:bookmarkEnd w:id="138"/>
      <w:bookmarkEnd w:id="139"/>
      <w:bookmarkEnd w:id="140"/>
      <w:bookmarkEnd w:id="141"/>
      <w:bookmarkEnd w:id="142"/>
      <w:bookmarkEnd w:id="143"/>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14.1</w:t>
      </w:r>
      <w:r>
        <w:rPr>
          <w:rFonts w:hint="eastAsia" w:ascii="宋体" w:hAnsi="宋体" w:cs="宋体"/>
          <w:color w:val="auto"/>
          <w:sz w:val="24"/>
          <w:highlight w:val="none"/>
        </w:rPr>
        <w:tab/>
      </w:r>
      <w:r>
        <w:rPr>
          <w:rFonts w:hint="eastAsia" w:ascii="宋体" w:hAnsi="宋体" w:cs="宋体"/>
          <w:color w:val="auto"/>
          <w:sz w:val="24"/>
          <w:highlight w:val="none"/>
        </w:rPr>
        <w:t>投标人应按</w:t>
      </w:r>
      <w:r>
        <w:rPr>
          <w:rFonts w:hint="eastAsia" w:ascii="宋体" w:hAnsi="宋体" w:cs="宋体"/>
          <w:b/>
          <w:bCs/>
          <w:color w:val="auto"/>
          <w:sz w:val="24"/>
          <w:highlight w:val="none"/>
          <w:u w:val="single"/>
        </w:rPr>
        <w:t>投标人须知资料表</w:t>
      </w:r>
      <w:r>
        <w:rPr>
          <w:rFonts w:hint="eastAsia" w:ascii="宋体" w:hAnsi="宋体" w:cs="宋体"/>
          <w:color w:val="auto"/>
          <w:sz w:val="24"/>
          <w:highlight w:val="none"/>
        </w:rPr>
        <w:t>中的规定，准备和递交投标文件、投标报价一览表。</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14.</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 xml:space="preserve">    投标文件因字迹潦草、表达不清、上传的电子文档无法解密所引起的后果由投标人负责。</w:t>
      </w:r>
    </w:p>
    <w:p>
      <w:pPr>
        <w:spacing w:line="360" w:lineRule="auto"/>
        <w:ind w:left="900" w:hanging="900" w:hangingChars="375"/>
        <w:rPr>
          <w:rFonts w:ascii="宋体" w:hAnsi="宋体" w:cs="宋体"/>
          <w:color w:val="auto"/>
          <w:sz w:val="24"/>
          <w:highlight w:val="none"/>
        </w:rPr>
      </w:pPr>
    </w:p>
    <w:p>
      <w:pPr>
        <w:pStyle w:val="4"/>
        <w:spacing w:before="0" w:line="360" w:lineRule="auto"/>
        <w:ind w:left="1080" w:leftChars="257" w:hanging="540"/>
        <w:rPr>
          <w:rFonts w:ascii="宋体" w:hAnsi="宋体" w:eastAsia="宋体" w:cs="宋体"/>
          <w:color w:val="auto"/>
          <w:sz w:val="24"/>
          <w:highlight w:val="none"/>
        </w:rPr>
      </w:pPr>
      <w:bookmarkStart w:id="144" w:name="_Toc4415"/>
      <w:bookmarkStart w:id="145" w:name="_Toc530975319"/>
      <w:bookmarkStart w:id="146" w:name="_Toc22303"/>
      <w:bookmarkStart w:id="147" w:name="_Toc520356159"/>
      <w:bookmarkStart w:id="148" w:name="_Toc3050"/>
      <w:bookmarkStart w:id="149" w:name="_Toc20193"/>
      <w:bookmarkStart w:id="150" w:name="_Toc518923078"/>
      <w:bookmarkStart w:id="151" w:name="_Toc216582808"/>
      <w:r>
        <w:rPr>
          <w:rFonts w:hint="eastAsia" w:ascii="宋体" w:hAnsi="宋体" w:eastAsia="宋体" w:cs="宋体"/>
          <w:color w:val="auto"/>
          <w:sz w:val="24"/>
          <w:highlight w:val="none"/>
        </w:rPr>
        <w:t>四   投标文件的递交</w:t>
      </w:r>
      <w:bookmarkEnd w:id="144"/>
      <w:bookmarkEnd w:id="145"/>
      <w:bookmarkEnd w:id="146"/>
      <w:bookmarkEnd w:id="147"/>
      <w:bookmarkEnd w:id="148"/>
      <w:bookmarkEnd w:id="149"/>
      <w:bookmarkEnd w:id="150"/>
      <w:bookmarkEnd w:id="151"/>
    </w:p>
    <w:p>
      <w:pPr>
        <w:pStyle w:val="15"/>
        <w:spacing w:line="360" w:lineRule="auto"/>
        <w:rPr>
          <w:rFonts w:hAnsi="宋体" w:cs="宋体"/>
          <w:color w:val="auto"/>
          <w:highlight w:val="none"/>
        </w:rPr>
      </w:pPr>
    </w:p>
    <w:p>
      <w:pPr>
        <w:pStyle w:val="5"/>
        <w:spacing w:before="0" w:after="0" w:line="360" w:lineRule="auto"/>
        <w:rPr>
          <w:rFonts w:hAnsi="宋体" w:cs="宋体"/>
          <w:color w:val="auto"/>
          <w:highlight w:val="none"/>
          <w:u w:val="none"/>
        </w:rPr>
      </w:pPr>
      <w:bookmarkStart w:id="152" w:name="_Toc16644"/>
      <w:bookmarkStart w:id="153" w:name="_Toc13247"/>
      <w:bookmarkStart w:id="154" w:name="_Toc3038"/>
      <w:bookmarkStart w:id="155" w:name="_Toc518923079"/>
      <w:bookmarkStart w:id="156" w:name="_Toc10848"/>
      <w:bookmarkStart w:id="157" w:name="_Toc1307633148"/>
      <w:bookmarkStart w:id="158" w:name="_Toc520356160"/>
      <w:r>
        <w:rPr>
          <w:rFonts w:hint="eastAsia" w:hAnsi="宋体" w:cs="宋体"/>
          <w:color w:val="auto"/>
          <w:highlight w:val="none"/>
          <w:u w:val="none"/>
        </w:rPr>
        <w:t>15.投标文件的密封和标记</w:t>
      </w:r>
      <w:bookmarkEnd w:id="152"/>
      <w:bookmarkEnd w:id="153"/>
      <w:bookmarkEnd w:id="154"/>
      <w:bookmarkEnd w:id="155"/>
      <w:bookmarkEnd w:id="156"/>
      <w:bookmarkEnd w:id="157"/>
      <w:bookmarkEnd w:id="158"/>
    </w:p>
    <w:p>
      <w:pPr>
        <w:spacing w:line="360" w:lineRule="auto"/>
        <w:ind w:left="900" w:hanging="900" w:hangingChars="375"/>
        <w:jc w:val="left"/>
        <w:rPr>
          <w:rFonts w:ascii="宋体" w:hAnsi="宋体" w:cs="宋体"/>
          <w:color w:val="auto"/>
          <w:sz w:val="24"/>
          <w:highlight w:val="none"/>
        </w:rPr>
      </w:pPr>
      <w:r>
        <w:rPr>
          <w:rFonts w:hint="eastAsia" w:ascii="宋体" w:hAnsi="宋体" w:cs="宋体"/>
          <w:color w:val="auto"/>
          <w:sz w:val="24"/>
          <w:highlight w:val="none"/>
        </w:rPr>
        <w:t xml:space="preserve">15.1   </w:t>
      </w:r>
      <w:r>
        <w:rPr>
          <w:rFonts w:hint="eastAsia" w:ascii="宋体" w:hAnsi="宋体" w:cs="宋体"/>
          <w:b/>
          <w:bCs/>
          <w:color w:val="auto"/>
          <w:sz w:val="24"/>
          <w:highlight w:val="none"/>
        </w:rPr>
        <w:t xml:space="preserve"> 投标人应将投标文件第一部分和第二部分合并，并在每部分标明“第一部分开标一览表及资格证明文件”或“第二部分商务及技术文件”字样。电子版投标文件必须通过新疆CA数字证书编制、上传至新疆政府采购网政采云平台。</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15.2   所有电子投标文件封皮应：</w:t>
      </w:r>
    </w:p>
    <w:p>
      <w:pPr>
        <w:spacing w:line="360" w:lineRule="auto"/>
        <w:ind w:left="898" w:leftChars="399" w:hanging="60" w:hangingChars="25"/>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注明招标公告或投标邀请书中指明的项目名称、招标编号、投标人名称</w:t>
      </w:r>
      <w:r>
        <w:rPr>
          <w:rFonts w:hint="eastAsia" w:ascii="宋体" w:hAnsi="宋体" w:cs="宋体"/>
          <w:color w:val="auto"/>
          <w:sz w:val="24"/>
          <w:highlight w:val="none"/>
          <w:lang w:eastAsia="zh-CN"/>
        </w:rPr>
        <w:t>的字样</w:t>
      </w:r>
      <w:r>
        <w:rPr>
          <w:rFonts w:hint="eastAsia" w:ascii="宋体" w:hAnsi="宋体" w:cs="宋体"/>
          <w:color w:val="auto"/>
          <w:sz w:val="24"/>
          <w:highlight w:val="none"/>
          <w:lang w:val="en-US" w:eastAsia="zh-CN"/>
        </w:rPr>
        <w:t>.</w:t>
      </w:r>
    </w:p>
    <w:p>
      <w:pPr>
        <w:spacing w:line="360" w:lineRule="auto"/>
        <w:ind w:left="900" w:hanging="900" w:hangingChars="375"/>
        <w:rPr>
          <w:rFonts w:ascii="宋体" w:hAnsi="宋体" w:cs="宋体"/>
          <w:color w:val="auto"/>
          <w:sz w:val="24"/>
          <w:highlight w:val="none"/>
          <w:u w:val="single"/>
        </w:rPr>
      </w:pPr>
      <w:r>
        <w:rPr>
          <w:rFonts w:hint="eastAsia" w:ascii="宋体" w:hAnsi="宋体" w:cs="宋体"/>
          <w:color w:val="auto"/>
          <w:sz w:val="24"/>
          <w:highlight w:val="none"/>
        </w:rPr>
        <w:t>15.3   如果投标人未按上述要求标记的，其投标文件将</w:t>
      </w:r>
      <w:r>
        <w:rPr>
          <w:rFonts w:hint="eastAsia" w:ascii="宋体" w:hAnsi="宋体" w:cs="宋体"/>
          <w:b/>
          <w:bCs/>
          <w:color w:val="auto"/>
          <w:sz w:val="24"/>
          <w:highlight w:val="none"/>
        </w:rPr>
        <w:t>被拒绝接收。</w:t>
      </w:r>
    </w:p>
    <w:p>
      <w:pPr>
        <w:pStyle w:val="5"/>
        <w:spacing w:before="0" w:after="0" w:line="360" w:lineRule="auto"/>
        <w:rPr>
          <w:rFonts w:hAnsi="宋体" w:cs="宋体"/>
          <w:color w:val="auto"/>
          <w:highlight w:val="none"/>
          <w:u w:val="none"/>
        </w:rPr>
      </w:pPr>
      <w:bookmarkStart w:id="159" w:name="_Toc12512"/>
      <w:bookmarkStart w:id="160" w:name="_Toc520356161"/>
      <w:bookmarkStart w:id="161" w:name="_Toc42675038"/>
      <w:bookmarkStart w:id="162" w:name="_Toc518923080"/>
      <w:bookmarkStart w:id="163" w:name="_Toc10904"/>
      <w:bookmarkStart w:id="164" w:name="_Toc25787"/>
      <w:bookmarkStart w:id="165" w:name="_Toc30117"/>
      <w:r>
        <w:rPr>
          <w:rFonts w:hint="eastAsia" w:hAnsi="宋体" w:cs="宋体"/>
          <w:color w:val="auto"/>
          <w:highlight w:val="none"/>
          <w:u w:val="none"/>
        </w:rPr>
        <w:t>16.投标截止</w:t>
      </w:r>
      <w:bookmarkEnd w:id="159"/>
      <w:bookmarkEnd w:id="160"/>
      <w:bookmarkEnd w:id="161"/>
      <w:bookmarkEnd w:id="162"/>
      <w:bookmarkEnd w:id="163"/>
      <w:bookmarkEnd w:id="164"/>
      <w:bookmarkEnd w:id="165"/>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16.1</w:t>
      </w:r>
      <w:r>
        <w:rPr>
          <w:rFonts w:hint="eastAsia" w:ascii="宋体" w:hAnsi="宋体" w:cs="宋体"/>
          <w:color w:val="auto"/>
          <w:sz w:val="24"/>
          <w:highlight w:val="none"/>
        </w:rPr>
        <w:tab/>
      </w:r>
      <w:r>
        <w:rPr>
          <w:rFonts w:hint="eastAsia" w:ascii="宋体" w:hAnsi="宋体" w:cs="宋体"/>
          <w:color w:val="auto"/>
          <w:sz w:val="24"/>
          <w:highlight w:val="none"/>
        </w:rPr>
        <w:t>投标人应在</w:t>
      </w:r>
      <w:r>
        <w:rPr>
          <w:rFonts w:hint="eastAsia" w:ascii="宋体" w:hAnsi="宋体" w:cs="宋体"/>
          <w:b/>
          <w:bCs/>
          <w:color w:val="auto"/>
          <w:sz w:val="24"/>
          <w:highlight w:val="none"/>
          <w:u w:val="single"/>
        </w:rPr>
        <w:t>投标人须知资料表</w:t>
      </w:r>
      <w:r>
        <w:rPr>
          <w:rFonts w:hint="eastAsia" w:ascii="宋体" w:hAnsi="宋体" w:cs="宋体"/>
          <w:color w:val="auto"/>
          <w:sz w:val="24"/>
          <w:highlight w:val="none"/>
        </w:rPr>
        <w:t>中规定的截止时间前，将投标文件递交到招标公告中规定的地点。</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16.2</w:t>
      </w:r>
      <w:r>
        <w:rPr>
          <w:rFonts w:hint="eastAsia" w:ascii="宋体" w:hAnsi="宋体" w:cs="宋体"/>
          <w:color w:val="auto"/>
          <w:sz w:val="24"/>
          <w:highlight w:val="none"/>
        </w:rPr>
        <w:tab/>
      </w:r>
      <w:r>
        <w:rPr>
          <w:rFonts w:hint="eastAsia" w:ascii="宋体" w:hAnsi="宋体" w:cs="宋体"/>
          <w:color w:val="auto"/>
          <w:sz w:val="24"/>
          <w:highlight w:val="none"/>
        </w:rPr>
        <w:t>采购人和采购代理机构有权按本须知的规定，延迟投标截止时间。在此情况下，采购人、采购代理机构和投标人受投标截止时间制约的所有权利和义务均应延长至新的截止时间。</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16.3</w:t>
      </w:r>
      <w:r>
        <w:rPr>
          <w:rFonts w:hint="eastAsia" w:ascii="宋体" w:hAnsi="宋体" w:cs="宋体"/>
          <w:color w:val="auto"/>
          <w:sz w:val="24"/>
          <w:highlight w:val="none"/>
        </w:rPr>
        <w:tab/>
      </w:r>
      <w:r>
        <w:rPr>
          <w:rFonts w:hint="eastAsia" w:ascii="宋体" w:hAnsi="宋体" w:cs="宋体"/>
          <w:color w:val="auto"/>
          <w:sz w:val="24"/>
          <w:highlight w:val="none"/>
        </w:rPr>
        <w:t>采购人和采购代理机构将拒绝接收在投标截止时间后送达的投标文件。</w:t>
      </w:r>
    </w:p>
    <w:p>
      <w:pPr>
        <w:pStyle w:val="5"/>
        <w:spacing w:before="0" w:after="0" w:line="360" w:lineRule="auto"/>
        <w:rPr>
          <w:rFonts w:hAnsi="宋体" w:cs="宋体"/>
          <w:color w:val="auto"/>
          <w:highlight w:val="none"/>
          <w:u w:val="none"/>
        </w:rPr>
      </w:pPr>
      <w:bookmarkStart w:id="166" w:name="_Toc13921"/>
      <w:bookmarkStart w:id="167" w:name="_Toc25814"/>
      <w:bookmarkStart w:id="168" w:name="_Toc22116"/>
      <w:bookmarkStart w:id="169" w:name="_Toc520356162"/>
      <w:bookmarkStart w:id="170" w:name="_Toc25749"/>
      <w:bookmarkStart w:id="171" w:name="_Toc518923081"/>
      <w:bookmarkStart w:id="172" w:name="_Toc2127309215"/>
      <w:r>
        <w:rPr>
          <w:rFonts w:hint="eastAsia" w:hAnsi="宋体" w:cs="宋体"/>
          <w:color w:val="auto"/>
          <w:highlight w:val="none"/>
          <w:u w:val="none"/>
        </w:rPr>
        <w:t>17.投标文件的接收、修改与撤回</w:t>
      </w:r>
      <w:bookmarkEnd w:id="166"/>
      <w:bookmarkEnd w:id="167"/>
      <w:bookmarkEnd w:id="168"/>
      <w:bookmarkEnd w:id="169"/>
      <w:bookmarkEnd w:id="170"/>
      <w:bookmarkEnd w:id="171"/>
      <w:bookmarkEnd w:id="172"/>
    </w:p>
    <w:p>
      <w:pPr>
        <w:spacing w:line="360" w:lineRule="auto"/>
        <w:ind w:left="900" w:hanging="900" w:hangingChars="375"/>
        <w:rPr>
          <w:rFonts w:ascii="宋体" w:hAnsi="宋体" w:cs="宋体"/>
          <w:b/>
          <w:color w:val="auto"/>
          <w:highlight w:val="none"/>
        </w:rPr>
      </w:pPr>
      <w:r>
        <w:rPr>
          <w:rFonts w:hint="eastAsia" w:ascii="宋体" w:hAnsi="宋体" w:cs="宋体"/>
          <w:color w:val="auto"/>
          <w:sz w:val="24"/>
          <w:highlight w:val="none"/>
        </w:rPr>
        <w:t>17.1   在投标截止时间后上传投标文件的，采购人和采购代理机构将拒绝接收。</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17.2    上传投标文件以后，如果投标人要进行修改或撤回投标，须提出书面申请并在投标截止时间前送达开标地点，投标人对投标文件的修改或撤回通知应按本须知规定编制、密封、标记。</w:t>
      </w:r>
    </w:p>
    <w:p>
      <w:pPr>
        <w:spacing w:line="360" w:lineRule="auto"/>
        <w:ind w:left="735" w:leftChars="350" w:firstLine="120" w:firstLineChars="50"/>
        <w:rPr>
          <w:rFonts w:ascii="宋体" w:hAnsi="宋体" w:cs="宋体"/>
          <w:color w:val="auto"/>
          <w:sz w:val="24"/>
          <w:highlight w:val="none"/>
        </w:rPr>
      </w:pPr>
      <w:r>
        <w:rPr>
          <w:rFonts w:hint="eastAsia" w:ascii="宋体" w:hAnsi="宋体" w:cs="宋体"/>
          <w:color w:val="auto"/>
          <w:sz w:val="24"/>
          <w:highlight w:val="none"/>
        </w:rPr>
        <w:t>采购人和采购代理机构将予以接收，并视为投标文件的组成部分。</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17.3</w:t>
      </w:r>
      <w:r>
        <w:rPr>
          <w:rFonts w:hint="eastAsia" w:ascii="宋体" w:hAnsi="宋体" w:cs="宋体"/>
          <w:color w:val="auto"/>
          <w:sz w:val="24"/>
          <w:highlight w:val="none"/>
        </w:rPr>
        <w:tab/>
      </w:r>
      <w:r>
        <w:rPr>
          <w:rFonts w:hint="eastAsia" w:ascii="宋体" w:hAnsi="宋体" w:cs="宋体"/>
          <w:color w:val="auto"/>
          <w:sz w:val="24"/>
          <w:highlight w:val="none"/>
        </w:rPr>
        <w:t>在投标截止期之后，采购人和采购代理机构不接受投标人主动对其投标文件做任何修改。</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17.4</w:t>
      </w:r>
      <w:r>
        <w:rPr>
          <w:rFonts w:hint="eastAsia" w:ascii="宋体" w:hAnsi="宋体" w:cs="宋体"/>
          <w:color w:val="auto"/>
          <w:sz w:val="24"/>
          <w:highlight w:val="none"/>
        </w:rPr>
        <w:tab/>
      </w:r>
      <w:r>
        <w:rPr>
          <w:rFonts w:hint="eastAsia" w:ascii="宋体" w:hAnsi="宋体" w:cs="宋体"/>
          <w:color w:val="auto"/>
          <w:sz w:val="24"/>
          <w:highlight w:val="none"/>
        </w:rPr>
        <w:t>采购人和采购代理机构对所接收投标文件概不退回。</w:t>
      </w:r>
    </w:p>
    <w:p>
      <w:pPr>
        <w:spacing w:line="360" w:lineRule="auto"/>
        <w:ind w:left="1080" w:leftChars="257" w:hanging="540"/>
        <w:rPr>
          <w:rFonts w:ascii="宋体" w:hAnsi="宋体" w:cs="宋体"/>
          <w:color w:val="auto"/>
          <w:sz w:val="24"/>
          <w:highlight w:val="none"/>
        </w:rPr>
      </w:pPr>
    </w:p>
    <w:p>
      <w:pPr>
        <w:pStyle w:val="4"/>
        <w:spacing w:before="0" w:line="360" w:lineRule="auto"/>
        <w:rPr>
          <w:rFonts w:ascii="宋体" w:hAnsi="宋体" w:eastAsia="宋体" w:cs="宋体"/>
          <w:color w:val="auto"/>
          <w:sz w:val="24"/>
          <w:highlight w:val="none"/>
        </w:rPr>
      </w:pPr>
      <w:bookmarkStart w:id="173" w:name="_Toc10257"/>
      <w:bookmarkStart w:id="174" w:name="_Toc216582809"/>
      <w:bookmarkStart w:id="175" w:name="_Toc32076"/>
      <w:bookmarkStart w:id="176" w:name="_Toc230737602"/>
      <w:bookmarkStart w:id="177" w:name="_Toc23627"/>
      <w:bookmarkStart w:id="178" w:name="_Toc520356163"/>
      <w:bookmarkStart w:id="179" w:name="_Toc518923082"/>
      <w:bookmarkStart w:id="180" w:name="_Toc6389"/>
      <w:r>
        <w:rPr>
          <w:rFonts w:hint="eastAsia" w:ascii="宋体" w:hAnsi="宋体" w:eastAsia="宋体" w:cs="宋体"/>
          <w:color w:val="auto"/>
          <w:sz w:val="24"/>
          <w:highlight w:val="none"/>
        </w:rPr>
        <w:t>五   开标及评标</w:t>
      </w:r>
      <w:bookmarkEnd w:id="173"/>
      <w:bookmarkEnd w:id="174"/>
      <w:bookmarkEnd w:id="175"/>
      <w:bookmarkEnd w:id="176"/>
      <w:bookmarkEnd w:id="177"/>
      <w:bookmarkEnd w:id="178"/>
      <w:bookmarkEnd w:id="179"/>
      <w:bookmarkEnd w:id="180"/>
    </w:p>
    <w:p>
      <w:pPr>
        <w:pStyle w:val="15"/>
        <w:spacing w:line="360" w:lineRule="auto"/>
        <w:rPr>
          <w:rFonts w:hAnsi="宋体" w:cs="宋体"/>
          <w:color w:val="auto"/>
          <w:highlight w:val="none"/>
        </w:rPr>
      </w:pPr>
    </w:p>
    <w:p>
      <w:pPr>
        <w:pStyle w:val="5"/>
        <w:spacing w:before="0" w:after="0" w:line="360" w:lineRule="auto"/>
        <w:rPr>
          <w:rFonts w:hAnsi="宋体" w:cs="宋体"/>
          <w:color w:val="auto"/>
          <w:highlight w:val="none"/>
          <w:u w:val="none"/>
        </w:rPr>
      </w:pPr>
      <w:bookmarkStart w:id="181" w:name="_Toc8653"/>
      <w:bookmarkStart w:id="182" w:name="_Toc520356164"/>
      <w:bookmarkStart w:id="183" w:name="_Toc16580"/>
      <w:bookmarkStart w:id="184" w:name="_Toc1798893979"/>
      <w:bookmarkStart w:id="185" w:name="_Toc1813"/>
      <w:bookmarkStart w:id="186" w:name="_Toc518923083"/>
      <w:bookmarkStart w:id="187" w:name="_Toc15191"/>
      <w:r>
        <w:rPr>
          <w:rFonts w:hint="eastAsia" w:hAnsi="宋体" w:cs="宋体"/>
          <w:color w:val="auto"/>
          <w:highlight w:val="none"/>
          <w:u w:val="none"/>
        </w:rPr>
        <w:t>18.开标</w:t>
      </w:r>
      <w:bookmarkEnd w:id="181"/>
      <w:bookmarkEnd w:id="182"/>
      <w:bookmarkEnd w:id="183"/>
      <w:bookmarkEnd w:id="184"/>
      <w:bookmarkEnd w:id="185"/>
      <w:bookmarkEnd w:id="186"/>
      <w:bookmarkEnd w:id="187"/>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18.1</w:t>
      </w:r>
      <w:r>
        <w:rPr>
          <w:rFonts w:hint="eastAsia" w:ascii="宋体" w:hAnsi="宋体" w:cs="宋体"/>
          <w:color w:val="auto"/>
          <w:sz w:val="24"/>
          <w:highlight w:val="none"/>
        </w:rPr>
        <w:tab/>
      </w:r>
      <w:r>
        <w:rPr>
          <w:rFonts w:hint="eastAsia" w:ascii="宋体" w:hAnsi="宋体" w:cs="宋体"/>
          <w:color w:val="auto"/>
          <w:sz w:val="24"/>
          <w:highlight w:val="none"/>
        </w:rPr>
        <w:t>采购人和采购代理机构将按</w:t>
      </w:r>
      <w:r>
        <w:rPr>
          <w:rFonts w:hint="eastAsia" w:ascii="宋体" w:hAnsi="宋体" w:cs="宋体"/>
          <w:b/>
          <w:bCs/>
          <w:color w:val="auto"/>
          <w:sz w:val="24"/>
          <w:highlight w:val="none"/>
          <w:u w:val="single"/>
        </w:rPr>
        <w:t>投标人须知资料表</w:t>
      </w:r>
      <w:r>
        <w:rPr>
          <w:rFonts w:hint="eastAsia" w:ascii="宋体" w:hAnsi="宋体" w:cs="宋体"/>
          <w:color w:val="auto"/>
          <w:sz w:val="24"/>
          <w:highlight w:val="none"/>
        </w:rPr>
        <w:t xml:space="preserve">中规定的开标时间和地点组织公开开标并邀请所有投标人代表参加。  </w:t>
      </w:r>
    </w:p>
    <w:p>
      <w:pPr>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投标人不足3家的，不得开标。</w:t>
      </w:r>
    </w:p>
    <w:p>
      <w:pPr>
        <w:spacing w:line="360" w:lineRule="auto"/>
        <w:ind w:left="960" w:hanging="960" w:hangingChars="400"/>
        <w:rPr>
          <w:rFonts w:ascii="宋体" w:hAnsi="宋体" w:cs="宋体"/>
          <w:color w:val="auto"/>
          <w:sz w:val="24"/>
          <w:highlight w:val="none"/>
        </w:rPr>
      </w:pPr>
      <w:r>
        <w:rPr>
          <w:rFonts w:hint="eastAsia" w:ascii="宋体" w:hAnsi="宋体" w:cs="宋体"/>
          <w:color w:val="auto"/>
          <w:sz w:val="24"/>
          <w:highlight w:val="none"/>
        </w:rPr>
        <w:t>18.2    投标人须按</w:t>
      </w:r>
      <w:r>
        <w:rPr>
          <w:rFonts w:hint="eastAsia" w:ascii="宋体" w:hAnsi="宋体" w:cs="宋体"/>
          <w:b/>
          <w:bCs/>
          <w:color w:val="auto"/>
          <w:sz w:val="24"/>
          <w:highlight w:val="none"/>
          <w:u w:val="single"/>
        </w:rPr>
        <w:t>投标人须知资料表</w:t>
      </w:r>
      <w:r>
        <w:rPr>
          <w:rFonts w:hint="eastAsia" w:ascii="宋体" w:hAnsi="宋体" w:cs="宋体"/>
          <w:color w:val="auto"/>
          <w:sz w:val="24"/>
          <w:highlight w:val="none"/>
        </w:rPr>
        <w:t>中规定的开标时间和地点，在规定的时间内上传投标文件。</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 xml:space="preserve">18.3    </w:t>
      </w:r>
      <w:r>
        <w:rPr>
          <w:rFonts w:hint="eastAsia" w:ascii="宋体" w:hAnsi="宋体" w:cs="宋体"/>
          <w:b/>
          <w:bCs/>
          <w:color w:val="auto"/>
          <w:sz w:val="24"/>
          <w:highlight w:val="none"/>
        </w:rPr>
        <w:t>采购代理机构</w:t>
      </w:r>
      <w:bookmarkStart w:id="188" w:name="_Toc520356165"/>
      <w:r>
        <w:rPr>
          <w:rFonts w:hint="eastAsia" w:ascii="宋体" w:hAnsi="宋体" w:cs="宋体"/>
          <w:b/>
          <w:bCs/>
          <w:color w:val="auto"/>
          <w:sz w:val="24"/>
          <w:highlight w:val="none"/>
        </w:rPr>
        <w:t>在规定的时间对投标文件进行解密，时长为30分钟。</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18.4    开标时，投标人应登录新疆政府采购网政采云平台开标大厅签到并在规定的解锁电子投标文件时间内解锁其电子投标文件。由采购人或采购代理机构当众宣读投标人名称、投标价格及开标一览表规定的内容。对于投标人在投标截止期前递交（上传）的投标声明，在开标时当众宣读，评标时有效。</w:t>
      </w:r>
    </w:p>
    <w:p>
      <w:pPr>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未宣读投标价格、价格折扣等实质内容，评标时不予承认。</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18.5    采购人或采购代理机构将对开标过程进行记录，由参加开标的各投标人代表和相关工作人员签字确认，并存档备查。</w:t>
      </w:r>
    </w:p>
    <w:p>
      <w:pPr>
        <w:spacing w:line="360" w:lineRule="auto"/>
        <w:ind w:left="960" w:hanging="960" w:hangingChars="400"/>
        <w:jc w:val="left"/>
        <w:rPr>
          <w:rFonts w:ascii="宋体" w:hAnsi="宋体" w:cs="宋体"/>
          <w:color w:val="auto"/>
          <w:sz w:val="24"/>
          <w:highlight w:val="none"/>
        </w:rPr>
      </w:pPr>
      <w:r>
        <w:rPr>
          <w:rFonts w:hint="eastAsia" w:ascii="宋体" w:hAnsi="宋体" w:cs="宋体"/>
          <w:color w:val="auto"/>
          <w:sz w:val="24"/>
          <w:highlight w:val="none"/>
        </w:rPr>
        <w:t>18.6    投标人代表对开标过程和开标记录有疑义，以及认为采购人、采购代      理机构相关工作人员有需要回避的情形的，应当场提出询问或者回避申请。</w:t>
      </w:r>
    </w:p>
    <w:p>
      <w:pPr>
        <w:pStyle w:val="5"/>
        <w:spacing w:before="0" w:after="0" w:line="360" w:lineRule="auto"/>
        <w:rPr>
          <w:rFonts w:hAnsi="宋体" w:cs="宋体"/>
          <w:color w:val="auto"/>
          <w:highlight w:val="none"/>
          <w:u w:val="none"/>
        </w:rPr>
      </w:pPr>
      <w:bookmarkStart w:id="189" w:name="_Toc1736322587"/>
      <w:bookmarkStart w:id="190" w:name="_Toc2093"/>
      <w:bookmarkStart w:id="191" w:name="_Toc24828"/>
      <w:bookmarkStart w:id="192" w:name="_Toc15763"/>
      <w:bookmarkStart w:id="193" w:name="_Toc518923084"/>
      <w:bookmarkStart w:id="194" w:name="_Toc34"/>
      <w:r>
        <w:rPr>
          <w:rFonts w:hint="eastAsia" w:hAnsi="宋体" w:cs="宋体"/>
          <w:color w:val="auto"/>
          <w:highlight w:val="none"/>
          <w:u w:val="none"/>
        </w:rPr>
        <w:t>19</w:t>
      </w:r>
      <w:bookmarkEnd w:id="188"/>
      <w:r>
        <w:rPr>
          <w:rFonts w:hint="eastAsia" w:hAnsi="宋体" w:cs="宋体"/>
          <w:color w:val="auto"/>
          <w:highlight w:val="none"/>
          <w:u w:val="none"/>
        </w:rPr>
        <w:t>.资格审查及组建评标委员会</w:t>
      </w:r>
      <w:bookmarkEnd w:id="189"/>
      <w:bookmarkEnd w:id="190"/>
      <w:bookmarkEnd w:id="191"/>
      <w:bookmarkEnd w:id="192"/>
      <w:bookmarkEnd w:id="193"/>
      <w:bookmarkEnd w:id="194"/>
    </w:p>
    <w:p>
      <w:pPr>
        <w:spacing w:line="360" w:lineRule="auto"/>
        <w:ind w:left="960" w:hanging="960" w:hangingChars="400"/>
        <w:rPr>
          <w:rFonts w:ascii="宋体" w:hAnsi="宋体" w:cs="宋体"/>
          <w:color w:val="auto"/>
          <w:sz w:val="24"/>
          <w:highlight w:val="none"/>
        </w:rPr>
      </w:pPr>
      <w:r>
        <w:rPr>
          <w:rFonts w:hint="eastAsia" w:ascii="宋体" w:hAnsi="宋体" w:cs="宋体"/>
          <w:color w:val="auto"/>
          <w:sz w:val="24"/>
          <w:highlight w:val="none"/>
        </w:rPr>
        <w:t>19.1    采购人或采购代理机构依据法律法规和招标文件中规定的内容，对投标人的资格进行审查。未通过资格审查的投标人不进入评标；进入评标的投标人不足3家的，不得评标。</w:t>
      </w:r>
    </w:p>
    <w:p>
      <w:pPr>
        <w:spacing w:line="360" w:lineRule="auto"/>
        <w:ind w:firstLine="480"/>
        <w:rPr>
          <w:rFonts w:ascii="宋体" w:hAnsi="宋体" w:cs="宋体"/>
          <w:b/>
          <w:color w:val="auto"/>
          <w:kern w:val="0"/>
          <w:sz w:val="24"/>
          <w:highlight w:val="none"/>
        </w:rPr>
      </w:pPr>
      <w:r>
        <w:rPr>
          <w:rFonts w:hint="eastAsia" w:ascii="宋体" w:hAnsi="宋体" w:cs="宋体"/>
          <w:b/>
          <w:color w:val="auto"/>
          <w:kern w:val="0"/>
          <w:sz w:val="24"/>
          <w:highlight w:val="none"/>
        </w:rPr>
        <w:t>本项目资格审查资料表应附在投标文件中：</w:t>
      </w:r>
    </w:p>
    <w:p>
      <w:pPr>
        <w:pStyle w:val="56"/>
        <w:ind w:firstLine="482"/>
        <w:rPr>
          <w:rFonts w:ascii="宋体" w:hAnsi="宋体" w:cs="宋体"/>
          <w:b/>
          <w:bCs/>
          <w:color w:val="auto"/>
          <w:sz w:val="24"/>
          <w:highlight w:val="none"/>
        </w:rPr>
      </w:pPr>
      <w:r>
        <w:rPr>
          <w:rFonts w:hint="eastAsia" w:ascii="宋体" w:hAnsi="宋体" w:cs="宋体"/>
          <w:b/>
          <w:bCs/>
          <w:color w:val="auto"/>
          <w:sz w:val="24"/>
          <w:highlight w:val="none"/>
        </w:rPr>
        <w:t>1.独立承担民事责任能力的企业、事业、自然人，提供营业执照等经营性证件；</w:t>
      </w:r>
    </w:p>
    <w:p>
      <w:pPr>
        <w:pStyle w:val="56"/>
        <w:ind w:firstLine="482"/>
        <w:rPr>
          <w:rFonts w:ascii="宋体" w:hAnsi="宋体" w:cs="宋体"/>
          <w:b/>
          <w:bCs/>
          <w:color w:val="auto"/>
          <w:sz w:val="24"/>
          <w:highlight w:val="none"/>
        </w:rPr>
      </w:pPr>
      <w:r>
        <w:rPr>
          <w:rFonts w:hint="eastAsia" w:ascii="宋体" w:hAnsi="宋体" w:cs="宋体"/>
          <w:b/>
          <w:bCs/>
          <w:color w:val="auto"/>
          <w:sz w:val="24"/>
          <w:highlight w:val="none"/>
        </w:rPr>
        <w:t>2.  法人身份证明或法人授权委托书（含法人身份证复印件）和被授权人身份有效证件；</w:t>
      </w:r>
    </w:p>
    <w:p>
      <w:pPr>
        <w:pStyle w:val="56"/>
        <w:ind w:firstLine="482"/>
        <w:rPr>
          <w:rFonts w:ascii="宋体" w:hAnsi="宋体" w:cs="宋体"/>
          <w:b/>
          <w:bCs/>
          <w:color w:val="auto"/>
          <w:sz w:val="24"/>
          <w:highlight w:val="none"/>
        </w:rPr>
      </w:pPr>
      <w:r>
        <w:rPr>
          <w:rFonts w:hint="eastAsia" w:ascii="宋体" w:hAnsi="宋体" w:cs="宋体"/>
          <w:b/>
          <w:bCs/>
          <w:color w:val="auto"/>
          <w:sz w:val="24"/>
          <w:highlight w:val="none"/>
        </w:rPr>
        <w:t>3.  近两年任意一年的财务审计报告（新成立公司提供开标前三个月内任意一个月有效银行资信证明）；</w:t>
      </w:r>
    </w:p>
    <w:p>
      <w:pPr>
        <w:pStyle w:val="56"/>
        <w:ind w:firstLine="482"/>
        <w:rPr>
          <w:rFonts w:ascii="宋体" w:hAnsi="宋体" w:cs="宋体"/>
          <w:b/>
          <w:bCs/>
          <w:color w:val="auto"/>
          <w:sz w:val="24"/>
          <w:highlight w:val="none"/>
        </w:rPr>
      </w:pPr>
      <w:r>
        <w:rPr>
          <w:rFonts w:hint="eastAsia" w:ascii="宋体" w:hAnsi="宋体" w:cs="宋体"/>
          <w:b/>
          <w:bCs/>
          <w:color w:val="auto"/>
          <w:sz w:val="24"/>
          <w:highlight w:val="none"/>
        </w:rPr>
        <w:t>4.  投标企业依法缴纳近 6 个月任意一个月社会保险的凭据；</w:t>
      </w:r>
    </w:p>
    <w:p>
      <w:pPr>
        <w:pStyle w:val="56"/>
        <w:ind w:firstLine="482"/>
        <w:rPr>
          <w:rFonts w:ascii="宋体" w:hAnsi="宋体" w:cs="宋体"/>
          <w:b/>
          <w:bCs/>
          <w:color w:val="auto"/>
          <w:sz w:val="24"/>
          <w:highlight w:val="none"/>
        </w:rPr>
      </w:pPr>
      <w:r>
        <w:rPr>
          <w:rFonts w:hint="eastAsia" w:ascii="宋体" w:hAnsi="宋体" w:cs="宋体"/>
          <w:b/>
          <w:bCs/>
          <w:color w:val="auto"/>
          <w:sz w:val="24"/>
          <w:highlight w:val="none"/>
        </w:rPr>
        <w:t>5.  投标企业提供税务部门出具的近 6 个月任意一个月的完税证明；</w:t>
      </w:r>
    </w:p>
    <w:p>
      <w:pPr>
        <w:pStyle w:val="56"/>
        <w:ind w:firstLine="482"/>
        <w:rPr>
          <w:rFonts w:ascii="宋体" w:hAnsi="宋体" w:cs="宋体"/>
          <w:b/>
          <w:bCs/>
          <w:color w:val="auto"/>
          <w:sz w:val="24"/>
          <w:highlight w:val="none"/>
        </w:rPr>
      </w:pPr>
      <w:r>
        <w:rPr>
          <w:rFonts w:hint="eastAsia" w:ascii="宋体" w:hAnsi="宋体" w:cs="宋体"/>
          <w:b/>
          <w:bCs/>
          <w:color w:val="auto"/>
          <w:sz w:val="24"/>
          <w:highlight w:val="none"/>
        </w:rPr>
        <w:t>6.  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以招标代理或招标人查询为准）；</w:t>
      </w:r>
    </w:p>
    <w:p>
      <w:pPr>
        <w:pStyle w:val="56"/>
        <w:ind w:firstLine="482"/>
        <w:rPr>
          <w:rFonts w:ascii="宋体" w:hAnsi="宋体" w:cs="宋体"/>
          <w:b/>
          <w:bCs/>
          <w:color w:val="auto"/>
          <w:sz w:val="24"/>
          <w:highlight w:val="none"/>
        </w:rPr>
      </w:pPr>
      <w:r>
        <w:rPr>
          <w:rFonts w:hint="eastAsia" w:ascii="宋体" w:hAnsi="宋体" w:cs="宋体"/>
          <w:b/>
          <w:bCs/>
          <w:color w:val="auto"/>
          <w:sz w:val="24"/>
          <w:highlight w:val="none"/>
        </w:rPr>
        <w:t>7.  参与政府采购活动前3年内未被列入失信、重大税收违法案件、财政部门禁止参加政府采购活动的承诺书；</w:t>
      </w:r>
    </w:p>
    <w:p>
      <w:pPr>
        <w:pStyle w:val="56"/>
        <w:ind w:firstLine="482"/>
        <w:rPr>
          <w:rFonts w:ascii="宋体" w:hAnsi="宋体" w:cs="宋体"/>
          <w:b/>
          <w:bCs/>
          <w:color w:val="auto"/>
          <w:sz w:val="24"/>
          <w:highlight w:val="none"/>
        </w:rPr>
      </w:pPr>
      <w:r>
        <w:rPr>
          <w:rFonts w:hint="eastAsia" w:ascii="宋体" w:hAnsi="宋体" w:cs="宋体"/>
          <w:b/>
          <w:bCs/>
          <w:color w:val="auto"/>
          <w:sz w:val="24"/>
          <w:highlight w:val="none"/>
        </w:rPr>
        <w:t>8.  提供针对本次项目《反商业贿赂承诺书》；</w:t>
      </w:r>
    </w:p>
    <w:p>
      <w:pPr>
        <w:pStyle w:val="56"/>
        <w:ind w:firstLine="482"/>
        <w:rPr>
          <w:rFonts w:ascii="宋体" w:hAnsi="宋体" w:cs="宋体"/>
          <w:b/>
          <w:bCs/>
          <w:color w:val="auto"/>
          <w:sz w:val="24"/>
          <w:highlight w:val="none"/>
        </w:rPr>
      </w:pPr>
      <w:r>
        <w:rPr>
          <w:rFonts w:hint="eastAsia" w:ascii="宋体" w:hAnsi="宋体" w:cs="宋体"/>
          <w:b/>
          <w:bCs/>
          <w:color w:val="auto"/>
          <w:sz w:val="24"/>
          <w:highlight w:val="none"/>
        </w:rPr>
        <w:t>9.  缴纳投标保证金有效凭证；</w:t>
      </w:r>
    </w:p>
    <w:p>
      <w:pPr>
        <w:pStyle w:val="56"/>
        <w:ind w:firstLine="482"/>
        <w:rPr>
          <w:rFonts w:ascii="宋体" w:hAnsi="宋体" w:cs="宋体"/>
          <w:b/>
          <w:bCs/>
          <w:color w:val="auto"/>
          <w:kern w:val="0"/>
          <w:sz w:val="24"/>
          <w:highlight w:val="none"/>
          <w:lang w:bidi="ar"/>
        </w:rPr>
      </w:pPr>
      <w:r>
        <w:rPr>
          <w:rFonts w:hint="eastAsia" w:ascii="宋体" w:hAnsi="宋体" w:cs="宋体"/>
          <w:b/>
          <w:bCs/>
          <w:color w:val="auto"/>
          <w:sz w:val="24"/>
          <w:highlight w:val="none"/>
        </w:rPr>
        <w:t>1</w:t>
      </w:r>
      <w:r>
        <w:rPr>
          <w:rFonts w:ascii="宋体" w:hAnsi="宋体" w:cs="宋体"/>
          <w:b/>
          <w:bCs/>
          <w:color w:val="auto"/>
          <w:sz w:val="24"/>
          <w:highlight w:val="none"/>
        </w:rPr>
        <w:t>0</w:t>
      </w:r>
      <w:r>
        <w:rPr>
          <w:rFonts w:hint="eastAsia" w:ascii="宋体" w:hAnsi="宋体" w:cs="宋体"/>
          <w:b/>
          <w:bCs/>
          <w:color w:val="auto"/>
          <w:sz w:val="24"/>
          <w:highlight w:val="none"/>
        </w:rPr>
        <w:t>. 本项目不接受联合体投标。</w:t>
      </w:r>
    </w:p>
    <w:p>
      <w:pPr>
        <w:pStyle w:val="56"/>
        <w:ind w:firstLine="0" w:firstLineChars="0"/>
        <w:rPr>
          <w:rFonts w:ascii="宋体" w:hAnsi="宋体" w:cs="宋体"/>
          <w:color w:val="auto"/>
          <w:sz w:val="24"/>
          <w:highlight w:val="none"/>
        </w:rPr>
      </w:pPr>
      <w:r>
        <w:rPr>
          <w:rFonts w:hint="eastAsia" w:ascii="宋体" w:hAnsi="宋体" w:cs="宋体"/>
          <w:b/>
          <w:bCs/>
          <w:color w:val="auto"/>
          <w:sz w:val="24"/>
          <w:highlight w:val="none"/>
        </w:rPr>
        <w:t>注：</w:t>
      </w:r>
      <w:r>
        <w:rPr>
          <w:rFonts w:hint="eastAsia" w:ascii="宋体" w:hAnsi="宋体" w:cs="宋体"/>
          <w:color w:val="auto"/>
          <w:sz w:val="24"/>
          <w:highlight w:val="none"/>
        </w:rPr>
        <w:t>“提供税务部门出具的近 6 个月任意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pPr>
        <w:pStyle w:val="56"/>
        <w:ind w:firstLine="0" w:firstLineChars="0"/>
        <w:rPr>
          <w:rFonts w:ascii="宋体" w:hAnsi="宋体" w:cs="宋体"/>
          <w:color w:val="auto"/>
          <w:sz w:val="24"/>
          <w:highlight w:val="none"/>
        </w:rPr>
      </w:pPr>
      <w:r>
        <w:rPr>
          <w:rFonts w:hint="eastAsia" w:ascii="宋体" w:hAnsi="宋体" w:cs="宋体"/>
          <w:b/>
          <w:bCs/>
          <w:color w:val="auto"/>
          <w:sz w:val="24"/>
          <w:highlight w:val="none"/>
        </w:rPr>
        <w:t>提示：</w:t>
      </w:r>
      <w:r>
        <w:rPr>
          <w:rFonts w:hint="eastAsia" w:ascii="宋体" w:hAnsi="宋体" w:cs="宋体"/>
          <w:color w:val="auto"/>
          <w:sz w:val="24"/>
          <w:highlight w:val="none"/>
        </w:rPr>
        <w:t>上述资质开标现场能够通过官方网络查证的，均视为合格供应商。</w:t>
      </w:r>
    </w:p>
    <w:p>
      <w:pPr>
        <w:spacing w:line="360" w:lineRule="auto"/>
        <w:ind w:firstLine="480"/>
        <w:rPr>
          <w:rFonts w:ascii="宋体" w:hAnsi="宋体" w:cs="宋体"/>
          <w:color w:val="auto"/>
          <w:sz w:val="24"/>
          <w:highlight w:val="none"/>
        </w:rPr>
      </w:pPr>
      <w:r>
        <w:rPr>
          <w:rFonts w:hint="eastAsia" w:ascii="宋体" w:hAnsi="宋体" w:cs="宋体"/>
          <w:b/>
          <w:iCs/>
          <w:color w:val="auto"/>
          <w:sz w:val="24"/>
          <w:highlight w:val="none"/>
        </w:rPr>
        <w:t>通过资格审查的投标人少于不足三家的，不得评标。</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19.2    采购人或采购代理机构将在投标截止后1小时的期间内查询投标人的信用记录。投标人存在不良信用记录的，其投标将被认定为投标无效。</w:t>
      </w:r>
    </w:p>
    <w:p>
      <w:pPr>
        <w:spacing w:line="360" w:lineRule="auto"/>
        <w:ind w:left="857" w:leftChars="2" w:hanging="853"/>
        <w:rPr>
          <w:rFonts w:ascii="宋体" w:hAnsi="宋体" w:cs="宋体"/>
          <w:color w:val="auto"/>
          <w:sz w:val="24"/>
          <w:highlight w:val="none"/>
        </w:rPr>
      </w:pPr>
      <w:r>
        <w:rPr>
          <w:rFonts w:hint="eastAsia" w:ascii="宋体" w:hAnsi="宋体" w:cs="宋体"/>
          <w:color w:val="auto"/>
          <w:sz w:val="24"/>
          <w:highlight w:val="none"/>
        </w:rPr>
        <w:t>19.2.1  不良信用记录指：投标人在中国政府采购网（www.ccgp.gov.cn）被列入政府采购严重违法失信行为记录名单，或在“信用中国”网站（www.creditchina.gov.cn）被列入失信被执行人、税收违法黑名单，或在“国家企业信用信息公示系统（http://www.gsxt.gov.cn）”列入严重违法失信企业名单（黑名单）以及存在《中华人民共和国政府采购法实施条例》第十九条规定的行政处罚记录。</w:t>
      </w:r>
    </w:p>
    <w:p>
      <w:pPr>
        <w:spacing w:line="360" w:lineRule="auto"/>
        <w:ind w:left="850" w:leftChars="405"/>
        <w:jc w:val="left"/>
        <w:rPr>
          <w:rFonts w:ascii="宋体" w:hAnsi="宋体" w:cs="宋体"/>
          <w:color w:val="auto"/>
          <w:sz w:val="24"/>
          <w:highlight w:val="none"/>
        </w:rPr>
      </w:pPr>
      <w:r>
        <w:rPr>
          <w:rFonts w:hint="eastAsia" w:ascii="宋体" w:hAnsi="宋体" w:cs="宋体"/>
          <w:color w:val="auto"/>
          <w:sz w:val="24"/>
          <w:highlight w:val="none"/>
        </w:rPr>
        <w:t>以联合体形式参加投标的，联合体任何成员存在以上不良信用记录的，联合体投标将被认定为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pPr>
        <w:pStyle w:val="15"/>
        <w:spacing w:line="360" w:lineRule="auto"/>
        <w:ind w:left="850" w:hanging="849" w:hangingChars="354"/>
        <w:jc w:val="both"/>
        <w:rPr>
          <w:rFonts w:hAnsi="宋体" w:cs="宋体"/>
          <w:color w:val="auto"/>
          <w:highlight w:val="none"/>
        </w:rPr>
      </w:pPr>
      <w:r>
        <w:rPr>
          <w:rFonts w:hint="eastAsia" w:hAnsi="宋体" w:cs="宋体"/>
          <w:color w:val="auto"/>
          <w:highlight w:val="none"/>
        </w:rPr>
        <w:t>19.2.2 查询及记录方式：采购人或采购代理机构经办人将查询网页打印、签字并存档备查。投标人不良信用记录以采购人或采购代理机构查询结果为准。</w:t>
      </w:r>
    </w:p>
    <w:p>
      <w:pPr>
        <w:pStyle w:val="15"/>
        <w:spacing w:line="360" w:lineRule="auto"/>
        <w:ind w:left="850" w:leftChars="405" w:firstLine="0"/>
        <w:jc w:val="both"/>
        <w:rPr>
          <w:rFonts w:hAnsi="宋体" w:cs="宋体"/>
          <w:color w:val="auto"/>
          <w:highlight w:val="none"/>
        </w:rPr>
      </w:pPr>
      <w:r>
        <w:rPr>
          <w:rFonts w:hint="eastAsia" w:hAnsi="宋体" w:cs="宋体"/>
          <w:color w:val="auto"/>
          <w:highlight w:val="none"/>
        </w:rPr>
        <w:t>在本招标文件规定的查询时间之后，网站信息发生的任何变更均不再作为评标依据。</w:t>
      </w:r>
    </w:p>
    <w:p>
      <w:pPr>
        <w:pStyle w:val="15"/>
        <w:spacing w:line="360" w:lineRule="auto"/>
        <w:ind w:left="850" w:leftChars="405" w:firstLine="0"/>
        <w:jc w:val="both"/>
        <w:rPr>
          <w:rFonts w:hAnsi="宋体" w:cs="宋体"/>
          <w:color w:val="auto"/>
          <w:highlight w:val="none"/>
        </w:rPr>
      </w:pPr>
      <w:r>
        <w:rPr>
          <w:rFonts w:hint="eastAsia" w:hAnsi="宋体" w:cs="宋体"/>
          <w:color w:val="auto"/>
          <w:highlight w:val="none"/>
        </w:rPr>
        <w:t>投标人自行提供的与网站信息不一致的其他证明材料亦不作为资格审查的依据。</w:t>
      </w:r>
    </w:p>
    <w:p>
      <w:pPr>
        <w:spacing w:line="360" w:lineRule="exact"/>
        <w:ind w:left="850" w:hanging="849" w:hangingChars="354"/>
        <w:rPr>
          <w:rFonts w:ascii="宋体" w:hAnsi="宋体" w:cs="宋体"/>
          <w:b/>
          <w:bCs/>
          <w:i/>
          <w:iCs/>
          <w:color w:val="auto"/>
          <w:sz w:val="24"/>
          <w:highlight w:val="none"/>
          <w:u w:val="single"/>
        </w:rPr>
      </w:pPr>
      <w:r>
        <w:rPr>
          <w:rFonts w:hint="eastAsia" w:ascii="宋体" w:hAnsi="宋体" w:cs="宋体"/>
          <w:color w:val="auto"/>
          <w:sz w:val="24"/>
          <w:highlight w:val="none"/>
        </w:rPr>
        <w:t>19.3   按照《中华人民共和国政府采购法》、《中华人民共和国政府采购法实施条例》及本项目本级和上级财政部门的有关规定依法组建的评标委员会，负责本项目评标工作。</w:t>
      </w:r>
      <w:bookmarkStart w:id="195" w:name="_Toc520356166"/>
      <w:r>
        <w:rPr>
          <w:rFonts w:hint="eastAsia" w:ascii="宋体" w:hAnsi="宋体" w:cs="宋体"/>
          <w:b/>
          <w:bCs/>
          <w:i/>
          <w:iCs/>
          <w:color w:val="auto"/>
          <w:sz w:val="24"/>
          <w:highlight w:val="none"/>
          <w:u w:val="single"/>
        </w:rPr>
        <w:t>本项目评标委员会成员</w:t>
      </w:r>
      <w:r>
        <w:rPr>
          <w:rFonts w:ascii="宋体" w:hAnsi="宋体" w:cs="宋体"/>
          <w:b/>
          <w:bCs/>
          <w:i/>
          <w:iCs/>
          <w:color w:val="auto"/>
          <w:sz w:val="24"/>
          <w:highlight w:val="none"/>
          <w:u w:val="single"/>
        </w:rPr>
        <w:t>9</w:t>
      </w:r>
      <w:r>
        <w:rPr>
          <w:rFonts w:hint="eastAsia" w:ascii="宋体" w:hAnsi="宋体" w:cs="宋体"/>
          <w:b/>
          <w:bCs/>
          <w:i/>
          <w:iCs/>
          <w:color w:val="auto"/>
          <w:sz w:val="24"/>
          <w:highlight w:val="none"/>
          <w:u w:val="single"/>
        </w:rPr>
        <w:t>名。</w:t>
      </w:r>
    </w:p>
    <w:p>
      <w:pPr>
        <w:spacing w:line="360" w:lineRule="auto"/>
        <w:ind w:left="850" w:hanging="849" w:hangingChars="354"/>
        <w:rPr>
          <w:rFonts w:ascii="宋体" w:hAnsi="宋体" w:cs="宋体"/>
          <w:color w:val="auto"/>
          <w:sz w:val="24"/>
          <w:highlight w:val="none"/>
        </w:rPr>
      </w:pPr>
    </w:p>
    <w:p>
      <w:pPr>
        <w:pStyle w:val="5"/>
        <w:spacing w:before="0" w:after="0" w:line="360" w:lineRule="auto"/>
        <w:rPr>
          <w:rFonts w:hAnsi="宋体" w:cs="宋体"/>
          <w:b w:val="0"/>
          <w:bCs/>
          <w:color w:val="auto"/>
          <w:highlight w:val="none"/>
          <w:bdr w:val="single" w:color="auto" w:sz="4" w:space="0"/>
        </w:rPr>
      </w:pPr>
      <w:bookmarkStart w:id="196" w:name="_Toc23348"/>
      <w:bookmarkStart w:id="197" w:name="_Toc218440626"/>
      <w:bookmarkStart w:id="198" w:name="_Toc518923085"/>
      <w:bookmarkStart w:id="199" w:name="_Toc6842"/>
      <w:bookmarkStart w:id="200" w:name="_Toc17140"/>
      <w:bookmarkStart w:id="201" w:name="_Toc22894"/>
      <w:r>
        <w:rPr>
          <w:rFonts w:hint="eastAsia" w:hAnsi="宋体" w:cs="宋体"/>
          <w:color w:val="auto"/>
          <w:highlight w:val="none"/>
          <w:u w:val="none"/>
        </w:rPr>
        <w:t>20.投标文件的</w:t>
      </w:r>
      <w:bookmarkEnd w:id="195"/>
      <w:r>
        <w:rPr>
          <w:rFonts w:hint="eastAsia" w:hAnsi="宋体" w:cs="宋体"/>
          <w:color w:val="auto"/>
          <w:highlight w:val="none"/>
          <w:u w:val="none"/>
        </w:rPr>
        <w:t>符合性审查与澄清</w:t>
      </w:r>
      <w:bookmarkEnd w:id="196"/>
      <w:bookmarkEnd w:id="197"/>
      <w:bookmarkEnd w:id="198"/>
      <w:bookmarkEnd w:id="199"/>
      <w:bookmarkEnd w:id="200"/>
      <w:bookmarkEnd w:id="201"/>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20.1   符合性审查是指依据招标文件的规定，从投标文件的有效性和完整性对招标文件的响应程度进行审查，以确定是否对招标文件的实质性要求做出响应。</w:t>
      </w:r>
      <w:bookmarkStart w:id="202" w:name="_Hlt522424701"/>
      <w:bookmarkEnd w:id="202"/>
      <w:bookmarkStart w:id="203" w:name="_Toc520356167"/>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rPr>
        <w:tab/>
      </w:r>
      <w:r>
        <w:rPr>
          <w:rFonts w:hint="eastAsia" w:ascii="宋体" w:hAnsi="宋体" w:cs="宋体"/>
          <w:color w:val="auto"/>
          <w:sz w:val="24"/>
          <w:highlight w:val="none"/>
        </w:rPr>
        <w:t>投标文件的澄清</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澄清、说明或补正。应在评标委员会规定的时间内以书面方式进行，并不得超出投标文件范围或者改变投标文件的实质性内容。</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20.2.2  投标人的澄清、说明或补正将作为投标文件的一部分。</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20.3   投标文件报价出现前后不一致的，按照下列规定修正：</w:t>
      </w:r>
    </w:p>
    <w:p>
      <w:pPr>
        <w:spacing w:line="360" w:lineRule="auto"/>
        <w:ind w:left="1020" w:hanging="1020" w:hangingChars="425"/>
        <w:rPr>
          <w:rFonts w:ascii="宋体" w:hAnsi="宋体" w:cs="宋体"/>
          <w:color w:val="auto"/>
          <w:sz w:val="24"/>
          <w:highlight w:val="none"/>
        </w:rPr>
      </w:pPr>
      <w:r>
        <w:rPr>
          <w:rFonts w:hint="eastAsia" w:ascii="宋体" w:hAnsi="宋体" w:cs="宋体"/>
          <w:color w:val="auto"/>
          <w:sz w:val="24"/>
          <w:highlight w:val="none"/>
        </w:rPr>
        <w:t xml:space="preserve">      （一）投标文件中开标一览表（报价表）内容与投标文件中相应内容不一致的，以开标一览表（报价表）为准；</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 xml:space="preserve">      （二）大写金额和小写金额不一致的，以大写金额为准；</w:t>
      </w:r>
    </w:p>
    <w:p>
      <w:pPr>
        <w:spacing w:line="360" w:lineRule="auto"/>
        <w:ind w:left="1020" w:hanging="1020" w:hangingChars="425"/>
        <w:rPr>
          <w:rFonts w:ascii="宋体" w:hAnsi="宋体" w:cs="宋体"/>
          <w:color w:val="auto"/>
          <w:sz w:val="24"/>
          <w:highlight w:val="none"/>
        </w:rPr>
      </w:pPr>
      <w:r>
        <w:rPr>
          <w:rFonts w:hint="eastAsia" w:ascii="宋体" w:hAnsi="宋体" w:cs="宋体"/>
          <w:color w:val="auto"/>
          <w:sz w:val="24"/>
          <w:highlight w:val="none"/>
        </w:rPr>
        <w:t xml:space="preserve">      （三）单价金额小数点或者百分比有明显错位的，以开标一览表的总价为准，并修改单价；</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 xml:space="preserve">      （四）总价金额与按单价汇总金额不一致的，以单价金额计算结果为准。</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 xml:space="preserve">       同时出现两种以上不一致的，按照前款规定的顺序修正。修正后的报价按照第20.2条的规定经投标人确认后产生约束力，投标人不确认的，将被认定为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w:t>
      </w:r>
    </w:p>
    <w:p>
      <w:pPr>
        <w:spacing w:line="360" w:lineRule="auto"/>
        <w:ind w:left="735" w:leftChars="350" w:firstLine="120" w:firstLineChars="50"/>
        <w:rPr>
          <w:rFonts w:ascii="宋体" w:hAnsi="宋体" w:cs="宋体"/>
          <w:color w:val="auto"/>
          <w:sz w:val="24"/>
          <w:highlight w:val="none"/>
        </w:rPr>
      </w:pPr>
      <w:r>
        <w:rPr>
          <w:rFonts w:hint="eastAsia" w:ascii="宋体" w:hAnsi="宋体" w:cs="宋体"/>
          <w:color w:val="auto"/>
          <w:sz w:val="24"/>
          <w:highlight w:val="none"/>
        </w:rPr>
        <w:t>对不同文字文本投标文件的解释发生异议的，以中文文本为准。</w:t>
      </w:r>
    </w:p>
    <w:p>
      <w:pPr>
        <w:spacing w:line="360" w:lineRule="auto"/>
        <w:ind w:left="900" w:hanging="900" w:hangingChars="375"/>
        <w:rPr>
          <w:rFonts w:ascii="宋体" w:hAnsi="宋体" w:cs="宋体"/>
          <w:b/>
          <w:bCs/>
          <w:color w:val="auto"/>
          <w:sz w:val="24"/>
          <w:highlight w:val="none"/>
        </w:rPr>
      </w:pPr>
      <w:r>
        <w:rPr>
          <w:rFonts w:hint="eastAsia" w:ascii="宋体" w:hAnsi="宋体" w:cs="宋体"/>
          <w:color w:val="auto"/>
          <w:sz w:val="24"/>
          <w:highlight w:val="none"/>
        </w:rPr>
        <w:t xml:space="preserve">20.4   </w:t>
      </w:r>
      <w:r>
        <w:rPr>
          <w:rFonts w:hint="eastAsia" w:ascii="宋体" w:hAnsi="宋体" w:cs="宋体"/>
          <w:b/>
          <w:bCs/>
          <w:color w:val="auto"/>
          <w:sz w:val="24"/>
          <w:highlight w:val="none"/>
        </w:rPr>
        <w:t>投标人为提供服务所伴随投标的产品如被列入财政部与国家主管部门颁发的节能产品目录或环境标志产品目录或无线局域网产品目录，应提供相关证明，在评标时予以优先采购，具体优先采购办法见第6章评标方法和标准。</w:t>
      </w:r>
    </w:p>
    <w:p>
      <w:pPr>
        <w:pStyle w:val="5"/>
        <w:spacing w:before="0" w:after="0" w:line="360" w:lineRule="auto"/>
        <w:rPr>
          <w:rFonts w:hAnsi="宋体" w:cs="宋体"/>
          <w:color w:val="auto"/>
          <w:highlight w:val="none"/>
          <w:u w:val="none"/>
        </w:rPr>
      </w:pPr>
      <w:bookmarkStart w:id="204" w:name="_Toc518923086"/>
      <w:bookmarkStart w:id="205" w:name="_Toc2821"/>
      <w:bookmarkStart w:id="206" w:name="_Toc1282048459"/>
      <w:bookmarkStart w:id="207" w:name="_Toc18231"/>
      <w:bookmarkStart w:id="208" w:name="_Toc8603"/>
      <w:bookmarkStart w:id="209" w:name="_Toc19998"/>
      <w:r>
        <w:rPr>
          <w:rFonts w:hint="eastAsia" w:hAnsi="宋体" w:cs="宋体"/>
          <w:color w:val="auto"/>
          <w:highlight w:val="none"/>
          <w:u w:val="none"/>
        </w:rPr>
        <w:t>21.投标偏离</w:t>
      </w:r>
      <w:bookmarkEnd w:id="204"/>
      <w:bookmarkEnd w:id="205"/>
      <w:bookmarkEnd w:id="206"/>
      <w:bookmarkEnd w:id="207"/>
      <w:bookmarkEnd w:id="208"/>
      <w:bookmarkEnd w:id="209"/>
    </w:p>
    <w:p>
      <w:pPr>
        <w:spacing w:line="360" w:lineRule="auto"/>
        <w:ind w:left="848" w:leftChars="99" w:hanging="640" w:hangingChars="267"/>
        <w:rPr>
          <w:rFonts w:ascii="宋体" w:hAnsi="宋体" w:cs="宋体"/>
          <w:color w:val="auto"/>
          <w:sz w:val="24"/>
          <w:highlight w:val="none"/>
        </w:rPr>
      </w:pPr>
      <w:r>
        <w:rPr>
          <w:rFonts w:hint="eastAsia" w:ascii="宋体" w:hAnsi="宋体" w:cs="宋体"/>
          <w:color w:val="auto"/>
          <w:sz w:val="24"/>
          <w:highlight w:val="none"/>
        </w:rPr>
        <w:t xml:space="preserve">     评标委员会可以接受投标文件中不构成实质性偏离的不正规或不一致。</w:t>
      </w:r>
    </w:p>
    <w:p>
      <w:pPr>
        <w:pStyle w:val="5"/>
        <w:spacing w:before="0" w:after="0" w:line="360" w:lineRule="auto"/>
        <w:rPr>
          <w:rFonts w:hAnsi="宋体" w:cs="宋体"/>
          <w:color w:val="auto"/>
          <w:highlight w:val="none"/>
          <w:u w:val="none"/>
        </w:rPr>
      </w:pPr>
      <w:bookmarkStart w:id="210" w:name="_Toc31087"/>
      <w:bookmarkStart w:id="211" w:name="_Toc29930"/>
      <w:bookmarkStart w:id="212" w:name="_Toc518923087"/>
      <w:bookmarkStart w:id="213" w:name="_Toc1685020062"/>
      <w:bookmarkStart w:id="214" w:name="_Toc16356"/>
      <w:bookmarkStart w:id="215" w:name="_Toc25255"/>
      <w:r>
        <w:rPr>
          <w:rFonts w:hint="eastAsia" w:hAnsi="宋体" w:cs="宋体"/>
          <w:color w:val="auto"/>
          <w:highlight w:val="none"/>
          <w:u w:val="none"/>
        </w:rPr>
        <w:t>22.投标无效</w:t>
      </w:r>
      <w:bookmarkEnd w:id="210"/>
      <w:bookmarkEnd w:id="211"/>
      <w:bookmarkEnd w:id="212"/>
      <w:bookmarkEnd w:id="213"/>
      <w:bookmarkEnd w:id="214"/>
      <w:bookmarkEnd w:id="215"/>
    </w:p>
    <w:p>
      <w:pPr>
        <w:spacing w:line="360" w:lineRule="auto"/>
        <w:ind w:left="852" w:leftChars="-23" w:hanging="900" w:hangingChars="375"/>
        <w:rPr>
          <w:rFonts w:ascii="宋体" w:hAnsi="宋体" w:cs="宋体"/>
          <w:color w:val="auto"/>
          <w:sz w:val="24"/>
          <w:highlight w:val="none"/>
        </w:rPr>
      </w:pPr>
      <w:r>
        <w:rPr>
          <w:rFonts w:hint="eastAsia" w:ascii="宋体" w:hAnsi="宋体" w:cs="宋体"/>
          <w:color w:val="auto"/>
          <w:sz w:val="24"/>
          <w:highlight w:val="none"/>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宋体" w:hAnsi="宋体" w:cs="宋体"/>
          <w:b/>
          <w:bCs/>
          <w:color w:val="auto"/>
          <w:sz w:val="24"/>
          <w:highlight w:val="none"/>
        </w:rPr>
        <w:t>投标无效</w:t>
      </w:r>
      <w:r>
        <w:rPr>
          <w:rFonts w:hint="eastAsia" w:ascii="宋体" w:hAnsi="宋体" w:cs="宋体"/>
          <w:color w:val="auto"/>
          <w:sz w:val="24"/>
          <w:highlight w:val="none"/>
        </w:rPr>
        <w:t>。投标人不得通过修正或撤销不符合要求的偏离从而使其投标成为实质上响应的投标。</w:t>
      </w:r>
    </w:p>
    <w:p>
      <w:pPr>
        <w:spacing w:line="360" w:lineRule="auto"/>
        <w:ind w:left="792" w:leftChars="377"/>
        <w:rPr>
          <w:rFonts w:ascii="宋体" w:hAnsi="宋体" w:cs="宋体"/>
          <w:color w:val="auto"/>
          <w:sz w:val="24"/>
          <w:highlight w:val="none"/>
        </w:rPr>
      </w:pPr>
      <w:r>
        <w:rPr>
          <w:rFonts w:hint="eastAsia" w:ascii="宋体" w:hAnsi="宋体" w:cs="宋体"/>
          <w:color w:val="auto"/>
          <w:sz w:val="24"/>
          <w:highlight w:val="none"/>
        </w:rPr>
        <w:t>评标委员会决定投标的响应性只根据招标文件要求、投标文件内容及财政主管部门指定相关信息发布媒体。</w:t>
      </w:r>
    </w:p>
    <w:p>
      <w:pPr>
        <w:spacing w:line="360" w:lineRule="auto"/>
        <w:ind w:left="900" w:hanging="900" w:hangingChars="375"/>
        <w:rPr>
          <w:rFonts w:ascii="宋体" w:hAnsi="宋体" w:cs="宋体"/>
          <w:bCs/>
          <w:color w:val="auto"/>
          <w:sz w:val="24"/>
          <w:highlight w:val="none"/>
        </w:rPr>
      </w:pPr>
      <w:r>
        <w:rPr>
          <w:rFonts w:hint="eastAsia" w:ascii="宋体" w:hAnsi="宋体" w:cs="宋体"/>
          <w:color w:val="auto"/>
          <w:sz w:val="24"/>
          <w:highlight w:val="none"/>
        </w:rPr>
        <w:t>22.2</w:t>
      </w:r>
      <w:r>
        <w:rPr>
          <w:rFonts w:hint="eastAsia" w:ascii="宋体" w:hAnsi="宋体" w:cs="宋体"/>
          <w:color w:val="auto"/>
          <w:sz w:val="24"/>
          <w:highlight w:val="none"/>
        </w:rPr>
        <w:tab/>
      </w:r>
      <w:r>
        <w:rPr>
          <w:rFonts w:hint="eastAsia" w:ascii="宋体" w:hAnsi="宋体" w:cs="宋体"/>
          <w:b/>
          <w:bCs/>
          <w:color w:val="auto"/>
          <w:sz w:val="24"/>
          <w:highlight w:val="none"/>
        </w:rPr>
        <w:t>如发现下列情况之一的，其投标将被认定为投标无效：</w:t>
      </w:r>
      <w:r>
        <w:rPr>
          <w:rFonts w:hint="eastAsia" w:ascii="宋体" w:hAnsi="宋体" w:cs="宋体"/>
          <w:color w:val="auto"/>
          <w:sz w:val="24"/>
          <w:highlight w:val="none"/>
        </w:rPr>
        <w:t>（</w:t>
      </w:r>
      <w:r>
        <w:rPr>
          <w:rFonts w:hint="eastAsia" w:ascii="宋体" w:hAnsi="宋体" w:cs="宋体"/>
          <w:bCs/>
          <w:color w:val="auto"/>
          <w:sz w:val="24"/>
          <w:highlight w:val="none"/>
        </w:rPr>
        <w:t>以下情形应当在招标文件中规定，并以醒目的方式标明）</w:t>
      </w:r>
    </w:p>
    <w:p>
      <w:pPr>
        <w:numPr>
          <w:ilvl w:val="0"/>
          <w:numId w:val="3"/>
        </w:numPr>
        <w:spacing w:line="360" w:lineRule="auto"/>
        <w:ind w:left="1230" w:hanging="180"/>
        <w:rPr>
          <w:rFonts w:ascii="宋体" w:hAnsi="宋体" w:cs="宋体"/>
          <w:b/>
          <w:bCs/>
          <w:color w:val="auto"/>
          <w:sz w:val="24"/>
          <w:highlight w:val="none"/>
        </w:rPr>
      </w:pPr>
      <w:r>
        <w:rPr>
          <w:rFonts w:hint="eastAsia" w:ascii="宋体" w:hAnsi="宋体" w:cs="宋体"/>
          <w:b/>
          <w:bCs/>
          <w:color w:val="auto"/>
          <w:sz w:val="24"/>
          <w:highlight w:val="none"/>
        </w:rPr>
        <w:t>未按招标文件规定的形式和金额提交投标保证金的；</w:t>
      </w:r>
    </w:p>
    <w:p>
      <w:pPr>
        <w:numPr>
          <w:ilvl w:val="0"/>
          <w:numId w:val="3"/>
        </w:numPr>
        <w:spacing w:line="360" w:lineRule="auto"/>
        <w:ind w:left="1230" w:hanging="180"/>
        <w:rPr>
          <w:rFonts w:ascii="宋体" w:hAnsi="宋体" w:cs="宋体"/>
          <w:b/>
          <w:bCs/>
          <w:color w:val="auto"/>
          <w:sz w:val="24"/>
          <w:highlight w:val="none"/>
        </w:rPr>
      </w:pPr>
      <w:r>
        <w:rPr>
          <w:rFonts w:hint="eastAsia" w:ascii="宋体" w:hAnsi="宋体" w:cs="宋体"/>
          <w:b/>
          <w:bCs/>
          <w:color w:val="auto"/>
          <w:sz w:val="24"/>
          <w:highlight w:val="none"/>
        </w:rPr>
        <w:t>未按照招标文件规定要求签署、盖章的；</w:t>
      </w:r>
    </w:p>
    <w:p>
      <w:pPr>
        <w:numPr>
          <w:ilvl w:val="0"/>
          <w:numId w:val="3"/>
        </w:numPr>
        <w:spacing w:line="360" w:lineRule="auto"/>
        <w:ind w:left="1230" w:hanging="180"/>
        <w:rPr>
          <w:rFonts w:ascii="宋体" w:hAnsi="宋体" w:cs="宋体"/>
          <w:b/>
          <w:bCs/>
          <w:color w:val="auto"/>
          <w:sz w:val="24"/>
          <w:highlight w:val="none"/>
        </w:rPr>
      </w:pPr>
      <w:r>
        <w:rPr>
          <w:rFonts w:hint="eastAsia" w:ascii="宋体" w:hAnsi="宋体" w:cs="宋体"/>
          <w:b/>
          <w:bCs/>
          <w:color w:val="auto"/>
          <w:sz w:val="24"/>
          <w:highlight w:val="none"/>
        </w:rPr>
        <w:t>未满足招标文件中技术条款的实质性要求；</w:t>
      </w:r>
    </w:p>
    <w:p>
      <w:pPr>
        <w:numPr>
          <w:ilvl w:val="0"/>
          <w:numId w:val="3"/>
        </w:numPr>
        <w:spacing w:line="360" w:lineRule="auto"/>
        <w:ind w:left="1230" w:hanging="180"/>
        <w:rPr>
          <w:rFonts w:ascii="宋体" w:hAnsi="宋体" w:cs="宋体"/>
          <w:b/>
          <w:bCs/>
          <w:color w:val="auto"/>
          <w:sz w:val="24"/>
          <w:highlight w:val="none"/>
        </w:rPr>
      </w:pPr>
      <w:r>
        <w:rPr>
          <w:rFonts w:hint="eastAsia" w:ascii="宋体" w:hAnsi="宋体" w:cs="宋体"/>
          <w:b/>
          <w:bCs/>
          <w:color w:val="auto"/>
          <w:sz w:val="24"/>
          <w:highlight w:val="none"/>
        </w:rPr>
        <w:t>与其他投标人串通投标，或者与招标人串通投标；</w:t>
      </w:r>
    </w:p>
    <w:p>
      <w:pPr>
        <w:numPr>
          <w:ilvl w:val="0"/>
          <w:numId w:val="3"/>
        </w:numPr>
        <w:spacing w:line="360" w:lineRule="auto"/>
        <w:ind w:left="1230" w:hanging="180"/>
        <w:rPr>
          <w:rFonts w:ascii="宋体" w:hAnsi="宋体" w:cs="宋体"/>
          <w:b/>
          <w:bCs/>
          <w:color w:val="auto"/>
          <w:sz w:val="24"/>
          <w:highlight w:val="none"/>
        </w:rPr>
      </w:pPr>
      <w:r>
        <w:rPr>
          <w:rFonts w:hint="eastAsia" w:ascii="宋体" w:hAnsi="宋体" w:cs="宋体"/>
          <w:b/>
          <w:bCs/>
          <w:color w:val="auto"/>
          <w:sz w:val="24"/>
          <w:highlight w:val="none"/>
        </w:rPr>
        <w:t>属于招标文件规定的其他投标无效情形；</w:t>
      </w:r>
    </w:p>
    <w:p>
      <w:pPr>
        <w:numPr>
          <w:ilvl w:val="0"/>
          <w:numId w:val="3"/>
        </w:numPr>
        <w:spacing w:line="360" w:lineRule="auto"/>
        <w:ind w:left="1230" w:hanging="180"/>
        <w:rPr>
          <w:rFonts w:ascii="宋体" w:hAnsi="宋体" w:cs="宋体"/>
          <w:b/>
          <w:bCs/>
          <w:color w:val="auto"/>
          <w:sz w:val="24"/>
          <w:highlight w:val="none"/>
        </w:rPr>
      </w:pPr>
      <w:r>
        <w:rPr>
          <w:rFonts w:hint="eastAsia" w:ascii="宋体" w:hAnsi="宋体" w:cs="宋体"/>
          <w:b/>
          <w:bCs/>
          <w:color w:val="auto"/>
          <w:sz w:val="24"/>
          <w:highlight w:val="none"/>
        </w:rPr>
        <w:t>评标委员会认为投标人的报价明显低于其他通过符合性检查投标人的报价，有可能影响履约的，且投标人未按照规定证明其报价合理性的；</w:t>
      </w:r>
    </w:p>
    <w:p>
      <w:pPr>
        <w:numPr>
          <w:ilvl w:val="0"/>
          <w:numId w:val="3"/>
        </w:numPr>
        <w:spacing w:line="360" w:lineRule="auto"/>
        <w:ind w:left="1230" w:hanging="180"/>
        <w:rPr>
          <w:rFonts w:ascii="宋体" w:hAnsi="宋体" w:cs="宋体"/>
          <w:b/>
          <w:bCs/>
          <w:color w:val="auto"/>
          <w:sz w:val="24"/>
          <w:highlight w:val="none"/>
        </w:rPr>
      </w:pPr>
      <w:r>
        <w:rPr>
          <w:rFonts w:hint="eastAsia" w:ascii="宋体" w:hAnsi="宋体" w:cs="宋体"/>
          <w:b/>
          <w:bCs/>
          <w:color w:val="auto"/>
          <w:sz w:val="24"/>
          <w:highlight w:val="none"/>
        </w:rPr>
        <w:t>投标文件含有采购人不能接受的附加条件的；</w:t>
      </w:r>
    </w:p>
    <w:p>
      <w:pPr>
        <w:numPr>
          <w:ilvl w:val="0"/>
          <w:numId w:val="3"/>
        </w:numPr>
        <w:tabs>
          <w:tab w:val="left" w:pos="0"/>
        </w:tabs>
        <w:spacing w:line="360" w:lineRule="auto"/>
        <w:ind w:left="1230" w:hanging="180"/>
        <w:rPr>
          <w:rFonts w:ascii="宋体" w:hAnsi="宋体" w:cs="宋体"/>
          <w:color w:val="auto"/>
          <w:sz w:val="24"/>
          <w:highlight w:val="none"/>
        </w:rPr>
      </w:pPr>
      <w:r>
        <w:rPr>
          <w:rFonts w:hint="eastAsia" w:ascii="宋体" w:hAnsi="宋体" w:cs="宋体"/>
          <w:b/>
          <w:bCs/>
          <w:color w:val="auto"/>
          <w:sz w:val="24"/>
          <w:highlight w:val="none"/>
        </w:rPr>
        <w:t>不符合法规和招标文件中规定的其他实质性要求的。</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ascii="宋体" w:hAnsi="宋体" w:cs="宋体"/>
          <w:color w:val="auto"/>
          <w:highlight w:val="none"/>
        </w:rPr>
      </w:pPr>
      <w:bookmarkStart w:id="216" w:name="_Toc20709"/>
      <w:bookmarkStart w:id="217" w:name="_Toc20835"/>
      <w:bookmarkStart w:id="218" w:name="_Toc518923088"/>
      <w:r>
        <w:rPr>
          <w:rFonts w:hint="eastAsia" w:ascii="宋体" w:hAnsi="宋体" w:cs="宋体"/>
          <w:b/>
          <w:color w:val="auto"/>
          <w:kern w:val="0"/>
          <w:sz w:val="24"/>
          <w:szCs w:val="20"/>
          <w:highlight w:val="none"/>
        </w:rPr>
        <w:t>23</w:t>
      </w:r>
      <w:bookmarkEnd w:id="203"/>
      <w:r>
        <w:rPr>
          <w:rFonts w:hint="eastAsia" w:ascii="宋体" w:hAnsi="宋体" w:cs="宋体"/>
          <w:b/>
          <w:color w:val="auto"/>
          <w:kern w:val="0"/>
          <w:sz w:val="24"/>
          <w:szCs w:val="20"/>
          <w:highlight w:val="none"/>
        </w:rPr>
        <w:t>.比较与评价</w:t>
      </w:r>
      <w:bookmarkEnd w:id="216"/>
      <w:bookmarkEnd w:id="217"/>
      <w:bookmarkEnd w:id="218"/>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23.1</w:t>
      </w:r>
      <w:r>
        <w:rPr>
          <w:rFonts w:hint="eastAsia" w:ascii="宋体" w:hAnsi="宋体" w:cs="宋体"/>
          <w:color w:val="auto"/>
          <w:sz w:val="24"/>
          <w:highlight w:val="none"/>
        </w:rPr>
        <w:tab/>
      </w:r>
      <w:r>
        <w:rPr>
          <w:rFonts w:hint="eastAsia" w:ascii="宋体" w:hAnsi="宋体" w:cs="宋体"/>
          <w:color w:val="auto"/>
          <w:sz w:val="24"/>
          <w:highlight w:val="none"/>
        </w:rPr>
        <w:t>经符合性审查合格的投标文件，评标委员会将根据招标文件确定的评标方法和标准，对其技术部分和商务部分作进一步的比较和评价。</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 xml:space="preserve">23.2  </w:t>
      </w:r>
      <w:r>
        <w:rPr>
          <w:rFonts w:hint="eastAsia" w:ascii="宋体" w:hAnsi="宋体" w:cs="宋体"/>
          <w:color w:val="auto"/>
          <w:sz w:val="24"/>
          <w:highlight w:val="none"/>
        </w:rPr>
        <w:tab/>
      </w:r>
      <w:r>
        <w:rPr>
          <w:rFonts w:hint="eastAsia" w:ascii="宋体" w:hAnsi="宋体" w:cs="宋体"/>
          <w:color w:val="auto"/>
          <w:sz w:val="24"/>
          <w:highlight w:val="none"/>
        </w:rPr>
        <w:t>评标严格按照招标文件的要求和条件进行。根据实际情况，在</w:t>
      </w:r>
      <w:r>
        <w:rPr>
          <w:rFonts w:hint="eastAsia" w:ascii="宋体" w:hAnsi="宋体" w:cs="宋体"/>
          <w:b/>
          <w:bCs/>
          <w:color w:val="auto"/>
          <w:sz w:val="24"/>
          <w:highlight w:val="none"/>
          <w:u w:val="single"/>
        </w:rPr>
        <w:t>投标人须知资料表</w:t>
      </w:r>
      <w:r>
        <w:rPr>
          <w:rFonts w:hint="eastAsia" w:ascii="宋体" w:hAnsi="宋体" w:cs="宋体"/>
          <w:color w:val="auto"/>
          <w:sz w:val="24"/>
          <w:highlight w:val="none"/>
        </w:rPr>
        <w:t>中规定采用下列一种评标方法，详细评标标准见招标文件第六章：</w:t>
      </w:r>
    </w:p>
    <w:p>
      <w:pPr>
        <w:pStyle w:val="26"/>
        <w:spacing w:line="360" w:lineRule="auto"/>
        <w:ind w:left="899" w:leftChars="342" w:hanging="181"/>
        <w:rPr>
          <w:rFonts w:hAnsi="宋体" w:cs="宋体"/>
          <w:color w:val="auto"/>
          <w:sz w:val="24"/>
          <w:szCs w:val="24"/>
          <w:highlight w:val="none"/>
        </w:rPr>
      </w:pPr>
      <w:r>
        <w:rPr>
          <w:rFonts w:hint="eastAsia" w:hAnsi="宋体" w:cs="宋体"/>
          <w:color w:val="auto"/>
          <w:sz w:val="24"/>
          <w:szCs w:val="24"/>
          <w:highlight w:val="none"/>
        </w:rPr>
        <w:t>（1） 最低评标价法，是指投标文件满足招标文件全部实质性要求，且投标报价最低的投标人为中标候选人的评标方法。</w:t>
      </w:r>
    </w:p>
    <w:p>
      <w:pPr>
        <w:pStyle w:val="26"/>
        <w:spacing w:line="360" w:lineRule="auto"/>
        <w:ind w:left="898" w:leftChars="342" w:hanging="180"/>
        <w:rPr>
          <w:rFonts w:hAnsi="宋体" w:cs="宋体"/>
          <w:color w:val="auto"/>
          <w:sz w:val="24"/>
          <w:szCs w:val="24"/>
          <w:highlight w:val="none"/>
        </w:rPr>
      </w:pPr>
      <w:r>
        <w:rPr>
          <w:rFonts w:hint="eastAsia" w:hAnsi="宋体" w:cs="宋体"/>
          <w:color w:val="auto"/>
          <w:sz w:val="24"/>
          <w:szCs w:val="24"/>
          <w:highlight w:val="none"/>
        </w:rPr>
        <w:t>（2） 综合评分法，是指投标文件满足招标文件全部实质性要求，且按照评审因素的量化指标评审得分最高的投标人为中标候选人的评标方法。</w:t>
      </w:r>
    </w:p>
    <w:p>
      <w:pPr>
        <w:pStyle w:val="26"/>
        <w:ind w:left="898" w:leftChars="342" w:hanging="180"/>
        <w:rPr>
          <w:rFonts w:hAnsi="宋体" w:cs="宋体"/>
          <w:color w:val="auto"/>
          <w:sz w:val="24"/>
          <w:szCs w:val="24"/>
          <w:highlight w:val="none"/>
        </w:rPr>
      </w:pPr>
      <w:r>
        <w:rPr>
          <w:rFonts w:hint="eastAsia" w:hAnsi="宋体" w:cs="宋体"/>
          <w:color w:val="auto"/>
          <w:sz w:val="24"/>
          <w:szCs w:val="24"/>
          <w:highlight w:val="none"/>
        </w:rPr>
        <w:t xml:space="preserve"> </w:t>
      </w:r>
      <w:r>
        <w:rPr>
          <w:rFonts w:hint="eastAsia" w:hAnsi="宋体" w:cs="宋体"/>
          <w:b/>
          <w:bCs/>
          <w:i/>
          <w:iCs/>
          <w:color w:val="auto"/>
          <w:sz w:val="24"/>
          <w:szCs w:val="24"/>
          <w:highlight w:val="none"/>
          <w:u w:val="single"/>
        </w:rPr>
        <w:t>本项目采用招标方式：公开招标，评分方法：综合评分法。本项目采用政采云线上电子招投标及评标。</w:t>
      </w:r>
    </w:p>
    <w:p>
      <w:pPr>
        <w:keepNext w:val="0"/>
        <w:keepLines w:val="0"/>
        <w:pageBreakBefore w:val="0"/>
        <w:widowControl/>
        <w:kinsoku/>
        <w:wordWrap/>
        <w:overflowPunct/>
        <w:topLinePunct w:val="0"/>
        <w:autoSpaceDE w:val="0"/>
        <w:autoSpaceDN w:val="0"/>
        <w:bidi w:val="0"/>
        <w:adjustRightInd w:val="0"/>
        <w:snapToGrid/>
        <w:spacing w:line="360" w:lineRule="auto"/>
        <w:ind w:left="0" w:hanging="960" w:hangingChars="400"/>
        <w:jc w:val="left"/>
        <w:textAlignment w:val="auto"/>
        <w:outlineLvl w:val="9"/>
        <w:rPr>
          <w:rFonts w:hint="eastAsia" w:ascii="宋体" w:hAnsi="宋体" w:eastAsia="宋体" w:cs="宋体"/>
          <w:b w:val="0"/>
          <w:color w:val="auto"/>
          <w:kern w:val="2"/>
          <w:sz w:val="24"/>
          <w:szCs w:val="24"/>
          <w:highlight w:val="none"/>
          <w:lang w:val="en-US" w:eastAsia="zh-CN" w:bidi="ar-SA"/>
        </w:rPr>
      </w:pPr>
      <w:bookmarkStart w:id="219" w:name="_Toc15234"/>
      <w:bookmarkStart w:id="220" w:name="_Toc1265329045"/>
      <w:bookmarkStart w:id="221" w:name="_Toc46"/>
      <w:r>
        <w:rPr>
          <w:rFonts w:hint="eastAsia" w:ascii="宋体" w:hAnsi="宋体" w:eastAsia="宋体" w:cs="宋体"/>
          <w:b w:val="0"/>
          <w:color w:val="auto"/>
          <w:kern w:val="2"/>
          <w:sz w:val="24"/>
          <w:szCs w:val="24"/>
          <w:highlight w:val="none"/>
          <w:lang w:val="en-US" w:eastAsia="zh-CN" w:bidi="ar-SA"/>
        </w:rPr>
        <w:t>23.3   根据《政府采购促进中小企业发展管理办法》（财库[2020]46号）、《关    于进一步加大政府采购支持中小企业力度的通知》（财库【2022】19号）、《财政部 司法部关于政府采购支持监狱企业发展有关问题的通知》（财库〔2014〕68号）和《三部门联合发布关于促进残疾人就业政府采购政策的通知》（</w:t>
      </w:r>
      <w:bookmarkStart w:id="222" w:name="sendNo"/>
      <w:r>
        <w:rPr>
          <w:rFonts w:hint="eastAsia" w:ascii="宋体" w:hAnsi="宋体" w:eastAsia="宋体" w:cs="宋体"/>
          <w:b w:val="0"/>
          <w:color w:val="auto"/>
          <w:kern w:val="2"/>
          <w:sz w:val="24"/>
          <w:szCs w:val="24"/>
          <w:highlight w:val="none"/>
          <w:lang w:val="en-US" w:eastAsia="zh-CN" w:bidi="ar-SA"/>
        </w:rPr>
        <w:t>财库〔</w:t>
      </w:r>
      <w:bookmarkEnd w:id="222"/>
      <w:r>
        <w:rPr>
          <w:rFonts w:hint="eastAsia" w:ascii="宋体" w:hAnsi="宋体" w:eastAsia="宋体" w:cs="宋体"/>
          <w:b w:val="0"/>
          <w:color w:val="auto"/>
          <w:kern w:val="2"/>
          <w:sz w:val="24"/>
          <w:szCs w:val="24"/>
          <w:highlight w:val="none"/>
          <w:lang w:val="en-US" w:eastAsia="zh-CN" w:bidi="ar-SA"/>
        </w:rPr>
        <w:t>2017〕141号）的规定，对满足价格扣除条件且在投标文件中提交了《投标人企业类型声明函》或省级以上监狱管理局、戒毒管理局（含新疆生产建设兵团）出具的属于监狱企业的证明文件的投标人，其投标报价扣除10-20%后参与评审。具体办法详见招标文件第6章。</w:t>
      </w:r>
      <w:bookmarkEnd w:id="219"/>
      <w:bookmarkEnd w:id="220"/>
      <w:bookmarkEnd w:id="221"/>
    </w:p>
    <w:p>
      <w:pPr>
        <w:pStyle w:val="5"/>
        <w:spacing w:before="0" w:after="0" w:line="360" w:lineRule="auto"/>
        <w:rPr>
          <w:rFonts w:hAnsi="宋体" w:cs="宋体"/>
          <w:color w:val="auto"/>
          <w:highlight w:val="none"/>
          <w:u w:val="none"/>
        </w:rPr>
      </w:pPr>
      <w:bookmarkStart w:id="223" w:name="_Toc520356168"/>
      <w:bookmarkStart w:id="224" w:name="_Toc4132"/>
      <w:bookmarkStart w:id="225" w:name="_Toc2002186721"/>
      <w:bookmarkStart w:id="226" w:name="_Toc21286"/>
      <w:bookmarkStart w:id="227" w:name="_Toc518923089"/>
      <w:bookmarkStart w:id="228" w:name="_Toc5823"/>
      <w:bookmarkStart w:id="229" w:name="_Toc21639"/>
      <w:r>
        <w:rPr>
          <w:rFonts w:hint="eastAsia" w:hAnsi="宋体" w:cs="宋体"/>
          <w:color w:val="auto"/>
          <w:highlight w:val="none"/>
          <w:u w:val="none"/>
        </w:rPr>
        <w:t>24</w:t>
      </w:r>
      <w:bookmarkEnd w:id="223"/>
      <w:r>
        <w:rPr>
          <w:rFonts w:hint="eastAsia" w:hAnsi="宋体" w:cs="宋体"/>
          <w:color w:val="auto"/>
          <w:highlight w:val="none"/>
          <w:u w:val="none"/>
        </w:rPr>
        <w:t>.废标</w:t>
      </w:r>
      <w:bookmarkEnd w:id="224"/>
      <w:bookmarkEnd w:id="225"/>
      <w:bookmarkEnd w:id="226"/>
      <w:bookmarkEnd w:id="227"/>
      <w:bookmarkEnd w:id="228"/>
      <w:bookmarkEnd w:id="229"/>
    </w:p>
    <w:p>
      <w:pPr>
        <w:spacing w:line="360" w:lineRule="auto"/>
        <w:ind w:left="898" w:leftChars="399" w:hanging="60" w:hangingChars="25"/>
        <w:rPr>
          <w:rFonts w:ascii="宋体" w:hAnsi="宋体" w:cs="宋体"/>
          <w:color w:val="auto"/>
          <w:sz w:val="24"/>
          <w:highlight w:val="none"/>
        </w:rPr>
      </w:pPr>
      <w:r>
        <w:rPr>
          <w:rFonts w:hint="eastAsia" w:ascii="宋体" w:hAnsi="宋体" w:cs="宋体"/>
          <w:color w:val="auto"/>
          <w:sz w:val="24"/>
          <w:highlight w:val="none"/>
        </w:rPr>
        <w:t xml:space="preserve">出现下列情形之一，将导致项目废标： </w:t>
      </w:r>
    </w:p>
    <w:p>
      <w:pPr>
        <w:spacing w:line="360" w:lineRule="auto"/>
        <w:ind w:left="898" w:leftChars="342" w:hanging="180" w:hangingChars="75"/>
        <w:rPr>
          <w:rFonts w:ascii="宋体" w:hAnsi="宋体" w:cs="宋体"/>
          <w:color w:val="auto"/>
          <w:sz w:val="24"/>
          <w:highlight w:val="none"/>
        </w:rPr>
      </w:pPr>
      <w:r>
        <w:rPr>
          <w:rFonts w:hint="eastAsia" w:ascii="宋体" w:hAnsi="宋体" w:cs="宋体"/>
          <w:color w:val="auto"/>
          <w:sz w:val="24"/>
          <w:highlight w:val="none"/>
        </w:rPr>
        <w:t>（1）符合专业条件的供应商或者对招标文件做实质性响应的供应商不足三家；</w:t>
      </w:r>
    </w:p>
    <w:p>
      <w:pPr>
        <w:spacing w:line="36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（2）出现影响采购公正的违法、违规行为的；</w:t>
      </w:r>
    </w:p>
    <w:p>
      <w:pPr>
        <w:spacing w:line="36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（3）投标人的报价均超过了采购预算，采购人不能支付的；</w:t>
      </w:r>
    </w:p>
    <w:p>
      <w:pPr>
        <w:spacing w:line="360" w:lineRule="auto"/>
        <w:ind w:firstLine="720" w:firstLineChars="300"/>
        <w:rPr>
          <w:rFonts w:ascii="宋体" w:hAnsi="宋体" w:cs="宋体"/>
          <w:color w:val="auto"/>
          <w:sz w:val="24"/>
          <w:highlight w:val="none"/>
        </w:rPr>
      </w:pPr>
      <w:r>
        <w:rPr>
          <w:rFonts w:hint="eastAsia" w:ascii="宋体" w:hAnsi="宋体" w:cs="宋体"/>
          <w:color w:val="auto"/>
          <w:sz w:val="24"/>
          <w:highlight w:val="none"/>
        </w:rPr>
        <w:t xml:space="preserve">（4）因重大变故，采购任务取消的。   </w:t>
      </w:r>
    </w:p>
    <w:p>
      <w:pPr>
        <w:pStyle w:val="5"/>
        <w:spacing w:before="0" w:after="0" w:line="360" w:lineRule="auto"/>
        <w:rPr>
          <w:rFonts w:hAnsi="宋体" w:cs="宋体"/>
          <w:color w:val="auto"/>
          <w:highlight w:val="none"/>
          <w:u w:val="none"/>
        </w:rPr>
      </w:pPr>
      <w:bookmarkStart w:id="230" w:name="_Toc23660"/>
      <w:bookmarkStart w:id="231" w:name="_Toc518923090"/>
      <w:bookmarkStart w:id="232" w:name="_Toc9809"/>
      <w:bookmarkStart w:id="233" w:name="_Toc1830955004"/>
      <w:bookmarkStart w:id="234" w:name="_Toc10697"/>
      <w:bookmarkStart w:id="235" w:name="_Toc14405"/>
      <w:bookmarkStart w:id="236" w:name="_Toc520356169"/>
      <w:r>
        <w:rPr>
          <w:rFonts w:hint="eastAsia" w:hAnsi="宋体" w:cs="宋体"/>
          <w:color w:val="auto"/>
          <w:highlight w:val="none"/>
          <w:u w:val="none"/>
        </w:rPr>
        <w:t>25.保密原则</w:t>
      </w:r>
      <w:bookmarkEnd w:id="230"/>
      <w:bookmarkEnd w:id="231"/>
      <w:bookmarkEnd w:id="232"/>
      <w:bookmarkEnd w:id="233"/>
      <w:bookmarkEnd w:id="234"/>
      <w:bookmarkEnd w:id="235"/>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25.1</w:t>
      </w:r>
      <w:r>
        <w:rPr>
          <w:rFonts w:hint="eastAsia" w:ascii="宋体" w:hAnsi="宋体" w:cs="宋体"/>
          <w:color w:val="auto"/>
          <w:sz w:val="24"/>
          <w:highlight w:val="none"/>
        </w:rPr>
        <w:tab/>
      </w:r>
      <w:r>
        <w:rPr>
          <w:rFonts w:hint="eastAsia" w:ascii="宋体" w:hAnsi="宋体" w:cs="宋体"/>
          <w:color w:val="auto"/>
          <w:sz w:val="24"/>
          <w:highlight w:val="none"/>
        </w:rPr>
        <w:t>评标将在严格保密的情况下进行。</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25.2</w:t>
      </w:r>
      <w:r>
        <w:rPr>
          <w:rFonts w:hint="eastAsia" w:ascii="宋体" w:hAnsi="宋体" w:cs="宋体"/>
          <w:color w:val="auto"/>
          <w:sz w:val="24"/>
          <w:highlight w:val="none"/>
        </w:rPr>
        <w:tab/>
      </w:r>
      <w:r>
        <w:rPr>
          <w:rFonts w:hint="eastAsia" w:ascii="宋体" w:hAnsi="宋体" w:cs="宋体"/>
          <w:color w:val="auto"/>
          <w:sz w:val="24"/>
          <w:highlight w:val="none"/>
        </w:rPr>
        <w:t>政府采购评审专家应当遵守评审工作纪律，不得泄露评审文件、评审情况和评审中获悉的商业秘密。</w:t>
      </w:r>
    </w:p>
    <w:p>
      <w:pPr>
        <w:spacing w:line="360" w:lineRule="auto"/>
        <w:ind w:left="1080" w:leftChars="257" w:hanging="540"/>
        <w:rPr>
          <w:rFonts w:ascii="宋体" w:hAnsi="宋体" w:cs="宋体"/>
          <w:color w:val="auto"/>
          <w:sz w:val="24"/>
          <w:highlight w:val="none"/>
        </w:rPr>
      </w:pPr>
    </w:p>
    <w:p>
      <w:pPr>
        <w:pStyle w:val="4"/>
        <w:spacing w:before="0" w:line="360" w:lineRule="auto"/>
        <w:rPr>
          <w:rFonts w:ascii="宋体" w:hAnsi="宋体" w:eastAsia="宋体" w:cs="宋体"/>
          <w:color w:val="auto"/>
          <w:sz w:val="24"/>
          <w:highlight w:val="none"/>
        </w:rPr>
      </w:pPr>
      <w:bookmarkStart w:id="237" w:name="_Toc1567574365"/>
      <w:bookmarkStart w:id="238" w:name="_Toc15684"/>
      <w:bookmarkStart w:id="239" w:name="_Toc216582810"/>
      <w:bookmarkStart w:id="240" w:name="_Toc518923091"/>
      <w:bookmarkStart w:id="241" w:name="_Toc10964"/>
      <w:bookmarkStart w:id="242" w:name="_Toc905"/>
      <w:bookmarkStart w:id="243" w:name="_Toc12284"/>
      <w:r>
        <w:rPr>
          <w:rFonts w:hint="eastAsia" w:ascii="宋体" w:hAnsi="宋体" w:eastAsia="宋体" w:cs="宋体"/>
          <w:color w:val="auto"/>
          <w:sz w:val="24"/>
          <w:highlight w:val="none"/>
        </w:rPr>
        <w:t xml:space="preserve">六   </w:t>
      </w:r>
      <w:bookmarkEnd w:id="236"/>
      <w:r>
        <w:rPr>
          <w:rFonts w:hint="eastAsia" w:ascii="宋体" w:hAnsi="宋体" w:eastAsia="宋体" w:cs="宋体"/>
          <w:color w:val="auto"/>
          <w:sz w:val="24"/>
          <w:highlight w:val="none"/>
        </w:rPr>
        <w:t>确定中标</w:t>
      </w:r>
      <w:bookmarkEnd w:id="237"/>
      <w:bookmarkEnd w:id="238"/>
      <w:bookmarkEnd w:id="239"/>
      <w:bookmarkEnd w:id="240"/>
      <w:bookmarkEnd w:id="241"/>
      <w:bookmarkEnd w:id="242"/>
      <w:bookmarkEnd w:id="243"/>
    </w:p>
    <w:p>
      <w:pPr>
        <w:pStyle w:val="15"/>
        <w:spacing w:line="360" w:lineRule="auto"/>
        <w:rPr>
          <w:rFonts w:hAnsi="宋体" w:cs="宋体"/>
          <w:color w:val="auto"/>
          <w:highlight w:val="none"/>
        </w:rPr>
      </w:pPr>
    </w:p>
    <w:p>
      <w:pPr>
        <w:pStyle w:val="5"/>
        <w:spacing w:before="0" w:after="0" w:line="360" w:lineRule="auto"/>
        <w:rPr>
          <w:rFonts w:hAnsi="宋体" w:cs="宋体"/>
          <w:color w:val="auto"/>
          <w:highlight w:val="none"/>
          <w:u w:val="none"/>
        </w:rPr>
      </w:pPr>
      <w:bookmarkStart w:id="244" w:name="_Toc520356170"/>
      <w:bookmarkStart w:id="245" w:name="_Toc30436"/>
      <w:bookmarkStart w:id="246" w:name="_Toc32578"/>
      <w:bookmarkStart w:id="247" w:name="_Toc518923092"/>
      <w:bookmarkStart w:id="248" w:name="_Toc11388"/>
      <w:bookmarkStart w:id="249" w:name="_Ref467307010"/>
      <w:bookmarkStart w:id="250" w:name="_Toc892971159"/>
      <w:bookmarkStart w:id="251" w:name="_Toc21368"/>
      <w:r>
        <w:rPr>
          <w:rFonts w:hint="eastAsia" w:hAnsi="宋体" w:cs="宋体"/>
          <w:color w:val="auto"/>
          <w:highlight w:val="none"/>
          <w:u w:val="none"/>
        </w:rPr>
        <w:t>26.中标候选人的确定原则及标准</w:t>
      </w:r>
      <w:bookmarkEnd w:id="244"/>
      <w:bookmarkEnd w:id="245"/>
      <w:bookmarkEnd w:id="246"/>
      <w:bookmarkEnd w:id="247"/>
      <w:bookmarkEnd w:id="248"/>
      <w:bookmarkEnd w:id="249"/>
      <w:bookmarkEnd w:id="250"/>
      <w:bookmarkEnd w:id="251"/>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除第28条规定外，对实质上响应招标文件的投标人按下列方法进行排序，确定中标候选人：</w:t>
      </w:r>
    </w:p>
    <w:p>
      <w:pPr>
        <w:spacing w:line="360" w:lineRule="auto"/>
        <w:ind w:left="901"/>
        <w:rPr>
          <w:rFonts w:ascii="宋体" w:hAnsi="宋体" w:cs="宋体"/>
          <w:color w:val="auto"/>
          <w:sz w:val="24"/>
          <w:highlight w:val="none"/>
        </w:rPr>
      </w:pPr>
      <w:r>
        <w:rPr>
          <w:rFonts w:hint="eastAsia" w:ascii="宋体" w:hAnsi="宋体" w:cs="宋体"/>
          <w:color w:val="auto"/>
          <w:sz w:val="24"/>
          <w:highlight w:val="none"/>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pPr>
        <w:spacing w:line="360" w:lineRule="auto"/>
        <w:ind w:left="901"/>
        <w:rPr>
          <w:rFonts w:ascii="宋体" w:hAnsi="宋体" w:cs="宋体"/>
          <w:color w:val="auto"/>
          <w:sz w:val="24"/>
          <w:highlight w:val="none"/>
        </w:rPr>
      </w:pPr>
      <w:r>
        <w:rPr>
          <w:rFonts w:hint="eastAsia" w:ascii="宋体" w:hAnsi="宋体" w:cs="宋体"/>
          <w:color w:val="auto"/>
          <w:sz w:val="24"/>
          <w:highlight w:val="none"/>
        </w:rPr>
        <w:t>（2）采用综合评分法的，评标结果按评审后得分由高到低顺序排列。得分相同的，按修正和扣除后的投标报价由低到高顺序排列。得分与投标报价均相同的处理方式详见招标文件第6章。</w:t>
      </w:r>
    </w:p>
    <w:p>
      <w:pPr>
        <w:pStyle w:val="5"/>
        <w:spacing w:before="0" w:after="0" w:line="360" w:lineRule="auto"/>
        <w:rPr>
          <w:rFonts w:hint="eastAsia" w:hAnsi="宋体" w:eastAsia="宋体" w:cs="宋体"/>
          <w:color w:val="auto"/>
          <w:highlight w:val="none"/>
          <w:u w:val="none"/>
          <w:lang w:eastAsia="zh-CN"/>
        </w:rPr>
      </w:pPr>
      <w:bookmarkStart w:id="252" w:name="_Toc520356171"/>
      <w:bookmarkStart w:id="253" w:name="_Toc30599"/>
      <w:bookmarkStart w:id="254" w:name="_Toc10555"/>
      <w:bookmarkStart w:id="255" w:name="_Toc3646"/>
      <w:bookmarkStart w:id="256" w:name="_Toc1550544077"/>
      <w:bookmarkStart w:id="257" w:name="_Toc518923093"/>
      <w:bookmarkStart w:id="258" w:name="_Toc30797"/>
      <w:r>
        <w:rPr>
          <w:rFonts w:hint="eastAsia" w:hAnsi="宋体" w:cs="宋体"/>
          <w:color w:val="auto"/>
          <w:highlight w:val="none"/>
          <w:u w:val="none"/>
        </w:rPr>
        <w:t>27</w:t>
      </w:r>
      <w:bookmarkEnd w:id="252"/>
      <w:r>
        <w:rPr>
          <w:rFonts w:hint="eastAsia" w:hAnsi="宋体" w:cs="宋体"/>
          <w:color w:val="auto"/>
          <w:highlight w:val="none"/>
          <w:u w:val="none"/>
        </w:rPr>
        <w:t>.确定中标候选人和</w:t>
      </w:r>
      <w:bookmarkEnd w:id="253"/>
      <w:bookmarkEnd w:id="254"/>
      <w:bookmarkEnd w:id="255"/>
      <w:bookmarkEnd w:id="256"/>
      <w:bookmarkEnd w:id="257"/>
      <w:r>
        <w:rPr>
          <w:rFonts w:hint="eastAsia" w:hAnsi="宋体" w:cs="宋体"/>
          <w:color w:val="auto"/>
          <w:highlight w:val="none"/>
          <w:u w:val="none"/>
          <w:lang w:eastAsia="zh-CN"/>
        </w:rPr>
        <w:t>投标人</w:t>
      </w:r>
      <w:bookmarkEnd w:id="258"/>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评标委员会将根据评标标准，按</w:t>
      </w:r>
      <w:r>
        <w:rPr>
          <w:rFonts w:hint="eastAsia" w:ascii="宋体" w:hAnsi="宋体" w:cs="宋体"/>
          <w:b/>
          <w:bCs/>
          <w:color w:val="auto"/>
          <w:sz w:val="24"/>
          <w:highlight w:val="none"/>
          <w:u w:val="single"/>
        </w:rPr>
        <w:t>投标人须知资料表</w:t>
      </w:r>
      <w:r>
        <w:rPr>
          <w:rFonts w:hint="eastAsia" w:ascii="宋体" w:hAnsi="宋体" w:cs="宋体"/>
          <w:color w:val="auto"/>
          <w:sz w:val="24"/>
          <w:highlight w:val="none"/>
        </w:rPr>
        <w:t>中规定数量推荐中标候选人；或根据采购人的委托，直接确定</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p>
    <w:p>
      <w:pPr>
        <w:pStyle w:val="5"/>
        <w:tabs>
          <w:tab w:val="left" w:pos="900"/>
        </w:tabs>
        <w:spacing w:before="0" w:after="0" w:line="360" w:lineRule="auto"/>
        <w:rPr>
          <w:rFonts w:hAnsi="宋体" w:cs="宋体"/>
          <w:color w:val="auto"/>
          <w:highlight w:val="none"/>
          <w:u w:val="none"/>
        </w:rPr>
      </w:pPr>
      <w:bookmarkStart w:id="259" w:name="_Toc520356173"/>
      <w:bookmarkStart w:id="260" w:name="_Ref467306874"/>
      <w:bookmarkStart w:id="261" w:name="_Toc518923094"/>
      <w:bookmarkStart w:id="262" w:name="_Toc31903"/>
      <w:bookmarkStart w:id="263" w:name="_Toc19263"/>
      <w:bookmarkStart w:id="264" w:name="_Toc17138"/>
      <w:bookmarkStart w:id="265" w:name="_Toc3680"/>
      <w:bookmarkStart w:id="266" w:name="_Toc280245794"/>
      <w:r>
        <w:rPr>
          <w:rFonts w:hint="eastAsia" w:hAnsi="宋体" w:cs="宋体"/>
          <w:color w:val="auto"/>
          <w:highlight w:val="none"/>
          <w:u w:val="none"/>
        </w:rPr>
        <w:t>28</w:t>
      </w:r>
      <w:bookmarkEnd w:id="259"/>
      <w:bookmarkEnd w:id="260"/>
      <w:r>
        <w:rPr>
          <w:rFonts w:hint="eastAsia" w:hAnsi="宋体" w:cs="宋体"/>
          <w:color w:val="auto"/>
          <w:highlight w:val="none"/>
          <w:u w:val="none"/>
        </w:rPr>
        <w:t>.采购任务取消</w:t>
      </w:r>
      <w:bookmarkEnd w:id="261"/>
      <w:bookmarkEnd w:id="262"/>
      <w:bookmarkEnd w:id="263"/>
      <w:bookmarkEnd w:id="264"/>
      <w:bookmarkEnd w:id="265"/>
      <w:bookmarkEnd w:id="266"/>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ab/>
      </w:r>
      <w:r>
        <w:rPr>
          <w:rFonts w:hint="eastAsia" w:ascii="宋体" w:hAnsi="宋体" w:cs="宋体"/>
          <w:color w:val="auto"/>
          <w:sz w:val="24"/>
          <w:highlight w:val="none"/>
        </w:rPr>
        <w:t>因重大变故采购任务取消时，采购人有权拒绝任何投标人中标，且对受影响的投标人不承担任何责任。</w:t>
      </w:r>
      <w:bookmarkStart w:id="267" w:name="_Toc520356174"/>
    </w:p>
    <w:p>
      <w:pPr>
        <w:pStyle w:val="5"/>
        <w:spacing w:before="0" w:after="0" w:line="360" w:lineRule="auto"/>
        <w:rPr>
          <w:rFonts w:hAnsi="宋体" w:cs="宋体"/>
          <w:color w:val="auto"/>
          <w:highlight w:val="none"/>
          <w:u w:val="none"/>
        </w:rPr>
      </w:pPr>
      <w:bookmarkStart w:id="268" w:name="_Toc14874"/>
      <w:bookmarkStart w:id="269" w:name="_Toc29889"/>
      <w:bookmarkStart w:id="270" w:name="_Toc518923095"/>
      <w:bookmarkStart w:id="271" w:name="_Toc659421887"/>
      <w:bookmarkStart w:id="272" w:name="_Toc26401"/>
      <w:bookmarkStart w:id="273" w:name="_Toc18072"/>
      <w:r>
        <w:rPr>
          <w:rFonts w:hint="eastAsia" w:hAnsi="宋体" w:cs="宋体"/>
          <w:color w:val="auto"/>
          <w:highlight w:val="none"/>
          <w:u w:val="none"/>
        </w:rPr>
        <w:t>29.中标通知书</w:t>
      </w:r>
      <w:bookmarkEnd w:id="267"/>
      <w:r>
        <w:rPr>
          <w:rFonts w:hint="eastAsia" w:hAnsi="宋体" w:cs="宋体"/>
          <w:color w:val="auto"/>
          <w:highlight w:val="none"/>
          <w:u w:val="none"/>
        </w:rPr>
        <w:t>和招标结果通知书</w:t>
      </w:r>
      <w:bookmarkEnd w:id="268"/>
      <w:bookmarkEnd w:id="269"/>
      <w:bookmarkEnd w:id="270"/>
      <w:bookmarkEnd w:id="271"/>
      <w:bookmarkEnd w:id="272"/>
      <w:bookmarkEnd w:id="273"/>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29.1</w:t>
      </w:r>
      <w:r>
        <w:rPr>
          <w:rFonts w:hint="eastAsia" w:ascii="宋体" w:hAnsi="宋体" w:cs="宋体"/>
          <w:color w:val="auto"/>
          <w:sz w:val="24"/>
          <w:highlight w:val="none"/>
        </w:rPr>
        <w:tab/>
      </w:r>
      <w:r>
        <w:rPr>
          <w:rFonts w:hint="eastAsia" w:ascii="宋体" w:hAnsi="宋体" w:cs="宋体"/>
          <w:color w:val="auto"/>
          <w:sz w:val="24"/>
          <w:highlight w:val="none"/>
        </w:rPr>
        <w:t>在投标有效期内，</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确定后，采购人或者采购代理机构发布中标公告，同时以书面形式向</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发出中标通知书；</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29.2</w:t>
      </w:r>
      <w:r>
        <w:rPr>
          <w:rFonts w:hint="eastAsia" w:ascii="宋体" w:hAnsi="宋体" w:cs="宋体"/>
          <w:color w:val="auto"/>
          <w:sz w:val="24"/>
          <w:highlight w:val="none"/>
        </w:rPr>
        <w:tab/>
      </w:r>
      <w:r>
        <w:rPr>
          <w:rFonts w:hint="eastAsia" w:ascii="宋体" w:hAnsi="宋体" w:cs="宋体"/>
          <w:color w:val="auto"/>
          <w:sz w:val="24"/>
          <w:highlight w:val="none"/>
        </w:rPr>
        <w:t>中标通知书是合同的组成部分；</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29.3    招标结果通知书和中标通知书同时发出。招标结果通知书中将告知未通过资格审查的投标人未通过的原因；采用综合评分法评审的，还将告知未</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本人的评审得分和排序。</w:t>
      </w:r>
    </w:p>
    <w:p>
      <w:pPr>
        <w:pStyle w:val="5"/>
        <w:spacing w:before="0" w:after="0" w:line="360" w:lineRule="auto"/>
        <w:rPr>
          <w:rFonts w:hAnsi="宋体" w:cs="宋体"/>
          <w:color w:val="auto"/>
          <w:highlight w:val="none"/>
          <w:u w:val="none"/>
        </w:rPr>
      </w:pPr>
      <w:bookmarkStart w:id="274" w:name="_Ref467307062"/>
      <w:bookmarkStart w:id="275" w:name="_Toc518923096"/>
      <w:bookmarkStart w:id="276" w:name="_Toc1888036289"/>
      <w:bookmarkStart w:id="277" w:name="_Ref467306978"/>
      <w:bookmarkStart w:id="278" w:name="_Toc520356175"/>
      <w:bookmarkStart w:id="279" w:name="_Toc169"/>
      <w:bookmarkStart w:id="280" w:name="_Toc13825"/>
      <w:bookmarkStart w:id="281" w:name="_Ref467306377"/>
      <w:bookmarkStart w:id="282" w:name="_Toc16952"/>
      <w:bookmarkStart w:id="283" w:name="_Toc20964"/>
      <w:bookmarkStart w:id="284" w:name="_Ref467307204"/>
      <w:r>
        <w:rPr>
          <w:rFonts w:hint="eastAsia" w:hAnsi="宋体" w:cs="宋体"/>
          <w:color w:val="auto"/>
          <w:highlight w:val="none"/>
          <w:u w:val="none"/>
        </w:rPr>
        <w:t>30.签订合同</w:t>
      </w:r>
      <w:bookmarkEnd w:id="274"/>
      <w:bookmarkEnd w:id="275"/>
      <w:bookmarkEnd w:id="276"/>
      <w:bookmarkEnd w:id="277"/>
      <w:bookmarkEnd w:id="278"/>
      <w:bookmarkEnd w:id="279"/>
      <w:bookmarkEnd w:id="280"/>
      <w:bookmarkEnd w:id="281"/>
      <w:bookmarkEnd w:id="282"/>
      <w:bookmarkEnd w:id="283"/>
      <w:bookmarkEnd w:id="284"/>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30.1</w:t>
      </w:r>
      <w:r>
        <w:rPr>
          <w:rFonts w:hint="eastAsia" w:ascii="宋体" w:hAnsi="宋体" w:cs="宋体"/>
          <w:color w:val="auto"/>
          <w:sz w:val="24"/>
          <w:highlight w:val="none"/>
        </w:rPr>
        <w:tab/>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应当自发出中标通知书之日起30日内，与采购人签订合同。</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30.2</w:t>
      </w:r>
      <w:r>
        <w:rPr>
          <w:rFonts w:hint="eastAsia" w:ascii="宋体" w:hAnsi="宋体" w:cs="宋体"/>
          <w:color w:val="auto"/>
          <w:sz w:val="24"/>
          <w:highlight w:val="none"/>
        </w:rPr>
        <w:tab/>
      </w:r>
      <w:bookmarkStart w:id="285" w:name="_Toc520356176"/>
      <w:bookmarkStart w:id="286" w:name="_Ref467306425"/>
      <w:bookmarkStart w:id="287" w:name="_Ref467307090"/>
      <w:r>
        <w:rPr>
          <w:rFonts w:hint="eastAsia" w:ascii="宋体" w:hAnsi="宋体" w:cs="宋体"/>
          <w:color w:val="auto"/>
          <w:sz w:val="24"/>
          <w:highlight w:val="none"/>
        </w:rPr>
        <w:t>招标文件、</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的投标文件及其澄清文件等，均为签订合同的依据。</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 xml:space="preserve">30.3   </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拒绝与采购人签订合同的，采购人可以按照评审报告推荐的中标候选人名单排序，确定下一中标候选人为</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，也可以重新开展政府采购活动。</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30.4   当出现法规规定的</w:t>
      </w:r>
      <w:r>
        <w:rPr>
          <w:rFonts w:hint="eastAsia" w:ascii="宋体" w:hAnsi="宋体" w:cs="宋体"/>
          <w:b/>
          <w:color w:val="auto"/>
          <w:sz w:val="24"/>
          <w:highlight w:val="none"/>
        </w:rPr>
        <w:t>中标无效或中标结果无效</w:t>
      </w:r>
      <w:r>
        <w:rPr>
          <w:rFonts w:hint="eastAsia" w:ascii="宋体" w:hAnsi="宋体" w:cs="宋体"/>
          <w:color w:val="auto"/>
          <w:sz w:val="24"/>
          <w:highlight w:val="none"/>
        </w:rPr>
        <w:t>情形时，采购人可与排名下一位的中标候选人另行签订合同，或依法重新开展采购活动。</w:t>
      </w:r>
    </w:p>
    <w:p>
      <w:pPr>
        <w:pStyle w:val="5"/>
        <w:spacing w:before="0" w:after="0" w:line="360" w:lineRule="auto"/>
        <w:rPr>
          <w:rFonts w:hAnsi="宋体" w:cs="宋体"/>
          <w:color w:val="auto"/>
          <w:highlight w:val="none"/>
          <w:u w:val="none"/>
        </w:rPr>
      </w:pPr>
      <w:bookmarkStart w:id="288" w:name="_Toc8276"/>
      <w:bookmarkStart w:id="289" w:name="_Toc8378"/>
      <w:bookmarkStart w:id="290" w:name="_Toc1007541151"/>
      <w:bookmarkStart w:id="291" w:name="_Toc518923097"/>
      <w:bookmarkStart w:id="292" w:name="_Toc31416"/>
      <w:bookmarkStart w:id="293" w:name="_Toc4302"/>
      <w:r>
        <w:rPr>
          <w:rFonts w:hint="eastAsia" w:hAnsi="宋体" w:cs="宋体"/>
          <w:color w:val="auto"/>
          <w:highlight w:val="none"/>
          <w:u w:val="none"/>
        </w:rPr>
        <w:t>31.履约保证金</w:t>
      </w:r>
      <w:bookmarkEnd w:id="285"/>
      <w:bookmarkEnd w:id="286"/>
      <w:bookmarkEnd w:id="287"/>
      <w:bookmarkEnd w:id="288"/>
      <w:bookmarkEnd w:id="289"/>
      <w:bookmarkEnd w:id="290"/>
      <w:bookmarkEnd w:id="291"/>
      <w:bookmarkEnd w:id="292"/>
      <w:bookmarkEnd w:id="293"/>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31.1</w:t>
      </w:r>
      <w:r>
        <w:rPr>
          <w:rFonts w:hint="eastAsia" w:ascii="宋体" w:hAnsi="宋体" w:cs="宋体"/>
          <w:color w:val="auto"/>
          <w:sz w:val="24"/>
          <w:highlight w:val="none"/>
        </w:rPr>
        <w:tab/>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应按照</w:t>
      </w:r>
      <w:r>
        <w:rPr>
          <w:rFonts w:hint="eastAsia" w:ascii="宋体" w:hAnsi="宋体" w:cs="宋体"/>
          <w:b/>
          <w:bCs/>
          <w:color w:val="auto"/>
          <w:sz w:val="24"/>
          <w:highlight w:val="none"/>
          <w:u w:val="single"/>
        </w:rPr>
        <w:t>投标人须知资料表</w:t>
      </w:r>
      <w:r>
        <w:rPr>
          <w:rFonts w:hint="eastAsia" w:ascii="宋体" w:hAnsi="宋体" w:cs="宋体"/>
          <w:color w:val="auto"/>
          <w:sz w:val="24"/>
          <w:highlight w:val="none"/>
        </w:rPr>
        <w:t>规定向采购人缴纳履约保证金（如采用保函形式，格式见本章附件1）。</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31.2</w:t>
      </w:r>
      <w:r>
        <w:rPr>
          <w:rFonts w:hint="eastAsia" w:ascii="宋体" w:hAnsi="宋体" w:cs="宋体"/>
          <w:color w:val="auto"/>
          <w:sz w:val="24"/>
          <w:highlight w:val="none"/>
        </w:rPr>
        <w:tab/>
      </w:r>
      <w:r>
        <w:rPr>
          <w:rFonts w:hint="eastAsia" w:ascii="宋体" w:hAnsi="宋体" w:cs="宋体"/>
          <w:color w:val="auto"/>
          <w:sz w:val="24"/>
          <w:highlight w:val="none"/>
        </w:rPr>
        <w:t>政府采购利用担保试点范围内的项目，除31.1规定的情形外，</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也可以按照财政部门的规定，向采购人提供合格的履约担保函（格式见本章附件2）。</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31.3   如果</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没有按照上述履约保证金的规定执行，将视为放弃中标资格，</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的投标保证金将不予退还。在此情况下，采购人可确定下一候选人为</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，也可以重新开展采购活动。</w:t>
      </w:r>
    </w:p>
    <w:p>
      <w:pPr>
        <w:pStyle w:val="5"/>
        <w:spacing w:before="0" w:after="0" w:line="360" w:lineRule="auto"/>
        <w:rPr>
          <w:rFonts w:hAnsi="宋体" w:cs="宋体"/>
          <w:color w:val="auto"/>
          <w:highlight w:val="none"/>
          <w:u w:val="none"/>
        </w:rPr>
      </w:pPr>
      <w:bookmarkStart w:id="294" w:name="_Toc8478"/>
      <w:bookmarkStart w:id="295" w:name="_Toc835568262"/>
      <w:bookmarkStart w:id="296" w:name="_Toc8476"/>
      <w:bookmarkStart w:id="297" w:name="_Toc31818"/>
      <w:bookmarkStart w:id="298" w:name="_Toc518923098"/>
      <w:bookmarkStart w:id="299" w:name="_Toc17150"/>
      <w:r>
        <w:rPr>
          <w:rFonts w:hint="eastAsia" w:hAnsi="宋体" w:cs="宋体"/>
          <w:color w:val="auto"/>
          <w:highlight w:val="none"/>
          <w:u w:val="none"/>
        </w:rPr>
        <w:t>32.中标服务费</w:t>
      </w:r>
      <w:bookmarkEnd w:id="294"/>
      <w:bookmarkEnd w:id="295"/>
      <w:bookmarkEnd w:id="296"/>
      <w:bookmarkEnd w:id="297"/>
      <w:bookmarkEnd w:id="298"/>
      <w:bookmarkEnd w:id="299"/>
    </w:p>
    <w:p>
      <w:pPr>
        <w:spacing w:line="360" w:lineRule="auto"/>
        <w:ind w:left="840" w:leftChars="200" w:hanging="420" w:hangingChars="175"/>
        <w:rPr>
          <w:rFonts w:ascii="宋体" w:hAnsi="宋体" w:cs="宋体"/>
          <w:color w:val="auto"/>
          <w:sz w:val="24"/>
          <w:highlight w:val="none"/>
        </w:rPr>
      </w:pPr>
      <w:r>
        <w:rPr>
          <w:rFonts w:hint="eastAsia" w:ascii="宋体" w:hAnsi="宋体" w:cs="宋体"/>
          <w:color w:val="auto"/>
          <w:sz w:val="24"/>
          <w:highlight w:val="none"/>
        </w:rPr>
        <w:t xml:space="preserve">   本项目由集采机构代理，无中标服务费。</w:t>
      </w:r>
    </w:p>
    <w:p>
      <w:pPr>
        <w:pStyle w:val="5"/>
        <w:spacing w:before="0" w:after="0" w:line="360" w:lineRule="auto"/>
        <w:rPr>
          <w:rFonts w:hint="eastAsia" w:hAnsi="宋体" w:cs="宋体"/>
          <w:color w:val="auto"/>
          <w:highlight w:val="none"/>
          <w:u w:val="none"/>
        </w:rPr>
      </w:pPr>
      <w:bookmarkStart w:id="300" w:name="_Toc10203"/>
      <w:bookmarkStart w:id="301" w:name="_Toc31411"/>
      <w:bookmarkStart w:id="302" w:name="_Toc16784"/>
      <w:bookmarkStart w:id="303" w:name="_Toc1000211701"/>
      <w:bookmarkStart w:id="304" w:name="_Toc518923099"/>
      <w:bookmarkStart w:id="305" w:name="_Toc28942"/>
      <w:r>
        <w:rPr>
          <w:rFonts w:hint="eastAsia" w:hAnsi="宋体" w:cs="宋体"/>
          <w:color w:val="auto"/>
          <w:highlight w:val="none"/>
          <w:u w:val="none"/>
        </w:rPr>
        <w:t>33.政府采购信用担保</w:t>
      </w:r>
      <w:bookmarkEnd w:id="300"/>
      <w:bookmarkEnd w:id="301"/>
      <w:bookmarkEnd w:id="302"/>
      <w:bookmarkEnd w:id="303"/>
      <w:bookmarkEnd w:id="304"/>
      <w:bookmarkEnd w:id="305"/>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33.1   本项目是否属于信用担保试点范围见</w:t>
      </w:r>
      <w:r>
        <w:rPr>
          <w:rFonts w:hint="eastAsia" w:ascii="宋体" w:hAnsi="宋体" w:cs="宋体"/>
          <w:b/>
          <w:bCs/>
          <w:color w:val="auto"/>
          <w:sz w:val="24"/>
          <w:highlight w:val="none"/>
          <w:u w:val="single"/>
        </w:rPr>
        <w:t>投标人须知资料表</w:t>
      </w:r>
      <w:r>
        <w:rPr>
          <w:rFonts w:hint="eastAsia" w:ascii="宋体" w:hAnsi="宋体" w:cs="宋体"/>
          <w:color w:val="auto"/>
          <w:sz w:val="24"/>
          <w:highlight w:val="none"/>
        </w:rPr>
        <w:t>。</w:t>
      </w:r>
    </w:p>
    <w:p>
      <w:pPr>
        <w:spacing w:line="360" w:lineRule="auto"/>
        <w:ind w:left="850" w:hanging="849" w:hangingChars="354"/>
        <w:rPr>
          <w:rFonts w:ascii="宋体" w:hAnsi="宋体" w:cs="宋体"/>
          <w:color w:val="auto"/>
          <w:sz w:val="24"/>
          <w:highlight w:val="none"/>
        </w:rPr>
      </w:pPr>
      <w:r>
        <w:rPr>
          <w:rFonts w:hint="eastAsia" w:ascii="宋体" w:hAnsi="宋体" w:cs="宋体"/>
          <w:color w:val="auto"/>
          <w:sz w:val="24"/>
          <w:highlight w:val="none"/>
        </w:rPr>
        <w:t>33.2   如属于政府采购信用担保试点范围内，中小型企业投标人可以自由按照财政部门的规定，采用投标担保、履约担保和融资担保。</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33.2.1 投标人递交的投标担保函和履约担保函应符合本招标文件的规定。</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 xml:space="preserve">33.2.2 </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可以采取融资担保的形式为政府采购项目履约进行融资。</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33.2.3 合格的政府采购专业信用担保机构见</w:t>
      </w:r>
      <w:r>
        <w:rPr>
          <w:rFonts w:hint="eastAsia" w:ascii="宋体" w:hAnsi="宋体" w:cs="宋体"/>
          <w:b/>
          <w:bCs/>
          <w:color w:val="auto"/>
          <w:sz w:val="24"/>
          <w:highlight w:val="none"/>
          <w:u w:val="single"/>
        </w:rPr>
        <w:t>投标人须知资料表</w:t>
      </w:r>
      <w:r>
        <w:rPr>
          <w:rFonts w:hint="eastAsia" w:ascii="宋体" w:hAnsi="宋体" w:cs="宋体"/>
          <w:color w:val="auto"/>
          <w:sz w:val="24"/>
          <w:highlight w:val="none"/>
        </w:rPr>
        <w:t>。</w:t>
      </w:r>
    </w:p>
    <w:p>
      <w:pPr>
        <w:pStyle w:val="5"/>
        <w:spacing w:before="0" w:after="0" w:line="360" w:lineRule="auto"/>
        <w:rPr>
          <w:rFonts w:hAnsi="宋体" w:cs="宋体"/>
          <w:color w:val="auto"/>
          <w:highlight w:val="none"/>
          <w:u w:val="none"/>
        </w:rPr>
      </w:pPr>
      <w:bookmarkStart w:id="306" w:name="_Toc7512"/>
      <w:bookmarkStart w:id="307" w:name="_Toc56069991"/>
      <w:bookmarkStart w:id="308" w:name="_Toc28987"/>
      <w:bookmarkStart w:id="309" w:name="_Toc4701"/>
      <w:bookmarkStart w:id="310" w:name="_Toc518923100"/>
      <w:bookmarkStart w:id="311" w:name="_Toc32108"/>
      <w:r>
        <w:rPr>
          <w:rFonts w:hint="eastAsia" w:hAnsi="宋体" w:cs="宋体"/>
          <w:color w:val="auto"/>
          <w:highlight w:val="none"/>
          <w:u w:val="none"/>
        </w:rPr>
        <w:t>34.廉洁自律规定</w:t>
      </w:r>
      <w:bookmarkEnd w:id="306"/>
      <w:bookmarkEnd w:id="307"/>
      <w:bookmarkEnd w:id="308"/>
      <w:bookmarkEnd w:id="309"/>
      <w:bookmarkEnd w:id="310"/>
      <w:bookmarkEnd w:id="311"/>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34.1   采购代理机构工作人员不得以不正当手段获取政府采购代理业务，不得与采购人、供应商恶意串通操纵政府采购活动。</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34.2   采购代理机构工作人员不得接受采购人或者供应商组织的宴请、旅游、娱乐，不得收受礼品、现金、有价证券等，不得向采购人或者供应商报销应当由个人承担的费用。</w:t>
      </w:r>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34.3   为强化采购代理机构内部监督机制，供应商可按</w:t>
      </w:r>
      <w:r>
        <w:rPr>
          <w:rFonts w:hint="eastAsia" w:ascii="宋体" w:hAnsi="宋体" w:cs="宋体"/>
          <w:b/>
          <w:bCs/>
          <w:color w:val="auto"/>
          <w:sz w:val="24"/>
          <w:highlight w:val="none"/>
          <w:u w:val="single"/>
        </w:rPr>
        <w:t>投标人须知资料表</w:t>
      </w:r>
      <w:r>
        <w:rPr>
          <w:rFonts w:hint="eastAsia" w:ascii="宋体" w:hAnsi="宋体" w:cs="宋体"/>
          <w:color w:val="auto"/>
          <w:sz w:val="24"/>
          <w:highlight w:val="none"/>
        </w:rPr>
        <w:t>中的监督电话和信箱，反映采购代理机构的廉洁自律等问题。</w:t>
      </w:r>
    </w:p>
    <w:p>
      <w:pPr>
        <w:pStyle w:val="5"/>
        <w:spacing w:before="0" w:after="0" w:line="360" w:lineRule="auto"/>
        <w:rPr>
          <w:rFonts w:hAnsi="宋体" w:cs="宋体"/>
          <w:color w:val="auto"/>
          <w:highlight w:val="none"/>
          <w:u w:val="none"/>
        </w:rPr>
      </w:pPr>
      <w:bookmarkStart w:id="312" w:name="_Toc743"/>
      <w:bookmarkStart w:id="313" w:name="_Toc1770501351"/>
      <w:bookmarkStart w:id="314" w:name="_Toc518923101"/>
      <w:bookmarkStart w:id="315" w:name="_Toc21055"/>
      <w:bookmarkStart w:id="316" w:name="_Toc21992"/>
      <w:bookmarkStart w:id="317" w:name="_Toc30899"/>
      <w:r>
        <w:rPr>
          <w:rFonts w:hint="eastAsia" w:hAnsi="宋体" w:cs="宋体"/>
          <w:color w:val="auto"/>
          <w:highlight w:val="none"/>
          <w:u w:val="none"/>
        </w:rPr>
        <w:t>35.人员回避</w:t>
      </w:r>
      <w:bookmarkEnd w:id="312"/>
      <w:bookmarkEnd w:id="313"/>
      <w:bookmarkEnd w:id="314"/>
      <w:bookmarkEnd w:id="315"/>
      <w:bookmarkEnd w:id="316"/>
      <w:bookmarkEnd w:id="317"/>
    </w:p>
    <w:p>
      <w:pPr>
        <w:spacing w:line="360" w:lineRule="auto"/>
        <w:ind w:left="900" w:hanging="900" w:hangingChars="375"/>
        <w:rPr>
          <w:rFonts w:ascii="宋体" w:hAnsi="宋体" w:cs="宋体"/>
          <w:color w:val="auto"/>
          <w:sz w:val="24"/>
          <w:highlight w:val="none"/>
        </w:rPr>
      </w:pPr>
      <w:r>
        <w:rPr>
          <w:rFonts w:hint="eastAsia" w:ascii="宋体" w:hAnsi="宋体" w:cs="宋体"/>
          <w:color w:val="auto"/>
          <w:sz w:val="24"/>
          <w:highlight w:val="none"/>
        </w:rPr>
        <w:t xml:space="preserve">       投标人认为采购人员及其相关人员有法律法规所列与其他供应商有利害关系的，可以向采购人或采购代理机构书面提出回避申请，并说明理由。</w:t>
      </w:r>
    </w:p>
    <w:p>
      <w:pPr>
        <w:pStyle w:val="5"/>
        <w:spacing w:before="0" w:after="0" w:line="360" w:lineRule="auto"/>
        <w:rPr>
          <w:rFonts w:hAnsi="宋体" w:cs="宋体"/>
          <w:color w:val="auto"/>
          <w:highlight w:val="none"/>
          <w:u w:val="none"/>
        </w:rPr>
      </w:pPr>
      <w:bookmarkStart w:id="318" w:name="_Toc7258"/>
      <w:bookmarkStart w:id="319" w:name="_Toc12494"/>
      <w:bookmarkStart w:id="320" w:name="_Toc14752"/>
      <w:bookmarkStart w:id="321" w:name="_Toc1282793425"/>
      <w:bookmarkStart w:id="322" w:name="_Toc24931"/>
      <w:bookmarkStart w:id="323" w:name="_Toc518923102"/>
      <w:r>
        <w:rPr>
          <w:rFonts w:hint="eastAsia" w:hAnsi="宋体" w:cs="宋体"/>
          <w:color w:val="auto"/>
          <w:highlight w:val="none"/>
          <w:u w:val="none"/>
        </w:rPr>
        <w:t>36.质疑与接收</w:t>
      </w:r>
      <w:bookmarkEnd w:id="318"/>
      <w:bookmarkEnd w:id="319"/>
      <w:bookmarkEnd w:id="320"/>
      <w:bookmarkEnd w:id="321"/>
      <w:bookmarkEnd w:id="322"/>
      <w:bookmarkEnd w:id="323"/>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spacing w:line="360" w:lineRule="auto"/>
        <w:ind w:left="851" w:leftChars="405" w:hanging="1"/>
        <w:rPr>
          <w:rFonts w:ascii="宋体" w:hAnsi="宋体" w:cs="宋体"/>
          <w:color w:val="auto"/>
          <w:sz w:val="24"/>
          <w:highlight w:val="none"/>
        </w:rPr>
      </w:pPr>
      <w:r>
        <w:rPr>
          <w:rFonts w:hint="eastAsia" w:ascii="宋体" w:hAnsi="宋体" w:cs="宋体"/>
          <w:color w:val="auto"/>
          <w:sz w:val="24"/>
          <w:highlight w:val="none"/>
        </w:rPr>
        <w:t>超出法定质疑期的、重复提出的、分次提出的或内容、形式不符合《政府采购质疑和投诉办法》的，质疑供应商将依法承担不利后果。</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36.3  采购代理机构质疑函接收部门、联系电话和通讯地址, 见</w:t>
      </w:r>
      <w:r>
        <w:rPr>
          <w:rFonts w:hint="eastAsia" w:ascii="宋体" w:hAnsi="宋体" w:cs="宋体"/>
          <w:color w:val="auto"/>
          <w:sz w:val="24"/>
          <w:highlight w:val="none"/>
          <w:u w:val="single"/>
        </w:rPr>
        <w:t>投标人须知资料表。</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36.4  质疑的提出：一次提出全部质疑</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36.5  本采购文件中所称质疑及答复，是指参加本次采购活动的供应商对政府采购活动中的采购文件、采购过程和成交结果向采购方提出质疑，采购方答复质疑的行为。</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36.6  供应商认为采购文件、采购过程和成交结果使自己的权益受到损害的，可以在知道或者应知其权益受到损害之日起7个工作日内，以书面形式向采购方提出质疑。供应商应知其权益受到损害之日，是指：</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（一）对可以质疑的采购文件提出质疑的，为收到采购文件之日或者采购文件公告期限届满之日；</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（二）对采购过程提出质疑的，为各采购程序环节结束之日；</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（三）对成交结果提出质疑的，为成交结果公告期限届满之日。</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36.7  对可以质疑的采购文件提出质疑的，质疑人为参与本项目的报价方或潜在报价方。可质疑的文件为采购公告以及采购文件（包括属于其组成部分的澄清、修改、补充文件和评审标准、合同文本等）。</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36.8  对采购过程和成交结果提出质疑的，质疑人为直接参与本项目的报价方。采购过程,即从采购项目信息公告发布起到成交结果公告止，包括采购文件的发出、提交响应文件、响应文件开启、评审等各个采购程序环节。</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36.9  提出质疑应当符合下列条件：</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（一）质疑主体应当符合有关规定；</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（二）在质疑法定期限内提出；</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（三）属于可以提出质疑的政府采购事项受理范围和本项目采购人的管辖权范围；</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（四）政府采购法律、法规、规章规定的其他条件。</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37.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37.1  质疑人所提供的证明材料应当具有真实性、合法性以及与质疑事项的关联性和证明力，否则不能作为认定该质疑事项成立的依据。</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37.2  质疑人提出质疑时应当提交质疑函。质疑函包括下列内容：</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（一）提出质疑的质疑人的名称、地址、邮编、联系人及联系电话等；</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（二）质疑项目的名称、编号；</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（三）质疑事项；</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（四）事实依据和证明材料；</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（五）法律依据；</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（六）提出质疑的日期。</w:t>
      </w:r>
    </w:p>
    <w:p>
      <w:pPr>
        <w:spacing w:line="360" w:lineRule="auto"/>
        <w:ind w:left="861" w:leftChars="410" w:firstLine="12" w:firstLineChars="5"/>
        <w:rPr>
          <w:rFonts w:ascii="宋体" w:hAnsi="宋体" w:cs="宋体"/>
          <w:color w:val="auto"/>
          <w:sz w:val="24"/>
          <w:highlight w:val="none"/>
        </w:rPr>
      </w:pPr>
      <w:r>
        <w:rPr>
          <w:rFonts w:hint="eastAsia" w:ascii="宋体" w:hAnsi="宋体" w:cs="宋体"/>
          <w:color w:val="auto"/>
          <w:sz w:val="24"/>
          <w:highlight w:val="none"/>
        </w:rPr>
        <w:t>质疑函采用实名制。质疑人为自然人的应当由本人签字，并附有效身份证明文件；质疑人为法人或者非法人组织的应当由法定代表人或者负责人签字并加盖公章，并附有效身份证明文件。</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37.3  质疑人可以委托代理人进行质疑。代理人应当提交授权委托书。授权委托书应当载明委托代理的具体权限、期限和相关事项。</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37.4、质疑的审查和受理</w:t>
      </w:r>
    </w:p>
    <w:p>
      <w:pPr>
        <w:spacing w:line="360" w:lineRule="auto"/>
        <w:ind w:left="861" w:leftChars="410" w:firstLine="12" w:firstLineChars="5"/>
        <w:rPr>
          <w:rFonts w:ascii="宋体" w:hAnsi="宋体" w:cs="宋体"/>
          <w:color w:val="auto"/>
          <w:sz w:val="24"/>
          <w:highlight w:val="none"/>
        </w:rPr>
      </w:pPr>
      <w:r>
        <w:rPr>
          <w:rFonts w:hint="eastAsia" w:ascii="宋体" w:hAnsi="宋体" w:cs="宋体"/>
          <w:color w:val="auto"/>
          <w:sz w:val="24"/>
          <w:highlight w:val="none"/>
        </w:rPr>
        <w:t>采购方在收到质疑函后应当及时审查是否符合质疑受理条件，对符合质疑受理条件的，及时予以受理。</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37.5  对不符合质疑受理条件的，分别按照下列不同情形予以处理：</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（一）质疑函内容不符合规定的，告知质疑人进行修改并重新提出质疑。修改后质疑事项仍不具体、不明确或者最终递交质疑函的时间超过质疑法定期限的，不予受理；</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（二）质疑主体不符合有关规定的，告知质疑人不予受理；</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（三）超过质疑法定期限提出质疑的，告知质疑人不予受理；</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（四）对不属于可以提出质疑的政府采购事项提出质疑的，告知质疑人不予受理；</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（五）质疑不属于本项目采购方管辖的，告知质疑人向有管辖权的采购人提出质疑；</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（六）质疑不符合其他条件的，告知质疑人不予受理。</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37.6、质疑的处理和答复</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37.7 采购方受理质疑后，将及时把质疑函发送给被质疑人，并要求其在一定限期人提交书面答复，同时提供有关证据、依据和相关材料。</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37.8  对于质疑事项中涉及的问题较多、情况比较复杂的，为了全面查清事实、取得充分的证据，采购方认为有必要时，可以进行调查取证或者组织质证。</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37.9  对评审过程、成交结果提出质疑的，采购方可以组织原评审委员会协助答复质疑。</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38.   质疑处理过程中，质疑人书面申请撤回质疑的，将终止质疑处理程序。</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38.1  质疑人拒绝配合采购方依法对质疑进行调查处理的，采购方将按质疑人自动撤回质疑处理；被质疑人拒绝配合采购方依法对质疑进行调查处理的，采购方将视同其认可质疑事项。</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38.2  采购方将在正式受理质疑后7个工作日内作出答复，但处理质疑需要进行调查取证、组织专家评审、质疑人及被质疑人提交或补正材料等所需时间，不计算在质疑处理期限内。</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38.3  采购方经调查、论证、核实，认定质疑不能成立的，继续开展采购活动；认定质疑成立的，按照以下情况处理：</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一）对采购文件提出的质疑未对成交结果构成影响的，继续开展采购活动；对成交结果构成影响但依法通过澄清或者修改可以继续开展采购活动的，澄清或者修改采购文件后继续开展采购活动，否则应当修改采购文件后重新开展采购活动。</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二）对采购过程、成交结果提出的质疑未对成交结果构成影响的，继续开展采购活动；对成交结果构成影响但合格报价方仍不少于3家时，依法从合格的成交候选人中另行确定成交报价方，否则将重新开展采购活动。</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38.4 采购方将书面答复质疑，质疑答复包括下列内容：</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（一）质疑人名称；</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（二）收到质疑函的日期、质疑项目名称及编号;</w:t>
      </w:r>
    </w:p>
    <w:p>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(三)  质疑事项、质疑答复的具体内容、事实依据和法律依据；</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（四）告知质疑人依法投诉的权利；</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（五）质疑答复日期。</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38.5 质疑人有下列行为之一的，属于虚假、恶意质疑，将由采购方建议财政部门将其列入不良行为记录名单，禁止其1至3年内参加政府采购活动：</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（一）捏造事实；</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（二）提供虚假材料；</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（三）以非法手段取得证明材料或者无法提供证据的合法来源；</w:t>
      </w:r>
    </w:p>
    <w:p>
      <w:pPr>
        <w:spacing w:line="360" w:lineRule="auto"/>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（四）法律法规规定的其他违法情形。</w:t>
      </w:r>
    </w:p>
    <w:p>
      <w:pPr>
        <w:spacing w:line="360" w:lineRule="auto"/>
        <w:ind w:left="851" w:leftChars="68" w:hanging="708" w:hangingChars="295"/>
        <w:rPr>
          <w:rFonts w:ascii="宋体" w:hAnsi="宋体" w:cs="宋体"/>
          <w:color w:val="auto"/>
          <w:highlight w:val="none"/>
        </w:rPr>
      </w:pPr>
      <w:r>
        <w:rPr>
          <w:rFonts w:hint="eastAsia" w:ascii="宋体" w:hAnsi="宋体" w:cs="宋体"/>
          <w:color w:val="auto"/>
          <w:sz w:val="24"/>
          <w:highlight w:val="none"/>
        </w:rPr>
        <w:br w:type="page"/>
      </w:r>
    </w:p>
    <w:p>
      <w:pPr>
        <w:spacing w:line="240" w:lineRule="atLeast"/>
        <w:ind w:left="861" w:leftChars="410" w:firstLine="2573" w:firstLineChars="801"/>
        <w:rPr>
          <w:rFonts w:ascii="宋体" w:hAnsi="宋体" w:cs="宋体"/>
          <w:color w:val="auto"/>
          <w:sz w:val="32"/>
          <w:szCs w:val="32"/>
          <w:highlight w:val="none"/>
        </w:rPr>
      </w:pPr>
      <w:r>
        <w:rPr>
          <w:rFonts w:hint="eastAsia" w:ascii="宋体" w:hAnsi="宋体" w:cs="宋体"/>
          <w:b/>
          <w:bCs/>
          <w:color w:val="auto"/>
          <w:sz w:val="32"/>
          <w:szCs w:val="32"/>
          <w:highlight w:val="none"/>
        </w:rPr>
        <w:t>质疑函范本</w:t>
      </w:r>
    </w:p>
    <w:p>
      <w:pPr>
        <w:spacing w:line="240" w:lineRule="atLeast"/>
        <w:ind w:left="851" w:leftChars="68" w:hanging="708" w:hangingChars="295"/>
        <w:rPr>
          <w:rFonts w:ascii="宋体" w:hAnsi="宋体" w:cs="宋体"/>
          <w:color w:val="auto"/>
          <w:sz w:val="24"/>
          <w:highlight w:val="none"/>
        </w:rPr>
      </w:pPr>
    </w:p>
    <w:p>
      <w:pPr>
        <w:spacing w:line="240" w:lineRule="atLeast"/>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一、质疑供应商基本信息</w:t>
      </w:r>
    </w:p>
    <w:p>
      <w:pPr>
        <w:spacing w:line="240" w:lineRule="atLeast"/>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质疑供应商：</w:t>
      </w:r>
    </w:p>
    <w:p>
      <w:pPr>
        <w:spacing w:line="240" w:lineRule="atLeast"/>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地址：邮编：</w:t>
      </w:r>
    </w:p>
    <w:p>
      <w:pPr>
        <w:spacing w:line="240" w:lineRule="atLeast"/>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联系人：联系电话：</w:t>
      </w:r>
    </w:p>
    <w:p>
      <w:pPr>
        <w:spacing w:line="240" w:lineRule="atLeast"/>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授权代表：</w:t>
      </w:r>
    </w:p>
    <w:p>
      <w:pPr>
        <w:spacing w:line="240" w:lineRule="atLeast"/>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联系电话：</w:t>
      </w:r>
    </w:p>
    <w:p>
      <w:pPr>
        <w:spacing w:line="240" w:lineRule="atLeast"/>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地址： 邮编：</w:t>
      </w:r>
    </w:p>
    <w:p>
      <w:pPr>
        <w:spacing w:line="240" w:lineRule="atLeast"/>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二、质疑项目基本情况</w:t>
      </w:r>
    </w:p>
    <w:p>
      <w:pPr>
        <w:spacing w:line="240" w:lineRule="atLeast"/>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质疑项目的名称：</w:t>
      </w:r>
    </w:p>
    <w:p>
      <w:pPr>
        <w:spacing w:line="240" w:lineRule="atLeast"/>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质疑项目的编号：包号：</w:t>
      </w:r>
    </w:p>
    <w:p>
      <w:pPr>
        <w:spacing w:line="240" w:lineRule="atLeast"/>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采购人名称：</w:t>
      </w:r>
    </w:p>
    <w:p>
      <w:pPr>
        <w:spacing w:line="240" w:lineRule="atLeast"/>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采购文件获取日期：</w:t>
      </w:r>
    </w:p>
    <w:p>
      <w:pPr>
        <w:spacing w:line="240" w:lineRule="atLeast"/>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三、质疑事项具体内容</w:t>
      </w:r>
    </w:p>
    <w:p>
      <w:pPr>
        <w:spacing w:line="240" w:lineRule="atLeast"/>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质疑事项1：</w:t>
      </w:r>
    </w:p>
    <w:p>
      <w:pPr>
        <w:spacing w:line="240" w:lineRule="atLeast"/>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事实依据：</w:t>
      </w:r>
    </w:p>
    <w:p>
      <w:pPr>
        <w:spacing w:line="240" w:lineRule="atLeast"/>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法律依据：</w:t>
      </w:r>
    </w:p>
    <w:p>
      <w:pPr>
        <w:spacing w:line="240" w:lineRule="atLeast"/>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质疑事项2</w:t>
      </w:r>
    </w:p>
    <w:p>
      <w:pPr>
        <w:spacing w:line="240" w:lineRule="atLeast"/>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w:t>
      </w:r>
    </w:p>
    <w:p>
      <w:pPr>
        <w:spacing w:line="240" w:lineRule="atLeast"/>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四、与质疑事项相关的质疑请求</w:t>
      </w:r>
    </w:p>
    <w:p>
      <w:pPr>
        <w:spacing w:line="240" w:lineRule="atLeast"/>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请求：</w:t>
      </w:r>
    </w:p>
    <w:p>
      <w:pPr>
        <w:spacing w:line="240" w:lineRule="atLeast"/>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 xml:space="preserve">签字(签章)：                   公章：                      </w:t>
      </w:r>
    </w:p>
    <w:p>
      <w:pPr>
        <w:spacing w:line="240" w:lineRule="atLeast"/>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 xml:space="preserve">日期：    </w:t>
      </w:r>
    </w:p>
    <w:p>
      <w:pPr>
        <w:spacing w:line="240" w:lineRule="atLeast"/>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质疑函制作说明：</w:t>
      </w:r>
    </w:p>
    <w:p>
      <w:pPr>
        <w:spacing w:line="240" w:lineRule="atLeast"/>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pPr>
        <w:spacing w:line="240" w:lineRule="atLeast"/>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240" w:lineRule="atLeast"/>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pPr>
        <w:spacing w:line="240" w:lineRule="atLeast"/>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pPr>
        <w:spacing w:line="240" w:lineRule="atLeast"/>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pPr>
        <w:spacing w:line="240" w:lineRule="atLeast"/>
        <w:ind w:left="851" w:leftChars="68" w:hanging="708" w:hangingChars="295"/>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pPr>
        <w:pStyle w:val="4"/>
        <w:spacing w:before="0" w:line="400" w:lineRule="atLeast"/>
        <w:jc w:val="both"/>
        <w:rPr>
          <w:rFonts w:ascii="宋体" w:hAnsi="宋体" w:eastAsia="宋体" w:cs="宋体"/>
          <w:color w:val="auto"/>
          <w:szCs w:val="24"/>
          <w:highlight w:val="none"/>
        </w:rPr>
      </w:pPr>
      <w:r>
        <w:rPr>
          <w:rFonts w:hint="eastAsia" w:ascii="宋体" w:hAnsi="宋体" w:eastAsia="宋体" w:cs="宋体"/>
          <w:color w:val="auto"/>
          <w:highlight w:val="none"/>
        </w:rPr>
        <w:br w:type="page"/>
      </w:r>
      <w:bookmarkStart w:id="324" w:name="_Toc16206"/>
      <w:bookmarkStart w:id="325" w:name="_Toc518923103"/>
      <w:bookmarkStart w:id="326" w:name="_Toc28552"/>
      <w:bookmarkStart w:id="327" w:name="_Toc23883"/>
      <w:bookmarkStart w:id="328" w:name="_Toc1320761742"/>
      <w:bookmarkStart w:id="329" w:name="_Toc10881"/>
      <w:r>
        <w:rPr>
          <w:rFonts w:hint="eastAsia" w:ascii="宋体" w:hAnsi="宋体" w:eastAsia="宋体" w:cs="宋体"/>
          <w:color w:val="auto"/>
          <w:szCs w:val="24"/>
          <w:highlight w:val="none"/>
        </w:rPr>
        <w:t>附件1：履约保证金保函（格式）</w:t>
      </w:r>
      <w:bookmarkEnd w:id="324"/>
      <w:bookmarkEnd w:id="325"/>
      <w:bookmarkEnd w:id="326"/>
      <w:bookmarkEnd w:id="327"/>
      <w:bookmarkEnd w:id="328"/>
      <w:bookmarkEnd w:id="329"/>
    </w:p>
    <w:p>
      <w:pPr>
        <w:pStyle w:val="26"/>
        <w:spacing w:line="400" w:lineRule="atLeast"/>
        <w:ind w:left="1080" w:leftChars="257" w:hanging="540"/>
        <w:rPr>
          <w:rFonts w:hAnsi="宋体" w:cs="宋体"/>
          <w:b/>
          <w:color w:val="auto"/>
          <w:sz w:val="24"/>
          <w:highlight w:val="none"/>
        </w:rPr>
      </w:pPr>
      <w:r>
        <w:rPr>
          <w:rFonts w:hint="eastAsia" w:hAnsi="宋体" w:cs="宋体"/>
          <w:b/>
          <w:color w:val="auto"/>
          <w:sz w:val="24"/>
          <w:highlight w:val="none"/>
        </w:rPr>
        <w:t xml:space="preserve">                         （中标后开具）</w:t>
      </w:r>
    </w:p>
    <w:p>
      <w:pPr>
        <w:pStyle w:val="26"/>
        <w:spacing w:line="400" w:lineRule="atLeast"/>
        <w:ind w:left="1080" w:leftChars="257" w:hanging="540"/>
        <w:rPr>
          <w:rFonts w:hAnsi="宋体" w:cs="宋体"/>
          <w:b/>
          <w:color w:val="auto"/>
          <w:sz w:val="24"/>
          <w:highlight w:val="none"/>
        </w:rPr>
      </w:pPr>
    </w:p>
    <w:p>
      <w:pPr>
        <w:pStyle w:val="26"/>
        <w:spacing w:line="400" w:lineRule="atLeast"/>
        <w:rPr>
          <w:rFonts w:hAnsi="宋体" w:cs="宋体"/>
          <w:color w:val="auto"/>
          <w:sz w:val="24"/>
          <w:highlight w:val="none"/>
        </w:rPr>
      </w:pPr>
      <w:r>
        <w:rPr>
          <w:rFonts w:hint="eastAsia" w:hAnsi="宋体" w:cs="宋体"/>
          <w:color w:val="auto"/>
          <w:sz w:val="24"/>
          <w:highlight w:val="none"/>
        </w:rPr>
        <w:t>致: (</w:t>
      </w:r>
      <w:r>
        <w:rPr>
          <w:rFonts w:hint="eastAsia" w:hAnsi="宋体" w:cs="宋体"/>
          <w:i/>
          <w:color w:val="auto"/>
          <w:sz w:val="24"/>
          <w:highlight w:val="none"/>
          <w:u w:val="single"/>
        </w:rPr>
        <w:t>买方名称</w:t>
      </w:r>
      <w:r>
        <w:rPr>
          <w:rFonts w:hint="eastAsia" w:hAnsi="宋体" w:cs="宋体"/>
          <w:color w:val="auto"/>
          <w:sz w:val="24"/>
          <w:highlight w:val="none"/>
        </w:rPr>
        <w:t>)</w:t>
      </w:r>
    </w:p>
    <w:p>
      <w:pPr>
        <w:pStyle w:val="26"/>
        <w:spacing w:line="400" w:lineRule="atLeast"/>
        <w:ind w:left="1080" w:leftChars="257" w:hanging="540"/>
        <w:jc w:val="center"/>
        <w:rPr>
          <w:rFonts w:hAnsi="宋体" w:cs="宋体"/>
          <w:color w:val="auto"/>
          <w:sz w:val="24"/>
          <w:highlight w:val="none"/>
        </w:rPr>
      </w:pPr>
      <w:r>
        <w:rPr>
          <w:rFonts w:hint="eastAsia" w:hAnsi="宋体" w:cs="宋体"/>
          <w:color w:val="auto"/>
          <w:sz w:val="24"/>
          <w:highlight w:val="none"/>
          <w:u w:val="single"/>
        </w:rPr>
        <w:t xml:space="preserve">             </w:t>
      </w:r>
      <w:r>
        <w:rPr>
          <w:rFonts w:hint="eastAsia" w:hAnsi="宋体" w:cs="宋体"/>
          <w:color w:val="auto"/>
          <w:sz w:val="24"/>
          <w:highlight w:val="none"/>
        </w:rPr>
        <w:t>号合同履约保函</w:t>
      </w:r>
    </w:p>
    <w:p>
      <w:pPr>
        <w:pStyle w:val="26"/>
        <w:spacing w:line="400" w:lineRule="atLeast"/>
        <w:ind w:left="1080" w:leftChars="257" w:hanging="540"/>
        <w:jc w:val="center"/>
        <w:rPr>
          <w:rFonts w:hAnsi="宋体" w:cs="宋体"/>
          <w:color w:val="auto"/>
          <w:sz w:val="24"/>
          <w:highlight w:val="none"/>
        </w:rPr>
      </w:pPr>
    </w:p>
    <w:p>
      <w:pPr>
        <w:pStyle w:val="26"/>
        <w:spacing w:line="400" w:lineRule="atLeast"/>
        <w:ind w:firstLine="600" w:firstLineChars="250"/>
        <w:rPr>
          <w:rFonts w:hAnsi="宋体" w:cs="宋体"/>
          <w:color w:val="auto"/>
          <w:sz w:val="24"/>
          <w:highlight w:val="none"/>
        </w:rPr>
      </w:pPr>
      <w:r>
        <w:rPr>
          <w:rFonts w:hint="eastAsia" w:hAnsi="宋体" w:cs="宋体"/>
          <w:color w:val="auto"/>
          <w:sz w:val="24"/>
          <w:highlight w:val="none"/>
        </w:rPr>
        <w:t>本保函作为贵方与(</w:t>
      </w:r>
      <w:r>
        <w:rPr>
          <w:rFonts w:hint="eastAsia" w:hAnsi="宋体" w:cs="宋体"/>
          <w:i/>
          <w:color w:val="auto"/>
          <w:sz w:val="24"/>
          <w:highlight w:val="none"/>
          <w:u w:val="single"/>
        </w:rPr>
        <w:t>卖方名称</w:t>
      </w:r>
      <w:r>
        <w:rPr>
          <w:rFonts w:hint="eastAsia" w:hAnsi="宋体" w:cs="宋体"/>
          <w:color w:val="auto"/>
          <w:sz w:val="24"/>
          <w:highlight w:val="none"/>
        </w:rPr>
        <w:t>)(以下简称卖方)于</w:t>
      </w:r>
      <w:r>
        <w:rPr>
          <w:rFonts w:hint="eastAsia" w:hAnsi="宋体" w:cs="宋体"/>
          <w:color w:val="auto"/>
          <w:sz w:val="24"/>
          <w:highlight w:val="none"/>
          <w:u w:val="single"/>
        </w:rPr>
        <w:t xml:space="preserve">     </w:t>
      </w:r>
      <w:r>
        <w:rPr>
          <w:rFonts w:hint="eastAsia" w:hAnsi="宋体" w:cs="宋体"/>
          <w:color w:val="auto"/>
          <w:sz w:val="24"/>
          <w:highlight w:val="none"/>
        </w:rPr>
        <w:t>年</w:t>
      </w:r>
      <w:r>
        <w:rPr>
          <w:rFonts w:hint="eastAsia" w:hAnsi="宋体" w:cs="宋体"/>
          <w:color w:val="auto"/>
          <w:sz w:val="24"/>
          <w:highlight w:val="none"/>
          <w:u w:val="single"/>
        </w:rPr>
        <w:t xml:space="preserve">     </w:t>
      </w:r>
      <w:r>
        <w:rPr>
          <w:rFonts w:hint="eastAsia" w:hAnsi="宋体" w:cs="宋体"/>
          <w:color w:val="auto"/>
          <w:sz w:val="24"/>
          <w:highlight w:val="none"/>
        </w:rPr>
        <w:t>月</w:t>
      </w:r>
      <w:r>
        <w:rPr>
          <w:rFonts w:hint="eastAsia" w:hAnsi="宋体" w:cs="宋体"/>
          <w:color w:val="auto"/>
          <w:sz w:val="24"/>
          <w:highlight w:val="none"/>
          <w:u w:val="single"/>
        </w:rPr>
        <w:t xml:space="preserve">     </w:t>
      </w:r>
      <w:r>
        <w:rPr>
          <w:rFonts w:hint="eastAsia" w:hAnsi="宋体" w:cs="宋体"/>
          <w:color w:val="auto"/>
          <w:sz w:val="24"/>
          <w:highlight w:val="none"/>
        </w:rPr>
        <w:t>日就</w:t>
      </w:r>
      <w:r>
        <w:rPr>
          <w:rFonts w:hint="eastAsia" w:hAnsi="宋体" w:cs="宋体"/>
          <w:color w:val="auto"/>
          <w:sz w:val="24"/>
          <w:highlight w:val="none"/>
          <w:u w:val="single"/>
        </w:rPr>
        <w:t xml:space="preserve">                  </w:t>
      </w:r>
      <w:r>
        <w:rPr>
          <w:rFonts w:hint="eastAsia" w:hAnsi="宋体" w:cs="宋体"/>
          <w:color w:val="auto"/>
          <w:sz w:val="24"/>
          <w:highlight w:val="none"/>
        </w:rPr>
        <w:t>项目(以下简称项目)项下提供(</w:t>
      </w:r>
      <w:r>
        <w:rPr>
          <w:rFonts w:hint="eastAsia" w:hAnsi="宋体" w:cs="宋体"/>
          <w:i/>
          <w:color w:val="auto"/>
          <w:sz w:val="24"/>
          <w:highlight w:val="none"/>
          <w:u w:val="single"/>
        </w:rPr>
        <w:t>服务名称</w:t>
      </w:r>
      <w:r>
        <w:rPr>
          <w:rFonts w:hint="eastAsia" w:hAnsi="宋体" w:cs="宋体"/>
          <w:color w:val="auto"/>
          <w:sz w:val="24"/>
          <w:highlight w:val="none"/>
        </w:rPr>
        <w:t>)(以下简称服务)签订的(</w:t>
      </w:r>
      <w:r>
        <w:rPr>
          <w:rFonts w:hint="eastAsia" w:hAnsi="宋体" w:cs="宋体"/>
          <w:i/>
          <w:color w:val="auto"/>
          <w:sz w:val="24"/>
          <w:highlight w:val="none"/>
          <w:u w:val="single"/>
        </w:rPr>
        <w:t>合同号</w:t>
      </w:r>
      <w:r>
        <w:rPr>
          <w:rFonts w:hint="eastAsia" w:hAnsi="宋体" w:cs="宋体"/>
          <w:color w:val="auto"/>
          <w:sz w:val="24"/>
          <w:highlight w:val="none"/>
        </w:rPr>
        <w:t>)号合同的履约保函。</w:t>
      </w:r>
    </w:p>
    <w:p>
      <w:pPr>
        <w:pStyle w:val="26"/>
        <w:spacing w:line="400" w:lineRule="atLeast"/>
        <w:ind w:firstLine="540" w:firstLineChars="225"/>
        <w:rPr>
          <w:rFonts w:hAnsi="宋体" w:cs="宋体"/>
          <w:color w:val="auto"/>
          <w:sz w:val="24"/>
          <w:highlight w:val="none"/>
        </w:rPr>
      </w:pPr>
      <w:r>
        <w:rPr>
          <w:rFonts w:hint="eastAsia" w:hAnsi="宋体" w:cs="宋体"/>
          <w:color w:val="auto"/>
          <w:sz w:val="24"/>
          <w:highlight w:val="none"/>
        </w:rPr>
        <w:t>(</w:t>
      </w:r>
      <w:r>
        <w:rPr>
          <w:rFonts w:hint="eastAsia" w:hAnsi="宋体" w:cs="宋体"/>
          <w:i/>
          <w:color w:val="auto"/>
          <w:sz w:val="24"/>
          <w:highlight w:val="none"/>
          <w:u w:val="single"/>
        </w:rPr>
        <w:t>出具保函的银行名称</w:t>
      </w:r>
      <w:r>
        <w:rPr>
          <w:rFonts w:hint="eastAsia" w:hAnsi="宋体" w:cs="宋体"/>
          <w:color w:val="auto"/>
          <w:sz w:val="24"/>
          <w:highlight w:val="none"/>
        </w:rPr>
        <w:t>)(以下简称银行)无条件地、不可撤销地具结保证本行、其继承人和受让人无追索地向贵方以(</w:t>
      </w:r>
      <w:r>
        <w:rPr>
          <w:rFonts w:hint="eastAsia" w:hAnsi="宋体" w:cs="宋体"/>
          <w:i/>
          <w:color w:val="auto"/>
          <w:sz w:val="24"/>
          <w:highlight w:val="none"/>
          <w:u w:val="single"/>
        </w:rPr>
        <w:t>货币名称</w:t>
      </w:r>
      <w:r>
        <w:rPr>
          <w:rFonts w:hint="eastAsia" w:hAnsi="宋体" w:cs="宋体"/>
          <w:color w:val="auto"/>
          <w:sz w:val="24"/>
          <w:highlight w:val="none"/>
        </w:rPr>
        <w:t>)支付总额不超过(</w:t>
      </w:r>
      <w:r>
        <w:rPr>
          <w:rFonts w:hint="eastAsia" w:hAnsi="宋体" w:cs="宋体"/>
          <w:i/>
          <w:color w:val="auto"/>
          <w:sz w:val="24"/>
          <w:highlight w:val="none"/>
          <w:u w:val="single"/>
        </w:rPr>
        <w:t>货币数量</w:t>
      </w:r>
      <w:r>
        <w:rPr>
          <w:rFonts w:hint="eastAsia" w:hAnsi="宋体" w:cs="宋体"/>
          <w:color w:val="auto"/>
          <w:sz w:val="24"/>
          <w:highlight w:val="none"/>
        </w:rPr>
        <w:t>),即相当于合同价格的</w:t>
      </w:r>
      <w:r>
        <w:rPr>
          <w:rFonts w:hint="eastAsia" w:hAnsi="宋体" w:cs="宋体"/>
          <w:color w:val="auto"/>
          <w:sz w:val="24"/>
          <w:highlight w:val="none"/>
          <w:u w:val="single"/>
        </w:rPr>
        <w:t xml:space="preserve">     </w:t>
      </w:r>
      <w:r>
        <w:rPr>
          <w:rFonts w:hint="eastAsia" w:hAnsi="宋体" w:cs="宋体"/>
          <w:color w:val="auto"/>
          <w:sz w:val="24"/>
          <w:highlight w:val="none"/>
        </w:rPr>
        <w:t>%,并以此约定如下:</w:t>
      </w:r>
    </w:p>
    <w:p>
      <w:pPr>
        <w:pStyle w:val="26"/>
        <w:spacing w:line="400" w:lineRule="atLeast"/>
        <w:ind w:left="540" w:leftChars="257"/>
        <w:rPr>
          <w:rFonts w:hAnsi="宋体" w:cs="宋体"/>
          <w:color w:val="auto"/>
          <w:sz w:val="24"/>
          <w:highlight w:val="none"/>
        </w:rPr>
      </w:pPr>
      <w:r>
        <w:rPr>
          <w:rFonts w:hint="eastAsia" w:hAnsi="宋体" w:cs="宋体"/>
          <w:color w:val="auto"/>
          <w:sz w:val="24"/>
          <w:highlight w:val="none"/>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26"/>
        <w:spacing w:line="400" w:lineRule="atLeast"/>
        <w:ind w:left="540"/>
        <w:rPr>
          <w:rFonts w:hAnsi="宋体" w:cs="宋体"/>
          <w:color w:val="auto"/>
          <w:sz w:val="24"/>
          <w:highlight w:val="none"/>
        </w:rPr>
      </w:pPr>
      <w:r>
        <w:rPr>
          <w:rFonts w:hint="eastAsia" w:hAnsi="宋体" w:cs="宋体"/>
          <w:color w:val="auto"/>
          <w:sz w:val="24"/>
          <w:highlight w:val="none"/>
        </w:rPr>
        <w:t>2.本保函项下的任何支付应为免税和净值。对于现有或将来的税收、关税、收费、费用扣减或预提税款，不论这些款项是何种性质和由谁征收，都不应从本保函项下的支付中扣除。</w:t>
      </w:r>
    </w:p>
    <w:p>
      <w:pPr>
        <w:pStyle w:val="26"/>
        <w:spacing w:line="400" w:lineRule="atLeast"/>
        <w:ind w:left="540"/>
        <w:rPr>
          <w:rFonts w:hAnsi="宋体" w:cs="宋体"/>
          <w:color w:val="auto"/>
          <w:sz w:val="24"/>
          <w:highlight w:val="none"/>
        </w:rPr>
      </w:pPr>
      <w:r>
        <w:rPr>
          <w:rFonts w:hint="eastAsia" w:hAnsi="宋体" w:cs="宋体"/>
          <w:color w:val="auto"/>
          <w:sz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26"/>
        <w:spacing w:line="400" w:lineRule="atLeast"/>
        <w:ind w:left="1080" w:leftChars="257" w:hanging="540"/>
        <w:rPr>
          <w:rFonts w:hAnsi="宋体" w:cs="宋体"/>
          <w:color w:val="auto"/>
          <w:sz w:val="24"/>
          <w:highlight w:val="none"/>
        </w:rPr>
      </w:pPr>
      <w:r>
        <w:rPr>
          <w:rFonts w:hint="eastAsia" w:hAnsi="宋体" w:cs="宋体"/>
          <w:color w:val="auto"/>
          <w:sz w:val="24"/>
          <w:highlight w:val="none"/>
        </w:rPr>
        <w:t>4.本保函在本合同规定的保证期期满前完全有效。</w:t>
      </w:r>
    </w:p>
    <w:p>
      <w:pPr>
        <w:pStyle w:val="26"/>
        <w:spacing w:line="400" w:lineRule="atLeast"/>
        <w:ind w:left="1080" w:leftChars="257" w:hanging="540"/>
        <w:rPr>
          <w:rFonts w:hAnsi="宋体" w:cs="宋体"/>
          <w:color w:val="auto"/>
          <w:sz w:val="24"/>
          <w:highlight w:val="none"/>
        </w:rPr>
      </w:pPr>
    </w:p>
    <w:p>
      <w:pPr>
        <w:pStyle w:val="26"/>
        <w:spacing w:line="400" w:lineRule="atLeast"/>
        <w:ind w:left="1080" w:leftChars="257" w:hanging="540"/>
        <w:rPr>
          <w:rFonts w:hAnsi="宋体" w:cs="宋体"/>
          <w:color w:val="auto"/>
          <w:sz w:val="24"/>
          <w:highlight w:val="none"/>
        </w:rPr>
      </w:pPr>
      <w:r>
        <w:rPr>
          <w:rFonts w:hint="eastAsia" w:hAnsi="宋体" w:cs="宋体"/>
          <w:color w:val="auto"/>
          <w:sz w:val="24"/>
          <w:highlight w:val="none"/>
        </w:rPr>
        <w:t>谨启</w:t>
      </w:r>
    </w:p>
    <w:p>
      <w:pPr>
        <w:pStyle w:val="26"/>
        <w:spacing w:line="400" w:lineRule="atLeast"/>
        <w:ind w:left="1080" w:leftChars="257" w:hanging="540"/>
        <w:rPr>
          <w:rFonts w:hAnsi="宋体" w:cs="宋体"/>
          <w:color w:val="auto"/>
          <w:sz w:val="24"/>
          <w:highlight w:val="none"/>
        </w:rPr>
      </w:pPr>
      <w:r>
        <w:rPr>
          <w:rFonts w:hint="eastAsia" w:hAnsi="宋体" w:cs="宋体"/>
          <w:color w:val="auto"/>
          <w:sz w:val="24"/>
          <w:highlight w:val="none"/>
        </w:rPr>
        <w:t>出具保函银行名称：</w:t>
      </w:r>
      <w:r>
        <w:rPr>
          <w:rFonts w:hint="eastAsia" w:hAnsi="宋体" w:cs="宋体"/>
          <w:color w:val="auto"/>
          <w:sz w:val="24"/>
          <w:highlight w:val="none"/>
          <w:u w:val="single"/>
        </w:rPr>
        <w:t xml:space="preserve">                             </w:t>
      </w:r>
    </w:p>
    <w:p>
      <w:pPr>
        <w:pStyle w:val="26"/>
        <w:spacing w:line="400" w:lineRule="atLeast"/>
        <w:ind w:left="1080" w:leftChars="257" w:hanging="540"/>
        <w:rPr>
          <w:rFonts w:hAnsi="宋体" w:cs="宋体"/>
          <w:color w:val="auto"/>
          <w:sz w:val="24"/>
          <w:highlight w:val="none"/>
          <w:u w:val="single"/>
        </w:rPr>
      </w:pPr>
      <w:r>
        <w:rPr>
          <w:rFonts w:hint="eastAsia" w:hAnsi="宋体" w:cs="宋体"/>
          <w:color w:val="auto"/>
          <w:sz w:val="24"/>
          <w:highlight w:val="none"/>
        </w:rPr>
        <w:t>签字人姓名和职务：</w:t>
      </w:r>
      <w:r>
        <w:rPr>
          <w:rFonts w:hint="eastAsia" w:hAnsi="宋体" w:cs="宋体"/>
          <w:color w:val="auto"/>
          <w:sz w:val="24"/>
          <w:highlight w:val="none"/>
          <w:u w:val="single"/>
        </w:rPr>
        <w:t xml:space="preserve">                             </w:t>
      </w:r>
    </w:p>
    <w:p>
      <w:pPr>
        <w:pStyle w:val="26"/>
        <w:spacing w:line="400" w:lineRule="atLeast"/>
        <w:ind w:left="1080" w:leftChars="257" w:hanging="540"/>
        <w:rPr>
          <w:rFonts w:hAnsi="宋体" w:cs="宋体"/>
          <w:color w:val="auto"/>
          <w:sz w:val="24"/>
          <w:highlight w:val="none"/>
        </w:rPr>
      </w:pPr>
      <w:r>
        <w:rPr>
          <w:rFonts w:hint="eastAsia" w:hAnsi="宋体" w:cs="宋体"/>
          <w:color w:val="auto"/>
          <w:sz w:val="24"/>
          <w:highlight w:val="none"/>
        </w:rPr>
        <w:t>签字人签名：</w:t>
      </w:r>
      <w:r>
        <w:rPr>
          <w:rFonts w:hint="eastAsia" w:hAnsi="宋体" w:cs="宋体"/>
          <w:color w:val="auto"/>
          <w:sz w:val="24"/>
          <w:highlight w:val="none"/>
          <w:u w:val="single"/>
        </w:rPr>
        <w:t xml:space="preserve">                                   </w:t>
      </w:r>
    </w:p>
    <w:p>
      <w:pPr>
        <w:pStyle w:val="26"/>
        <w:spacing w:line="400" w:lineRule="atLeast"/>
        <w:ind w:left="1080" w:leftChars="257" w:hanging="540"/>
        <w:rPr>
          <w:rFonts w:hAnsi="宋体" w:cs="宋体"/>
          <w:color w:val="auto"/>
          <w:sz w:val="24"/>
          <w:highlight w:val="none"/>
          <w:u w:val="single"/>
        </w:rPr>
      </w:pPr>
      <w:r>
        <w:rPr>
          <w:rFonts w:hint="eastAsia" w:hAnsi="宋体" w:cs="宋体"/>
          <w:color w:val="auto"/>
          <w:sz w:val="24"/>
          <w:highlight w:val="none"/>
        </w:rPr>
        <w:t>公章：</w:t>
      </w:r>
      <w:r>
        <w:rPr>
          <w:rFonts w:hint="eastAsia" w:hAnsi="宋体" w:cs="宋体"/>
          <w:color w:val="auto"/>
          <w:sz w:val="24"/>
          <w:highlight w:val="none"/>
          <w:u w:val="single"/>
        </w:rPr>
        <w:t xml:space="preserve">                                         </w:t>
      </w:r>
    </w:p>
    <w:p>
      <w:pPr>
        <w:pStyle w:val="4"/>
        <w:spacing w:before="0" w:line="400" w:lineRule="atLeast"/>
        <w:ind w:left="1080" w:leftChars="257" w:hanging="540"/>
        <w:rPr>
          <w:rFonts w:ascii="宋体" w:hAnsi="宋体" w:eastAsia="宋体" w:cs="宋体"/>
          <w:color w:val="auto"/>
          <w:szCs w:val="24"/>
          <w:highlight w:val="none"/>
        </w:rPr>
      </w:pPr>
      <w:r>
        <w:rPr>
          <w:rFonts w:hint="eastAsia" w:ascii="宋体" w:hAnsi="宋体" w:eastAsia="宋体" w:cs="宋体"/>
          <w:color w:val="auto"/>
          <w:highlight w:val="none"/>
        </w:rPr>
        <w:br w:type="page"/>
      </w:r>
      <w:bookmarkStart w:id="330" w:name="_Toc27788"/>
      <w:bookmarkStart w:id="331" w:name="_Toc6418"/>
      <w:bookmarkStart w:id="332" w:name="_Toc18040"/>
      <w:bookmarkStart w:id="333" w:name="_Toc518923104"/>
      <w:bookmarkStart w:id="334" w:name="_Toc24453"/>
      <w:bookmarkStart w:id="335" w:name="_Toc1651622402"/>
      <w:r>
        <w:rPr>
          <w:rFonts w:hint="eastAsia" w:ascii="宋体" w:hAnsi="宋体" w:eastAsia="宋体" w:cs="宋体"/>
          <w:color w:val="auto"/>
          <w:szCs w:val="24"/>
          <w:highlight w:val="none"/>
        </w:rPr>
        <w:t>附件2：履约担保函格式</w:t>
      </w:r>
      <w:bookmarkEnd w:id="330"/>
      <w:bookmarkEnd w:id="331"/>
      <w:bookmarkEnd w:id="332"/>
      <w:bookmarkEnd w:id="333"/>
      <w:bookmarkEnd w:id="334"/>
      <w:bookmarkEnd w:id="335"/>
    </w:p>
    <w:p>
      <w:pPr>
        <w:pStyle w:val="4"/>
        <w:spacing w:before="0" w:line="360" w:lineRule="auto"/>
        <w:ind w:left="1080" w:leftChars="257" w:hanging="540"/>
        <w:rPr>
          <w:rFonts w:ascii="宋体" w:hAnsi="宋体" w:eastAsia="宋体" w:cs="宋体"/>
          <w:color w:val="auto"/>
          <w:sz w:val="24"/>
          <w:highlight w:val="none"/>
        </w:rPr>
      </w:pPr>
      <w:bookmarkStart w:id="336" w:name="_Toc515904842"/>
      <w:bookmarkStart w:id="337" w:name="_Toc765"/>
      <w:bookmarkStart w:id="338" w:name="_Toc24541"/>
      <w:bookmarkStart w:id="339" w:name="_Toc518923105"/>
      <w:bookmarkStart w:id="340" w:name="_Toc444089292"/>
      <w:bookmarkStart w:id="341" w:name="_Toc13619"/>
      <w:bookmarkStart w:id="342" w:name="_Toc30995"/>
      <w:r>
        <w:rPr>
          <w:rFonts w:hint="eastAsia" w:ascii="宋体" w:hAnsi="宋体" w:eastAsia="宋体" w:cs="宋体"/>
          <w:color w:val="auto"/>
          <w:szCs w:val="24"/>
          <w:highlight w:val="none"/>
        </w:rPr>
        <w:t>（采用政府采购信用担保形式时使用）</w:t>
      </w:r>
      <w:bookmarkEnd w:id="336"/>
      <w:bookmarkEnd w:id="337"/>
      <w:bookmarkEnd w:id="338"/>
      <w:bookmarkEnd w:id="339"/>
      <w:bookmarkEnd w:id="340"/>
      <w:bookmarkEnd w:id="341"/>
      <w:bookmarkEnd w:id="342"/>
    </w:p>
    <w:p>
      <w:pPr>
        <w:spacing w:line="240" w:lineRule="atLeast"/>
        <w:jc w:val="center"/>
        <w:rPr>
          <w:rFonts w:ascii="宋体" w:hAnsi="宋体" w:cs="宋体"/>
          <w:color w:val="auto"/>
          <w:sz w:val="24"/>
          <w:highlight w:val="none"/>
        </w:rPr>
      </w:pPr>
      <w:r>
        <w:rPr>
          <w:rFonts w:hint="eastAsia" w:ascii="宋体" w:hAnsi="宋体" w:cs="宋体"/>
          <w:color w:val="auto"/>
          <w:sz w:val="24"/>
          <w:highlight w:val="none"/>
        </w:rPr>
        <w:t>政府采购履约担保函（项目用）</w:t>
      </w:r>
    </w:p>
    <w:p>
      <w:pPr>
        <w:spacing w:line="240" w:lineRule="atLeast"/>
        <w:rPr>
          <w:rFonts w:ascii="宋体" w:hAnsi="宋体" w:cs="宋体"/>
          <w:color w:val="auto"/>
          <w:sz w:val="24"/>
          <w:highlight w:val="none"/>
        </w:rPr>
      </w:pPr>
      <w:r>
        <w:rPr>
          <w:rFonts w:hint="eastAsia" w:ascii="宋体" w:hAnsi="宋体" w:cs="宋体"/>
          <w:color w:val="auto"/>
          <w:sz w:val="24"/>
          <w:highlight w:val="none"/>
        </w:rPr>
        <w:t xml:space="preserve">                                                 编号：</w:t>
      </w:r>
    </w:p>
    <w:p>
      <w:pPr>
        <w:spacing w:line="240" w:lineRule="atLeast"/>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（采购人）：</w:t>
      </w:r>
    </w:p>
    <w:p>
      <w:pPr>
        <w:spacing w:line="24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鉴于你方与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（以下简称供应商）于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日签定编号为   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政府采购合同》（以下简称主合同），且依据该合同的约定，供应商应在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p>
    <w:p>
      <w:pPr>
        <w:spacing w:line="240" w:lineRule="atLeast"/>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日前向你方交纳履约保证金，且可以履约担保函的形式交纳履约保证金。应供应商的申请，我方以保证的方式向你方提供如下履约保证金担保：</w:t>
      </w:r>
    </w:p>
    <w:p>
      <w:pPr>
        <w:spacing w:line="24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一、保证责任的情形及保证金额</w:t>
      </w:r>
    </w:p>
    <w:p>
      <w:pPr>
        <w:spacing w:line="24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（一）在供应商出现下列情形之一时，我方承担保证责任：</w:t>
      </w:r>
    </w:p>
    <w:p>
      <w:pPr>
        <w:spacing w:line="24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1．将中标项目转让给他人，或者在投标文件中未说明，且未经采购招标机构人同意，将中标项目分包给他人的；</w:t>
      </w:r>
    </w:p>
    <w:p>
      <w:pPr>
        <w:spacing w:line="240" w:lineRule="atLeast"/>
        <w:rPr>
          <w:rFonts w:ascii="宋体" w:hAnsi="宋体" w:cs="宋体"/>
          <w:color w:val="auto"/>
          <w:sz w:val="24"/>
          <w:highlight w:val="none"/>
        </w:rPr>
      </w:pPr>
      <w:r>
        <w:rPr>
          <w:rFonts w:hint="eastAsia" w:ascii="宋体" w:hAnsi="宋体" w:cs="宋体"/>
          <w:color w:val="auto"/>
          <w:sz w:val="24"/>
          <w:highlight w:val="none"/>
        </w:rPr>
        <w:t xml:space="preserve">　　2．主合同约定的应当缴纳履约保证金的情形: </w:t>
      </w:r>
    </w:p>
    <w:p>
      <w:pPr>
        <w:spacing w:line="24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（1）未按主合同约定的质量、数量和期限供应货物/提供服务/完成工程的；</w:t>
      </w:r>
    </w:p>
    <w:p>
      <w:pPr>
        <w:spacing w:line="24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24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（二）我方的保证范围是主合同约定的合同价款总额的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%数额为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），币种为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。（即主合同履约保证金金额）</w:t>
      </w:r>
    </w:p>
    <w:p>
      <w:pPr>
        <w:spacing w:line="24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二、保证的方式及保证期间</w:t>
      </w:r>
    </w:p>
    <w:p>
      <w:pPr>
        <w:spacing w:line="24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我方保证的方式为：连带责任保证。</w:t>
      </w:r>
    </w:p>
    <w:p>
      <w:pPr>
        <w:spacing w:line="24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我方保证的期间为：自本合同生效之日起至供应商按照主合同约定的供货/完工期限届满后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w:t>
      </w:r>
    </w:p>
    <w:p>
      <w:pPr>
        <w:spacing w:line="24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如果供应商未按主合同约定向贵方供应货物/提供服务/完成工程的，由我方在保证金额内向你方支付上述款项。</w:t>
      </w:r>
    </w:p>
    <w:p>
      <w:pPr>
        <w:spacing w:line="24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三、承担保证责任的程序</w:t>
      </w:r>
    </w:p>
    <w:p>
      <w:pPr>
        <w:spacing w:line="24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1．你方要求我方承担保证责任的，应在本保函保证期间内向我方发出书面索赔通知。索赔通知应写明要求索赔的金额，支付款项应到达的帐号。并附有证明供应商违约事实的证明材料。</w:t>
      </w:r>
    </w:p>
    <w:p>
      <w:pPr>
        <w:spacing w:line="24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如果你方与供应商因货物质量问题产生争议，你方还需同时提供</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部门出具的质量检测报告，或经诉讼（仲裁）程序裁决后的裁决书、调解书，本保证人即按照检测结果或裁决书、调解书决定是否承担保证责任。</w:t>
      </w:r>
    </w:p>
    <w:p>
      <w:pPr>
        <w:spacing w:line="24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2． 我方收到你方的书面索赔通知及相应证明材料，在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工作日内进行核定后按照本保函的承诺承担保证责任。</w:t>
      </w:r>
    </w:p>
    <w:p>
      <w:pPr>
        <w:spacing w:line="24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四、保证责任的终止</w:t>
      </w:r>
    </w:p>
    <w:p>
      <w:pPr>
        <w:spacing w:line="24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pacing w:line="24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2．我方按照本保函向你方履行了保证责任后，自我方向你方支付款项（支付款项从我方账户划出）之日起，保证责任即终止。</w:t>
      </w:r>
    </w:p>
    <w:p>
      <w:pPr>
        <w:spacing w:line="24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3．按照法律法规的规定或出现应终止我方保证责任的其它情形的，我方在本保函项下的保证责任亦终止。</w:t>
      </w:r>
    </w:p>
    <w:p>
      <w:pPr>
        <w:spacing w:line="24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pacing w:line="24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五、免责条款</w:t>
      </w:r>
    </w:p>
    <w:p>
      <w:pPr>
        <w:spacing w:line="24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1．因你方违反主合同约定致使供应商不能履行义务的，我方不承担保证责任。</w:t>
      </w:r>
    </w:p>
    <w:p>
      <w:pPr>
        <w:spacing w:line="24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2．依照法律法规的规定或你方与供应商的另行约定，全部或者部分免除供应商应缴纳的保证金义务的，我方亦免除相应的保证责任。</w:t>
      </w:r>
    </w:p>
    <w:p>
      <w:pPr>
        <w:spacing w:line="24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3．因不可抗力造成供应商不能履行供货义务的，我方不承担保证责任。</w:t>
      </w:r>
    </w:p>
    <w:p>
      <w:pPr>
        <w:spacing w:line="24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六、争议的解决</w:t>
      </w:r>
    </w:p>
    <w:p>
      <w:pPr>
        <w:spacing w:line="24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因本保函发生的纠纷，由你我双方协商解决，协商不成的，通过诉讼程序解决，诉讼管辖地法院为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法院。</w:t>
      </w:r>
    </w:p>
    <w:p>
      <w:pPr>
        <w:spacing w:line="24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七、保函的生效</w:t>
      </w:r>
    </w:p>
    <w:p>
      <w:pPr>
        <w:spacing w:line="240" w:lineRule="atLeas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本保函自我方加盖公章之日起生效。                              </w:t>
      </w:r>
    </w:p>
    <w:p>
      <w:pPr>
        <w:spacing w:line="240" w:lineRule="atLeast"/>
        <w:rPr>
          <w:rFonts w:ascii="宋体" w:hAnsi="宋体" w:cs="宋体"/>
          <w:color w:val="auto"/>
          <w:sz w:val="24"/>
          <w:highlight w:val="none"/>
        </w:rPr>
      </w:pPr>
    </w:p>
    <w:p>
      <w:pPr>
        <w:spacing w:line="240" w:lineRule="atLeast"/>
        <w:ind w:firstLine="6240" w:firstLineChars="2600"/>
        <w:rPr>
          <w:rFonts w:ascii="宋体" w:hAnsi="宋体" w:cs="宋体"/>
          <w:color w:val="auto"/>
          <w:sz w:val="24"/>
          <w:highlight w:val="none"/>
        </w:rPr>
      </w:pPr>
      <w:r>
        <w:rPr>
          <w:rFonts w:hint="eastAsia" w:ascii="宋体" w:hAnsi="宋体" w:cs="宋体"/>
          <w:color w:val="auto"/>
          <w:sz w:val="24"/>
          <w:highlight w:val="none"/>
        </w:rPr>
        <w:t xml:space="preserve">保证人：（公章）     </w:t>
      </w:r>
    </w:p>
    <w:p>
      <w:pPr>
        <w:spacing w:line="240" w:lineRule="atLeast"/>
        <w:ind w:firstLine="6000" w:firstLineChars="2500"/>
        <w:rPr>
          <w:rFonts w:ascii="宋体" w:hAnsi="宋体" w:cs="宋体"/>
          <w:color w:val="auto"/>
          <w:sz w:val="24"/>
          <w:highlight w:val="none"/>
        </w:rPr>
      </w:pPr>
      <w:r>
        <w:rPr>
          <w:rFonts w:hint="eastAsia" w:ascii="宋体" w:hAnsi="宋体" w:cs="宋体"/>
          <w:color w:val="auto"/>
          <w:sz w:val="24"/>
          <w:highlight w:val="none"/>
        </w:rPr>
        <w:t>年     月      日</w:t>
      </w:r>
    </w:p>
    <w:p>
      <w:pPr>
        <w:pStyle w:val="15"/>
        <w:spacing w:line="360" w:lineRule="auto"/>
        <w:ind w:firstLine="0"/>
        <w:rPr>
          <w:rFonts w:hAnsi="宋体" w:cs="宋体"/>
          <w:color w:val="auto"/>
          <w:kern w:val="2"/>
          <w:szCs w:val="24"/>
          <w:highlight w:val="none"/>
        </w:rPr>
      </w:pPr>
      <w:r>
        <w:rPr>
          <w:rFonts w:hint="eastAsia" w:hAnsi="宋体" w:cs="宋体"/>
          <w:b/>
          <w:color w:val="auto"/>
          <w:highlight w:val="none"/>
        </w:rPr>
        <w:br w:type="page"/>
      </w:r>
    </w:p>
    <w:p>
      <w:pPr>
        <w:pStyle w:val="3"/>
        <w:spacing w:before="0" w:after="0" w:line="360" w:lineRule="auto"/>
        <w:outlineLvl w:val="0"/>
        <w:rPr>
          <w:rFonts w:hAnsi="宋体" w:cs="宋体"/>
          <w:color w:val="auto"/>
          <w:highlight w:val="none"/>
        </w:rPr>
      </w:pPr>
      <w:bookmarkStart w:id="343" w:name="_Toc1303057319"/>
      <w:bookmarkStart w:id="344" w:name="_Toc518923106"/>
      <w:bookmarkStart w:id="345" w:name="_Toc26371"/>
      <w:bookmarkStart w:id="346" w:name="_Toc1871"/>
      <w:bookmarkStart w:id="347" w:name="_Toc6923"/>
      <w:bookmarkStart w:id="348" w:name="_Toc216582812"/>
      <w:bookmarkStart w:id="349" w:name="_Toc22884"/>
      <w:r>
        <w:rPr>
          <w:rFonts w:hint="eastAsia" w:hAnsi="宋体" w:cs="宋体"/>
          <w:color w:val="auto"/>
          <w:highlight w:val="none"/>
        </w:rPr>
        <w:t>第2章  投标文件格式</w:t>
      </w:r>
      <w:bookmarkEnd w:id="343"/>
      <w:bookmarkEnd w:id="344"/>
      <w:bookmarkEnd w:id="345"/>
      <w:bookmarkEnd w:id="346"/>
      <w:bookmarkEnd w:id="347"/>
      <w:bookmarkEnd w:id="348"/>
      <w:bookmarkEnd w:id="349"/>
    </w:p>
    <w:p>
      <w:pPr>
        <w:spacing w:line="360" w:lineRule="auto"/>
        <w:ind w:left="735" w:leftChars="350" w:firstLine="120" w:firstLineChars="50"/>
        <w:rPr>
          <w:rFonts w:ascii="宋体" w:hAnsi="宋体" w:cs="宋体"/>
          <w:color w:val="auto"/>
          <w:sz w:val="24"/>
          <w:highlight w:val="none"/>
        </w:rPr>
      </w:pPr>
    </w:p>
    <w:p>
      <w:pPr>
        <w:pStyle w:val="4"/>
        <w:spacing w:before="0" w:line="360" w:lineRule="auto"/>
        <w:rPr>
          <w:rFonts w:ascii="宋体" w:hAnsi="宋体" w:eastAsia="宋体" w:cs="宋体"/>
          <w:color w:val="auto"/>
          <w:sz w:val="24"/>
          <w:highlight w:val="none"/>
        </w:rPr>
      </w:pPr>
      <w:bookmarkStart w:id="350" w:name="_Toc636"/>
      <w:bookmarkStart w:id="351" w:name="_Toc446128327"/>
      <w:bookmarkStart w:id="352" w:name="_Toc21715"/>
      <w:bookmarkStart w:id="353" w:name="_Toc518923107"/>
      <w:bookmarkStart w:id="354" w:name="_Toc30007"/>
      <w:bookmarkStart w:id="355" w:name="_Toc15142"/>
      <w:bookmarkStart w:id="356" w:name="_Toc17893"/>
      <w:r>
        <w:rPr>
          <w:rFonts w:hint="eastAsia" w:ascii="宋体" w:hAnsi="宋体" w:eastAsia="宋体" w:cs="宋体"/>
          <w:color w:val="auto"/>
          <w:sz w:val="24"/>
          <w:highlight w:val="none"/>
        </w:rPr>
        <w:t>第一部分 开标一览表及资格证明文件</w:t>
      </w:r>
      <w:bookmarkEnd w:id="350"/>
      <w:bookmarkEnd w:id="351"/>
      <w:bookmarkEnd w:id="352"/>
      <w:bookmarkEnd w:id="353"/>
      <w:bookmarkEnd w:id="354"/>
      <w:bookmarkEnd w:id="355"/>
      <w:bookmarkEnd w:id="356"/>
    </w:p>
    <w:p>
      <w:pPr>
        <w:spacing w:line="360" w:lineRule="auto"/>
        <w:ind w:left="708" w:hanging="708" w:hangingChars="295"/>
        <w:jc w:val="center"/>
        <w:rPr>
          <w:rFonts w:ascii="宋体" w:hAnsi="宋体" w:cs="宋体"/>
          <w:color w:val="auto"/>
          <w:sz w:val="24"/>
          <w:highlight w:val="none"/>
        </w:rPr>
      </w:pPr>
    </w:p>
    <w:p>
      <w:pPr>
        <w:spacing w:line="360" w:lineRule="auto"/>
        <w:ind w:firstLine="480"/>
        <w:rPr>
          <w:rFonts w:ascii="宋体" w:hAnsi="宋体" w:cs="宋体"/>
          <w:bCs/>
          <w:iCs/>
          <w:color w:val="auto"/>
          <w:sz w:val="24"/>
          <w:highlight w:val="none"/>
        </w:rPr>
      </w:pPr>
      <w:r>
        <w:rPr>
          <w:rFonts w:hint="eastAsia" w:ascii="宋体" w:hAnsi="宋体" w:cs="宋体"/>
          <w:bCs/>
          <w:iCs/>
          <w:color w:val="auto"/>
          <w:sz w:val="24"/>
          <w:highlight w:val="none"/>
        </w:rPr>
        <w:t>1、开标一览表；</w:t>
      </w:r>
    </w:p>
    <w:p>
      <w:pPr>
        <w:spacing w:line="360" w:lineRule="auto"/>
        <w:ind w:firstLine="480"/>
        <w:rPr>
          <w:rFonts w:ascii="宋体" w:hAnsi="宋体" w:cs="宋体"/>
          <w:bCs/>
          <w:iCs/>
          <w:color w:val="auto"/>
          <w:sz w:val="24"/>
          <w:highlight w:val="none"/>
        </w:rPr>
      </w:pPr>
      <w:r>
        <w:rPr>
          <w:rFonts w:hint="eastAsia" w:ascii="宋体" w:hAnsi="宋体" w:cs="宋体"/>
          <w:bCs/>
          <w:iCs/>
          <w:color w:val="auto"/>
          <w:sz w:val="24"/>
          <w:highlight w:val="none"/>
        </w:rPr>
        <w:t>2、</w:t>
      </w:r>
      <w:r>
        <w:rPr>
          <w:rFonts w:hint="eastAsia" w:ascii="宋体" w:hAnsi="宋体" w:cs="宋体"/>
          <w:color w:val="auto"/>
          <w:sz w:val="24"/>
          <w:highlight w:val="none"/>
        </w:rPr>
        <w:t>法人或者非法人组织的营业执照等证明文件复印件（须加盖本单位章）或自然人的身份证明复印件;</w:t>
      </w:r>
    </w:p>
    <w:p>
      <w:pPr>
        <w:spacing w:line="360" w:lineRule="auto"/>
        <w:ind w:firstLine="480" w:firstLineChars="200"/>
        <w:rPr>
          <w:rFonts w:ascii="宋体" w:hAnsi="宋体" w:cs="宋体"/>
          <w:bCs/>
          <w:iCs/>
          <w:color w:val="auto"/>
          <w:sz w:val="24"/>
          <w:highlight w:val="none"/>
        </w:rPr>
      </w:pPr>
      <w:r>
        <w:rPr>
          <w:rFonts w:hint="eastAsia" w:ascii="宋体" w:hAnsi="宋体" w:cs="宋体"/>
          <w:bCs/>
          <w:iCs/>
          <w:color w:val="auto"/>
          <w:sz w:val="24"/>
          <w:highlight w:val="none"/>
        </w:rPr>
        <w:t>3、</w:t>
      </w:r>
      <w:r>
        <w:rPr>
          <w:rFonts w:hint="eastAsia" w:ascii="宋体" w:hAnsi="宋体" w:cs="宋体"/>
          <w:color w:val="auto"/>
          <w:sz w:val="24"/>
          <w:highlight w:val="none"/>
        </w:rPr>
        <w:t>法定代表人授权委托书（见投标文件格式二，自然人投标的无需提供，投标人为法人的提供法人证明书</w:t>
      </w:r>
      <w:r>
        <w:rPr>
          <w:rFonts w:hint="eastAsia" w:ascii="宋体" w:hAnsi="宋体" w:cs="宋体"/>
          <w:bCs/>
          <w:iCs/>
          <w:color w:val="auto"/>
          <w:sz w:val="24"/>
          <w:highlight w:val="none"/>
        </w:rPr>
        <w:t>；</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4、近两年任意一年的财务审计报告（新成立公司提供开标前三个月内任意一个月有效银行资信证明）；</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5、投标企业依法缴纳近 6 个月任意一个月社会保险的凭据；</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6、投标企业提供税务部门出具的近 6 个月任意一个月的完税证明；</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以招标代理或招标人查询为准）；</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8、参与政府采购活动前3年内未被列入失信、重大税收违法案件、财政部门禁止参加政府采购活动的承诺书；</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9、提供针对本次项目《反商业贿赂承诺书》</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10、缴纳投标保证金有效凭证；</w:t>
      </w:r>
    </w:p>
    <w:p>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w:t>
      </w:r>
      <w:r>
        <w:rPr>
          <w:rFonts w:hint="eastAsia" w:ascii="宋体" w:hAnsi="宋体" w:cs="宋体"/>
          <w:color w:val="auto"/>
          <w:sz w:val="24"/>
          <w:highlight w:val="none"/>
        </w:rPr>
        <w:t>、本项目不接受联合体投标。</w:t>
      </w:r>
    </w:p>
    <w:p>
      <w:pPr>
        <w:pStyle w:val="19"/>
        <w:rPr>
          <w:rFonts w:cs="宋体"/>
          <w:color w:val="auto"/>
          <w:highlight w:val="none"/>
        </w:rPr>
      </w:pPr>
    </w:p>
    <w:p>
      <w:pPr>
        <w:pStyle w:val="19"/>
        <w:rPr>
          <w:rFonts w:cs="宋体"/>
          <w:color w:val="auto"/>
          <w:highlight w:val="none"/>
        </w:rPr>
      </w:pPr>
    </w:p>
    <w:p>
      <w:pPr>
        <w:rPr>
          <w:rFonts w:ascii="宋体" w:hAnsi="宋体" w:cs="宋体"/>
          <w:color w:val="auto"/>
          <w:highlight w:val="none"/>
        </w:rPr>
      </w:pPr>
    </w:p>
    <w:p>
      <w:pPr>
        <w:pStyle w:val="35"/>
        <w:rPr>
          <w:rFonts w:ascii="宋体" w:hAnsi="宋体" w:cs="宋体"/>
          <w:color w:val="auto"/>
          <w:highlight w:val="none"/>
        </w:rPr>
      </w:pPr>
    </w:p>
    <w:p>
      <w:pPr>
        <w:pStyle w:val="35"/>
        <w:rPr>
          <w:rFonts w:ascii="宋体" w:hAnsi="宋体" w:cs="宋体"/>
          <w:color w:val="auto"/>
          <w:highlight w:val="none"/>
        </w:rPr>
      </w:pPr>
    </w:p>
    <w:p>
      <w:pPr>
        <w:tabs>
          <w:tab w:val="left" w:pos="5580"/>
        </w:tabs>
        <w:spacing w:line="360" w:lineRule="auto"/>
        <w:ind w:left="1" w:firstLine="566" w:firstLineChars="235"/>
        <w:rPr>
          <w:rFonts w:ascii="宋体" w:hAnsi="宋体" w:cs="宋体"/>
          <w:b/>
          <w:color w:val="auto"/>
          <w:kern w:val="0"/>
          <w:sz w:val="24"/>
          <w:szCs w:val="20"/>
          <w:highlight w:val="none"/>
        </w:rPr>
      </w:pPr>
    </w:p>
    <w:p>
      <w:pPr>
        <w:tabs>
          <w:tab w:val="left" w:pos="5580"/>
        </w:tabs>
        <w:spacing w:line="360" w:lineRule="auto"/>
        <w:ind w:firstLine="964" w:firstLineChars="400"/>
        <w:outlineLvl w:val="2"/>
        <w:rPr>
          <w:rFonts w:ascii="宋体" w:hAnsi="宋体" w:cs="宋体"/>
          <w:color w:val="auto"/>
          <w:sz w:val="24"/>
          <w:highlight w:val="none"/>
        </w:rPr>
      </w:pPr>
      <w:bookmarkStart w:id="357" w:name="_Toc29377"/>
      <w:bookmarkStart w:id="358" w:name="_Toc9655"/>
      <w:bookmarkStart w:id="359" w:name="_Toc518923108"/>
      <w:r>
        <w:rPr>
          <w:rFonts w:hint="eastAsia" w:ascii="宋体" w:hAnsi="宋体" w:cs="宋体"/>
          <w:b/>
          <w:color w:val="auto"/>
          <w:kern w:val="0"/>
          <w:sz w:val="24"/>
          <w:szCs w:val="20"/>
          <w:highlight w:val="none"/>
        </w:rPr>
        <w:t>1、开标一览表（投标文件格式一）</w:t>
      </w:r>
      <w:bookmarkEnd w:id="357"/>
      <w:bookmarkEnd w:id="358"/>
      <w:bookmarkEnd w:id="359"/>
    </w:p>
    <w:p>
      <w:pPr>
        <w:pStyle w:val="15"/>
        <w:tabs>
          <w:tab w:val="left" w:pos="5580"/>
        </w:tabs>
        <w:spacing w:line="360" w:lineRule="auto"/>
        <w:ind w:left="1080" w:leftChars="257" w:hanging="540"/>
        <w:jc w:val="center"/>
        <w:rPr>
          <w:rFonts w:hAnsi="宋体" w:cs="宋体"/>
          <w:b/>
          <w:color w:val="auto"/>
          <w:highlight w:val="none"/>
        </w:rPr>
      </w:pPr>
      <w:bookmarkStart w:id="360" w:name="_Hlt520356241"/>
      <w:bookmarkEnd w:id="360"/>
      <w:bookmarkStart w:id="361" w:name="_Toc494296984"/>
      <w:bookmarkStart w:id="362" w:name="_Toc480942349"/>
      <w:bookmarkStart w:id="363" w:name="_Ref467988698"/>
      <w:bookmarkStart w:id="364" w:name="_Toc520356217"/>
      <w:bookmarkStart w:id="365" w:name="_Toc216582813"/>
      <w:r>
        <w:rPr>
          <w:rFonts w:hint="eastAsia" w:hAnsi="宋体" w:cs="宋体"/>
          <w:b/>
          <w:color w:val="auto"/>
          <w:highlight w:val="none"/>
        </w:rPr>
        <w:t>开标一览表</w:t>
      </w:r>
      <w:bookmarkEnd w:id="361"/>
      <w:r>
        <w:rPr>
          <w:rFonts w:hint="eastAsia" w:hAnsi="宋体" w:cs="宋体"/>
          <w:b/>
          <w:color w:val="auto"/>
          <w:highlight w:val="none"/>
        </w:rPr>
        <w:cr/>
      </w:r>
    </w:p>
    <w:p>
      <w:pPr>
        <w:pStyle w:val="15"/>
        <w:tabs>
          <w:tab w:val="left" w:pos="5580"/>
        </w:tabs>
        <w:spacing w:line="360" w:lineRule="auto"/>
        <w:ind w:left="1080" w:leftChars="257" w:hanging="540"/>
        <w:rPr>
          <w:rFonts w:hAnsi="宋体" w:cs="宋体"/>
          <w:color w:val="auto"/>
          <w:highlight w:val="none"/>
        </w:rPr>
      </w:pPr>
    </w:p>
    <w:p>
      <w:pPr>
        <w:tabs>
          <w:tab w:val="left" w:pos="1800"/>
          <w:tab w:val="left" w:pos="5580"/>
        </w:tabs>
        <w:spacing w:line="360" w:lineRule="auto"/>
        <w:ind w:left="1080" w:leftChars="257" w:right="-867" w:rightChars="-413" w:hanging="540"/>
        <w:rPr>
          <w:rFonts w:ascii="宋体" w:hAnsi="宋体" w:cs="宋体"/>
          <w:color w:val="auto"/>
          <w:sz w:val="24"/>
          <w:highlight w:val="none"/>
        </w:rPr>
      </w:pPr>
      <w:r>
        <w:rPr>
          <w:rFonts w:hint="eastAsia" w:ascii="宋体" w:hAnsi="宋体" w:cs="宋体"/>
          <w:color w:val="auto"/>
          <w:sz w:val="24"/>
          <w:highlight w:val="none"/>
        </w:rPr>
        <w:t xml:space="preserve">项目名称：                招标编号：                 分包号：       </w:t>
      </w:r>
    </w:p>
    <w:p>
      <w:pPr>
        <w:tabs>
          <w:tab w:val="left" w:pos="1800"/>
          <w:tab w:val="left" w:pos="5580"/>
        </w:tabs>
        <w:spacing w:line="360" w:lineRule="auto"/>
        <w:ind w:left="1080" w:leftChars="257" w:right="-867" w:rightChars="-413" w:hanging="540"/>
        <w:rPr>
          <w:rFonts w:ascii="宋体" w:hAnsi="宋体" w:cs="宋体"/>
          <w:color w:val="auto"/>
          <w:sz w:val="24"/>
          <w:highlight w:val="none"/>
        </w:rPr>
      </w:pPr>
      <w:r>
        <w:rPr>
          <w:rFonts w:hint="eastAsia" w:ascii="宋体" w:hAnsi="宋体" w:cs="宋体"/>
          <w:color w:val="auto"/>
          <w:sz w:val="24"/>
          <w:highlight w:val="none"/>
        </w:rPr>
        <w:t>报价单位：人民币</w:t>
      </w:r>
      <w:r>
        <w:rPr>
          <w:rFonts w:hint="eastAsia" w:ascii="宋体" w:hAnsi="宋体" w:cs="宋体"/>
          <w:color w:val="auto"/>
          <w:sz w:val="24"/>
          <w:highlight w:val="none"/>
          <w:lang w:val="en-US" w:eastAsia="zh-CN"/>
        </w:rPr>
        <w:t xml:space="preserve">  </w:t>
      </w:r>
      <w:r>
        <w:rPr>
          <w:rFonts w:hint="eastAsia" w:ascii="宋体" w:hAnsi="宋体" w:cs="宋体"/>
          <w:b/>
          <w:bCs/>
          <w:color w:val="auto"/>
          <w:sz w:val="24"/>
          <w:highlight w:val="none"/>
        </w:rPr>
        <w:t>万元</w:t>
      </w:r>
    </w:p>
    <w:tbl>
      <w:tblPr>
        <w:tblStyle w:val="43"/>
        <w:tblW w:w="9155"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4"/>
        <w:gridCol w:w="2166"/>
        <w:gridCol w:w="1805"/>
        <w:gridCol w:w="1445"/>
        <w:gridCol w:w="1016"/>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trPr>
        <w:tc>
          <w:tcPr>
            <w:tcW w:w="1594" w:type="dxa"/>
            <w:vAlign w:val="center"/>
          </w:tcPr>
          <w:p>
            <w:pPr>
              <w:tabs>
                <w:tab w:val="left" w:pos="5580"/>
              </w:tabs>
              <w:spacing w:line="360" w:lineRule="auto"/>
              <w:ind w:right="-199"/>
              <w:jc w:val="center"/>
              <w:rPr>
                <w:rFonts w:ascii="宋体" w:hAnsi="宋体" w:cs="宋体"/>
                <w:color w:val="auto"/>
                <w:sz w:val="24"/>
                <w:highlight w:val="none"/>
              </w:rPr>
            </w:pPr>
            <w:r>
              <w:rPr>
                <w:rFonts w:hint="eastAsia" w:ascii="宋体" w:hAnsi="宋体" w:cs="宋体"/>
                <w:color w:val="auto"/>
                <w:sz w:val="24"/>
                <w:highlight w:val="none"/>
              </w:rPr>
              <w:t>服务项目名称</w:t>
            </w:r>
          </w:p>
        </w:tc>
        <w:tc>
          <w:tcPr>
            <w:tcW w:w="2166" w:type="dxa"/>
            <w:vAlign w:val="center"/>
          </w:tcPr>
          <w:p>
            <w:pPr>
              <w:tabs>
                <w:tab w:val="left" w:pos="5580"/>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投标总价</w:t>
            </w:r>
          </w:p>
        </w:tc>
        <w:tc>
          <w:tcPr>
            <w:tcW w:w="1805" w:type="dxa"/>
            <w:vAlign w:val="center"/>
          </w:tcPr>
          <w:p>
            <w:pPr>
              <w:tabs>
                <w:tab w:val="left" w:pos="5580"/>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投标保证金缴纳方式</w:t>
            </w:r>
          </w:p>
        </w:tc>
        <w:tc>
          <w:tcPr>
            <w:tcW w:w="1445" w:type="dxa"/>
            <w:vAlign w:val="center"/>
          </w:tcPr>
          <w:p>
            <w:pPr>
              <w:tabs>
                <w:tab w:val="left" w:pos="5580"/>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交货期及交货地点</w:t>
            </w:r>
          </w:p>
        </w:tc>
        <w:tc>
          <w:tcPr>
            <w:tcW w:w="1016" w:type="dxa"/>
            <w:vAlign w:val="center"/>
          </w:tcPr>
          <w:p>
            <w:pPr>
              <w:tabs>
                <w:tab w:val="left" w:pos="5580"/>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质保期</w:t>
            </w:r>
          </w:p>
        </w:tc>
        <w:tc>
          <w:tcPr>
            <w:tcW w:w="1129" w:type="dxa"/>
            <w:vAlign w:val="center"/>
          </w:tcPr>
          <w:p>
            <w:pPr>
              <w:tabs>
                <w:tab w:val="left" w:pos="5580"/>
              </w:tabs>
              <w:spacing w:line="360" w:lineRule="auto"/>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0" w:hRule="atLeast"/>
        </w:trPr>
        <w:tc>
          <w:tcPr>
            <w:tcW w:w="1594" w:type="dxa"/>
            <w:vAlign w:val="center"/>
          </w:tcPr>
          <w:p>
            <w:pPr>
              <w:tabs>
                <w:tab w:val="left" w:pos="5580"/>
              </w:tabs>
              <w:spacing w:line="360" w:lineRule="auto"/>
              <w:ind w:left="1080" w:leftChars="257" w:hanging="540"/>
              <w:jc w:val="center"/>
              <w:rPr>
                <w:rFonts w:ascii="宋体" w:hAnsi="宋体" w:cs="宋体"/>
                <w:color w:val="auto"/>
                <w:sz w:val="24"/>
                <w:highlight w:val="none"/>
              </w:rPr>
            </w:pPr>
          </w:p>
        </w:tc>
        <w:tc>
          <w:tcPr>
            <w:tcW w:w="2166" w:type="dxa"/>
            <w:vAlign w:val="center"/>
          </w:tcPr>
          <w:p>
            <w:pPr>
              <w:tabs>
                <w:tab w:val="left" w:pos="5580"/>
              </w:tabs>
              <w:spacing w:line="360" w:lineRule="auto"/>
              <w:jc w:val="left"/>
              <w:rPr>
                <w:rFonts w:ascii="宋体" w:hAnsi="宋体" w:cs="宋体"/>
                <w:color w:val="auto"/>
                <w:sz w:val="24"/>
                <w:highlight w:val="none"/>
              </w:rPr>
            </w:pPr>
            <w:r>
              <w:rPr>
                <w:rFonts w:hint="eastAsia" w:ascii="宋体" w:hAnsi="宋体" w:cs="宋体"/>
                <w:color w:val="auto"/>
                <w:sz w:val="24"/>
                <w:highlight w:val="none"/>
              </w:rPr>
              <w:t>大写：</w:t>
            </w:r>
          </w:p>
          <w:p>
            <w:pPr>
              <w:tabs>
                <w:tab w:val="left" w:pos="5580"/>
              </w:tabs>
              <w:spacing w:line="360" w:lineRule="auto"/>
              <w:jc w:val="left"/>
              <w:rPr>
                <w:rFonts w:ascii="宋体" w:hAnsi="宋体" w:cs="宋体"/>
                <w:color w:val="auto"/>
                <w:sz w:val="24"/>
                <w:highlight w:val="none"/>
              </w:rPr>
            </w:pPr>
            <w:r>
              <w:rPr>
                <w:rFonts w:hint="eastAsia" w:ascii="宋体" w:hAnsi="宋体" w:cs="宋体"/>
                <w:color w:val="auto"/>
                <w:sz w:val="24"/>
                <w:highlight w:val="none"/>
              </w:rPr>
              <w:t>小写：</w:t>
            </w:r>
          </w:p>
        </w:tc>
        <w:tc>
          <w:tcPr>
            <w:tcW w:w="1805" w:type="dxa"/>
            <w:vAlign w:val="center"/>
          </w:tcPr>
          <w:p>
            <w:pPr>
              <w:tabs>
                <w:tab w:val="left" w:pos="5580"/>
              </w:tabs>
              <w:spacing w:line="360" w:lineRule="auto"/>
              <w:ind w:left="1080" w:leftChars="257" w:hanging="540"/>
              <w:jc w:val="center"/>
              <w:rPr>
                <w:rFonts w:ascii="宋体" w:hAnsi="宋体" w:cs="宋体"/>
                <w:color w:val="auto"/>
                <w:sz w:val="24"/>
                <w:highlight w:val="none"/>
              </w:rPr>
            </w:pPr>
          </w:p>
        </w:tc>
        <w:tc>
          <w:tcPr>
            <w:tcW w:w="1445" w:type="dxa"/>
            <w:vAlign w:val="center"/>
          </w:tcPr>
          <w:p>
            <w:pPr>
              <w:tabs>
                <w:tab w:val="left" w:pos="5580"/>
              </w:tabs>
              <w:spacing w:line="360" w:lineRule="auto"/>
              <w:ind w:left="1080" w:leftChars="257" w:hanging="540"/>
              <w:jc w:val="center"/>
              <w:rPr>
                <w:rFonts w:ascii="宋体" w:hAnsi="宋体" w:cs="宋体"/>
                <w:color w:val="auto"/>
                <w:sz w:val="24"/>
                <w:highlight w:val="none"/>
              </w:rPr>
            </w:pPr>
          </w:p>
        </w:tc>
        <w:tc>
          <w:tcPr>
            <w:tcW w:w="1016" w:type="dxa"/>
            <w:vAlign w:val="center"/>
          </w:tcPr>
          <w:p>
            <w:pPr>
              <w:tabs>
                <w:tab w:val="left" w:pos="5580"/>
              </w:tabs>
              <w:spacing w:line="360" w:lineRule="auto"/>
              <w:ind w:left="1080" w:leftChars="257" w:hanging="540"/>
              <w:jc w:val="center"/>
              <w:rPr>
                <w:rFonts w:ascii="宋体" w:hAnsi="宋体" w:cs="宋体"/>
                <w:color w:val="auto"/>
                <w:sz w:val="24"/>
                <w:highlight w:val="none"/>
              </w:rPr>
            </w:pPr>
          </w:p>
        </w:tc>
        <w:tc>
          <w:tcPr>
            <w:tcW w:w="1129" w:type="dxa"/>
            <w:vAlign w:val="center"/>
          </w:tcPr>
          <w:p>
            <w:pPr>
              <w:tabs>
                <w:tab w:val="left" w:pos="5580"/>
              </w:tabs>
              <w:spacing w:line="360" w:lineRule="auto"/>
              <w:ind w:left="1080" w:leftChars="257" w:hanging="540"/>
              <w:jc w:val="center"/>
              <w:rPr>
                <w:rFonts w:ascii="宋体" w:hAnsi="宋体" w:cs="宋体"/>
                <w:color w:val="auto"/>
                <w:sz w:val="24"/>
                <w:highlight w:val="none"/>
              </w:rPr>
            </w:pPr>
          </w:p>
        </w:tc>
      </w:tr>
    </w:tbl>
    <w:p>
      <w:pPr>
        <w:pStyle w:val="26"/>
        <w:tabs>
          <w:tab w:val="left" w:pos="5580"/>
        </w:tabs>
        <w:spacing w:line="360" w:lineRule="auto"/>
        <w:ind w:left="1080" w:leftChars="257" w:hanging="540"/>
        <w:rPr>
          <w:rFonts w:hAnsi="宋体" w:cs="宋体"/>
          <w:color w:val="auto"/>
          <w:sz w:val="24"/>
          <w:highlight w:val="none"/>
        </w:rPr>
      </w:pPr>
    </w:p>
    <w:p>
      <w:pPr>
        <w:pStyle w:val="26"/>
        <w:tabs>
          <w:tab w:val="left" w:pos="5580"/>
        </w:tabs>
        <w:spacing w:line="360" w:lineRule="auto"/>
        <w:rPr>
          <w:rFonts w:hAnsi="宋体" w:cs="宋体"/>
          <w:color w:val="auto"/>
          <w:sz w:val="24"/>
          <w:highlight w:val="none"/>
          <w:u w:val="single"/>
        </w:rPr>
      </w:pPr>
    </w:p>
    <w:p>
      <w:pPr>
        <w:pStyle w:val="26"/>
        <w:tabs>
          <w:tab w:val="left" w:pos="5580"/>
        </w:tabs>
        <w:spacing w:line="360" w:lineRule="auto"/>
        <w:ind w:left="1080" w:leftChars="257" w:hanging="540"/>
        <w:rPr>
          <w:rFonts w:hAnsi="宋体" w:cs="宋体"/>
          <w:color w:val="auto"/>
          <w:sz w:val="24"/>
          <w:highlight w:val="none"/>
        </w:rPr>
      </w:pPr>
      <w:r>
        <w:rPr>
          <w:rFonts w:hint="eastAsia" w:hAnsi="宋体" w:cs="宋体"/>
          <w:color w:val="auto"/>
          <w:sz w:val="24"/>
          <w:highlight w:val="none"/>
        </w:rPr>
        <w:t>投标人名称（单位章）：</w:t>
      </w:r>
      <w:r>
        <w:rPr>
          <w:rFonts w:hint="eastAsia" w:hAnsi="宋体" w:cs="宋体"/>
          <w:color w:val="auto"/>
          <w:sz w:val="24"/>
          <w:highlight w:val="none"/>
          <w:u w:val="single"/>
        </w:rPr>
        <w:t xml:space="preserve">                       </w:t>
      </w:r>
    </w:p>
    <w:p>
      <w:pPr>
        <w:pStyle w:val="26"/>
        <w:tabs>
          <w:tab w:val="left" w:pos="5580"/>
        </w:tabs>
        <w:spacing w:line="360" w:lineRule="auto"/>
        <w:ind w:left="1080" w:leftChars="257" w:hanging="540"/>
        <w:rPr>
          <w:rFonts w:hAnsi="宋体" w:cs="宋体"/>
          <w:color w:val="auto"/>
          <w:sz w:val="24"/>
          <w:highlight w:val="none"/>
          <w:u w:val="single"/>
        </w:rPr>
      </w:pPr>
      <w:r>
        <w:rPr>
          <w:rFonts w:hint="eastAsia" w:hAnsi="宋体" w:cs="宋体"/>
          <w:color w:val="auto"/>
          <w:sz w:val="24"/>
          <w:highlight w:val="none"/>
        </w:rPr>
        <w:t>法定代表人或其委托代理人(签字):</w:t>
      </w:r>
      <w:r>
        <w:rPr>
          <w:rFonts w:hint="eastAsia" w:hAnsi="宋体" w:cs="宋体"/>
          <w:color w:val="auto"/>
          <w:sz w:val="24"/>
          <w:highlight w:val="none"/>
          <w:u w:val="single"/>
        </w:rPr>
        <w:tab/>
      </w:r>
    </w:p>
    <w:p>
      <w:pPr>
        <w:pStyle w:val="26"/>
        <w:tabs>
          <w:tab w:val="left" w:pos="5580"/>
        </w:tabs>
        <w:spacing w:line="360" w:lineRule="auto"/>
        <w:rPr>
          <w:rFonts w:hAnsi="宋体" w:cs="宋体"/>
          <w:b/>
          <w:color w:val="auto"/>
          <w:highlight w:val="none"/>
        </w:rPr>
      </w:pPr>
    </w:p>
    <w:p>
      <w:pPr>
        <w:pStyle w:val="26"/>
        <w:tabs>
          <w:tab w:val="left" w:pos="5580"/>
        </w:tabs>
        <w:spacing w:line="360" w:lineRule="auto"/>
        <w:rPr>
          <w:rFonts w:hAnsi="宋体" w:cs="宋体"/>
          <w:color w:val="auto"/>
          <w:sz w:val="24"/>
          <w:highlight w:val="none"/>
          <w:u w:val="single"/>
        </w:rPr>
      </w:pPr>
    </w:p>
    <w:p>
      <w:pPr>
        <w:pStyle w:val="26"/>
        <w:tabs>
          <w:tab w:val="left" w:pos="5580"/>
        </w:tabs>
        <w:spacing w:line="360" w:lineRule="auto"/>
        <w:ind w:left="1080" w:leftChars="257" w:hanging="540"/>
        <w:rPr>
          <w:rFonts w:hAnsi="宋体" w:cs="宋体"/>
          <w:color w:val="auto"/>
          <w:sz w:val="24"/>
          <w:highlight w:val="none"/>
        </w:rPr>
      </w:pPr>
      <w:r>
        <w:rPr>
          <w:rFonts w:hint="eastAsia" w:hAnsi="宋体" w:cs="宋体"/>
          <w:color w:val="auto"/>
          <w:sz w:val="24"/>
          <w:highlight w:val="none"/>
        </w:rPr>
        <w:t>注:此表中，每个分包的投标总价应和投标分项报价表的总价相一致。</w:t>
      </w:r>
    </w:p>
    <w:p>
      <w:pPr>
        <w:pStyle w:val="26"/>
        <w:tabs>
          <w:tab w:val="left" w:pos="5580"/>
        </w:tabs>
        <w:spacing w:line="360" w:lineRule="auto"/>
        <w:rPr>
          <w:rFonts w:hAnsi="宋体" w:cs="宋体"/>
          <w:color w:val="auto"/>
          <w:sz w:val="24"/>
          <w:highlight w:val="none"/>
        </w:rPr>
      </w:pPr>
    </w:p>
    <w:p>
      <w:pPr>
        <w:pStyle w:val="4"/>
        <w:spacing w:before="0" w:line="240" w:lineRule="auto"/>
        <w:ind w:left="1080" w:leftChars="257" w:hanging="540"/>
        <w:rPr>
          <w:rFonts w:ascii="Times New Roman" w:hAnsi="Times New Roman" w:eastAsia="仿宋"/>
        </w:rPr>
      </w:pPr>
      <w:bookmarkStart w:id="366" w:name="_Toc22494199"/>
      <w:bookmarkStart w:id="367" w:name="_Toc13932"/>
      <w:bookmarkStart w:id="368" w:name="_Toc16161"/>
      <w:bookmarkStart w:id="369" w:name="_Toc10556"/>
      <w:bookmarkStart w:id="370" w:name="_Toc15266"/>
      <w:bookmarkStart w:id="371" w:name="_Toc39671740"/>
      <w:bookmarkStart w:id="372" w:name="_Toc22031"/>
      <w:bookmarkStart w:id="373" w:name="_Toc8636"/>
      <w:r>
        <w:rPr>
          <w:rFonts w:hint="default" w:ascii="仿宋" w:hAnsi="仿宋" w:eastAsia="仿宋" w:cs="仿宋"/>
          <w:b/>
          <w:sz w:val="24"/>
          <w:highlight w:val="none"/>
        </w:rPr>
        <w:t>2、</w:t>
      </w:r>
      <w:r>
        <w:rPr>
          <w:rFonts w:hint="eastAsia" w:ascii="仿宋" w:hAnsi="仿宋" w:eastAsia="仿宋" w:cs="仿宋"/>
          <w:sz w:val="24"/>
          <w:highlight w:val="none"/>
        </w:rPr>
        <w:t>法人或者非法人组织的营业执照等证明文件或自然人的身份证明</w:t>
      </w:r>
      <w:r>
        <w:rPr>
          <w:rFonts w:hint="default" w:ascii="Times New Roman" w:hAnsi="Times New Roman" w:eastAsia="仿宋" w:cs="Times New Roman"/>
          <w:color w:val="000000"/>
          <w:u w:val="none"/>
        </w:rPr>
        <w:t>；</w:t>
      </w:r>
      <w:bookmarkEnd w:id="366"/>
      <w:bookmarkEnd w:id="367"/>
      <w:bookmarkEnd w:id="368"/>
      <w:bookmarkEnd w:id="369"/>
      <w:bookmarkEnd w:id="370"/>
      <w:bookmarkEnd w:id="371"/>
      <w:bookmarkEnd w:id="372"/>
      <w:bookmarkEnd w:id="373"/>
    </w:p>
    <w:p>
      <w:pPr>
        <w:pStyle w:val="26"/>
        <w:tabs>
          <w:tab w:val="left" w:pos="5580"/>
        </w:tabs>
        <w:spacing w:line="360" w:lineRule="auto"/>
        <w:ind w:firstLine="480" w:firstLineChars="200"/>
        <w:rPr>
          <w:rFonts w:ascii="Times New Roman" w:hAnsi="Times New Roman" w:eastAsia="仿宋" w:cs="Times New Roman"/>
          <w:color w:val="000000"/>
          <w:sz w:val="24"/>
        </w:rPr>
      </w:pPr>
      <w:r>
        <w:rPr>
          <w:rFonts w:hint="default" w:ascii="Times New Roman" w:hAnsi="Times New Roman" w:eastAsia="仿宋" w:cs="Times New Roman"/>
          <w:color w:val="000000"/>
          <w:sz w:val="24"/>
        </w:rPr>
        <w:t>说明：1）法人或者非法人组织营业执照等证明文件复印件（须加盖本单位章）或自然人的身份证明复印件;</w:t>
      </w:r>
    </w:p>
    <w:p>
      <w:pPr>
        <w:pStyle w:val="26"/>
        <w:tabs>
          <w:tab w:val="left" w:pos="5580"/>
        </w:tabs>
        <w:spacing w:line="360" w:lineRule="auto"/>
        <w:ind w:firstLine="720" w:firstLineChars="300"/>
        <w:rPr>
          <w:rFonts w:hint="default" w:ascii="Times New Roman" w:hAnsi="Times New Roman" w:eastAsia="仿宋" w:cs="Times New Roman"/>
          <w:color w:val="000000"/>
          <w:sz w:val="24"/>
        </w:rPr>
      </w:pPr>
      <w:r>
        <w:rPr>
          <w:rFonts w:hint="default" w:ascii="Times New Roman" w:hAnsi="Times New Roman" w:eastAsia="仿宋" w:cs="Times New Roman"/>
          <w:color w:val="000000"/>
          <w:sz w:val="24"/>
        </w:rPr>
        <w:t>2）投标人必须满足《中华人民共和国政府采购法》第二十二条要求，法定代表人（或企业负责人）授权书（见投标文件格式二，自然人投标的无需提供）。</w:t>
      </w:r>
    </w:p>
    <w:p>
      <w:pPr>
        <w:pStyle w:val="26"/>
        <w:tabs>
          <w:tab w:val="left" w:pos="5580"/>
        </w:tabs>
        <w:spacing w:line="360" w:lineRule="auto"/>
        <w:rPr>
          <w:rFonts w:ascii="Times New Roman" w:hAnsi="Times New Roman" w:eastAsia="仿宋" w:cs="Times New Roman"/>
          <w:color w:val="000000"/>
          <w:sz w:val="24"/>
        </w:rPr>
      </w:pPr>
    </w:p>
    <w:p>
      <w:pPr>
        <w:pStyle w:val="26"/>
        <w:tabs>
          <w:tab w:val="left" w:pos="5580"/>
        </w:tabs>
        <w:spacing w:line="360" w:lineRule="auto"/>
        <w:ind w:left="1080" w:leftChars="257" w:hanging="540"/>
        <w:rPr>
          <w:rFonts w:ascii="Times New Roman" w:hAnsi="Times New Roman" w:eastAsia="仿宋" w:cs="Times New Roman"/>
          <w:color w:val="000000"/>
          <w:sz w:val="24"/>
        </w:rPr>
      </w:pPr>
      <w:r>
        <w:rPr>
          <w:rFonts w:hint="default" w:ascii="Times New Roman" w:hAnsi="Times New Roman" w:eastAsia="仿宋" w:cs="Times New Roman"/>
          <w:color w:val="000000"/>
          <w:sz w:val="24"/>
        </w:rPr>
        <w:t xml:space="preserve">  </w:t>
      </w:r>
    </w:p>
    <w:p>
      <w:pPr>
        <w:pStyle w:val="5"/>
        <w:spacing w:before="0" w:after="0" w:line="360" w:lineRule="auto"/>
        <w:jc w:val="center"/>
        <w:rPr>
          <w:rFonts w:ascii="Times New Roman" w:hAnsi="Times New Roman" w:eastAsia="仿宋" w:cs="Times New Roman"/>
          <w:color w:val="000000"/>
        </w:rPr>
      </w:pPr>
      <w:bookmarkStart w:id="374" w:name="_Toc1083"/>
      <w:bookmarkStart w:id="375" w:name="_Toc515647807"/>
      <w:bookmarkStart w:id="376" w:name="_Toc804"/>
      <w:bookmarkStart w:id="377" w:name="_Toc23176"/>
      <w:bookmarkStart w:id="378" w:name="_Toc3942"/>
      <w:bookmarkStart w:id="379" w:name="_Toc39671741"/>
      <w:bookmarkStart w:id="380" w:name="_Toc22494200"/>
      <w:bookmarkStart w:id="381" w:name="_Toc8780"/>
      <w:bookmarkStart w:id="382" w:name="_Toc15814"/>
      <w:bookmarkStart w:id="383" w:name="_Toc22784"/>
      <w:bookmarkStart w:id="384" w:name="_Toc22472"/>
      <w:r>
        <w:rPr>
          <w:rFonts w:hint="default" w:ascii="Times New Roman" w:hAnsi="Times New Roman" w:eastAsia="仿宋" w:cs="Times New Roman"/>
          <w:color w:val="000000"/>
          <w:u w:val="none"/>
        </w:rPr>
        <w:t>3</w:t>
      </w:r>
      <w:r>
        <w:rPr>
          <w:rFonts w:hint="eastAsia" w:ascii="Times New Roman" w:hAnsi="Times New Roman" w:eastAsia="仿宋" w:cs="Times New Roman"/>
          <w:color w:val="000000"/>
          <w:u w:val="none"/>
          <w:lang w:eastAsia="zh-CN"/>
        </w:rPr>
        <w:t>、</w:t>
      </w:r>
      <w:r>
        <w:rPr>
          <w:rFonts w:hint="default" w:ascii="Times New Roman" w:hAnsi="Times New Roman" w:eastAsia="仿宋" w:cs="Times New Roman"/>
          <w:color w:val="000000"/>
          <w:u w:val="none"/>
        </w:rPr>
        <w:t>法定代表人（或企业负责人）授权委托书(投标文件格式二)</w:t>
      </w:r>
      <w:bookmarkEnd w:id="374"/>
      <w:bookmarkEnd w:id="375"/>
      <w:bookmarkEnd w:id="376"/>
      <w:bookmarkEnd w:id="377"/>
      <w:bookmarkEnd w:id="378"/>
      <w:bookmarkEnd w:id="379"/>
      <w:bookmarkEnd w:id="380"/>
      <w:bookmarkEnd w:id="381"/>
      <w:bookmarkEnd w:id="382"/>
      <w:bookmarkEnd w:id="383"/>
      <w:bookmarkEnd w:id="384"/>
    </w:p>
    <w:p>
      <w:pPr>
        <w:pStyle w:val="26"/>
        <w:tabs>
          <w:tab w:val="left" w:pos="5580"/>
        </w:tabs>
        <w:spacing w:line="360" w:lineRule="auto"/>
        <w:ind w:left="479" w:leftChars="228" w:firstLine="480" w:firstLineChars="200"/>
        <w:rPr>
          <w:rFonts w:hint="default" w:ascii="Times New Roman" w:hAnsi="Times New Roman" w:eastAsia="仿宋" w:cs="Times New Roman"/>
          <w:color w:val="000000"/>
          <w:sz w:val="24"/>
        </w:rPr>
      </w:pPr>
      <w:r>
        <w:rPr>
          <w:rFonts w:hint="eastAsia" w:ascii="Times New Roman" w:hAnsi="Times New Roman" w:eastAsia="仿宋" w:cs="Times New Roman"/>
          <w:color w:val="000000"/>
          <w:sz w:val="24"/>
          <w:lang w:val="en-US" w:eastAsia="zh-CN"/>
        </w:rPr>
        <w:t>说明：含法人身份证复印件和被授权人身份有效证件（身份证复印件）;</w:t>
      </w:r>
      <w:r>
        <w:rPr>
          <w:rFonts w:hint="default" w:ascii="Times New Roman" w:hAnsi="Times New Roman" w:eastAsia="仿宋" w:cs="Times New Roman"/>
          <w:color w:val="000000"/>
          <w:sz w:val="24"/>
        </w:rPr>
        <w:cr/>
      </w:r>
    </w:p>
    <w:p>
      <w:pPr>
        <w:pStyle w:val="26"/>
        <w:tabs>
          <w:tab w:val="left" w:pos="5580"/>
        </w:tabs>
        <w:spacing w:line="360" w:lineRule="auto"/>
        <w:ind w:left="479" w:leftChars="228" w:firstLine="480" w:firstLineChars="200"/>
        <w:rPr>
          <w:rFonts w:ascii="Times New Roman" w:hAnsi="Times New Roman" w:eastAsia="仿宋" w:cs="Times New Roman"/>
          <w:color w:val="000000"/>
          <w:sz w:val="24"/>
        </w:rPr>
      </w:pPr>
      <w:r>
        <w:rPr>
          <w:rFonts w:hint="default" w:ascii="Times New Roman" w:hAnsi="Times New Roman" w:eastAsia="仿宋" w:cs="Times New Roman"/>
          <w:color w:val="000000"/>
          <w:sz w:val="24"/>
        </w:rPr>
        <w:t>本授权书声明：注册于</w:t>
      </w:r>
      <w:r>
        <w:rPr>
          <w:rFonts w:hint="default" w:ascii="Times New Roman" w:hAnsi="Times New Roman" w:eastAsia="仿宋" w:cs="Times New Roman"/>
          <w:color w:val="000000"/>
          <w:sz w:val="24"/>
          <w:u w:val="single"/>
        </w:rPr>
        <w:t>（国家或地区的名称）</w:t>
      </w:r>
      <w:r>
        <w:rPr>
          <w:rFonts w:hint="default" w:ascii="Times New Roman" w:hAnsi="Times New Roman" w:eastAsia="仿宋" w:cs="Times New Roman"/>
          <w:color w:val="000000"/>
          <w:sz w:val="24"/>
        </w:rPr>
        <w:t>的（</w:t>
      </w:r>
      <w:r>
        <w:rPr>
          <w:rFonts w:hint="default" w:ascii="Times New Roman" w:hAnsi="Times New Roman" w:eastAsia="仿宋" w:cs="Times New Roman"/>
          <w:i/>
          <w:color w:val="000000"/>
          <w:sz w:val="24"/>
          <w:u w:val="single"/>
        </w:rPr>
        <w:t>投标人</w:t>
      </w:r>
      <w:r>
        <w:rPr>
          <w:rFonts w:hint="default" w:ascii="Times New Roman" w:hAnsi="Times New Roman" w:eastAsia="仿宋" w:cs="Times New Roman"/>
          <w:color w:val="000000"/>
          <w:sz w:val="24"/>
        </w:rPr>
        <w:t>）的在下面签字的（</w:t>
      </w:r>
      <w:r>
        <w:rPr>
          <w:rFonts w:hint="default" w:ascii="Times New Roman" w:hAnsi="Times New Roman" w:eastAsia="仿宋" w:cs="Times New Roman"/>
          <w:i/>
          <w:color w:val="000000"/>
          <w:sz w:val="24"/>
          <w:u w:val="single"/>
        </w:rPr>
        <w:t>法人代表姓名、职务；或企业负责人</w:t>
      </w:r>
      <w:r>
        <w:rPr>
          <w:rFonts w:hint="default" w:ascii="Times New Roman" w:hAnsi="Times New Roman" w:eastAsia="仿宋" w:cs="Times New Roman"/>
          <w:color w:val="000000"/>
          <w:sz w:val="24"/>
        </w:rPr>
        <w:t>）代表我单位授权（</w:t>
      </w:r>
      <w:r>
        <w:rPr>
          <w:rFonts w:hint="default" w:ascii="Times New Roman" w:hAnsi="Times New Roman" w:eastAsia="仿宋" w:cs="Times New Roman"/>
          <w:i/>
          <w:color w:val="000000"/>
          <w:sz w:val="24"/>
          <w:u w:val="single"/>
        </w:rPr>
        <w:t>单位名称</w:t>
      </w:r>
      <w:r>
        <w:rPr>
          <w:rFonts w:hint="default" w:ascii="Times New Roman" w:hAnsi="Times New Roman" w:eastAsia="仿宋" w:cs="Times New Roman"/>
          <w:color w:val="000000"/>
          <w:sz w:val="24"/>
        </w:rPr>
        <w:t>）的在下面签字的（</w:t>
      </w:r>
      <w:r>
        <w:rPr>
          <w:rFonts w:hint="default" w:ascii="Times New Roman" w:hAnsi="Times New Roman" w:eastAsia="仿宋" w:cs="Times New Roman"/>
          <w:i/>
          <w:color w:val="000000"/>
          <w:sz w:val="24"/>
          <w:u w:val="single"/>
        </w:rPr>
        <w:t>被授权人的姓名、职务</w:t>
      </w:r>
      <w:r>
        <w:rPr>
          <w:rFonts w:hint="default" w:ascii="Times New Roman" w:hAnsi="Times New Roman" w:eastAsia="仿宋" w:cs="Times New Roman"/>
          <w:color w:val="000000"/>
          <w:sz w:val="24"/>
        </w:rPr>
        <w:t>）为我单位的合法代理人，就（</w:t>
      </w:r>
      <w:r>
        <w:rPr>
          <w:rFonts w:hint="default" w:ascii="Times New Roman" w:hAnsi="Times New Roman" w:eastAsia="仿宋" w:cs="Times New Roman"/>
          <w:i/>
          <w:color w:val="000000"/>
          <w:sz w:val="24"/>
          <w:u w:val="single"/>
        </w:rPr>
        <w:t>项目名称</w:t>
      </w:r>
      <w:r>
        <w:rPr>
          <w:rFonts w:hint="default" w:ascii="Times New Roman" w:hAnsi="Times New Roman" w:eastAsia="仿宋" w:cs="Times New Roman"/>
          <w:color w:val="000000"/>
          <w:sz w:val="24"/>
        </w:rPr>
        <w:t>）的（</w:t>
      </w:r>
      <w:r>
        <w:rPr>
          <w:rFonts w:hint="default" w:ascii="Times New Roman" w:hAnsi="Times New Roman" w:eastAsia="仿宋" w:cs="Times New Roman"/>
          <w:i/>
          <w:color w:val="000000"/>
          <w:sz w:val="24"/>
          <w:u w:val="single"/>
        </w:rPr>
        <w:t>合同名称</w:t>
      </w:r>
      <w:r>
        <w:rPr>
          <w:rFonts w:hint="default" w:ascii="Times New Roman" w:hAnsi="Times New Roman" w:eastAsia="仿宋" w:cs="Times New Roman"/>
          <w:color w:val="000000"/>
          <w:sz w:val="24"/>
        </w:rPr>
        <w:t>）投标，以我单位名义处理一切与之有关的事务。</w:t>
      </w:r>
      <w:r>
        <w:rPr>
          <w:rFonts w:hint="default" w:ascii="Times New Roman" w:hAnsi="Times New Roman" w:eastAsia="仿宋" w:cs="Times New Roman"/>
          <w:color w:val="000000"/>
          <w:sz w:val="24"/>
        </w:rPr>
        <w:cr/>
      </w:r>
      <w:r>
        <w:rPr>
          <w:rFonts w:hint="default" w:ascii="Times New Roman" w:hAnsi="Times New Roman" w:eastAsia="仿宋" w:cs="Times New Roman"/>
          <w:color w:val="000000"/>
          <w:sz w:val="24"/>
        </w:rPr>
        <w:t xml:space="preserve">    </w:t>
      </w:r>
    </w:p>
    <w:p>
      <w:pPr>
        <w:pStyle w:val="26"/>
        <w:tabs>
          <w:tab w:val="left" w:pos="5580"/>
        </w:tabs>
        <w:spacing w:line="360" w:lineRule="auto"/>
        <w:ind w:left="-540" w:leftChars="-257" w:firstLine="900" w:firstLineChars="375"/>
        <w:rPr>
          <w:rFonts w:ascii="Times New Roman" w:hAnsi="Times New Roman" w:eastAsia="仿宋" w:cs="Times New Roman"/>
          <w:color w:val="000000"/>
          <w:sz w:val="24"/>
        </w:rPr>
      </w:pPr>
      <w:r>
        <w:rPr>
          <w:rFonts w:hint="default" w:ascii="Times New Roman" w:hAnsi="Times New Roman" w:eastAsia="仿宋" w:cs="Times New Roman"/>
          <w:color w:val="000000"/>
          <w:sz w:val="24"/>
        </w:rPr>
        <w:t>本授权书于</w:t>
      </w:r>
      <w:r>
        <w:rPr>
          <w:rFonts w:hint="default" w:ascii="Times New Roman" w:hAnsi="Times New Roman" w:eastAsia="仿宋" w:cs="Times New Roman"/>
          <w:color w:val="000000"/>
          <w:sz w:val="24"/>
          <w:u w:val="single"/>
        </w:rPr>
        <w:t xml:space="preserve">           </w:t>
      </w:r>
      <w:r>
        <w:rPr>
          <w:rFonts w:hint="default" w:ascii="Times New Roman" w:hAnsi="Times New Roman" w:eastAsia="仿宋" w:cs="Times New Roman"/>
          <w:color w:val="000000"/>
          <w:sz w:val="24"/>
        </w:rPr>
        <w:t>年</w:t>
      </w:r>
      <w:r>
        <w:rPr>
          <w:rFonts w:hint="default" w:ascii="Times New Roman" w:hAnsi="Times New Roman" w:eastAsia="仿宋" w:cs="Times New Roman"/>
          <w:color w:val="000000"/>
          <w:sz w:val="24"/>
          <w:u w:val="single"/>
        </w:rPr>
        <w:t xml:space="preserve">     </w:t>
      </w:r>
      <w:r>
        <w:rPr>
          <w:rFonts w:hint="default" w:ascii="Times New Roman" w:hAnsi="Times New Roman" w:eastAsia="仿宋" w:cs="Times New Roman"/>
          <w:color w:val="000000"/>
          <w:sz w:val="24"/>
        </w:rPr>
        <w:t>月</w:t>
      </w:r>
      <w:r>
        <w:rPr>
          <w:rFonts w:hint="default" w:ascii="Times New Roman" w:hAnsi="Times New Roman" w:eastAsia="仿宋" w:cs="Times New Roman"/>
          <w:color w:val="000000"/>
          <w:sz w:val="24"/>
          <w:u w:val="single"/>
        </w:rPr>
        <w:t xml:space="preserve">     </w:t>
      </w:r>
      <w:r>
        <w:rPr>
          <w:rFonts w:hint="default" w:ascii="Times New Roman" w:hAnsi="Times New Roman" w:eastAsia="仿宋" w:cs="Times New Roman"/>
          <w:color w:val="000000"/>
          <w:sz w:val="24"/>
        </w:rPr>
        <w:t>日签字生效,特此声明。</w:t>
      </w:r>
      <w:r>
        <w:rPr>
          <w:rFonts w:hint="default" w:ascii="Times New Roman" w:hAnsi="Times New Roman" w:eastAsia="仿宋" w:cs="Times New Roman"/>
          <w:color w:val="000000"/>
          <w:sz w:val="24"/>
        </w:rPr>
        <w:cr/>
      </w:r>
    </w:p>
    <w:p>
      <w:pPr>
        <w:pStyle w:val="26"/>
        <w:tabs>
          <w:tab w:val="left" w:pos="5580"/>
        </w:tabs>
        <w:spacing w:line="360" w:lineRule="auto"/>
        <w:ind w:firstLine="480" w:firstLineChars="200"/>
        <w:rPr>
          <w:rFonts w:ascii="Times New Roman" w:hAnsi="Times New Roman" w:eastAsia="仿宋" w:cs="Times New Roman"/>
          <w:color w:val="000000"/>
          <w:sz w:val="24"/>
          <w:u w:val="single"/>
        </w:rPr>
      </w:pPr>
      <w:r>
        <w:rPr>
          <w:rFonts w:hint="default" w:ascii="Times New Roman" w:hAnsi="Times New Roman" w:eastAsia="仿宋" w:cs="Times New Roman"/>
          <w:color w:val="000000"/>
          <w:sz w:val="24"/>
          <w:u w:val="none" w:color="auto"/>
        </w:rPr>
        <w:t>投标人（盖单位章）;</w:t>
      </w:r>
      <w:r>
        <w:rPr>
          <w:rFonts w:hint="default" w:ascii="Times New Roman" w:hAnsi="Times New Roman" w:eastAsia="仿宋" w:cs="Times New Roman"/>
          <w:color w:val="000000"/>
          <w:sz w:val="24"/>
          <w:u w:val="single"/>
        </w:rPr>
        <w:t xml:space="preserve">                           </w:t>
      </w:r>
    </w:p>
    <w:p>
      <w:pPr>
        <w:pStyle w:val="26"/>
        <w:tabs>
          <w:tab w:val="left" w:pos="5580"/>
        </w:tabs>
        <w:spacing w:line="360" w:lineRule="auto"/>
        <w:ind w:firstLine="480" w:firstLineChars="200"/>
        <w:rPr>
          <w:rFonts w:ascii="Times New Roman" w:hAnsi="Times New Roman" w:eastAsia="仿宋" w:cs="Times New Roman"/>
          <w:color w:val="000000"/>
          <w:sz w:val="24"/>
        </w:rPr>
      </w:pPr>
      <w:r>
        <w:rPr>
          <w:rFonts w:hint="default" w:ascii="Times New Roman" w:hAnsi="Times New Roman" w:eastAsia="仿宋" w:cs="Times New Roman"/>
          <w:color w:val="000000"/>
          <w:sz w:val="24"/>
          <w:u w:val="single" w:color="FFFFFF"/>
        </w:rPr>
        <w:t>法定代表人（或企业负责人）（签字或签章）</w:t>
      </w:r>
      <w:r>
        <w:rPr>
          <w:rFonts w:hint="default" w:ascii="Times New Roman" w:hAnsi="Times New Roman" w:eastAsia="仿宋" w:cs="Times New Roman"/>
          <w:color w:val="000000"/>
          <w:sz w:val="24"/>
        </w:rPr>
        <w:t>：</w:t>
      </w:r>
      <w:r>
        <w:rPr>
          <w:rFonts w:hint="default" w:ascii="Times New Roman" w:hAnsi="Times New Roman" w:eastAsia="仿宋" w:cs="Times New Roman"/>
          <w:color w:val="000000"/>
          <w:sz w:val="24"/>
          <w:u w:val="single"/>
        </w:rPr>
        <w:t xml:space="preserve">                     </w:t>
      </w:r>
    </w:p>
    <w:p>
      <w:pPr>
        <w:pStyle w:val="26"/>
        <w:tabs>
          <w:tab w:val="left" w:pos="5580"/>
        </w:tabs>
        <w:spacing w:line="360" w:lineRule="auto"/>
        <w:ind w:firstLine="480" w:firstLineChars="200"/>
        <w:rPr>
          <w:rFonts w:ascii="Times New Roman" w:hAnsi="Times New Roman" w:eastAsia="仿宋" w:cs="Times New Roman"/>
          <w:color w:val="000000"/>
          <w:sz w:val="24"/>
          <w:u w:val="single"/>
        </w:rPr>
      </w:pPr>
      <w:r>
        <w:rPr>
          <w:rFonts w:hint="default" w:ascii="Times New Roman" w:hAnsi="Times New Roman" w:eastAsia="仿宋" w:cs="Times New Roman"/>
          <w:color w:val="000000"/>
          <w:sz w:val="24"/>
          <w:u w:val="single" w:color="EEECE1"/>
        </w:rPr>
        <w:t>身份证号码</w:t>
      </w:r>
      <w:r>
        <w:rPr>
          <w:rFonts w:hint="default" w:ascii="Times New Roman" w:hAnsi="Times New Roman" w:eastAsia="仿宋" w:cs="Times New Roman"/>
          <w:color w:val="000000"/>
          <w:sz w:val="24"/>
          <w:u w:val="none"/>
        </w:rPr>
        <w:t>：</w:t>
      </w:r>
      <w:r>
        <w:rPr>
          <w:rFonts w:hint="eastAsia" w:ascii="Times New Roman" w:hAnsi="Times New Roman" w:eastAsia="仿宋" w:cs="Times New Roman"/>
          <w:color w:val="000000"/>
          <w:sz w:val="24"/>
          <w:u w:val="single"/>
          <w:lang w:val="en-US" w:eastAsia="zh-CN"/>
        </w:rPr>
        <w:t xml:space="preserve">                                  </w:t>
      </w:r>
      <w:r>
        <w:rPr>
          <w:rFonts w:hint="default" w:ascii="Times New Roman" w:hAnsi="Times New Roman" w:eastAsia="仿宋" w:cs="Times New Roman"/>
          <w:color w:val="000000"/>
          <w:sz w:val="24"/>
          <w:u w:val="single"/>
        </w:rPr>
        <w:t xml:space="preserve"> </w:t>
      </w:r>
    </w:p>
    <w:p>
      <w:pPr>
        <w:pStyle w:val="26"/>
        <w:tabs>
          <w:tab w:val="left" w:pos="5580"/>
        </w:tabs>
        <w:spacing w:line="360" w:lineRule="auto"/>
        <w:ind w:firstLine="480" w:firstLineChars="200"/>
        <w:rPr>
          <w:rFonts w:ascii="Times New Roman" w:hAnsi="Times New Roman" w:eastAsia="仿宋" w:cs="Times New Roman"/>
          <w:color w:val="000000"/>
          <w:sz w:val="24"/>
          <w:u w:val="single"/>
        </w:rPr>
      </w:pPr>
      <w:r>
        <w:rPr>
          <w:rFonts w:hint="default" w:ascii="Times New Roman" w:hAnsi="Times New Roman" w:eastAsia="仿宋" w:cs="Times New Roman"/>
          <w:color w:val="000000"/>
          <w:sz w:val="24"/>
          <w:u w:val="none"/>
        </w:rPr>
        <w:t>委托代理人：</w:t>
      </w:r>
      <w:r>
        <w:rPr>
          <w:rFonts w:hint="default" w:ascii="Times New Roman" w:hAnsi="Times New Roman" w:eastAsia="仿宋" w:cs="Times New Roman"/>
          <w:color w:val="000000"/>
          <w:sz w:val="24"/>
          <w:u w:val="single"/>
        </w:rPr>
        <w:t xml:space="preserve">                                   </w:t>
      </w:r>
    </w:p>
    <w:p>
      <w:pPr>
        <w:pStyle w:val="26"/>
        <w:tabs>
          <w:tab w:val="left" w:pos="5580"/>
        </w:tabs>
        <w:spacing w:line="360" w:lineRule="auto"/>
        <w:ind w:firstLine="480" w:firstLineChars="200"/>
        <w:rPr>
          <w:rFonts w:ascii="Times New Roman" w:hAnsi="Times New Roman" w:eastAsia="仿宋" w:cs="Times New Roman"/>
          <w:color w:val="000000"/>
          <w:sz w:val="24"/>
          <w:u w:val="single"/>
        </w:rPr>
      </w:pPr>
      <w:r>
        <w:rPr>
          <w:rFonts w:hint="default" w:ascii="Times New Roman" w:hAnsi="Times New Roman" w:eastAsia="仿宋" w:cs="Times New Roman"/>
          <w:color w:val="000000"/>
          <w:sz w:val="24"/>
          <w:u w:val="none"/>
        </w:rPr>
        <w:t>身份证号码：</w:t>
      </w:r>
      <w:r>
        <w:rPr>
          <w:rFonts w:hint="default" w:ascii="Times New Roman" w:hAnsi="Times New Roman" w:eastAsia="仿宋" w:cs="Times New Roman"/>
          <w:color w:val="000000"/>
          <w:sz w:val="24"/>
          <w:u w:val="single"/>
        </w:rPr>
        <w:t xml:space="preserve">                                   </w:t>
      </w:r>
    </w:p>
    <w:p>
      <w:pPr>
        <w:pStyle w:val="26"/>
        <w:tabs>
          <w:tab w:val="left" w:pos="5580"/>
        </w:tabs>
        <w:spacing w:line="360" w:lineRule="auto"/>
        <w:ind w:firstLine="480" w:firstLineChars="200"/>
        <w:rPr>
          <w:rFonts w:ascii="Times New Roman" w:hAnsi="Times New Roman" w:eastAsia="仿宋" w:cs="Times New Roman"/>
          <w:color w:val="000000"/>
          <w:sz w:val="24"/>
        </w:rPr>
      </w:pPr>
      <w:r>
        <w:rPr>
          <w:rFonts w:hint="default" w:ascii="Times New Roman" w:hAnsi="Times New Roman" w:eastAsia="仿宋" w:cs="Times New Roman"/>
          <w:color w:val="000000"/>
          <w:sz w:val="24"/>
          <w:u w:val="single" w:color="FFFFFF"/>
        </w:rPr>
        <w:t>详细通讯地址</w:t>
      </w:r>
      <w:r>
        <w:rPr>
          <w:rFonts w:hint="default" w:ascii="Times New Roman" w:hAnsi="Times New Roman" w:eastAsia="仿宋" w:cs="Times New Roman"/>
          <w:color w:val="000000"/>
          <w:sz w:val="24"/>
        </w:rPr>
        <w:t>：</w:t>
      </w:r>
      <w:r>
        <w:rPr>
          <w:rFonts w:hint="default" w:ascii="Times New Roman" w:hAnsi="Times New Roman" w:eastAsia="仿宋" w:cs="Times New Roman"/>
          <w:color w:val="000000"/>
          <w:sz w:val="24"/>
          <w:u w:val="single"/>
        </w:rPr>
        <w:t xml:space="preserve">                                 </w:t>
      </w:r>
    </w:p>
    <w:p>
      <w:pPr>
        <w:pStyle w:val="26"/>
        <w:tabs>
          <w:tab w:val="left" w:pos="5580"/>
        </w:tabs>
        <w:spacing w:line="360" w:lineRule="auto"/>
        <w:ind w:firstLine="480" w:firstLineChars="200"/>
        <w:rPr>
          <w:rFonts w:ascii="Times New Roman" w:hAnsi="Times New Roman" w:eastAsia="仿宋" w:cs="Times New Roman"/>
          <w:color w:val="000000"/>
          <w:sz w:val="24"/>
        </w:rPr>
      </w:pPr>
      <w:r>
        <w:rPr>
          <w:rFonts w:hint="default" w:ascii="Times New Roman" w:hAnsi="Times New Roman" w:eastAsia="仿宋" w:cs="Times New Roman"/>
          <w:color w:val="000000"/>
          <w:sz w:val="24"/>
          <w:u w:val="single" w:color="FFFFFF"/>
        </w:rPr>
        <w:t xml:space="preserve">邮 政 编 码 </w:t>
      </w:r>
      <w:r>
        <w:rPr>
          <w:rFonts w:hint="default" w:ascii="Times New Roman" w:hAnsi="Times New Roman" w:eastAsia="仿宋" w:cs="Times New Roman"/>
          <w:color w:val="000000"/>
          <w:sz w:val="24"/>
        </w:rPr>
        <w:t>：</w:t>
      </w:r>
      <w:r>
        <w:rPr>
          <w:rFonts w:hint="default" w:ascii="Times New Roman" w:hAnsi="Times New Roman" w:eastAsia="仿宋" w:cs="Times New Roman"/>
          <w:color w:val="000000"/>
          <w:sz w:val="24"/>
          <w:u w:val="single"/>
        </w:rPr>
        <w:t xml:space="preserve">                                 </w:t>
      </w:r>
    </w:p>
    <w:p>
      <w:pPr>
        <w:pStyle w:val="26"/>
        <w:tabs>
          <w:tab w:val="left" w:pos="5580"/>
        </w:tabs>
        <w:spacing w:line="360" w:lineRule="auto"/>
        <w:ind w:firstLine="480" w:firstLineChars="200"/>
        <w:rPr>
          <w:rFonts w:ascii="Times New Roman" w:hAnsi="Times New Roman" w:eastAsia="仿宋" w:cs="Times New Roman"/>
          <w:color w:val="000000"/>
          <w:sz w:val="24"/>
        </w:rPr>
      </w:pPr>
      <w:r>
        <w:rPr>
          <w:rFonts w:hint="default" w:ascii="Times New Roman" w:hAnsi="Times New Roman" w:eastAsia="仿宋" w:cs="Times New Roman"/>
          <w:color w:val="000000"/>
          <w:sz w:val="24"/>
          <w:u w:val="single" w:color="FFFFFF"/>
        </w:rPr>
        <w:t>传        真</w:t>
      </w:r>
      <w:r>
        <w:rPr>
          <w:rFonts w:hint="default" w:ascii="Times New Roman" w:hAnsi="Times New Roman" w:eastAsia="仿宋" w:cs="Times New Roman"/>
          <w:color w:val="000000"/>
          <w:sz w:val="24"/>
        </w:rPr>
        <w:t>：</w:t>
      </w:r>
      <w:r>
        <w:rPr>
          <w:rFonts w:hint="default" w:ascii="Times New Roman" w:hAnsi="Times New Roman" w:eastAsia="仿宋" w:cs="Times New Roman"/>
          <w:color w:val="000000"/>
          <w:sz w:val="24"/>
          <w:u w:val="single"/>
        </w:rPr>
        <w:t xml:space="preserve">                                 </w:t>
      </w:r>
    </w:p>
    <w:p>
      <w:pPr>
        <w:pStyle w:val="26"/>
        <w:tabs>
          <w:tab w:val="left" w:pos="5580"/>
        </w:tabs>
        <w:spacing w:line="360" w:lineRule="auto"/>
        <w:ind w:firstLine="480" w:firstLineChars="200"/>
        <w:rPr>
          <w:rFonts w:hint="default" w:ascii="Times New Roman" w:hAnsi="Times New Roman" w:eastAsia="仿宋" w:cs="Times New Roman"/>
          <w:color w:val="000000"/>
          <w:sz w:val="24"/>
          <w:u w:val="single"/>
        </w:rPr>
      </w:pPr>
      <w:r>
        <w:rPr>
          <w:rFonts w:hint="default" w:ascii="Times New Roman" w:hAnsi="Times New Roman" w:eastAsia="仿宋" w:cs="Times New Roman"/>
          <w:color w:val="000000"/>
          <w:sz w:val="24"/>
          <w:u w:val="single" w:color="FFFFFF"/>
        </w:rPr>
        <w:t>电        话</w:t>
      </w:r>
      <w:r>
        <w:rPr>
          <w:rFonts w:hint="default" w:ascii="Times New Roman" w:hAnsi="Times New Roman" w:eastAsia="仿宋" w:cs="Times New Roman"/>
          <w:color w:val="000000"/>
          <w:sz w:val="24"/>
        </w:rPr>
        <w:t>：</w:t>
      </w:r>
      <w:r>
        <w:rPr>
          <w:rFonts w:hint="default" w:ascii="Times New Roman" w:hAnsi="Times New Roman" w:eastAsia="仿宋" w:cs="Times New Roman"/>
          <w:color w:val="000000"/>
          <w:sz w:val="24"/>
          <w:u w:val="single"/>
        </w:rPr>
        <w:t xml:space="preserve">                                 </w:t>
      </w:r>
      <w:bookmarkStart w:id="385" w:name="_Toc22494201"/>
      <w:bookmarkStart w:id="386" w:name="_Toc39671742"/>
      <w:bookmarkStart w:id="387" w:name="_Toc32520"/>
      <w:bookmarkStart w:id="388" w:name="_Toc7039"/>
      <w:bookmarkStart w:id="389" w:name="_Toc515647808"/>
    </w:p>
    <w:p>
      <w:pPr>
        <w:pStyle w:val="26"/>
        <w:tabs>
          <w:tab w:val="left" w:pos="5580"/>
        </w:tabs>
        <w:spacing w:line="360" w:lineRule="auto"/>
        <w:ind w:firstLine="480" w:firstLineChars="200"/>
        <w:rPr>
          <w:rFonts w:hint="default" w:ascii="Times New Roman" w:hAnsi="Times New Roman" w:eastAsia="仿宋" w:cs="Times New Roman"/>
          <w:color w:val="000000"/>
          <w:sz w:val="24"/>
          <w:u w:val="single"/>
        </w:rPr>
      </w:pPr>
    </w:p>
    <w:bookmarkEnd w:id="385"/>
    <w:bookmarkEnd w:id="386"/>
    <w:p>
      <w:pPr>
        <w:pStyle w:val="15"/>
        <w:numPr>
          <w:ilvl w:val="0"/>
          <w:numId w:val="0"/>
        </w:numPr>
        <w:ind w:firstLine="482" w:firstLineChars="200"/>
        <w:rPr>
          <w:rFonts w:hint="eastAsia" w:ascii="Times New Roman" w:hAnsi="Times New Roman" w:eastAsia="仿宋" w:cs="Times New Roman"/>
          <w:b/>
          <w:bCs/>
          <w:color w:val="auto"/>
          <w:kern w:val="2"/>
          <w:sz w:val="24"/>
          <w:szCs w:val="24"/>
          <w:lang w:val="en-US" w:eastAsia="zh-CN" w:bidi="ar-SA"/>
        </w:rPr>
      </w:pPr>
      <w:r>
        <w:rPr>
          <w:rFonts w:hint="eastAsia" w:ascii="Times New Roman" w:hAnsi="Times New Roman" w:eastAsia="仿宋" w:cs="Times New Roman"/>
          <w:b/>
          <w:bCs/>
          <w:color w:val="auto"/>
          <w:kern w:val="2"/>
          <w:sz w:val="24"/>
          <w:szCs w:val="24"/>
          <w:lang w:val="en-US" w:eastAsia="zh-CN" w:bidi="ar-SA"/>
        </w:rPr>
        <w:t>4、近两年任意一年的财务审计报告（新成立公司提供开标前三个月内任意一个月有效银行资信证明）</w:t>
      </w:r>
    </w:p>
    <w:p>
      <w:pPr>
        <w:pStyle w:val="15"/>
        <w:numPr>
          <w:ilvl w:val="0"/>
          <w:numId w:val="0"/>
        </w:numPr>
        <w:ind w:firstLine="480" w:firstLineChars="200"/>
        <w:rPr>
          <w:rFonts w:hint="eastAsia" w:ascii="仿宋" w:hAnsi="仿宋" w:eastAsia="仿宋" w:cs="仿宋"/>
          <w:color w:val="000000"/>
          <w:kern w:val="2"/>
          <w:szCs w:val="24"/>
        </w:rPr>
      </w:pPr>
      <w:r>
        <w:rPr>
          <w:rFonts w:hint="eastAsia" w:ascii="仿宋" w:hAnsi="仿宋" w:eastAsia="仿宋" w:cs="仿宋"/>
          <w:color w:val="000000"/>
          <w:kern w:val="2"/>
          <w:szCs w:val="24"/>
        </w:rPr>
        <w:t>说明：</w:t>
      </w:r>
    </w:p>
    <w:p>
      <w:pPr>
        <w:pStyle w:val="15"/>
        <w:rPr>
          <w:rFonts w:hint="eastAsia" w:ascii="仿宋" w:hAnsi="仿宋" w:eastAsia="仿宋" w:cs="仿宋"/>
          <w:color w:val="000000"/>
          <w:kern w:val="2"/>
          <w:szCs w:val="24"/>
        </w:rPr>
      </w:pPr>
      <w:r>
        <w:rPr>
          <w:rFonts w:hint="eastAsia" w:ascii="仿宋" w:hAnsi="仿宋" w:eastAsia="仿宋" w:cs="仿宋"/>
          <w:color w:val="000000"/>
          <w:kern w:val="2"/>
          <w:szCs w:val="24"/>
        </w:rPr>
        <w:t>1）如提供本单位会计师事务所出具的财务审计报告书影印件须加盖本单位章。</w:t>
      </w:r>
    </w:p>
    <w:p>
      <w:pPr>
        <w:pStyle w:val="15"/>
        <w:rPr>
          <w:rFonts w:hint="eastAsia" w:ascii="仿宋" w:hAnsi="仿宋" w:eastAsia="仿宋" w:cs="仿宋"/>
          <w:color w:val="000000"/>
          <w:kern w:val="2"/>
          <w:szCs w:val="24"/>
        </w:rPr>
      </w:pPr>
      <w:r>
        <w:rPr>
          <w:rFonts w:hint="eastAsia" w:ascii="仿宋" w:hAnsi="仿宋" w:eastAsia="仿宋" w:cs="仿宋"/>
          <w:color w:val="000000"/>
          <w:kern w:val="2"/>
          <w:szCs w:val="24"/>
        </w:rPr>
        <w:t>2）如提供银行出具的证明文件。银行证明文件</w:t>
      </w:r>
      <w:r>
        <w:rPr>
          <w:rFonts w:hint="eastAsia" w:ascii="仿宋" w:hAnsi="仿宋" w:eastAsia="仿宋" w:cs="仿宋"/>
          <w:color w:val="000000"/>
          <w:kern w:val="2"/>
          <w:szCs w:val="24"/>
          <w:lang w:val="en-US" w:eastAsia="zh-CN"/>
        </w:rPr>
        <w:t>需</w:t>
      </w:r>
      <w:r>
        <w:rPr>
          <w:rFonts w:hint="eastAsia" w:ascii="仿宋" w:hAnsi="仿宋" w:eastAsia="仿宋" w:cs="仿宋"/>
          <w:color w:val="000000"/>
          <w:kern w:val="2"/>
          <w:szCs w:val="24"/>
        </w:rPr>
        <w:t>提供银行在开标日前三个月内开具证明文件的复印件。银行出具的证明文件应能说明该投标人与银行之间业务往来正常，企业信誉良好等。</w:t>
      </w:r>
    </w:p>
    <w:p>
      <w:pPr>
        <w:pStyle w:val="26"/>
        <w:tabs>
          <w:tab w:val="left" w:pos="5580"/>
        </w:tabs>
        <w:spacing w:line="360" w:lineRule="auto"/>
        <w:ind w:left="1080" w:leftChars="257" w:hanging="540"/>
        <w:rPr>
          <w:rFonts w:ascii="Times New Roman" w:hAnsi="Times New Roman" w:eastAsia="仿宋" w:cs="Times New Roman"/>
          <w:color w:val="000000"/>
          <w:sz w:val="24"/>
        </w:rPr>
      </w:pPr>
    </w:p>
    <w:p>
      <w:pPr>
        <w:tabs>
          <w:tab w:val="left" w:pos="5580"/>
        </w:tabs>
        <w:spacing w:line="360" w:lineRule="auto"/>
        <w:ind w:left="540" w:firstLine="480" w:firstLineChars="200"/>
        <w:rPr>
          <w:rFonts w:ascii="Times New Roman" w:hAnsi="Times New Roman" w:eastAsia="仿宋" w:cs="Times New Roman"/>
          <w:bCs/>
          <w:color w:val="000000"/>
          <w:sz w:val="24"/>
        </w:rPr>
      </w:pPr>
    </w:p>
    <w:p>
      <w:pPr>
        <w:numPr>
          <w:ilvl w:val="0"/>
          <w:numId w:val="0"/>
        </w:numPr>
        <w:spacing w:line="360" w:lineRule="auto"/>
        <w:ind w:firstLine="482" w:firstLineChars="200"/>
        <w:rPr>
          <w:rFonts w:hint="eastAsia" w:ascii="仿宋" w:hAnsi="仿宋" w:eastAsia="仿宋" w:cs="仿宋"/>
          <w:b/>
          <w:bCs/>
          <w:color w:val="auto"/>
        </w:rPr>
      </w:pPr>
      <w:r>
        <w:rPr>
          <w:rFonts w:hint="eastAsia" w:ascii="Times New Roman" w:hAnsi="Times New Roman" w:eastAsia="仿宋" w:cs="Times New Roman"/>
          <w:b/>
          <w:bCs/>
          <w:color w:val="auto"/>
          <w:kern w:val="2"/>
          <w:sz w:val="24"/>
          <w:szCs w:val="24"/>
          <w:lang w:val="en-US" w:eastAsia="zh-CN" w:bidi="ar-SA"/>
        </w:rPr>
        <w:t>5、投标企业依法缴纳近6个月任意一个月社会保险的凭据</w:t>
      </w:r>
    </w:p>
    <w:p>
      <w:pPr>
        <w:numPr>
          <w:ilvl w:val="0"/>
          <w:numId w:val="0"/>
        </w:num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说明：复印件上应加盖本单位章。</w:t>
      </w:r>
    </w:p>
    <w:p>
      <w:pPr>
        <w:pStyle w:val="26"/>
        <w:tabs>
          <w:tab w:val="left" w:pos="5580"/>
        </w:tabs>
        <w:spacing w:line="360" w:lineRule="auto"/>
        <w:ind w:left="1080" w:leftChars="257" w:hanging="540"/>
        <w:rPr>
          <w:rFonts w:ascii="Times New Roman" w:hAnsi="Times New Roman" w:eastAsia="仿宋" w:cs="Times New Roman"/>
          <w:color w:val="000000"/>
          <w:sz w:val="24"/>
        </w:rPr>
      </w:pPr>
    </w:p>
    <w:p>
      <w:pPr>
        <w:pStyle w:val="26"/>
        <w:tabs>
          <w:tab w:val="left" w:pos="5580"/>
        </w:tabs>
        <w:spacing w:line="240" w:lineRule="atLeast"/>
        <w:ind w:firstLine="482" w:firstLineChars="200"/>
        <w:rPr>
          <w:rFonts w:hint="eastAsia" w:ascii="Times New Roman" w:hAnsi="Times New Roman" w:eastAsia="仿宋" w:cs="Times New Roman"/>
          <w:b/>
          <w:bCs/>
          <w:color w:val="auto"/>
          <w:kern w:val="2"/>
          <w:sz w:val="24"/>
          <w:szCs w:val="24"/>
          <w:lang w:val="en-US" w:eastAsia="zh-CN" w:bidi="ar-SA"/>
        </w:rPr>
      </w:pPr>
      <w:r>
        <w:rPr>
          <w:rFonts w:hint="eastAsia" w:ascii="Times New Roman" w:hAnsi="Times New Roman" w:eastAsia="仿宋" w:cs="Times New Roman"/>
          <w:b/>
          <w:bCs/>
          <w:color w:val="auto"/>
          <w:kern w:val="2"/>
          <w:sz w:val="24"/>
          <w:szCs w:val="24"/>
          <w:lang w:val="en-US" w:eastAsia="zh-CN" w:bidi="ar-SA"/>
        </w:rPr>
        <w:t>6、投标企业提供税务部门出具的近 6 个月任意一个月的完税证明。</w:t>
      </w:r>
    </w:p>
    <w:p>
      <w:pPr>
        <w:pStyle w:val="26"/>
        <w:tabs>
          <w:tab w:val="left" w:pos="5580"/>
        </w:tabs>
        <w:spacing w:line="240" w:lineRule="atLeast"/>
        <w:rPr>
          <w:rFonts w:hint="eastAsia" w:ascii="仿宋" w:hAnsi="仿宋" w:eastAsia="仿宋" w:cs="仿宋"/>
          <w:b w:val="0"/>
          <w:bCs w:val="0"/>
          <w:kern w:val="0"/>
          <w:sz w:val="24"/>
          <w:szCs w:val="24"/>
          <w:highlight w:val="none"/>
          <w:lang w:val="en-US" w:eastAsia="zh-CN" w:bidi="ar"/>
        </w:rPr>
      </w:pPr>
      <w:r>
        <w:rPr>
          <w:rFonts w:hint="eastAsia" w:ascii="仿宋" w:hAnsi="仿宋" w:eastAsia="仿宋" w:cs="仿宋"/>
          <w:color w:val="auto"/>
          <w:sz w:val="24"/>
        </w:rPr>
        <w:t xml:space="preserve"> 说明 ：</w:t>
      </w:r>
      <w:r>
        <w:rPr>
          <w:rFonts w:hint="eastAsia" w:ascii="仿宋" w:hAnsi="仿宋" w:eastAsia="仿宋" w:cs="仿宋"/>
          <w:b w:val="0"/>
          <w:bCs w:val="0"/>
          <w:color w:val="auto"/>
          <w:kern w:val="0"/>
          <w:sz w:val="24"/>
          <w:szCs w:val="24"/>
          <w:highlight w:val="none"/>
          <w:lang w:val="en-US" w:eastAsia="zh-CN" w:bidi="ar"/>
        </w:rPr>
        <w:t>1）“提供税务部门出具的</w:t>
      </w:r>
      <w:r>
        <w:rPr>
          <w:rFonts w:hint="eastAsia" w:ascii="Times New Roman" w:hAnsi="Times New Roman" w:eastAsia="仿宋" w:cs="Times New Roman"/>
          <w:b/>
          <w:bCs/>
          <w:color w:val="auto"/>
          <w:kern w:val="2"/>
          <w:sz w:val="24"/>
          <w:szCs w:val="24"/>
          <w:lang w:val="en-US" w:eastAsia="zh-CN" w:bidi="ar-SA"/>
        </w:rPr>
        <w:t>近 6 个月任意一个月</w:t>
      </w:r>
      <w:r>
        <w:rPr>
          <w:rFonts w:hint="eastAsia" w:ascii="仿宋" w:hAnsi="仿宋" w:eastAsia="仿宋" w:cs="仿宋"/>
          <w:b w:val="0"/>
          <w:bCs w:val="0"/>
          <w:color w:val="auto"/>
          <w:kern w:val="0"/>
          <w:sz w:val="24"/>
          <w:szCs w:val="24"/>
          <w:highlight w:val="none"/>
          <w:lang w:val="en-US" w:eastAsia="zh-CN" w:bidi="ar"/>
        </w:rPr>
        <w:t>的完税证</w:t>
      </w:r>
      <w:r>
        <w:rPr>
          <w:rFonts w:hint="eastAsia" w:ascii="仿宋" w:hAnsi="仿宋" w:eastAsia="仿宋" w:cs="仿宋"/>
          <w:b w:val="0"/>
          <w:bCs w:val="0"/>
          <w:kern w:val="0"/>
          <w:sz w:val="24"/>
          <w:szCs w:val="24"/>
          <w:highlight w:val="none"/>
          <w:lang w:val="en-US" w:eastAsia="zh-CN" w:bidi="ar"/>
        </w:rPr>
        <w:t>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pPr>
        <w:pStyle w:val="26"/>
        <w:tabs>
          <w:tab w:val="left" w:pos="5580"/>
        </w:tabs>
        <w:spacing w:line="240" w:lineRule="atLeast"/>
        <w:ind w:firstLine="480" w:firstLineChars="200"/>
        <w:rPr>
          <w:rFonts w:ascii="Times New Roman" w:hAnsi="Times New Roman" w:eastAsia="仿宋" w:cs="Times New Roman"/>
          <w:color w:val="000000"/>
          <w:kern w:val="2"/>
          <w:szCs w:val="24"/>
        </w:rPr>
      </w:pPr>
      <w:r>
        <w:rPr>
          <w:rFonts w:hint="eastAsia" w:ascii="仿宋" w:hAnsi="仿宋" w:eastAsia="仿宋" w:cs="仿宋"/>
          <w:color w:val="000000"/>
          <w:sz w:val="24"/>
          <w:lang w:val="en-US" w:eastAsia="zh-CN"/>
        </w:rPr>
        <w:t>2）</w:t>
      </w:r>
      <w:r>
        <w:rPr>
          <w:rFonts w:hint="eastAsia" w:ascii="仿宋" w:hAnsi="仿宋" w:eastAsia="仿宋" w:cs="仿宋"/>
          <w:color w:val="000000"/>
          <w:sz w:val="24"/>
        </w:rPr>
        <w:t>复印件上应加盖本单位章。</w:t>
      </w:r>
    </w:p>
    <w:bookmarkEnd w:id="387"/>
    <w:bookmarkEnd w:id="388"/>
    <w:bookmarkEnd w:id="389"/>
    <w:p>
      <w:pPr>
        <w:tabs>
          <w:tab w:val="left" w:pos="5580"/>
        </w:tabs>
        <w:spacing w:line="360" w:lineRule="auto"/>
        <w:ind w:left="1080" w:leftChars="257" w:hanging="540"/>
        <w:rPr>
          <w:rFonts w:ascii="Times New Roman" w:hAnsi="Times New Roman" w:eastAsia="仿宋" w:cs="Times New Roman"/>
          <w:color w:val="000000"/>
          <w:sz w:val="24"/>
        </w:rPr>
      </w:pPr>
    </w:p>
    <w:p>
      <w:pPr>
        <w:numPr>
          <w:ilvl w:val="0"/>
          <w:numId w:val="0"/>
        </w:numPr>
        <w:tabs>
          <w:tab w:val="left" w:pos="5580"/>
        </w:tabs>
        <w:spacing w:line="240" w:lineRule="atLeast"/>
        <w:ind w:leftChars="0" w:firstLine="482" w:firstLineChars="200"/>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w:t>
      </w:r>
    </w:p>
    <w:p>
      <w:pPr>
        <w:pStyle w:val="26"/>
        <w:tabs>
          <w:tab w:val="left" w:pos="5580"/>
        </w:tabs>
        <w:spacing w:line="240" w:lineRule="atLeast"/>
        <w:ind w:firstLine="480" w:firstLineChars="200"/>
        <w:rPr>
          <w:rFonts w:hint="eastAsia" w:ascii="仿宋" w:hAnsi="仿宋" w:eastAsia="仿宋" w:cs="仿宋"/>
          <w:color w:val="000000"/>
          <w:sz w:val="24"/>
        </w:rPr>
      </w:pPr>
      <w:r>
        <w:rPr>
          <w:rFonts w:hint="eastAsia" w:ascii="仿宋" w:hAnsi="仿宋" w:eastAsia="仿宋" w:cs="仿宋"/>
          <w:color w:val="000000"/>
          <w:sz w:val="24"/>
        </w:rPr>
        <w:t>说明：1）投标人应按照相关法规规定如实作出说明。</w:t>
      </w:r>
    </w:p>
    <w:p>
      <w:pPr>
        <w:pStyle w:val="26"/>
        <w:tabs>
          <w:tab w:val="left" w:pos="5580"/>
        </w:tabs>
        <w:spacing w:line="240" w:lineRule="atLeast"/>
        <w:ind w:firstLine="480" w:firstLineChars="200"/>
        <w:rPr>
          <w:rFonts w:hint="eastAsia" w:ascii="仿宋" w:hAnsi="仿宋" w:eastAsia="仿宋" w:cs="仿宋"/>
          <w:color w:val="000000"/>
          <w:sz w:val="24"/>
        </w:rPr>
      </w:pPr>
      <w:r>
        <w:rPr>
          <w:rFonts w:hint="eastAsia" w:ascii="仿宋" w:hAnsi="仿宋" w:eastAsia="仿宋" w:cs="仿宋"/>
          <w:color w:val="000000"/>
          <w:sz w:val="24"/>
        </w:rPr>
        <w:t>2）按照招标文件的规定加盖单位章（自然人投标的无需盖章，需要签字）。</w:t>
      </w:r>
    </w:p>
    <w:p>
      <w:pPr>
        <w:pStyle w:val="5"/>
        <w:numPr>
          <w:ilvl w:val="0"/>
          <w:numId w:val="0"/>
        </w:numPr>
        <w:ind w:firstLine="482" w:firstLineChars="200"/>
        <w:rPr>
          <w:rFonts w:hint="eastAsia" w:ascii="仿宋" w:hAnsi="仿宋" w:eastAsia="仿宋" w:cs="仿宋"/>
          <w:sz w:val="24"/>
          <w:highlight w:val="none"/>
          <w:u w:val="none"/>
          <w:lang w:val="en-US" w:eastAsia="zh-CN"/>
        </w:rPr>
      </w:pPr>
      <w:r>
        <w:rPr>
          <w:rFonts w:hint="eastAsia" w:ascii="仿宋" w:hAnsi="仿宋" w:eastAsia="仿宋" w:cs="仿宋"/>
          <w:u w:val="none"/>
          <w:lang w:val="en-US" w:eastAsia="zh-CN"/>
        </w:rPr>
        <w:t>8、</w:t>
      </w:r>
      <w:r>
        <w:rPr>
          <w:rFonts w:hint="eastAsia" w:ascii="仿宋" w:hAnsi="仿宋" w:eastAsia="仿宋" w:cs="仿宋"/>
          <w:sz w:val="24"/>
          <w:highlight w:val="none"/>
          <w:u w:val="none"/>
          <w:lang w:val="en-US" w:eastAsia="zh-CN"/>
        </w:rPr>
        <w:t>参与政府采购活动前3年内未被列入失信、重大税收违法案件、财政部门禁止参加政府采购活动的承诺书；</w:t>
      </w:r>
    </w:p>
    <w:p>
      <w:pPr>
        <w:numPr>
          <w:ilvl w:val="0"/>
          <w:numId w:val="0"/>
        </w:num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说明：</w:t>
      </w:r>
      <w:r>
        <w:rPr>
          <w:rFonts w:hint="eastAsia" w:ascii="仿宋" w:hAnsi="仿宋" w:eastAsia="仿宋" w:cs="仿宋"/>
          <w:color w:val="000000"/>
          <w:sz w:val="24"/>
          <w:lang w:val="en-US" w:eastAsia="zh-CN"/>
        </w:rPr>
        <w:t>承诺书</w:t>
      </w:r>
      <w:r>
        <w:rPr>
          <w:rFonts w:hint="eastAsia" w:ascii="仿宋" w:hAnsi="仿宋" w:eastAsia="仿宋" w:cs="仿宋"/>
          <w:color w:val="000000"/>
          <w:sz w:val="24"/>
        </w:rPr>
        <w:t>上应加盖本单位章。</w:t>
      </w:r>
    </w:p>
    <w:p>
      <w:pPr>
        <w:rPr>
          <w:rFonts w:hint="eastAsia"/>
          <w:lang w:val="en-US" w:eastAsia="zh-CN"/>
        </w:rPr>
      </w:pPr>
    </w:p>
    <w:p>
      <w:pPr>
        <w:spacing w:line="360" w:lineRule="auto"/>
        <w:ind w:firstLine="422" w:firstLineChars="200"/>
        <w:rPr>
          <w:rFonts w:hint="eastAsia" w:ascii="仿宋" w:hAnsi="仿宋" w:eastAsia="仿宋" w:cs="仿宋"/>
          <w:b/>
          <w:bCs/>
          <w:sz w:val="24"/>
          <w:highlight w:val="none"/>
          <w:lang w:val="en-US" w:eastAsia="zh-CN"/>
        </w:rPr>
      </w:pPr>
      <w:r>
        <w:rPr>
          <w:rFonts w:hint="eastAsia" w:ascii="仿宋" w:hAnsi="仿宋" w:eastAsia="仿宋" w:cs="仿宋"/>
          <w:b/>
          <w:bCs/>
          <w:lang w:val="en-US" w:eastAsia="zh-CN"/>
        </w:rPr>
        <w:t>9、</w:t>
      </w:r>
      <w:r>
        <w:rPr>
          <w:rFonts w:hint="eastAsia" w:ascii="仿宋" w:hAnsi="仿宋" w:eastAsia="仿宋" w:cs="仿宋"/>
          <w:b/>
          <w:bCs/>
          <w:sz w:val="24"/>
          <w:highlight w:val="none"/>
          <w:lang w:val="en-US" w:eastAsia="zh-CN"/>
        </w:rPr>
        <w:t>提供针对本次项目《反商业贿赂承诺书》</w:t>
      </w:r>
    </w:p>
    <w:p>
      <w:pPr>
        <w:numPr>
          <w:ilvl w:val="0"/>
          <w:numId w:val="0"/>
        </w:numPr>
        <w:spacing w:line="360" w:lineRule="auto"/>
        <w:ind w:firstLine="720" w:firstLineChars="300"/>
        <w:rPr>
          <w:rFonts w:hint="eastAsia"/>
          <w:lang w:val="en-US" w:eastAsia="zh-CN"/>
        </w:rPr>
      </w:pPr>
      <w:r>
        <w:rPr>
          <w:rFonts w:hint="eastAsia" w:ascii="仿宋" w:hAnsi="仿宋" w:eastAsia="仿宋" w:cs="仿宋"/>
          <w:color w:val="000000"/>
          <w:sz w:val="24"/>
        </w:rPr>
        <w:t>说明：</w:t>
      </w:r>
      <w:r>
        <w:rPr>
          <w:rFonts w:hint="eastAsia" w:ascii="仿宋" w:hAnsi="仿宋" w:eastAsia="仿宋" w:cs="仿宋"/>
          <w:color w:val="000000"/>
          <w:sz w:val="24"/>
          <w:lang w:val="en-US" w:eastAsia="zh-CN"/>
        </w:rPr>
        <w:t>承诺书</w:t>
      </w:r>
      <w:r>
        <w:rPr>
          <w:rFonts w:hint="eastAsia" w:ascii="仿宋" w:hAnsi="仿宋" w:eastAsia="仿宋" w:cs="仿宋"/>
          <w:color w:val="000000"/>
          <w:sz w:val="24"/>
        </w:rPr>
        <w:t>上应加盖本单位章。</w:t>
      </w:r>
    </w:p>
    <w:p>
      <w:pPr>
        <w:pStyle w:val="5"/>
        <w:numPr>
          <w:ilvl w:val="0"/>
          <w:numId w:val="0"/>
        </w:numPr>
        <w:spacing w:before="0" w:after="0" w:line="240" w:lineRule="atLeast"/>
        <w:ind w:firstLine="482" w:firstLineChars="200"/>
        <w:rPr>
          <w:rFonts w:hint="eastAsia" w:ascii="仿宋" w:hAnsi="仿宋" w:eastAsia="仿宋" w:cs="仿宋"/>
          <w:color w:val="000000"/>
          <w:u w:val="none"/>
        </w:rPr>
      </w:pPr>
      <w:bookmarkStart w:id="390" w:name="_Toc39671745"/>
      <w:bookmarkStart w:id="391" w:name="_Toc22494204"/>
      <w:r>
        <w:rPr>
          <w:rFonts w:hint="eastAsia" w:ascii="仿宋" w:hAnsi="仿宋" w:eastAsia="仿宋" w:cs="仿宋"/>
          <w:color w:val="000000"/>
          <w:u w:val="none"/>
          <w:lang w:val="en-US" w:eastAsia="zh-CN"/>
        </w:rPr>
        <w:t>10、</w:t>
      </w:r>
      <w:r>
        <w:rPr>
          <w:rFonts w:hint="eastAsia" w:ascii="仿宋" w:hAnsi="仿宋" w:eastAsia="仿宋" w:cs="仿宋"/>
          <w:color w:val="000000"/>
          <w:u w:val="none"/>
        </w:rPr>
        <w:t>缴纳投标保证金（电汇或转账）凭证复印件加盖公章；</w:t>
      </w:r>
      <w:bookmarkEnd w:id="390"/>
      <w:bookmarkEnd w:id="391"/>
    </w:p>
    <w:p>
      <w:pPr>
        <w:ind w:firstLine="420" w:firstLineChars="200"/>
        <w:rPr>
          <w:rFonts w:hint="eastAsia" w:ascii="仿宋" w:hAnsi="仿宋" w:eastAsia="仿宋" w:cs="仿宋"/>
          <w:color w:val="000000"/>
        </w:rPr>
      </w:pPr>
      <w:r>
        <w:rPr>
          <w:rFonts w:hint="eastAsia" w:ascii="仿宋" w:hAnsi="仿宋" w:eastAsia="仿宋" w:cs="仿宋"/>
          <w:color w:val="000000"/>
        </w:rPr>
        <w:t>投标人可将本项目投标保证金支付的汇款凭证复印件作为缴纳凭证装订在本部分，复印件上应加盖本单位章，将原件装订在本部分正本中</w:t>
      </w:r>
    </w:p>
    <w:p>
      <w:pPr>
        <w:pStyle w:val="15"/>
        <w:ind w:firstLine="422"/>
        <w:rPr>
          <w:rFonts w:hint="eastAsia" w:ascii="仿宋" w:hAnsi="仿宋" w:eastAsia="仿宋" w:cs="仿宋"/>
          <w:b/>
          <w:bCs/>
          <w:color w:val="000000"/>
          <w:kern w:val="2"/>
          <w:szCs w:val="24"/>
        </w:rPr>
      </w:pPr>
      <w:r>
        <w:rPr>
          <w:rFonts w:hint="eastAsia" w:ascii="仿宋" w:hAnsi="仿宋" w:eastAsia="仿宋" w:cs="仿宋"/>
          <w:b/>
          <w:color w:val="000000"/>
          <w:szCs w:val="24"/>
        </w:rPr>
        <w:drawing>
          <wp:inline distT="0" distB="0" distL="114300" distR="114300">
            <wp:extent cx="135890" cy="127000"/>
            <wp:effectExtent l="0" t="0" r="16510" b="6350"/>
            <wp:docPr id="5" name="图片 1" descr="u=797893063,3466715407&amp;fm=26&amp;g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u=797893063,3466715407&amp;fm=26&amp;gp=0"/>
                    <pic:cNvPicPr>
                      <a:picLocks noChangeAspect="1"/>
                    </pic:cNvPicPr>
                  </pic:nvPicPr>
                  <pic:blipFill>
                    <a:blip r:embed="rId17"/>
                    <a:stretch>
                      <a:fillRect/>
                    </a:stretch>
                  </pic:blipFill>
                  <pic:spPr>
                    <a:xfrm>
                      <a:off x="0" y="0"/>
                      <a:ext cx="135890" cy="127000"/>
                    </a:xfrm>
                    <a:prstGeom prst="rect">
                      <a:avLst/>
                    </a:prstGeom>
                    <a:noFill/>
                    <a:ln>
                      <a:noFill/>
                    </a:ln>
                  </pic:spPr>
                </pic:pic>
              </a:graphicData>
            </a:graphic>
          </wp:inline>
        </w:drawing>
      </w:r>
      <w:r>
        <w:rPr>
          <w:rFonts w:hint="eastAsia" w:ascii="仿宋" w:hAnsi="仿宋" w:eastAsia="仿宋" w:cs="仿宋"/>
          <w:b/>
          <w:bCs/>
          <w:color w:val="000000"/>
          <w:kern w:val="2"/>
          <w:szCs w:val="24"/>
        </w:rPr>
        <w:t>本项目无需换取保证金收据。</w:t>
      </w:r>
    </w:p>
    <w:p>
      <w:pPr>
        <w:rPr>
          <w:rFonts w:hint="eastAsia" w:ascii="仿宋" w:hAnsi="仿宋" w:eastAsia="仿宋" w:cs="仿宋"/>
          <w:lang w:val="en-US" w:eastAsia="zh-CN"/>
        </w:rPr>
      </w:pPr>
    </w:p>
    <w:p>
      <w:pPr>
        <w:spacing w:line="360" w:lineRule="auto"/>
        <w:ind w:firstLine="482" w:firstLineChars="200"/>
        <w:rPr>
          <w:rFonts w:hint="eastAsia" w:ascii="仿宋" w:hAnsi="仿宋" w:eastAsia="仿宋" w:cs="仿宋"/>
          <w:sz w:val="24"/>
          <w:highlight w:val="none"/>
        </w:rPr>
      </w:pPr>
      <w:r>
        <w:rPr>
          <w:rFonts w:hint="eastAsia" w:ascii="仿宋" w:hAnsi="仿宋" w:eastAsia="仿宋" w:cs="仿宋"/>
          <w:b/>
          <w:color w:val="000000"/>
          <w:kern w:val="0"/>
          <w:sz w:val="24"/>
          <w:szCs w:val="20"/>
          <w:u w:val="none"/>
          <w:lang w:val="en-US" w:eastAsia="zh-CN" w:bidi="ar-SA"/>
        </w:rPr>
        <w:t>11、投标人可提供有利于投标的其他资格证明材料。</w:t>
      </w:r>
    </w:p>
    <w:p>
      <w:pPr>
        <w:pStyle w:val="30"/>
        <w:tabs>
          <w:tab w:val="center" w:pos="4140"/>
          <w:tab w:val="right" w:pos="8300"/>
          <w:tab w:val="clear" w:pos="4153"/>
          <w:tab w:val="clear" w:pos="8306"/>
        </w:tabs>
        <w:spacing w:line="360" w:lineRule="auto"/>
        <w:jc w:val="center"/>
        <w:rPr>
          <w:rFonts w:hAnsi="宋体" w:cs="宋体"/>
          <w:color w:val="auto"/>
          <w:sz w:val="24"/>
          <w:highlight w:val="none"/>
        </w:rPr>
      </w:pPr>
      <w:r>
        <w:rPr>
          <w:rFonts w:hint="eastAsia" w:hAnsi="宋体" w:cs="宋体"/>
          <w:bCs/>
          <w:iCs/>
          <w:color w:val="auto"/>
          <w:kern w:val="2"/>
          <w:sz w:val="24"/>
          <w:szCs w:val="24"/>
          <w:highlight w:val="none"/>
        </w:rPr>
        <w:br w:type="page"/>
      </w:r>
      <w:bookmarkStart w:id="392" w:name="_Toc518923115"/>
      <w:bookmarkStart w:id="393" w:name="_Toc16844"/>
      <w:r>
        <w:rPr>
          <w:rFonts w:hint="eastAsia" w:hAnsi="宋体" w:cs="宋体"/>
          <w:color w:val="auto"/>
          <w:sz w:val="24"/>
          <w:highlight w:val="none"/>
        </w:rPr>
        <w:t>第二部分  商务及技术文件</w:t>
      </w:r>
      <w:bookmarkEnd w:id="392"/>
      <w:bookmarkEnd w:id="393"/>
    </w:p>
    <w:p>
      <w:pPr>
        <w:pStyle w:val="26"/>
        <w:spacing w:line="360" w:lineRule="auto"/>
        <w:ind w:left="1080" w:leftChars="257" w:hanging="540"/>
        <w:rPr>
          <w:rFonts w:hAnsi="宋体" w:cs="宋体"/>
          <w:color w:val="auto"/>
          <w:sz w:val="24"/>
          <w:highlight w:val="none"/>
        </w:rPr>
      </w:pPr>
    </w:p>
    <w:p>
      <w:pPr>
        <w:pStyle w:val="26"/>
        <w:spacing w:line="360" w:lineRule="auto"/>
        <w:ind w:left="1080" w:leftChars="257" w:hanging="540"/>
        <w:rPr>
          <w:rFonts w:hAnsi="宋体" w:cs="宋体"/>
          <w:color w:val="auto"/>
          <w:sz w:val="24"/>
          <w:highlight w:val="none"/>
        </w:rPr>
      </w:pPr>
      <w:r>
        <w:rPr>
          <w:rFonts w:hint="eastAsia" w:hAnsi="宋体" w:cs="宋体"/>
          <w:color w:val="auto"/>
          <w:sz w:val="24"/>
          <w:highlight w:val="none"/>
        </w:rPr>
        <w:t>1、投标书（投标文件格式三）</w:t>
      </w:r>
    </w:p>
    <w:p>
      <w:pPr>
        <w:pStyle w:val="26"/>
        <w:spacing w:line="360" w:lineRule="auto"/>
        <w:ind w:left="1080" w:leftChars="257" w:hanging="540"/>
        <w:rPr>
          <w:rFonts w:hAnsi="宋体" w:cs="宋体"/>
          <w:color w:val="auto"/>
          <w:sz w:val="24"/>
          <w:highlight w:val="none"/>
        </w:rPr>
      </w:pPr>
      <w:r>
        <w:rPr>
          <w:rFonts w:hint="eastAsia" w:hAnsi="宋体" w:cs="宋体"/>
          <w:color w:val="auto"/>
          <w:sz w:val="24"/>
          <w:highlight w:val="none"/>
        </w:rPr>
        <w:t>2、投标分项报价表（投标文件格式五）</w:t>
      </w:r>
    </w:p>
    <w:p>
      <w:pPr>
        <w:pStyle w:val="26"/>
        <w:spacing w:line="360" w:lineRule="auto"/>
        <w:ind w:left="1080" w:leftChars="257" w:hanging="540"/>
        <w:rPr>
          <w:rFonts w:hAnsi="宋体" w:cs="宋体"/>
          <w:color w:val="auto"/>
          <w:sz w:val="24"/>
          <w:highlight w:val="none"/>
        </w:rPr>
      </w:pPr>
      <w:r>
        <w:rPr>
          <w:rFonts w:hint="eastAsia" w:hAnsi="宋体" w:cs="宋体"/>
          <w:color w:val="auto"/>
          <w:sz w:val="24"/>
          <w:highlight w:val="none"/>
        </w:rPr>
        <w:t>3、技术规格偏离表（投标文件格式六）</w:t>
      </w:r>
    </w:p>
    <w:p>
      <w:pPr>
        <w:pStyle w:val="26"/>
        <w:spacing w:line="360" w:lineRule="auto"/>
        <w:ind w:left="1080" w:leftChars="257" w:hanging="540"/>
        <w:rPr>
          <w:rFonts w:hAnsi="宋体" w:cs="宋体"/>
          <w:color w:val="auto"/>
          <w:sz w:val="24"/>
          <w:highlight w:val="none"/>
        </w:rPr>
      </w:pPr>
      <w:r>
        <w:rPr>
          <w:rFonts w:hint="eastAsia" w:hAnsi="宋体" w:cs="宋体"/>
          <w:color w:val="auto"/>
          <w:sz w:val="24"/>
          <w:highlight w:val="none"/>
        </w:rPr>
        <w:t>4、商务条款偏离表（投标文件格式七）</w:t>
      </w:r>
    </w:p>
    <w:p>
      <w:pPr>
        <w:pStyle w:val="26"/>
        <w:spacing w:line="360" w:lineRule="auto"/>
        <w:ind w:left="1080" w:leftChars="257" w:hanging="540"/>
        <w:rPr>
          <w:rFonts w:hAnsi="宋体" w:cs="宋体"/>
          <w:color w:val="auto"/>
          <w:sz w:val="24"/>
          <w:highlight w:val="none"/>
        </w:rPr>
      </w:pPr>
      <w:r>
        <w:rPr>
          <w:rFonts w:hint="eastAsia" w:hAnsi="宋体" w:cs="宋体"/>
          <w:color w:val="auto"/>
          <w:sz w:val="24"/>
          <w:highlight w:val="none"/>
        </w:rPr>
        <w:t>5、符合《政府采购促进中小企业发展暂行办法》、《关于政府采购支持监狱企业发展有关问题的通知》和《三部门联合发布关于促进残疾人就业政府采购政策的通知》价格扣减条件的投标人须提交）</w:t>
      </w:r>
    </w:p>
    <w:p>
      <w:pPr>
        <w:pStyle w:val="26"/>
        <w:spacing w:line="360" w:lineRule="auto"/>
        <w:ind w:left="1155" w:leftChars="371" w:hanging="376" w:hangingChars="157"/>
        <w:rPr>
          <w:rFonts w:hAnsi="宋体" w:cs="宋体"/>
          <w:color w:val="auto"/>
          <w:sz w:val="24"/>
          <w:highlight w:val="none"/>
        </w:rPr>
      </w:pPr>
      <w:r>
        <w:rPr>
          <w:rFonts w:hint="eastAsia" w:hAnsi="宋体" w:cs="宋体"/>
          <w:color w:val="auto"/>
          <w:sz w:val="24"/>
          <w:highlight w:val="none"/>
        </w:rPr>
        <w:t>5-1 投标人企业（单位）类型声明函（投标文件格式八）</w:t>
      </w:r>
    </w:p>
    <w:p>
      <w:pPr>
        <w:pStyle w:val="26"/>
        <w:spacing w:line="360" w:lineRule="auto"/>
        <w:ind w:left="1155" w:leftChars="371" w:hanging="376" w:hangingChars="157"/>
        <w:rPr>
          <w:rFonts w:hAnsi="宋体" w:cs="宋体"/>
          <w:color w:val="auto"/>
          <w:sz w:val="24"/>
          <w:highlight w:val="none"/>
        </w:rPr>
      </w:pPr>
      <w:r>
        <w:rPr>
          <w:rFonts w:hint="eastAsia" w:hAnsi="宋体" w:cs="宋体"/>
          <w:color w:val="auto"/>
          <w:sz w:val="24"/>
          <w:highlight w:val="none"/>
        </w:rPr>
        <w:t>5-2《中小企业声明函》（投标文件格式九）</w:t>
      </w:r>
    </w:p>
    <w:p>
      <w:pPr>
        <w:pStyle w:val="26"/>
        <w:spacing w:line="360" w:lineRule="auto"/>
        <w:ind w:left="1080" w:leftChars="257" w:hanging="540"/>
        <w:rPr>
          <w:rFonts w:hAnsi="宋体" w:cs="宋体"/>
          <w:color w:val="auto"/>
          <w:sz w:val="24"/>
          <w:highlight w:val="none"/>
        </w:rPr>
      </w:pPr>
      <w:r>
        <w:rPr>
          <w:rFonts w:hint="eastAsia" w:hAnsi="宋体" w:cs="宋体"/>
          <w:color w:val="auto"/>
          <w:sz w:val="24"/>
          <w:highlight w:val="none"/>
        </w:rPr>
        <w:t>6、投标人关联单位的说明（格式自拟）</w:t>
      </w:r>
    </w:p>
    <w:p>
      <w:pPr>
        <w:pStyle w:val="26"/>
        <w:spacing w:line="360" w:lineRule="auto"/>
        <w:ind w:left="1080" w:leftChars="257" w:hanging="540"/>
        <w:rPr>
          <w:rFonts w:hAnsi="宋体" w:cs="宋体"/>
          <w:color w:val="auto"/>
          <w:sz w:val="24"/>
          <w:highlight w:val="none"/>
        </w:rPr>
      </w:pPr>
      <w:r>
        <w:rPr>
          <w:rFonts w:hint="eastAsia" w:hAnsi="宋体" w:cs="宋体"/>
          <w:color w:val="auto"/>
          <w:sz w:val="24"/>
          <w:highlight w:val="none"/>
        </w:rPr>
        <w:t>7、投标文件还应包括投标人须知第10条的所有技术文件</w:t>
      </w:r>
    </w:p>
    <w:p>
      <w:pPr>
        <w:pStyle w:val="26"/>
        <w:tabs>
          <w:tab w:val="left" w:pos="5580"/>
        </w:tabs>
        <w:spacing w:line="360" w:lineRule="auto"/>
        <w:ind w:left="1080" w:leftChars="257" w:hanging="540"/>
        <w:rPr>
          <w:rFonts w:hAnsi="宋体" w:cs="宋体"/>
          <w:color w:val="auto"/>
          <w:sz w:val="24"/>
          <w:highlight w:val="none"/>
        </w:rPr>
      </w:pPr>
      <w:r>
        <w:rPr>
          <w:rFonts w:hint="eastAsia" w:hAnsi="宋体" w:cs="宋体"/>
          <w:color w:val="auto"/>
          <w:sz w:val="24"/>
          <w:highlight w:val="none"/>
        </w:rPr>
        <w:br w:type="page"/>
      </w:r>
    </w:p>
    <w:p>
      <w:pPr>
        <w:pStyle w:val="4"/>
        <w:spacing w:before="0" w:line="360" w:lineRule="auto"/>
        <w:ind w:left="1080" w:leftChars="257" w:hanging="540"/>
        <w:rPr>
          <w:rFonts w:ascii="宋体" w:hAnsi="宋体" w:eastAsia="宋体" w:cs="宋体"/>
          <w:color w:val="auto"/>
          <w:sz w:val="24"/>
          <w:highlight w:val="none"/>
        </w:rPr>
      </w:pPr>
      <w:bookmarkStart w:id="394" w:name="_Toc10878"/>
      <w:bookmarkStart w:id="395" w:name="_Toc31471"/>
      <w:bookmarkStart w:id="396" w:name="_Toc9768"/>
      <w:bookmarkStart w:id="397" w:name="_Toc1026136879"/>
      <w:bookmarkStart w:id="398" w:name="_Toc26126"/>
      <w:bookmarkStart w:id="399" w:name="_Toc518923116"/>
      <w:r>
        <w:rPr>
          <w:rFonts w:hint="eastAsia" w:ascii="宋体" w:hAnsi="宋体" w:eastAsia="宋体" w:cs="宋体"/>
          <w:color w:val="auto"/>
          <w:sz w:val="24"/>
          <w:highlight w:val="none"/>
        </w:rPr>
        <w:t xml:space="preserve">1   </w:t>
      </w:r>
      <w:bookmarkStart w:id="400" w:name="_Hlt520355504"/>
      <w:bookmarkEnd w:id="400"/>
      <w:r>
        <w:rPr>
          <w:rFonts w:hint="eastAsia" w:ascii="宋体" w:hAnsi="宋体" w:eastAsia="宋体" w:cs="宋体"/>
          <w:color w:val="auto"/>
          <w:sz w:val="24"/>
          <w:highlight w:val="none"/>
        </w:rPr>
        <w:t>投标</w:t>
      </w:r>
      <w:bookmarkEnd w:id="362"/>
      <w:bookmarkEnd w:id="363"/>
      <w:r>
        <w:rPr>
          <w:rFonts w:hint="eastAsia" w:ascii="宋体" w:hAnsi="宋体" w:eastAsia="宋体" w:cs="宋体"/>
          <w:color w:val="auto"/>
          <w:sz w:val="24"/>
          <w:highlight w:val="none"/>
        </w:rPr>
        <w:t>书</w:t>
      </w:r>
      <w:bookmarkEnd w:id="364"/>
      <w:r>
        <w:rPr>
          <w:rFonts w:hint="eastAsia" w:ascii="宋体" w:hAnsi="宋体" w:eastAsia="宋体" w:cs="宋体"/>
          <w:color w:val="auto"/>
          <w:sz w:val="24"/>
          <w:highlight w:val="none"/>
        </w:rPr>
        <w:t>（投标文件格式三）</w:t>
      </w:r>
      <w:bookmarkEnd w:id="365"/>
      <w:bookmarkEnd w:id="394"/>
      <w:bookmarkEnd w:id="395"/>
      <w:bookmarkEnd w:id="396"/>
      <w:bookmarkEnd w:id="397"/>
      <w:bookmarkEnd w:id="398"/>
      <w:bookmarkEnd w:id="399"/>
    </w:p>
    <w:p>
      <w:pPr>
        <w:tabs>
          <w:tab w:val="left" w:pos="5580"/>
        </w:tabs>
        <w:spacing w:line="360" w:lineRule="auto"/>
        <w:ind w:left="1080" w:leftChars="257" w:hanging="540"/>
        <w:rPr>
          <w:rFonts w:ascii="宋体" w:hAnsi="宋体" w:cs="宋体"/>
          <w:color w:val="auto"/>
          <w:sz w:val="24"/>
          <w:highlight w:val="none"/>
        </w:rPr>
      </w:pPr>
    </w:p>
    <w:p>
      <w:pPr>
        <w:tabs>
          <w:tab w:val="left" w:pos="5580"/>
        </w:tabs>
        <w:spacing w:line="360" w:lineRule="auto"/>
        <w:ind w:left="1080" w:hanging="108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喀什地区公共资源交易中心</w:t>
      </w:r>
    </w:p>
    <w:p>
      <w:pPr>
        <w:pStyle w:val="26"/>
        <w:tabs>
          <w:tab w:val="left" w:pos="5580"/>
        </w:tabs>
        <w:spacing w:line="360" w:lineRule="auto"/>
        <w:ind w:left="1080" w:leftChars="257" w:hanging="540"/>
        <w:rPr>
          <w:rFonts w:hAnsi="宋体" w:cs="宋体"/>
          <w:color w:val="auto"/>
          <w:sz w:val="24"/>
          <w:highlight w:val="none"/>
        </w:rPr>
      </w:pPr>
    </w:p>
    <w:p>
      <w:pPr>
        <w:pStyle w:val="26"/>
        <w:tabs>
          <w:tab w:val="left" w:pos="5580"/>
        </w:tabs>
        <w:spacing w:line="360" w:lineRule="auto"/>
        <w:ind w:left="2" w:leftChars="1" w:firstLine="480" w:firstLineChars="200"/>
        <w:rPr>
          <w:rFonts w:hAnsi="宋体" w:cs="宋体"/>
          <w:color w:val="auto"/>
          <w:sz w:val="24"/>
          <w:highlight w:val="none"/>
        </w:rPr>
      </w:pPr>
      <w:r>
        <w:rPr>
          <w:rFonts w:hint="eastAsia" w:hAnsi="宋体" w:cs="宋体"/>
          <w:color w:val="auto"/>
          <w:sz w:val="24"/>
          <w:highlight w:val="none"/>
        </w:rPr>
        <w:t>根据贵方(</w:t>
      </w:r>
      <w:r>
        <w:rPr>
          <w:rFonts w:hint="eastAsia" w:hAnsi="宋体" w:cs="宋体"/>
          <w:i/>
          <w:color w:val="auto"/>
          <w:sz w:val="24"/>
          <w:highlight w:val="none"/>
          <w:u w:val="single"/>
        </w:rPr>
        <w:t>项目名称</w:t>
      </w:r>
      <w:r>
        <w:rPr>
          <w:rFonts w:hint="eastAsia" w:hAnsi="宋体" w:cs="宋体"/>
          <w:color w:val="auto"/>
          <w:sz w:val="24"/>
          <w:highlight w:val="none"/>
        </w:rPr>
        <w:t>)项目的投标邀请(</w:t>
      </w:r>
      <w:r>
        <w:rPr>
          <w:rFonts w:hint="eastAsia" w:hAnsi="宋体" w:cs="宋体"/>
          <w:i/>
          <w:color w:val="auto"/>
          <w:sz w:val="24"/>
          <w:highlight w:val="none"/>
          <w:u w:val="single"/>
        </w:rPr>
        <w:t>招标编号</w:t>
      </w:r>
      <w:r>
        <w:rPr>
          <w:rFonts w:hint="eastAsia" w:hAnsi="宋体" w:cs="宋体"/>
          <w:color w:val="auto"/>
          <w:sz w:val="24"/>
          <w:highlight w:val="none"/>
        </w:rPr>
        <w:t>),签字代表(</w:t>
      </w:r>
      <w:r>
        <w:rPr>
          <w:rFonts w:hint="eastAsia" w:hAnsi="宋体" w:cs="宋体"/>
          <w:i/>
          <w:color w:val="auto"/>
          <w:sz w:val="24"/>
          <w:highlight w:val="none"/>
          <w:u w:val="single"/>
        </w:rPr>
        <w:t>姓名、职务</w:t>
      </w:r>
      <w:r>
        <w:rPr>
          <w:rFonts w:hint="eastAsia" w:hAnsi="宋体" w:cs="宋体"/>
          <w:color w:val="auto"/>
          <w:sz w:val="24"/>
          <w:highlight w:val="none"/>
        </w:rPr>
        <w:t>)经正式授权并代表投标人（</w:t>
      </w:r>
      <w:r>
        <w:rPr>
          <w:rFonts w:hint="eastAsia" w:hAnsi="宋体" w:cs="宋体"/>
          <w:i/>
          <w:color w:val="auto"/>
          <w:sz w:val="24"/>
          <w:highlight w:val="none"/>
          <w:u w:val="single"/>
        </w:rPr>
        <w:t>名称、地址</w:t>
      </w:r>
      <w:r>
        <w:rPr>
          <w:rFonts w:hint="eastAsia" w:hAnsi="宋体" w:cs="宋体"/>
          <w:color w:val="auto"/>
          <w:sz w:val="24"/>
          <w:highlight w:val="none"/>
        </w:rPr>
        <w:t>）提交电子文档</w:t>
      </w:r>
      <w:r>
        <w:rPr>
          <w:rFonts w:hint="eastAsia" w:hAnsi="宋体" w:cs="宋体"/>
          <w:color w:val="auto"/>
          <w:sz w:val="24"/>
          <w:highlight w:val="none"/>
          <w:u w:val="single"/>
        </w:rPr>
        <w:t xml:space="preserve">     </w:t>
      </w:r>
      <w:r>
        <w:rPr>
          <w:rFonts w:hint="eastAsia" w:hAnsi="宋体" w:cs="宋体"/>
          <w:color w:val="auto"/>
          <w:sz w:val="24"/>
          <w:highlight w:val="none"/>
        </w:rPr>
        <w:t>份，并以</w:t>
      </w:r>
      <w:r>
        <w:rPr>
          <w:rFonts w:hint="eastAsia" w:hAnsi="宋体" w:cs="宋体"/>
          <w:color w:val="auto"/>
          <w:sz w:val="24"/>
          <w:highlight w:val="none"/>
          <w:u w:val="single"/>
        </w:rPr>
        <w:t xml:space="preserve">    </w:t>
      </w:r>
      <w:r>
        <w:rPr>
          <w:rFonts w:hint="eastAsia" w:hAnsi="宋体" w:cs="宋体"/>
          <w:color w:val="auto"/>
          <w:sz w:val="24"/>
          <w:highlight w:val="none"/>
        </w:rPr>
        <w:t>形式出具的金额为人民币</w:t>
      </w:r>
      <w:r>
        <w:rPr>
          <w:rFonts w:hint="eastAsia" w:hAnsi="宋体" w:cs="宋体"/>
          <w:color w:val="auto"/>
          <w:sz w:val="24"/>
          <w:highlight w:val="none"/>
          <w:u w:val="single"/>
          <w:lang w:val="en-US" w:eastAsia="zh-CN"/>
        </w:rPr>
        <w:t xml:space="preserve">   </w:t>
      </w:r>
      <w:r>
        <w:rPr>
          <w:rFonts w:hint="eastAsia" w:hAnsi="宋体" w:cs="宋体"/>
          <w:color w:val="auto"/>
          <w:sz w:val="24"/>
          <w:highlight w:val="none"/>
        </w:rPr>
        <w:t>元的投标保证金。</w:t>
      </w:r>
    </w:p>
    <w:p>
      <w:pPr>
        <w:pStyle w:val="26"/>
        <w:tabs>
          <w:tab w:val="left" w:pos="5580"/>
        </w:tabs>
        <w:spacing w:line="360" w:lineRule="auto"/>
        <w:ind w:left="1080" w:leftChars="257" w:hanging="540"/>
        <w:rPr>
          <w:rFonts w:hAnsi="宋体" w:cs="宋体"/>
          <w:color w:val="auto"/>
          <w:sz w:val="24"/>
          <w:highlight w:val="none"/>
        </w:rPr>
      </w:pPr>
      <w:r>
        <w:rPr>
          <w:rFonts w:hint="eastAsia" w:hAnsi="宋体" w:cs="宋体"/>
          <w:color w:val="auto"/>
          <w:sz w:val="24"/>
          <w:highlight w:val="none"/>
        </w:rPr>
        <w:t>据此，签字代表宣布同意如下：</w:t>
      </w:r>
    </w:p>
    <w:p>
      <w:pPr>
        <w:pStyle w:val="26"/>
        <w:tabs>
          <w:tab w:val="left" w:pos="720"/>
          <w:tab w:val="left" w:pos="900"/>
        </w:tabs>
        <w:spacing w:line="360" w:lineRule="auto"/>
        <w:ind w:left="769" w:leftChars="257" w:hanging="229"/>
        <w:rPr>
          <w:rFonts w:hAnsi="宋体" w:cs="宋体"/>
          <w:color w:val="auto"/>
          <w:sz w:val="24"/>
          <w:highlight w:val="none"/>
          <w:u w:val="single"/>
        </w:rPr>
      </w:pPr>
      <w:r>
        <w:rPr>
          <w:rFonts w:hint="eastAsia" w:hAnsi="宋体" w:cs="宋体"/>
          <w:color w:val="auto"/>
          <w:sz w:val="24"/>
          <w:highlight w:val="none"/>
        </w:rPr>
        <w:t>（1）附投标价格表中规定的应提供服务的投标总价详见开标一览表，</w:t>
      </w:r>
      <w:r>
        <w:rPr>
          <w:rFonts w:hint="eastAsia" w:hAnsi="宋体" w:cs="宋体"/>
          <w:color w:val="auto"/>
          <w:sz w:val="24"/>
          <w:highlight w:val="none"/>
          <w:u w:val="single"/>
        </w:rPr>
        <w:t>其中由小型和</w:t>
      </w:r>
      <w:r>
        <w:rPr>
          <w:rFonts w:hint="eastAsia" w:hAnsi="宋体" w:cs="宋体"/>
          <w:color w:val="auto"/>
          <w:sz w:val="24"/>
          <w:highlight w:val="none"/>
        </w:rPr>
        <w:t>微型企业制造产品的价格为</w:t>
      </w:r>
      <w:r>
        <w:rPr>
          <w:rFonts w:hint="eastAsia" w:hAnsi="宋体" w:cs="宋体"/>
          <w:color w:val="auto"/>
          <w:sz w:val="24"/>
          <w:highlight w:val="none"/>
          <w:u w:val="single"/>
        </w:rPr>
        <w:t>　　  （用文字和数字表示），占投标总价   %</w:t>
      </w:r>
      <w:r>
        <w:rPr>
          <w:rFonts w:hint="eastAsia" w:hAnsi="宋体" w:cs="宋体"/>
          <w:color w:val="auto"/>
          <w:sz w:val="24"/>
          <w:highlight w:val="none"/>
        </w:rPr>
        <w:t>。</w:t>
      </w:r>
    </w:p>
    <w:p>
      <w:pPr>
        <w:pStyle w:val="26"/>
        <w:tabs>
          <w:tab w:val="left" w:pos="5580"/>
        </w:tabs>
        <w:spacing w:line="360" w:lineRule="auto"/>
        <w:ind w:left="1080" w:leftChars="257" w:hanging="540"/>
        <w:rPr>
          <w:rFonts w:hAnsi="宋体" w:cs="宋体"/>
          <w:color w:val="auto"/>
          <w:sz w:val="24"/>
          <w:highlight w:val="none"/>
        </w:rPr>
      </w:pPr>
      <w:r>
        <w:rPr>
          <w:rFonts w:hint="eastAsia" w:hAnsi="宋体" w:cs="宋体"/>
          <w:color w:val="auto"/>
          <w:sz w:val="24"/>
          <w:highlight w:val="none"/>
        </w:rPr>
        <w:t>（2）本投标有效期为自投标截止之日起</w:t>
      </w:r>
      <w:r>
        <w:rPr>
          <w:rFonts w:hint="eastAsia" w:hAnsi="宋体" w:cs="宋体"/>
          <w:color w:val="auto"/>
          <w:sz w:val="24"/>
          <w:highlight w:val="none"/>
          <w:u w:val="single"/>
        </w:rPr>
        <w:t xml:space="preserve">          </w:t>
      </w:r>
      <w:r>
        <w:rPr>
          <w:rFonts w:hint="eastAsia" w:hAnsi="宋体" w:cs="宋体"/>
          <w:color w:val="auto"/>
          <w:sz w:val="24"/>
          <w:highlight w:val="none"/>
        </w:rPr>
        <w:t>个日历日。</w:t>
      </w:r>
    </w:p>
    <w:p>
      <w:pPr>
        <w:pStyle w:val="26"/>
        <w:tabs>
          <w:tab w:val="left" w:pos="5580"/>
        </w:tabs>
        <w:spacing w:line="360" w:lineRule="auto"/>
        <w:ind w:left="1080" w:leftChars="257" w:hanging="540"/>
        <w:rPr>
          <w:rFonts w:hAnsi="宋体" w:cs="宋体"/>
          <w:color w:val="auto"/>
          <w:sz w:val="24"/>
          <w:highlight w:val="none"/>
        </w:rPr>
      </w:pPr>
      <w:r>
        <w:rPr>
          <w:rFonts w:hint="eastAsia" w:hAnsi="宋体" w:cs="宋体"/>
          <w:color w:val="auto"/>
          <w:sz w:val="24"/>
          <w:highlight w:val="none"/>
        </w:rPr>
        <w:t>（3）联合体中的大中型企业和其他自然人、法人或者非法人组织，与联合体中的小型、微型企业之间</w:t>
      </w:r>
      <w:r>
        <w:rPr>
          <w:rFonts w:hint="eastAsia" w:hAnsi="宋体" w:cs="宋体"/>
          <w:color w:val="auto"/>
          <w:sz w:val="24"/>
          <w:highlight w:val="none"/>
          <w:u w:val="single"/>
        </w:rPr>
        <w:t xml:space="preserve">     （</w:t>
      </w:r>
      <w:r>
        <w:rPr>
          <w:rFonts w:hint="eastAsia" w:hAnsi="宋体" w:cs="宋体"/>
          <w:color w:val="auto"/>
          <w:sz w:val="24"/>
          <w:highlight w:val="none"/>
        </w:rPr>
        <w:t>存在、不存在）投资关系（如果联合体的话）。</w:t>
      </w:r>
    </w:p>
    <w:p>
      <w:pPr>
        <w:pStyle w:val="26"/>
        <w:tabs>
          <w:tab w:val="left" w:pos="5580"/>
        </w:tabs>
        <w:spacing w:line="360" w:lineRule="auto"/>
        <w:ind w:left="1080" w:leftChars="257" w:hanging="540"/>
        <w:rPr>
          <w:rFonts w:hAnsi="宋体" w:cs="宋体"/>
          <w:color w:val="auto"/>
          <w:sz w:val="24"/>
          <w:highlight w:val="none"/>
        </w:rPr>
      </w:pPr>
      <w:r>
        <w:rPr>
          <w:rFonts w:hint="eastAsia" w:hAnsi="宋体" w:cs="宋体"/>
          <w:color w:val="auto"/>
          <w:sz w:val="24"/>
          <w:highlight w:val="none"/>
        </w:rPr>
        <w:t>（4）已详细审查全部招标文件，包括所有补充通知（如果有的话），完全理解并同意放弃对这方面有不明、误解和质疑的权力。</w:t>
      </w:r>
    </w:p>
    <w:p>
      <w:pPr>
        <w:pStyle w:val="26"/>
        <w:tabs>
          <w:tab w:val="left" w:pos="5580"/>
        </w:tabs>
        <w:spacing w:line="360" w:lineRule="auto"/>
        <w:ind w:left="1080" w:leftChars="257" w:hanging="540"/>
        <w:rPr>
          <w:rFonts w:hAnsi="宋体" w:cs="宋体"/>
          <w:color w:val="auto"/>
          <w:sz w:val="24"/>
          <w:highlight w:val="none"/>
        </w:rPr>
      </w:pPr>
      <w:r>
        <w:rPr>
          <w:rFonts w:hint="eastAsia" w:hAnsi="宋体" w:cs="宋体"/>
          <w:color w:val="auto"/>
          <w:sz w:val="24"/>
          <w:highlight w:val="none"/>
        </w:rPr>
        <w:t>（5）在规定的开标时间后，遵守招标文件中有关保证金的规定。</w:t>
      </w:r>
    </w:p>
    <w:p>
      <w:pPr>
        <w:pStyle w:val="26"/>
        <w:tabs>
          <w:tab w:val="left" w:pos="5580"/>
        </w:tabs>
        <w:spacing w:line="360" w:lineRule="auto"/>
        <w:ind w:left="1080" w:leftChars="257" w:hanging="540"/>
        <w:rPr>
          <w:rFonts w:hAnsi="宋体" w:cs="宋体"/>
          <w:color w:val="auto"/>
          <w:sz w:val="24"/>
          <w:highlight w:val="none"/>
        </w:rPr>
      </w:pPr>
      <w:r>
        <w:rPr>
          <w:rFonts w:hint="eastAsia" w:hAnsi="宋体" w:cs="宋体"/>
          <w:color w:val="auto"/>
          <w:sz w:val="24"/>
          <w:highlight w:val="none"/>
        </w:rPr>
        <w:t>（6）根据投标人须知第1条规定，我方不是为本项目提供整体设计、规范编制或者项目管理、监理、检测等服务的供应商，我方不是采购代理机构的附属机构。</w:t>
      </w:r>
    </w:p>
    <w:p>
      <w:pPr>
        <w:pStyle w:val="26"/>
        <w:tabs>
          <w:tab w:val="left" w:pos="5580"/>
        </w:tabs>
        <w:spacing w:line="360" w:lineRule="auto"/>
        <w:ind w:left="1080" w:leftChars="257" w:hanging="540"/>
        <w:rPr>
          <w:rFonts w:hAnsi="宋体" w:cs="宋体"/>
          <w:color w:val="auto"/>
          <w:sz w:val="24"/>
          <w:highlight w:val="none"/>
        </w:rPr>
      </w:pPr>
      <w:r>
        <w:rPr>
          <w:rFonts w:hint="eastAsia" w:hAnsi="宋体" w:cs="宋体"/>
          <w:color w:val="auto"/>
          <w:sz w:val="24"/>
          <w:highlight w:val="none"/>
        </w:rPr>
        <w:t>（7）在领取中标通知书的同时按招标文件规定的形式，向贵方一次性支付中标服务费。</w:t>
      </w:r>
    </w:p>
    <w:p>
      <w:pPr>
        <w:pStyle w:val="26"/>
        <w:tabs>
          <w:tab w:val="left" w:pos="5580"/>
        </w:tabs>
        <w:spacing w:line="360" w:lineRule="auto"/>
        <w:ind w:left="1080" w:leftChars="257" w:hanging="540"/>
        <w:rPr>
          <w:rFonts w:hAnsi="宋体" w:cs="宋体"/>
          <w:color w:val="auto"/>
          <w:sz w:val="24"/>
          <w:highlight w:val="none"/>
        </w:rPr>
      </w:pPr>
      <w:r>
        <w:rPr>
          <w:rFonts w:hint="eastAsia" w:hAnsi="宋体" w:cs="宋体"/>
          <w:color w:val="auto"/>
          <w:sz w:val="24"/>
          <w:highlight w:val="none"/>
        </w:rPr>
        <w:t>（8）按照贵方可能要求，提供与其投标有关的一切数据或资料，完全理解贵方不一定接受最低价的投标或收到的任何投标。</w:t>
      </w:r>
    </w:p>
    <w:p>
      <w:pPr>
        <w:pStyle w:val="26"/>
        <w:tabs>
          <w:tab w:val="left" w:pos="5580"/>
        </w:tabs>
        <w:spacing w:line="360" w:lineRule="auto"/>
        <w:ind w:left="1080" w:leftChars="257" w:hanging="540"/>
        <w:rPr>
          <w:rFonts w:hAnsi="宋体" w:cs="宋体"/>
          <w:color w:val="auto"/>
          <w:sz w:val="24"/>
          <w:highlight w:val="none"/>
        </w:rPr>
      </w:pPr>
      <w:r>
        <w:rPr>
          <w:rFonts w:hint="eastAsia" w:hAnsi="宋体" w:cs="宋体"/>
          <w:color w:val="auto"/>
          <w:sz w:val="24"/>
          <w:highlight w:val="none"/>
        </w:rPr>
        <w:t>（9）按照招标文件的规定履行合同责任和义务。</w:t>
      </w:r>
    </w:p>
    <w:p>
      <w:pPr>
        <w:pStyle w:val="26"/>
        <w:tabs>
          <w:tab w:val="left" w:pos="5580"/>
        </w:tabs>
        <w:spacing w:line="360" w:lineRule="auto"/>
        <w:ind w:left="359" w:leftChars="68" w:hanging="216" w:hangingChars="90"/>
        <w:rPr>
          <w:rFonts w:hAnsi="宋体" w:cs="宋体"/>
          <w:color w:val="auto"/>
          <w:sz w:val="24"/>
          <w:highlight w:val="none"/>
        </w:rPr>
      </w:pPr>
      <w:r>
        <w:rPr>
          <w:rFonts w:hint="eastAsia" w:hAnsi="宋体" w:cs="宋体"/>
          <w:color w:val="auto"/>
          <w:sz w:val="24"/>
          <w:highlight w:val="none"/>
        </w:rPr>
        <w:t xml:space="preserve">  </w:t>
      </w:r>
    </w:p>
    <w:p>
      <w:pPr>
        <w:pStyle w:val="26"/>
        <w:tabs>
          <w:tab w:val="left" w:pos="5580"/>
        </w:tabs>
        <w:spacing w:line="360" w:lineRule="auto"/>
        <w:ind w:left="359" w:leftChars="68" w:hanging="216" w:hangingChars="90"/>
        <w:rPr>
          <w:rFonts w:hAnsi="宋体" w:cs="宋体"/>
          <w:color w:val="auto"/>
          <w:sz w:val="24"/>
          <w:highlight w:val="none"/>
        </w:rPr>
      </w:pPr>
      <w:r>
        <w:rPr>
          <w:rFonts w:hint="eastAsia" w:hAnsi="宋体" w:cs="宋体"/>
          <w:color w:val="auto"/>
          <w:sz w:val="24"/>
          <w:highlight w:val="none"/>
        </w:rPr>
        <w:t>与本投标有关的一切正式往来信函请寄：</w:t>
      </w:r>
    </w:p>
    <w:p>
      <w:pPr>
        <w:pStyle w:val="26"/>
        <w:tabs>
          <w:tab w:val="left" w:pos="5580"/>
        </w:tabs>
        <w:spacing w:line="360" w:lineRule="auto"/>
        <w:ind w:left="1080" w:leftChars="257" w:hanging="540"/>
        <w:rPr>
          <w:rFonts w:hAnsi="宋体" w:cs="宋体"/>
          <w:color w:val="auto"/>
          <w:sz w:val="24"/>
          <w:highlight w:val="none"/>
        </w:rPr>
      </w:pPr>
      <w:r>
        <w:rPr>
          <w:rFonts w:hint="eastAsia" w:hAnsi="宋体" w:cs="宋体"/>
          <w:color w:val="auto"/>
          <w:sz w:val="24"/>
          <w:highlight w:val="none"/>
        </w:rPr>
        <w:t>地址：</w:t>
      </w:r>
      <w:r>
        <w:rPr>
          <w:rFonts w:hint="eastAsia" w:hAnsi="宋体" w:cs="宋体"/>
          <w:color w:val="auto"/>
          <w:sz w:val="24"/>
          <w:highlight w:val="none"/>
          <w:u w:val="single"/>
        </w:rPr>
        <w:t xml:space="preserve">                         </w:t>
      </w:r>
      <w:r>
        <w:rPr>
          <w:rFonts w:hint="eastAsia" w:hAnsi="宋体" w:cs="宋体"/>
          <w:color w:val="auto"/>
          <w:sz w:val="24"/>
          <w:highlight w:val="none"/>
        </w:rPr>
        <w:t xml:space="preserve">     传真：</w:t>
      </w:r>
      <w:r>
        <w:rPr>
          <w:rFonts w:hint="eastAsia" w:hAnsi="宋体" w:cs="宋体"/>
          <w:color w:val="auto"/>
          <w:sz w:val="24"/>
          <w:highlight w:val="none"/>
          <w:u w:val="single"/>
        </w:rPr>
        <w:t xml:space="preserve">                             </w:t>
      </w:r>
    </w:p>
    <w:p>
      <w:pPr>
        <w:pStyle w:val="26"/>
        <w:tabs>
          <w:tab w:val="left" w:pos="5580"/>
        </w:tabs>
        <w:spacing w:line="360" w:lineRule="auto"/>
        <w:ind w:left="1080" w:leftChars="257" w:hanging="540"/>
        <w:rPr>
          <w:rFonts w:hAnsi="宋体" w:cs="宋体"/>
          <w:b/>
          <w:color w:val="auto"/>
          <w:sz w:val="24"/>
          <w:highlight w:val="none"/>
        </w:rPr>
      </w:pPr>
      <w:r>
        <w:rPr>
          <w:rFonts w:hint="eastAsia" w:hAnsi="宋体" w:cs="宋体"/>
          <w:color w:val="auto"/>
          <w:sz w:val="24"/>
          <w:highlight w:val="none"/>
        </w:rPr>
        <w:t>电话：</w:t>
      </w:r>
      <w:r>
        <w:rPr>
          <w:rFonts w:hint="eastAsia" w:hAnsi="宋体" w:cs="宋体"/>
          <w:color w:val="auto"/>
          <w:sz w:val="24"/>
          <w:highlight w:val="none"/>
          <w:u w:val="single"/>
        </w:rPr>
        <w:t xml:space="preserve">                         </w:t>
      </w:r>
      <w:r>
        <w:rPr>
          <w:rFonts w:hint="eastAsia" w:hAnsi="宋体" w:cs="宋体"/>
          <w:color w:val="auto"/>
          <w:sz w:val="24"/>
          <w:highlight w:val="none"/>
        </w:rPr>
        <w:t xml:space="preserve">     电子函件：</w:t>
      </w:r>
      <w:r>
        <w:rPr>
          <w:rFonts w:hint="eastAsia" w:hAnsi="宋体" w:cs="宋体"/>
          <w:color w:val="auto"/>
          <w:sz w:val="24"/>
          <w:highlight w:val="none"/>
          <w:u w:val="single"/>
        </w:rPr>
        <w:t xml:space="preserve">                         </w:t>
      </w:r>
    </w:p>
    <w:p>
      <w:pPr>
        <w:pStyle w:val="26"/>
        <w:tabs>
          <w:tab w:val="left" w:pos="5580"/>
        </w:tabs>
        <w:spacing w:line="360" w:lineRule="auto"/>
        <w:ind w:left="1080" w:leftChars="257" w:hanging="540"/>
        <w:rPr>
          <w:rFonts w:hAnsi="宋体" w:cs="宋体"/>
          <w:color w:val="auto"/>
          <w:sz w:val="24"/>
          <w:highlight w:val="none"/>
        </w:rPr>
      </w:pPr>
    </w:p>
    <w:p>
      <w:pPr>
        <w:pStyle w:val="26"/>
        <w:tabs>
          <w:tab w:val="left" w:pos="5580"/>
        </w:tabs>
        <w:spacing w:line="360" w:lineRule="auto"/>
        <w:ind w:left="1080" w:leftChars="257" w:hanging="540"/>
        <w:rPr>
          <w:rFonts w:hAnsi="宋体" w:cs="宋体"/>
          <w:color w:val="auto"/>
          <w:sz w:val="24"/>
          <w:highlight w:val="none"/>
        </w:rPr>
      </w:pPr>
      <w:r>
        <w:rPr>
          <w:rFonts w:hint="eastAsia" w:hAnsi="宋体" w:cs="宋体"/>
          <w:color w:val="auto"/>
          <w:sz w:val="24"/>
          <w:highlight w:val="none"/>
        </w:rPr>
        <w:t>法定代表人或其委托代理人签字：-----------------</w:t>
      </w:r>
    </w:p>
    <w:p>
      <w:pPr>
        <w:pStyle w:val="26"/>
        <w:tabs>
          <w:tab w:val="left" w:pos="5580"/>
        </w:tabs>
        <w:spacing w:line="360" w:lineRule="auto"/>
        <w:ind w:left="1080" w:leftChars="257" w:hanging="540"/>
        <w:rPr>
          <w:rFonts w:hAnsi="宋体" w:cs="宋体"/>
          <w:color w:val="auto"/>
          <w:sz w:val="24"/>
          <w:highlight w:val="none"/>
        </w:rPr>
      </w:pPr>
      <w:r>
        <w:rPr>
          <w:rFonts w:hint="eastAsia" w:hAnsi="宋体" w:cs="宋体"/>
          <w:color w:val="auto"/>
          <w:sz w:val="24"/>
          <w:highlight w:val="none"/>
        </w:rPr>
        <w:t>投标人名称（全称）：-----------------</w:t>
      </w:r>
    </w:p>
    <w:p>
      <w:pPr>
        <w:pStyle w:val="26"/>
        <w:tabs>
          <w:tab w:val="left" w:pos="5580"/>
        </w:tabs>
        <w:spacing w:line="360" w:lineRule="auto"/>
        <w:ind w:left="1080" w:leftChars="257" w:hanging="540"/>
        <w:rPr>
          <w:rFonts w:hAnsi="宋体" w:cs="宋体"/>
          <w:color w:val="auto"/>
          <w:sz w:val="24"/>
          <w:highlight w:val="none"/>
        </w:rPr>
      </w:pPr>
      <w:r>
        <w:rPr>
          <w:rFonts w:hint="eastAsia" w:hAnsi="宋体" w:cs="宋体"/>
          <w:color w:val="auto"/>
          <w:sz w:val="24"/>
          <w:highlight w:val="none"/>
        </w:rPr>
        <w:t>投标人开户银行（全称）：</w:t>
      </w:r>
      <w:r>
        <w:rPr>
          <w:rFonts w:hint="eastAsia" w:hAnsi="宋体" w:cs="宋体"/>
          <w:color w:val="auto"/>
          <w:sz w:val="24"/>
          <w:highlight w:val="none"/>
          <w:u w:val="single"/>
        </w:rPr>
        <w:t xml:space="preserve">　　　　　　 </w:t>
      </w:r>
    </w:p>
    <w:p>
      <w:pPr>
        <w:pStyle w:val="26"/>
        <w:tabs>
          <w:tab w:val="left" w:pos="5580"/>
        </w:tabs>
        <w:spacing w:line="360" w:lineRule="auto"/>
        <w:ind w:left="1080" w:leftChars="257" w:hanging="540"/>
        <w:rPr>
          <w:rFonts w:hAnsi="宋体" w:cs="宋体"/>
          <w:color w:val="auto"/>
          <w:sz w:val="24"/>
          <w:highlight w:val="none"/>
        </w:rPr>
      </w:pPr>
      <w:r>
        <w:rPr>
          <w:rFonts w:hint="eastAsia" w:hAnsi="宋体" w:cs="宋体"/>
          <w:color w:val="auto"/>
          <w:sz w:val="24"/>
          <w:highlight w:val="none"/>
        </w:rPr>
        <w:t>投标人银行帐号：</w:t>
      </w:r>
      <w:r>
        <w:rPr>
          <w:rFonts w:hint="eastAsia" w:hAnsi="宋体" w:cs="宋体"/>
          <w:color w:val="auto"/>
          <w:sz w:val="24"/>
          <w:highlight w:val="none"/>
          <w:u w:val="single"/>
        </w:rPr>
        <w:t>　　　　　　　　 　　</w:t>
      </w:r>
    </w:p>
    <w:p>
      <w:pPr>
        <w:pStyle w:val="26"/>
        <w:tabs>
          <w:tab w:val="left" w:pos="5580"/>
        </w:tabs>
        <w:spacing w:line="360" w:lineRule="auto"/>
        <w:ind w:left="1080" w:leftChars="257" w:hanging="540"/>
        <w:rPr>
          <w:rFonts w:hAnsi="宋体" w:cs="宋体"/>
          <w:color w:val="auto"/>
          <w:sz w:val="24"/>
          <w:highlight w:val="none"/>
        </w:rPr>
      </w:pPr>
      <w:r>
        <w:rPr>
          <w:rFonts w:hint="eastAsia" w:hAnsi="宋体" w:cs="宋体"/>
          <w:color w:val="auto"/>
          <w:sz w:val="24"/>
          <w:highlight w:val="none"/>
        </w:rPr>
        <w:t>投标人单位章：-------------------------</w:t>
      </w:r>
    </w:p>
    <w:p>
      <w:pPr>
        <w:pStyle w:val="26"/>
        <w:tabs>
          <w:tab w:val="left" w:pos="5580"/>
        </w:tabs>
        <w:spacing w:line="360" w:lineRule="auto"/>
        <w:ind w:left="1080" w:leftChars="257" w:hanging="540"/>
        <w:rPr>
          <w:rFonts w:hint="eastAsia" w:hAnsi="宋体" w:cs="宋体"/>
          <w:color w:val="auto"/>
          <w:sz w:val="24"/>
          <w:highlight w:val="none"/>
        </w:rPr>
      </w:pPr>
      <w:r>
        <w:rPr>
          <w:rFonts w:hint="eastAsia" w:hAnsi="宋体" w:cs="宋体"/>
          <w:color w:val="auto"/>
          <w:sz w:val="24"/>
          <w:highlight w:val="none"/>
        </w:rPr>
        <w:t>日期：------------------------------</w:t>
      </w:r>
      <w:bookmarkStart w:id="401" w:name="_Hlt520356243"/>
      <w:bookmarkEnd w:id="401"/>
      <w:bookmarkStart w:id="402" w:name="_Hlt520355938"/>
      <w:bookmarkEnd w:id="402"/>
      <w:bookmarkStart w:id="403" w:name="_Toc216582815"/>
      <w:bookmarkStart w:id="404" w:name="_Toc2343"/>
      <w:bookmarkStart w:id="405" w:name="_Toc24572"/>
      <w:bookmarkStart w:id="406" w:name="_Toc1893"/>
      <w:bookmarkStart w:id="407" w:name="_Toc518923118"/>
    </w:p>
    <w:p>
      <w:pPr>
        <w:rPr>
          <w:rFonts w:hint="eastAsia" w:hAnsi="宋体" w:cs="宋体"/>
          <w:color w:val="auto"/>
          <w:sz w:val="24"/>
          <w:highlight w:val="none"/>
        </w:rPr>
      </w:pPr>
      <w:r>
        <w:rPr>
          <w:rFonts w:hint="eastAsia" w:hAnsi="宋体" w:cs="宋体"/>
          <w:color w:val="auto"/>
          <w:sz w:val="24"/>
          <w:highlight w:val="none"/>
        </w:rPr>
        <w:br w:type="page"/>
      </w:r>
    </w:p>
    <w:p>
      <w:pPr>
        <w:pStyle w:val="26"/>
        <w:tabs>
          <w:tab w:val="left" w:pos="5580"/>
        </w:tabs>
        <w:spacing w:line="360" w:lineRule="auto"/>
        <w:ind w:left="1080" w:leftChars="257" w:hanging="540"/>
        <w:rPr>
          <w:rFonts w:hint="eastAsia" w:hAnsi="宋体" w:cs="宋体"/>
          <w:color w:val="auto"/>
          <w:sz w:val="24"/>
          <w:highlight w:val="none"/>
        </w:rPr>
      </w:pPr>
    </w:p>
    <w:p>
      <w:pPr>
        <w:pStyle w:val="4"/>
        <w:spacing w:before="0" w:line="360" w:lineRule="auto"/>
        <w:ind w:left="1080" w:leftChars="257" w:hanging="540"/>
        <w:rPr>
          <w:rFonts w:ascii="宋体" w:hAnsi="宋体" w:eastAsia="宋体" w:cs="宋体"/>
          <w:color w:val="auto"/>
          <w:highlight w:val="none"/>
        </w:rPr>
      </w:pPr>
      <w:bookmarkStart w:id="408" w:name="_Toc1988839943"/>
      <w:bookmarkStart w:id="409" w:name="_Toc30945"/>
      <w:r>
        <w:rPr>
          <w:rFonts w:hint="eastAsia" w:ascii="宋体" w:hAnsi="宋体" w:eastAsia="宋体" w:cs="宋体"/>
          <w:color w:val="auto"/>
          <w:sz w:val="24"/>
          <w:highlight w:val="none"/>
        </w:rPr>
        <w:t>2   投标分项报价表</w:t>
      </w:r>
      <w:bookmarkEnd w:id="403"/>
      <w:r>
        <w:rPr>
          <w:rFonts w:hint="eastAsia" w:ascii="宋体" w:hAnsi="宋体" w:eastAsia="宋体" w:cs="宋体"/>
          <w:color w:val="auto"/>
          <w:sz w:val="24"/>
          <w:highlight w:val="none"/>
        </w:rPr>
        <w:t>（投标文件格式五）</w:t>
      </w:r>
      <w:bookmarkEnd w:id="404"/>
      <w:bookmarkEnd w:id="405"/>
      <w:bookmarkEnd w:id="406"/>
      <w:bookmarkEnd w:id="407"/>
      <w:bookmarkEnd w:id="408"/>
      <w:bookmarkEnd w:id="409"/>
    </w:p>
    <w:p>
      <w:pPr>
        <w:pStyle w:val="26"/>
        <w:spacing w:line="360" w:lineRule="auto"/>
        <w:ind w:left="1080" w:leftChars="257" w:hanging="540"/>
        <w:rPr>
          <w:rFonts w:ascii="Times New Roman" w:hAnsi="Times New Roman" w:eastAsia="仿宋"/>
          <w:sz w:val="24"/>
        </w:rPr>
      </w:pPr>
    </w:p>
    <w:p>
      <w:pPr>
        <w:pStyle w:val="26"/>
        <w:spacing w:line="360" w:lineRule="auto"/>
        <w:ind w:left="-141" w:leftChars="-67"/>
        <w:rPr>
          <w:rFonts w:ascii="Times New Roman" w:hAnsi="Times New Roman" w:eastAsia="仿宋"/>
          <w:sz w:val="24"/>
        </w:rPr>
      </w:pPr>
      <w:r>
        <w:rPr>
          <w:rFonts w:ascii="Times New Roman" w:hAnsi="Times New Roman" w:eastAsia="仿宋"/>
          <w:sz w:val="24"/>
        </w:rPr>
        <w:t>项目名称:                 招标编号:             分包号:     　</w:t>
      </w:r>
    </w:p>
    <w:p>
      <w:pPr>
        <w:pStyle w:val="26"/>
        <w:spacing w:line="360" w:lineRule="auto"/>
        <w:ind w:left="-141" w:leftChars="-67"/>
        <w:rPr>
          <w:rFonts w:ascii="Times New Roman" w:hAnsi="Times New Roman" w:eastAsia="仿宋"/>
          <w:sz w:val="24"/>
        </w:rPr>
      </w:pPr>
      <w:r>
        <w:rPr>
          <w:rFonts w:ascii="Times New Roman" w:hAnsi="Times New Roman" w:eastAsia="仿宋"/>
          <w:sz w:val="24"/>
        </w:rPr>
        <w:t>报价单位：人民币</w:t>
      </w:r>
      <w:r>
        <w:rPr>
          <w:rFonts w:hint="eastAsia" w:ascii="Times New Roman" w:hAnsi="Times New Roman" w:eastAsia="仿宋"/>
          <w:sz w:val="24"/>
          <w:lang w:val="en-US" w:eastAsia="zh-CN"/>
        </w:rPr>
        <w:t>万</w:t>
      </w:r>
      <w:r>
        <w:rPr>
          <w:rFonts w:ascii="Times New Roman" w:hAnsi="Times New Roman" w:eastAsia="仿宋"/>
          <w:sz w:val="24"/>
        </w:rPr>
        <w:t>元</w:t>
      </w:r>
    </w:p>
    <w:tbl>
      <w:tblPr>
        <w:tblStyle w:val="43"/>
        <w:tblpPr w:leftFromText="180" w:rightFromText="180" w:vertAnchor="text" w:horzAnchor="page" w:tblpX="1150" w:tblpY="327"/>
        <w:tblOverlap w:val="never"/>
        <w:tblW w:w="9720" w:type="dxa"/>
        <w:tblInd w:w="0" w:type="dxa"/>
        <w:tblLayout w:type="fixed"/>
        <w:tblCellMar>
          <w:top w:w="0" w:type="dxa"/>
          <w:left w:w="0" w:type="dxa"/>
          <w:bottom w:w="0" w:type="dxa"/>
          <w:right w:w="0" w:type="dxa"/>
        </w:tblCellMar>
      </w:tblPr>
      <w:tblGrid>
        <w:gridCol w:w="1080"/>
        <w:gridCol w:w="1080"/>
        <w:gridCol w:w="1080"/>
        <w:gridCol w:w="1080"/>
        <w:gridCol w:w="1080"/>
        <w:gridCol w:w="1080"/>
        <w:gridCol w:w="1080"/>
        <w:gridCol w:w="1080"/>
        <w:gridCol w:w="1080"/>
      </w:tblGrid>
      <w:tr>
        <w:tblPrEx>
          <w:tblCellMar>
            <w:top w:w="0" w:type="dxa"/>
            <w:left w:w="0" w:type="dxa"/>
            <w:bottom w:w="0" w:type="dxa"/>
            <w:right w:w="0" w:type="dxa"/>
          </w:tblCellMar>
        </w:tblPrEx>
        <w:trPr>
          <w:trHeight w:val="900"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eastAsia="仿宋"/>
                <w:color w:val="000000"/>
                <w:sz w:val="24"/>
              </w:rPr>
            </w:pPr>
            <w:r>
              <w:rPr>
                <w:rFonts w:eastAsia="仿宋"/>
                <w:color w:val="000000"/>
                <w:kern w:val="0"/>
                <w:sz w:val="24"/>
                <w:lang w:bidi="ar"/>
              </w:rPr>
              <w:t>序号</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eastAsia="仿宋"/>
                <w:color w:val="000000"/>
                <w:sz w:val="24"/>
              </w:rPr>
            </w:pPr>
            <w:r>
              <w:rPr>
                <w:rFonts w:eastAsia="仿宋"/>
                <w:color w:val="000000"/>
                <w:kern w:val="0"/>
                <w:sz w:val="24"/>
                <w:lang w:bidi="ar"/>
              </w:rPr>
              <w:t>名称</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eastAsia="仿宋"/>
                <w:color w:val="000000"/>
                <w:sz w:val="24"/>
              </w:rPr>
            </w:pPr>
            <w:r>
              <w:rPr>
                <w:rFonts w:eastAsia="仿宋"/>
                <w:color w:val="000000"/>
                <w:kern w:val="0"/>
                <w:sz w:val="24"/>
                <w:lang w:bidi="ar"/>
              </w:rPr>
              <w:t>型号和规格</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eastAsia="仿宋"/>
                <w:color w:val="000000"/>
                <w:sz w:val="24"/>
              </w:rPr>
            </w:pPr>
            <w:r>
              <w:rPr>
                <w:rFonts w:eastAsia="仿宋"/>
                <w:color w:val="000000"/>
                <w:kern w:val="0"/>
                <w:sz w:val="24"/>
                <w:lang w:bidi="ar"/>
              </w:rPr>
              <w:t>数量</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eastAsia="仿宋"/>
                <w:color w:val="000000"/>
                <w:sz w:val="24"/>
              </w:rPr>
            </w:pPr>
            <w:r>
              <w:rPr>
                <w:rFonts w:eastAsia="仿宋"/>
                <w:color w:val="000000"/>
                <w:kern w:val="0"/>
                <w:sz w:val="24"/>
                <w:lang w:bidi="ar"/>
              </w:rPr>
              <w:t>原产地</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eastAsia="仿宋"/>
                <w:color w:val="000000"/>
                <w:sz w:val="24"/>
              </w:rPr>
            </w:pPr>
            <w:r>
              <w:rPr>
                <w:rFonts w:eastAsia="仿宋"/>
                <w:color w:val="000000"/>
                <w:kern w:val="0"/>
                <w:sz w:val="24"/>
                <w:lang w:bidi="ar"/>
              </w:rPr>
              <w:t>制造商名称</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eastAsia="仿宋"/>
                <w:color w:val="000000"/>
                <w:sz w:val="24"/>
              </w:rPr>
            </w:pPr>
            <w:r>
              <w:rPr>
                <w:rFonts w:eastAsia="仿宋"/>
                <w:color w:val="000000"/>
                <w:kern w:val="0"/>
                <w:sz w:val="24"/>
                <w:lang w:bidi="ar"/>
              </w:rPr>
              <w:t>单价</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eastAsia="仿宋"/>
                <w:color w:val="000000"/>
                <w:sz w:val="24"/>
              </w:rPr>
            </w:pPr>
            <w:r>
              <w:rPr>
                <w:rFonts w:eastAsia="仿宋"/>
                <w:color w:val="000000"/>
                <w:kern w:val="0"/>
                <w:sz w:val="24"/>
                <w:lang w:bidi="ar"/>
              </w:rPr>
              <w:t>总价</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eastAsia="仿宋"/>
                <w:color w:val="000000"/>
                <w:sz w:val="24"/>
              </w:rPr>
            </w:pPr>
            <w:r>
              <w:rPr>
                <w:rFonts w:eastAsia="仿宋"/>
                <w:color w:val="000000"/>
                <w:kern w:val="0"/>
                <w:sz w:val="24"/>
                <w:lang w:bidi="ar"/>
              </w:rPr>
              <w:t>备注</w:t>
            </w: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eastAsia="仿宋"/>
                <w:color w:val="000000"/>
                <w:sz w:val="24"/>
              </w:rPr>
            </w:pPr>
            <w:r>
              <w:rPr>
                <w:rFonts w:eastAsia="仿宋"/>
                <w:color w:val="000000"/>
                <w:kern w:val="0"/>
                <w:sz w:val="24"/>
                <w:lang w:bidi="ar"/>
              </w:rPr>
              <w:t>1</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eastAsia="仿宋"/>
                <w:color w:val="000000"/>
                <w:sz w:val="24"/>
                <w:lang w:val="en-US" w:eastAsia="zh-CN"/>
              </w:rPr>
            </w:pPr>
            <w:r>
              <w:rPr>
                <w:rFonts w:hint="eastAsia" w:eastAsia="仿宋"/>
                <w:color w:val="000000"/>
                <w:sz w:val="24"/>
                <w:lang w:val="en-US" w:eastAsia="zh-CN"/>
              </w:rPr>
              <w:t>货物名称</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000000"/>
                <w:sz w:val="24"/>
              </w:rPr>
            </w:pP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eastAsia="仿宋"/>
                <w:color w:val="000000"/>
                <w:sz w:val="24"/>
              </w:rPr>
            </w:pPr>
            <w:r>
              <w:rPr>
                <w:rFonts w:eastAsia="仿宋"/>
                <w:color w:val="000000"/>
                <w:kern w:val="0"/>
                <w:sz w:val="24"/>
                <w:lang w:bidi="ar"/>
              </w:rPr>
              <w:t>2</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eastAsia="仿宋"/>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000000"/>
                <w:sz w:val="24"/>
              </w:rPr>
            </w:pP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eastAsia="仿宋"/>
                <w:color w:val="000000"/>
                <w:sz w:val="24"/>
              </w:rPr>
            </w:pPr>
            <w:r>
              <w:rPr>
                <w:rFonts w:eastAsia="仿宋"/>
                <w:color w:val="000000"/>
                <w:kern w:val="0"/>
                <w:sz w:val="24"/>
                <w:lang w:bidi="ar"/>
              </w:rPr>
              <w:t>3</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eastAsia="仿宋"/>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000000"/>
                <w:sz w:val="24"/>
              </w:rPr>
            </w:pP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eastAsia="仿宋"/>
                <w:color w:val="000000"/>
                <w:sz w:val="24"/>
              </w:rPr>
            </w:pPr>
            <w:r>
              <w:rPr>
                <w:rFonts w:eastAsia="仿宋"/>
                <w:color w:val="000000"/>
                <w:kern w:val="0"/>
                <w:sz w:val="24"/>
                <w:lang w:bidi="ar"/>
              </w:rPr>
              <w:t>4</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000000"/>
                <w:sz w:val="24"/>
              </w:rPr>
            </w:pP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eastAsia="仿宋"/>
                <w:color w:val="000000"/>
                <w:kern w:val="0"/>
                <w:sz w:val="24"/>
                <w:lang w:val="en-US" w:eastAsia="zh-CN" w:bidi="ar"/>
              </w:rPr>
            </w:pPr>
            <w:r>
              <w:rPr>
                <w:rFonts w:hint="eastAsia" w:eastAsia="仿宋"/>
                <w:color w:val="000000"/>
                <w:kern w:val="0"/>
                <w:sz w:val="24"/>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eastAsia" w:eastAsia="仿宋"/>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000000"/>
                <w:sz w:val="24"/>
              </w:rPr>
            </w:pPr>
          </w:p>
        </w:tc>
      </w:tr>
      <w:tr>
        <w:tblPrEx>
          <w:tblCellMar>
            <w:top w:w="0" w:type="dxa"/>
            <w:left w:w="0" w:type="dxa"/>
            <w:bottom w:w="0" w:type="dxa"/>
            <w:right w:w="0" w:type="dxa"/>
          </w:tblCellMar>
        </w:tblPrEx>
        <w:trPr>
          <w:trHeight w:val="285" w:hRule="atLeast"/>
        </w:trPr>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jc w:val="center"/>
              <w:textAlignment w:val="center"/>
              <w:rPr>
                <w:rFonts w:hint="eastAsia" w:eastAsia="仿宋"/>
                <w:color w:val="000000"/>
                <w:kern w:val="0"/>
                <w:sz w:val="24"/>
                <w:lang w:val="en-US" w:eastAsia="zh-CN" w:bidi="ar"/>
              </w:rPr>
            </w:pPr>
            <w:r>
              <w:rPr>
                <w:rFonts w:hint="eastAsia" w:eastAsia="仿宋"/>
                <w:color w:val="000000"/>
                <w:kern w:val="0"/>
                <w:sz w:val="24"/>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hint="default" w:eastAsia="仿宋"/>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000000"/>
                <w:sz w:val="24"/>
              </w:rPr>
            </w:pPr>
          </w:p>
        </w:tc>
        <w:tc>
          <w:tcPr>
            <w:tcW w:w="10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auto"/>
              <w:jc w:val="center"/>
              <w:rPr>
                <w:rFonts w:eastAsia="仿宋"/>
                <w:color w:val="000000"/>
                <w:sz w:val="24"/>
              </w:rPr>
            </w:pPr>
          </w:p>
        </w:tc>
      </w:tr>
      <w:tr>
        <w:tblPrEx>
          <w:tblCellMar>
            <w:top w:w="0" w:type="dxa"/>
            <w:left w:w="0" w:type="dxa"/>
            <w:bottom w:w="0" w:type="dxa"/>
            <w:right w:w="0" w:type="dxa"/>
          </w:tblCellMar>
        </w:tblPrEx>
        <w:trPr>
          <w:trHeight w:val="285" w:hRule="atLeast"/>
        </w:trPr>
        <w:tc>
          <w:tcPr>
            <w:tcW w:w="7560"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60" w:lineRule="auto"/>
              <w:textAlignment w:val="center"/>
              <w:rPr>
                <w:rFonts w:eastAsia="仿宋"/>
                <w:color w:val="000000"/>
                <w:sz w:val="24"/>
              </w:rPr>
            </w:pPr>
            <w:r>
              <w:rPr>
                <w:rFonts w:eastAsia="仿宋"/>
                <w:color w:val="000000"/>
                <w:kern w:val="0"/>
                <w:sz w:val="24"/>
                <w:lang w:bidi="ar"/>
              </w:rPr>
              <w:t>总价：</w:t>
            </w:r>
          </w:p>
        </w:tc>
        <w:tc>
          <w:tcPr>
            <w:tcW w:w="21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spacing w:line="360" w:lineRule="auto"/>
              <w:rPr>
                <w:rFonts w:eastAsia="仿宋"/>
                <w:color w:val="000000"/>
                <w:sz w:val="22"/>
                <w:szCs w:val="22"/>
              </w:rPr>
            </w:pPr>
          </w:p>
        </w:tc>
      </w:tr>
    </w:tbl>
    <w:p>
      <w:pPr>
        <w:pStyle w:val="26"/>
        <w:spacing w:line="360" w:lineRule="auto"/>
        <w:ind w:left="-141" w:leftChars="-67"/>
        <w:rPr>
          <w:rFonts w:ascii="Times New Roman" w:hAnsi="Times New Roman" w:eastAsia="仿宋"/>
          <w:sz w:val="24"/>
        </w:rPr>
      </w:pPr>
    </w:p>
    <w:p>
      <w:pPr>
        <w:pStyle w:val="26"/>
        <w:spacing w:line="360" w:lineRule="auto"/>
        <w:ind w:left="1080" w:leftChars="257" w:hanging="540"/>
        <w:rPr>
          <w:rFonts w:ascii="Times New Roman" w:hAnsi="Times New Roman" w:eastAsia="仿宋"/>
          <w:sz w:val="24"/>
        </w:rPr>
      </w:pPr>
      <w:r>
        <w:rPr>
          <w:rFonts w:ascii="Times New Roman" w:hAnsi="Times New Roman" w:eastAsia="仿宋"/>
          <w:sz w:val="24"/>
        </w:rPr>
        <w:t>法定代表人或其委托代理人签字:</w:t>
      </w:r>
      <w:r>
        <w:rPr>
          <w:rFonts w:ascii="Times New Roman" w:hAnsi="Times New Roman" w:eastAsia="仿宋"/>
          <w:sz w:val="24"/>
          <w:u w:val="single"/>
        </w:rPr>
        <w:t xml:space="preserve"> </w:t>
      </w:r>
      <w:r>
        <w:rPr>
          <w:rFonts w:ascii="Times New Roman" w:hAnsi="Times New Roman" w:eastAsia="仿宋"/>
          <w:sz w:val="24"/>
          <w:u w:val="single"/>
        </w:rPr>
        <w:tab/>
      </w:r>
      <w:r>
        <w:rPr>
          <w:rFonts w:ascii="Times New Roman" w:hAnsi="Times New Roman" w:eastAsia="仿宋"/>
          <w:sz w:val="24"/>
          <w:u w:val="single"/>
        </w:rPr>
        <w:t xml:space="preserve">                 </w:t>
      </w:r>
    </w:p>
    <w:p>
      <w:pPr>
        <w:pStyle w:val="26"/>
        <w:tabs>
          <w:tab w:val="left" w:pos="5370"/>
        </w:tabs>
        <w:spacing w:line="360" w:lineRule="auto"/>
        <w:ind w:left="1080" w:leftChars="257" w:hanging="540"/>
        <w:rPr>
          <w:rFonts w:ascii="Times New Roman" w:hAnsi="Times New Roman" w:eastAsia="仿宋"/>
          <w:sz w:val="24"/>
          <w:u w:val="single"/>
        </w:rPr>
      </w:pPr>
      <w:r>
        <w:rPr>
          <w:rFonts w:ascii="Times New Roman" w:hAnsi="Times New Roman" w:eastAsia="仿宋"/>
          <w:sz w:val="24"/>
        </w:rPr>
        <w:t>投标人(盖单位章):</w:t>
      </w:r>
      <w:r>
        <w:rPr>
          <w:rFonts w:ascii="Times New Roman" w:hAnsi="Times New Roman" w:eastAsia="仿宋"/>
          <w:sz w:val="24"/>
          <w:u w:val="single"/>
        </w:rPr>
        <w:tab/>
      </w:r>
    </w:p>
    <w:p>
      <w:pPr>
        <w:pStyle w:val="26"/>
        <w:spacing w:line="360" w:lineRule="auto"/>
        <w:rPr>
          <w:rFonts w:ascii="Times New Roman" w:hAnsi="Times New Roman" w:eastAsia="仿宋"/>
          <w:sz w:val="24"/>
        </w:rPr>
      </w:pPr>
    </w:p>
    <w:p>
      <w:pPr>
        <w:pStyle w:val="26"/>
        <w:spacing w:line="360" w:lineRule="auto"/>
        <w:ind w:left="1080" w:leftChars="257" w:hanging="540"/>
        <w:rPr>
          <w:rFonts w:ascii="Times New Roman" w:hAnsi="Times New Roman" w:eastAsia="仿宋"/>
          <w:sz w:val="24"/>
        </w:rPr>
      </w:pPr>
    </w:p>
    <w:p>
      <w:pPr>
        <w:pStyle w:val="26"/>
        <w:spacing w:line="360" w:lineRule="auto"/>
        <w:rPr>
          <w:rFonts w:hint="eastAsia" w:ascii="Times New Roman" w:hAnsi="Times New Roman" w:eastAsia="仿宋" w:cs="Times New Roman"/>
          <w:sz w:val="24"/>
        </w:rPr>
      </w:pPr>
      <w:r>
        <w:rPr>
          <w:rFonts w:ascii="Times New Roman" w:hAnsi="Times New Roman" w:eastAsia="仿宋"/>
          <w:sz w:val="24"/>
        </w:rPr>
        <w:t>注:</w:t>
      </w:r>
      <w:r>
        <w:rPr>
          <w:rFonts w:hint="eastAsia" w:ascii="Times New Roman" w:hAnsi="Times New Roman" w:eastAsia="仿宋" w:cs="Times New Roman"/>
          <w:sz w:val="24"/>
        </w:rPr>
        <w:t>1.如果投标人认为需要，每种货物填写一份该表。</w:t>
      </w:r>
    </w:p>
    <w:p>
      <w:pPr>
        <w:pStyle w:val="26"/>
        <w:spacing w:line="360" w:lineRule="auto"/>
        <w:rPr>
          <w:rFonts w:hint="eastAsia" w:ascii="Times New Roman" w:hAnsi="Times New Roman" w:eastAsia="仿宋" w:cs="Times New Roman"/>
          <w:sz w:val="24"/>
        </w:rPr>
      </w:pPr>
      <w:r>
        <w:rPr>
          <w:rFonts w:hint="eastAsia" w:ascii="Times New Roman" w:hAnsi="Times New Roman" w:eastAsia="仿宋" w:cs="Times New Roman"/>
          <w:sz w:val="24"/>
        </w:rPr>
        <w:t>2.如果按单价计算的结果与总价不一致,以单价为准修正总价。</w:t>
      </w:r>
    </w:p>
    <w:p>
      <w:pPr>
        <w:pStyle w:val="26"/>
        <w:spacing w:line="360" w:lineRule="auto"/>
        <w:rPr>
          <w:rFonts w:hint="eastAsia" w:ascii="Times New Roman" w:hAnsi="Times New Roman" w:eastAsia="仿宋" w:cs="Times New Roman"/>
          <w:sz w:val="24"/>
        </w:rPr>
      </w:pPr>
      <w:r>
        <w:rPr>
          <w:rFonts w:hint="eastAsia" w:ascii="Times New Roman" w:hAnsi="Times New Roman" w:eastAsia="仿宋" w:cs="Times New Roman"/>
          <w:sz w:val="24"/>
        </w:rPr>
        <w:t>3.如果不提供详细分项报价将视为没有实质性响应招标文件。</w:t>
      </w:r>
    </w:p>
    <w:p>
      <w:pPr>
        <w:pStyle w:val="26"/>
        <w:spacing w:line="360" w:lineRule="auto"/>
        <w:rPr>
          <w:rFonts w:hint="eastAsia" w:ascii="Times New Roman" w:hAnsi="Times New Roman" w:eastAsia="仿宋" w:cs="Times New Roman"/>
          <w:sz w:val="24"/>
        </w:rPr>
      </w:pPr>
      <w:r>
        <w:rPr>
          <w:rFonts w:hint="eastAsia" w:ascii="Times New Roman" w:hAnsi="Times New Roman" w:eastAsia="仿宋" w:cs="Times New Roman"/>
          <w:sz w:val="24"/>
        </w:rPr>
        <w:t>4.上述各项的详细分项报价，应另页描述。</w:t>
      </w:r>
      <w:bookmarkStart w:id="1321" w:name="_GoBack"/>
      <w:bookmarkEnd w:id="1321"/>
    </w:p>
    <w:p>
      <w:pPr>
        <w:pStyle w:val="26"/>
        <w:spacing w:line="360" w:lineRule="auto"/>
        <w:rPr>
          <w:rFonts w:hint="eastAsia" w:ascii="Times New Roman" w:hAnsi="Times New Roman" w:eastAsia="仿宋" w:cs="Times New Roman"/>
          <w:sz w:val="24"/>
        </w:rPr>
      </w:pPr>
      <w:r>
        <w:rPr>
          <w:rFonts w:hint="eastAsia" w:ascii="Times New Roman" w:hAnsi="Times New Roman" w:eastAsia="仿宋" w:cs="Times New Roman"/>
          <w:sz w:val="24"/>
        </w:rPr>
        <w:t>5.如果开标一览表（报价表）内容与投标文件中明细表内容不一致的，以开标一览表（报价表）内容为准。</w:t>
      </w:r>
    </w:p>
    <w:p>
      <w:pPr>
        <w:pStyle w:val="26"/>
        <w:spacing w:line="360" w:lineRule="auto"/>
        <w:rPr>
          <w:rFonts w:hint="eastAsia" w:hAnsi="宋体" w:cs="宋体"/>
          <w:color w:val="auto"/>
          <w:sz w:val="24"/>
          <w:highlight w:val="none"/>
        </w:rPr>
      </w:pPr>
    </w:p>
    <w:p>
      <w:pPr>
        <w:pStyle w:val="4"/>
        <w:spacing w:before="0" w:line="360" w:lineRule="auto"/>
        <w:jc w:val="both"/>
        <w:rPr>
          <w:rFonts w:ascii="宋体" w:hAnsi="宋体" w:eastAsia="宋体" w:cs="宋体"/>
          <w:color w:val="auto"/>
          <w:sz w:val="24"/>
          <w:highlight w:val="none"/>
        </w:rPr>
      </w:pPr>
      <w:r>
        <w:rPr>
          <w:rFonts w:hint="eastAsia" w:ascii="宋体" w:hAnsi="宋体" w:eastAsia="宋体" w:cs="宋体"/>
          <w:color w:val="auto"/>
          <w:sz w:val="24"/>
          <w:highlight w:val="none"/>
        </w:rPr>
        <w:br w:type="page"/>
      </w:r>
      <w:bookmarkStart w:id="410" w:name="_Toc14331"/>
      <w:bookmarkStart w:id="411" w:name="_Toc849956446"/>
      <w:bookmarkStart w:id="412" w:name="_Toc1321"/>
      <w:bookmarkStart w:id="413" w:name="_Toc2103"/>
      <w:r>
        <w:rPr>
          <w:rFonts w:hint="eastAsia" w:ascii="宋体" w:hAnsi="宋体" w:eastAsia="宋体" w:cs="宋体"/>
          <w:color w:val="auto"/>
          <w:sz w:val="24"/>
          <w:highlight w:val="none"/>
        </w:rPr>
        <w:t>3 技术规格偏离表（投标文件格式六）</w:t>
      </w:r>
      <w:bookmarkEnd w:id="410"/>
      <w:bookmarkEnd w:id="411"/>
      <w:bookmarkEnd w:id="412"/>
      <w:bookmarkEnd w:id="413"/>
    </w:p>
    <w:p>
      <w:pPr>
        <w:pStyle w:val="26"/>
        <w:spacing w:line="360" w:lineRule="auto"/>
        <w:ind w:left="1080" w:leftChars="257" w:hanging="540"/>
        <w:rPr>
          <w:rFonts w:hAnsi="宋体" w:cs="宋体"/>
          <w:color w:val="auto"/>
          <w:sz w:val="24"/>
          <w:highlight w:val="none"/>
        </w:rPr>
      </w:pPr>
    </w:p>
    <w:p>
      <w:pPr>
        <w:pStyle w:val="26"/>
        <w:spacing w:line="360" w:lineRule="auto"/>
        <w:rPr>
          <w:rFonts w:hAnsi="宋体" w:cs="宋体"/>
          <w:color w:val="auto"/>
          <w:sz w:val="24"/>
          <w:highlight w:val="none"/>
        </w:rPr>
      </w:pPr>
      <w:r>
        <w:rPr>
          <w:rFonts w:hint="eastAsia" w:hAnsi="宋体" w:cs="宋体"/>
          <w:color w:val="auto"/>
          <w:sz w:val="24"/>
          <w:highlight w:val="none"/>
        </w:rPr>
        <w:t xml:space="preserve">项目名称:                       招标编号:            分包号：         </w:t>
      </w:r>
    </w:p>
    <w:p>
      <w:pPr>
        <w:pStyle w:val="26"/>
        <w:spacing w:line="360" w:lineRule="auto"/>
        <w:ind w:left="1080" w:leftChars="257" w:hanging="540"/>
        <w:rPr>
          <w:rFonts w:hAnsi="宋体" w:cs="宋体"/>
          <w:color w:val="auto"/>
          <w:sz w:val="24"/>
          <w:highlight w:val="none"/>
        </w:rPr>
      </w:pPr>
    </w:p>
    <w:tbl>
      <w:tblPr>
        <w:tblStyle w:val="43"/>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26"/>
              <w:spacing w:line="360" w:lineRule="auto"/>
              <w:jc w:val="center"/>
              <w:rPr>
                <w:rFonts w:hAnsi="宋体" w:cs="宋体"/>
                <w:color w:val="auto"/>
                <w:sz w:val="24"/>
                <w:highlight w:val="none"/>
              </w:rPr>
            </w:pPr>
            <w:r>
              <w:rPr>
                <w:rFonts w:hint="eastAsia" w:hAnsi="宋体" w:cs="宋体"/>
                <w:color w:val="auto"/>
                <w:sz w:val="24"/>
                <w:highlight w:val="none"/>
              </w:rPr>
              <w:t>序号</w:t>
            </w:r>
          </w:p>
        </w:tc>
        <w:tc>
          <w:tcPr>
            <w:tcW w:w="1260" w:type="dxa"/>
            <w:vAlign w:val="center"/>
          </w:tcPr>
          <w:p>
            <w:pPr>
              <w:pStyle w:val="26"/>
              <w:spacing w:line="360" w:lineRule="auto"/>
              <w:jc w:val="center"/>
              <w:rPr>
                <w:rFonts w:hAnsi="宋体" w:cs="宋体"/>
                <w:color w:val="auto"/>
                <w:sz w:val="24"/>
                <w:highlight w:val="none"/>
              </w:rPr>
            </w:pPr>
            <w:r>
              <w:rPr>
                <w:rFonts w:hint="eastAsia" w:hAnsi="宋体" w:cs="宋体"/>
                <w:color w:val="auto"/>
                <w:sz w:val="24"/>
                <w:highlight w:val="none"/>
              </w:rPr>
              <w:t>名称</w:t>
            </w:r>
          </w:p>
        </w:tc>
        <w:tc>
          <w:tcPr>
            <w:tcW w:w="2340" w:type="dxa"/>
            <w:vAlign w:val="center"/>
          </w:tcPr>
          <w:p>
            <w:pPr>
              <w:pStyle w:val="26"/>
              <w:spacing w:line="360" w:lineRule="auto"/>
              <w:ind w:left="269" w:leftChars="128"/>
              <w:jc w:val="center"/>
              <w:rPr>
                <w:rFonts w:hAnsi="宋体" w:cs="宋体"/>
                <w:color w:val="auto"/>
                <w:sz w:val="24"/>
                <w:highlight w:val="none"/>
              </w:rPr>
            </w:pPr>
            <w:r>
              <w:rPr>
                <w:rFonts w:hint="eastAsia" w:hAnsi="宋体" w:cs="宋体"/>
                <w:color w:val="auto"/>
                <w:sz w:val="24"/>
                <w:highlight w:val="none"/>
              </w:rPr>
              <w:t>招标文件条款号</w:t>
            </w:r>
          </w:p>
        </w:tc>
        <w:tc>
          <w:tcPr>
            <w:tcW w:w="1260" w:type="dxa"/>
            <w:vAlign w:val="center"/>
          </w:tcPr>
          <w:p>
            <w:pPr>
              <w:pStyle w:val="26"/>
              <w:spacing w:line="360" w:lineRule="auto"/>
              <w:jc w:val="center"/>
              <w:rPr>
                <w:rFonts w:hAnsi="宋体" w:cs="宋体"/>
                <w:color w:val="auto"/>
                <w:sz w:val="24"/>
                <w:highlight w:val="none"/>
              </w:rPr>
            </w:pPr>
            <w:r>
              <w:rPr>
                <w:rFonts w:hint="eastAsia" w:hAnsi="宋体" w:cs="宋体"/>
                <w:color w:val="auto"/>
                <w:sz w:val="24"/>
                <w:highlight w:val="none"/>
              </w:rPr>
              <w:t>招标规格</w:t>
            </w:r>
          </w:p>
        </w:tc>
        <w:tc>
          <w:tcPr>
            <w:tcW w:w="1260" w:type="dxa"/>
            <w:vAlign w:val="center"/>
          </w:tcPr>
          <w:p>
            <w:pPr>
              <w:pStyle w:val="26"/>
              <w:spacing w:line="360" w:lineRule="auto"/>
              <w:jc w:val="center"/>
              <w:rPr>
                <w:rFonts w:hAnsi="宋体" w:cs="宋体"/>
                <w:color w:val="auto"/>
                <w:sz w:val="24"/>
                <w:highlight w:val="none"/>
              </w:rPr>
            </w:pPr>
            <w:r>
              <w:rPr>
                <w:rFonts w:hint="eastAsia" w:hAnsi="宋体" w:cs="宋体"/>
                <w:color w:val="auto"/>
                <w:sz w:val="24"/>
                <w:highlight w:val="none"/>
              </w:rPr>
              <w:t>投标规格</w:t>
            </w:r>
          </w:p>
        </w:tc>
        <w:tc>
          <w:tcPr>
            <w:tcW w:w="900" w:type="dxa"/>
            <w:vAlign w:val="center"/>
          </w:tcPr>
          <w:p>
            <w:pPr>
              <w:pStyle w:val="26"/>
              <w:spacing w:line="360" w:lineRule="auto"/>
              <w:jc w:val="center"/>
              <w:rPr>
                <w:rFonts w:hAnsi="宋体" w:cs="宋体"/>
                <w:color w:val="auto"/>
                <w:sz w:val="24"/>
                <w:highlight w:val="none"/>
              </w:rPr>
            </w:pPr>
            <w:r>
              <w:rPr>
                <w:rFonts w:hint="eastAsia" w:hAnsi="宋体" w:cs="宋体"/>
                <w:color w:val="auto"/>
                <w:sz w:val="24"/>
                <w:highlight w:val="none"/>
              </w:rPr>
              <w:t>偏离</w:t>
            </w:r>
          </w:p>
        </w:tc>
        <w:tc>
          <w:tcPr>
            <w:tcW w:w="900" w:type="dxa"/>
            <w:vAlign w:val="center"/>
          </w:tcPr>
          <w:p>
            <w:pPr>
              <w:pStyle w:val="26"/>
              <w:spacing w:line="360" w:lineRule="auto"/>
              <w:jc w:val="center"/>
              <w:rPr>
                <w:rFonts w:hAnsi="宋体" w:cs="宋体"/>
                <w:color w:val="auto"/>
                <w:sz w:val="24"/>
                <w:highlight w:val="none"/>
              </w:rPr>
            </w:pPr>
            <w:r>
              <w:rPr>
                <w:rFonts w:hint="eastAsia" w:hAnsi="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2340"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2340"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2340"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2340"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2340"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2340"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2340"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2340"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2340"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2340"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2340"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2340"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2340"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2340"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2340"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2340"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2340"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126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r>
    </w:tbl>
    <w:p>
      <w:pPr>
        <w:pStyle w:val="26"/>
        <w:spacing w:line="360" w:lineRule="auto"/>
        <w:ind w:left="1080" w:leftChars="257" w:hanging="540"/>
        <w:rPr>
          <w:rFonts w:hAnsi="宋体" w:cs="宋体"/>
          <w:color w:val="auto"/>
          <w:sz w:val="24"/>
          <w:highlight w:val="none"/>
        </w:rPr>
      </w:pPr>
    </w:p>
    <w:p>
      <w:pPr>
        <w:pStyle w:val="26"/>
        <w:spacing w:line="360" w:lineRule="auto"/>
        <w:ind w:left="1080" w:leftChars="257" w:hanging="540"/>
        <w:rPr>
          <w:rFonts w:hAnsi="宋体" w:cs="宋体"/>
          <w:color w:val="auto"/>
          <w:sz w:val="24"/>
          <w:highlight w:val="none"/>
        </w:rPr>
      </w:pPr>
    </w:p>
    <w:p>
      <w:pPr>
        <w:pStyle w:val="26"/>
        <w:spacing w:line="360" w:lineRule="auto"/>
        <w:ind w:left="1080" w:leftChars="257" w:hanging="540"/>
        <w:rPr>
          <w:rFonts w:hAnsi="宋体" w:cs="宋体"/>
          <w:color w:val="auto"/>
          <w:sz w:val="24"/>
          <w:highlight w:val="none"/>
        </w:rPr>
      </w:pPr>
      <w:r>
        <w:rPr>
          <w:rFonts w:hint="eastAsia" w:hAnsi="宋体" w:cs="宋体"/>
          <w:color w:val="auto"/>
          <w:sz w:val="24"/>
          <w:highlight w:val="none"/>
        </w:rPr>
        <w:t>法定代表人或其委托代理人签字:</w:t>
      </w:r>
      <w:r>
        <w:rPr>
          <w:rFonts w:hint="eastAsia" w:hAnsi="宋体" w:cs="宋体"/>
          <w:color w:val="auto"/>
          <w:sz w:val="24"/>
          <w:highlight w:val="none"/>
          <w:u w:val="single"/>
        </w:rPr>
        <w:t xml:space="preserve"> </w:t>
      </w:r>
      <w:r>
        <w:rPr>
          <w:rFonts w:hint="eastAsia" w:hAnsi="宋体" w:cs="宋体"/>
          <w:color w:val="auto"/>
          <w:sz w:val="24"/>
          <w:highlight w:val="none"/>
          <w:u w:val="single"/>
        </w:rPr>
        <w:tab/>
      </w:r>
      <w:r>
        <w:rPr>
          <w:rFonts w:hint="eastAsia" w:hAnsi="宋体" w:cs="宋体"/>
          <w:color w:val="auto"/>
          <w:sz w:val="24"/>
          <w:highlight w:val="none"/>
          <w:u w:val="single"/>
        </w:rPr>
        <w:t xml:space="preserve">                 </w:t>
      </w:r>
    </w:p>
    <w:p>
      <w:pPr>
        <w:pStyle w:val="26"/>
        <w:tabs>
          <w:tab w:val="left" w:pos="5370"/>
        </w:tabs>
        <w:spacing w:line="360" w:lineRule="auto"/>
        <w:ind w:left="1080" w:leftChars="257" w:hanging="540"/>
        <w:rPr>
          <w:rFonts w:hAnsi="宋体" w:cs="宋体"/>
          <w:color w:val="auto"/>
          <w:sz w:val="24"/>
          <w:highlight w:val="none"/>
          <w:u w:val="single"/>
        </w:rPr>
      </w:pPr>
      <w:r>
        <w:rPr>
          <w:rFonts w:hint="eastAsia" w:hAnsi="宋体" w:cs="宋体"/>
          <w:color w:val="auto"/>
          <w:sz w:val="24"/>
          <w:highlight w:val="none"/>
        </w:rPr>
        <w:t>投标人(盖单位章):</w:t>
      </w:r>
      <w:r>
        <w:rPr>
          <w:rFonts w:hint="eastAsia" w:hAnsi="宋体" w:cs="宋体"/>
          <w:color w:val="auto"/>
          <w:sz w:val="24"/>
          <w:highlight w:val="none"/>
          <w:u w:val="single"/>
        </w:rPr>
        <w:tab/>
      </w:r>
    </w:p>
    <w:p>
      <w:pPr>
        <w:pStyle w:val="26"/>
        <w:spacing w:line="360" w:lineRule="auto"/>
        <w:rPr>
          <w:rFonts w:hAnsi="宋体" w:cs="宋体"/>
          <w:color w:val="auto"/>
          <w:sz w:val="24"/>
          <w:highlight w:val="none"/>
        </w:rPr>
      </w:pPr>
      <w:r>
        <w:rPr>
          <w:rFonts w:hint="eastAsia" w:hAnsi="宋体" w:cs="宋体"/>
          <w:color w:val="auto"/>
          <w:sz w:val="24"/>
          <w:highlight w:val="none"/>
          <w:u w:val="single"/>
        </w:rPr>
        <w:br w:type="page"/>
      </w:r>
    </w:p>
    <w:p>
      <w:pPr>
        <w:pStyle w:val="4"/>
        <w:spacing w:before="0" w:line="360" w:lineRule="auto"/>
        <w:ind w:left="1080" w:leftChars="257" w:hanging="540"/>
        <w:rPr>
          <w:rFonts w:ascii="宋体" w:hAnsi="宋体" w:eastAsia="宋体" w:cs="宋体"/>
          <w:color w:val="auto"/>
          <w:sz w:val="24"/>
          <w:highlight w:val="none"/>
        </w:rPr>
      </w:pPr>
      <w:bookmarkStart w:id="414" w:name="_Toc216582818"/>
      <w:bookmarkStart w:id="415" w:name="_Toc518923119"/>
      <w:bookmarkStart w:id="416" w:name="_Toc24529"/>
      <w:bookmarkStart w:id="417" w:name="_Toc8079"/>
      <w:bookmarkStart w:id="418" w:name="_Toc15309"/>
      <w:bookmarkStart w:id="419" w:name="_Toc16610"/>
      <w:bookmarkStart w:id="420" w:name="_Toc156768078"/>
      <w:r>
        <w:rPr>
          <w:rFonts w:hint="eastAsia" w:ascii="宋体" w:hAnsi="宋体" w:eastAsia="宋体" w:cs="宋体"/>
          <w:color w:val="auto"/>
          <w:sz w:val="24"/>
          <w:highlight w:val="none"/>
        </w:rPr>
        <w:t>4   商务条款偏离表</w:t>
      </w:r>
      <w:bookmarkEnd w:id="414"/>
      <w:r>
        <w:rPr>
          <w:rFonts w:hint="eastAsia" w:ascii="宋体" w:hAnsi="宋体" w:eastAsia="宋体" w:cs="宋体"/>
          <w:color w:val="auto"/>
          <w:sz w:val="24"/>
          <w:highlight w:val="none"/>
        </w:rPr>
        <w:t>（投标文件格式七）</w:t>
      </w:r>
      <w:bookmarkEnd w:id="415"/>
      <w:bookmarkEnd w:id="416"/>
      <w:bookmarkEnd w:id="417"/>
      <w:bookmarkEnd w:id="418"/>
      <w:bookmarkEnd w:id="419"/>
      <w:bookmarkEnd w:id="420"/>
    </w:p>
    <w:p>
      <w:pPr>
        <w:pStyle w:val="26"/>
        <w:spacing w:line="360" w:lineRule="auto"/>
        <w:ind w:left="1080" w:leftChars="257" w:hanging="540"/>
        <w:rPr>
          <w:rFonts w:hAnsi="宋体" w:cs="宋体"/>
          <w:color w:val="auto"/>
          <w:sz w:val="24"/>
          <w:highlight w:val="none"/>
        </w:rPr>
      </w:pPr>
    </w:p>
    <w:p>
      <w:pPr>
        <w:pStyle w:val="26"/>
        <w:spacing w:line="360" w:lineRule="auto"/>
        <w:ind w:left="1080" w:leftChars="257" w:hanging="540"/>
        <w:rPr>
          <w:rFonts w:hAnsi="宋体" w:cs="宋体"/>
          <w:color w:val="auto"/>
          <w:sz w:val="24"/>
          <w:highlight w:val="none"/>
        </w:rPr>
      </w:pPr>
    </w:p>
    <w:p>
      <w:pPr>
        <w:pStyle w:val="26"/>
        <w:spacing w:line="360" w:lineRule="auto"/>
        <w:ind w:left="1080" w:leftChars="257" w:hanging="540"/>
        <w:rPr>
          <w:rFonts w:hAnsi="宋体" w:cs="宋体"/>
          <w:color w:val="auto"/>
          <w:sz w:val="24"/>
          <w:highlight w:val="none"/>
        </w:rPr>
      </w:pPr>
      <w:r>
        <w:rPr>
          <w:rFonts w:hint="eastAsia" w:hAnsi="宋体" w:cs="宋体"/>
          <w:color w:val="auto"/>
          <w:sz w:val="24"/>
          <w:highlight w:val="none"/>
        </w:rPr>
        <w:t>项目名称:                      招标编号:             分包号:</w:t>
      </w:r>
    </w:p>
    <w:p>
      <w:pPr>
        <w:pStyle w:val="26"/>
        <w:spacing w:line="360" w:lineRule="auto"/>
        <w:ind w:left="1080" w:leftChars="257" w:hanging="540"/>
        <w:rPr>
          <w:rFonts w:hAnsi="宋体" w:cs="宋体"/>
          <w:color w:val="auto"/>
          <w:sz w:val="24"/>
          <w:highlight w:val="none"/>
        </w:rPr>
      </w:pPr>
    </w:p>
    <w:tbl>
      <w:tblPr>
        <w:tblStyle w:val="43"/>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6"/>
              <w:spacing w:line="360" w:lineRule="auto"/>
              <w:jc w:val="center"/>
              <w:rPr>
                <w:rFonts w:hAnsi="宋体" w:cs="宋体"/>
                <w:color w:val="auto"/>
                <w:sz w:val="24"/>
                <w:highlight w:val="none"/>
              </w:rPr>
            </w:pPr>
            <w:r>
              <w:rPr>
                <w:rFonts w:hint="eastAsia" w:hAnsi="宋体" w:cs="宋体"/>
                <w:color w:val="auto"/>
                <w:sz w:val="24"/>
                <w:highlight w:val="none"/>
              </w:rPr>
              <w:t>序号</w:t>
            </w:r>
          </w:p>
        </w:tc>
        <w:tc>
          <w:tcPr>
            <w:tcW w:w="2040" w:type="dxa"/>
          </w:tcPr>
          <w:p>
            <w:pPr>
              <w:pStyle w:val="26"/>
              <w:spacing w:line="360" w:lineRule="auto"/>
              <w:jc w:val="center"/>
              <w:rPr>
                <w:rFonts w:hAnsi="宋体" w:cs="宋体"/>
                <w:color w:val="auto"/>
                <w:sz w:val="24"/>
                <w:highlight w:val="none"/>
              </w:rPr>
            </w:pPr>
            <w:r>
              <w:rPr>
                <w:rFonts w:hint="eastAsia" w:hAnsi="宋体" w:cs="宋体"/>
                <w:color w:val="auto"/>
                <w:sz w:val="24"/>
                <w:highlight w:val="none"/>
              </w:rPr>
              <w:t>招标文件条款号</w:t>
            </w:r>
          </w:p>
        </w:tc>
        <w:tc>
          <w:tcPr>
            <w:tcW w:w="2520" w:type="dxa"/>
          </w:tcPr>
          <w:p>
            <w:pPr>
              <w:pStyle w:val="26"/>
              <w:spacing w:line="360" w:lineRule="auto"/>
              <w:jc w:val="center"/>
              <w:rPr>
                <w:rFonts w:hAnsi="宋体" w:cs="宋体"/>
                <w:color w:val="auto"/>
                <w:sz w:val="24"/>
                <w:highlight w:val="none"/>
              </w:rPr>
            </w:pPr>
            <w:r>
              <w:rPr>
                <w:rFonts w:hint="eastAsia" w:hAnsi="宋体" w:cs="宋体"/>
                <w:color w:val="auto"/>
                <w:sz w:val="24"/>
                <w:highlight w:val="none"/>
              </w:rPr>
              <w:t>招标文件的商务条款</w:t>
            </w:r>
          </w:p>
        </w:tc>
        <w:tc>
          <w:tcPr>
            <w:tcW w:w="2520" w:type="dxa"/>
          </w:tcPr>
          <w:p>
            <w:pPr>
              <w:pStyle w:val="26"/>
              <w:spacing w:line="360" w:lineRule="auto"/>
              <w:jc w:val="center"/>
              <w:rPr>
                <w:rFonts w:hAnsi="宋体" w:cs="宋体"/>
                <w:color w:val="auto"/>
                <w:sz w:val="24"/>
                <w:highlight w:val="none"/>
              </w:rPr>
            </w:pPr>
            <w:r>
              <w:rPr>
                <w:rFonts w:hint="eastAsia" w:hAnsi="宋体" w:cs="宋体"/>
                <w:color w:val="auto"/>
                <w:sz w:val="24"/>
                <w:highlight w:val="none"/>
              </w:rPr>
              <w:t>投标文件的商务条款</w:t>
            </w:r>
          </w:p>
        </w:tc>
        <w:tc>
          <w:tcPr>
            <w:tcW w:w="900" w:type="dxa"/>
          </w:tcPr>
          <w:p>
            <w:pPr>
              <w:pStyle w:val="26"/>
              <w:spacing w:line="360" w:lineRule="auto"/>
              <w:jc w:val="center"/>
              <w:rPr>
                <w:rFonts w:hAnsi="宋体" w:cs="宋体"/>
                <w:color w:val="auto"/>
                <w:sz w:val="24"/>
                <w:highlight w:val="none"/>
              </w:rPr>
            </w:pPr>
            <w:r>
              <w:rPr>
                <w:rFonts w:hint="eastAsia" w:hAnsi="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6"/>
              <w:spacing w:line="360" w:lineRule="auto"/>
              <w:ind w:left="1080" w:leftChars="257" w:hanging="540"/>
              <w:rPr>
                <w:rFonts w:hAnsi="宋体" w:cs="宋体"/>
                <w:color w:val="auto"/>
                <w:sz w:val="24"/>
                <w:highlight w:val="none"/>
              </w:rPr>
            </w:pPr>
          </w:p>
        </w:tc>
        <w:tc>
          <w:tcPr>
            <w:tcW w:w="2040" w:type="dxa"/>
          </w:tcPr>
          <w:p>
            <w:pPr>
              <w:pStyle w:val="26"/>
              <w:spacing w:line="360" w:lineRule="auto"/>
              <w:ind w:left="1080" w:leftChars="257" w:hanging="540"/>
              <w:rPr>
                <w:rFonts w:hAnsi="宋体" w:cs="宋体"/>
                <w:color w:val="auto"/>
                <w:sz w:val="24"/>
                <w:highlight w:val="none"/>
              </w:rPr>
            </w:pPr>
          </w:p>
        </w:tc>
        <w:tc>
          <w:tcPr>
            <w:tcW w:w="2520" w:type="dxa"/>
          </w:tcPr>
          <w:p>
            <w:pPr>
              <w:pStyle w:val="26"/>
              <w:spacing w:line="360" w:lineRule="auto"/>
              <w:ind w:left="1080" w:leftChars="257" w:hanging="540"/>
              <w:jc w:val="center"/>
              <w:rPr>
                <w:rFonts w:hAnsi="宋体" w:cs="宋体"/>
                <w:color w:val="auto"/>
                <w:sz w:val="24"/>
                <w:highlight w:val="none"/>
              </w:rPr>
            </w:pPr>
          </w:p>
        </w:tc>
        <w:tc>
          <w:tcPr>
            <w:tcW w:w="2520" w:type="dxa"/>
          </w:tcPr>
          <w:p>
            <w:pPr>
              <w:pStyle w:val="26"/>
              <w:spacing w:line="360" w:lineRule="auto"/>
              <w:ind w:left="1080" w:leftChars="257" w:hanging="540"/>
              <w:jc w:val="center"/>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6"/>
              <w:spacing w:line="360" w:lineRule="auto"/>
              <w:ind w:left="1080" w:leftChars="257" w:hanging="540"/>
              <w:rPr>
                <w:rFonts w:hAnsi="宋体" w:cs="宋体"/>
                <w:color w:val="auto"/>
                <w:sz w:val="24"/>
                <w:highlight w:val="none"/>
              </w:rPr>
            </w:pPr>
          </w:p>
        </w:tc>
        <w:tc>
          <w:tcPr>
            <w:tcW w:w="2040" w:type="dxa"/>
          </w:tcPr>
          <w:p>
            <w:pPr>
              <w:pStyle w:val="26"/>
              <w:spacing w:line="360" w:lineRule="auto"/>
              <w:ind w:left="1080" w:leftChars="257" w:hanging="540"/>
              <w:rPr>
                <w:rFonts w:hAnsi="宋体" w:cs="宋体"/>
                <w:color w:val="auto"/>
                <w:sz w:val="24"/>
                <w:highlight w:val="none"/>
              </w:rPr>
            </w:pPr>
          </w:p>
        </w:tc>
        <w:tc>
          <w:tcPr>
            <w:tcW w:w="2520" w:type="dxa"/>
          </w:tcPr>
          <w:p>
            <w:pPr>
              <w:pStyle w:val="26"/>
              <w:spacing w:line="360" w:lineRule="auto"/>
              <w:ind w:left="1080" w:leftChars="257" w:hanging="540"/>
              <w:rPr>
                <w:rFonts w:hAnsi="宋体" w:cs="宋体"/>
                <w:color w:val="auto"/>
                <w:sz w:val="24"/>
                <w:highlight w:val="none"/>
              </w:rPr>
            </w:pPr>
          </w:p>
        </w:tc>
        <w:tc>
          <w:tcPr>
            <w:tcW w:w="252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6"/>
              <w:spacing w:line="360" w:lineRule="auto"/>
              <w:ind w:left="1080" w:leftChars="257" w:hanging="540"/>
              <w:rPr>
                <w:rFonts w:hAnsi="宋体" w:cs="宋体"/>
                <w:color w:val="auto"/>
                <w:sz w:val="24"/>
                <w:highlight w:val="none"/>
              </w:rPr>
            </w:pPr>
          </w:p>
        </w:tc>
        <w:tc>
          <w:tcPr>
            <w:tcW w:w="2040" w:type="dxa"/>
          </w:tcPr>
          <w:p>
            <w:pPr>
              <w:pStyle w:val="26"/>
              <w:spacing w:line="360" w:lineRule="auto"/>
              <w:ind w:left="1080" w:leftChars="257" w:hanging="540"/>
              <w:rPr>
                <w:rFonts w:hAnsi="宋体" w:cs="宋体"/>
                <w:color w:val="auto"/>
                <w:sz w:val="24"/>
                <w:highlight w:val="none"/>
              </w:rPr>
            </w:pPr>
          </w:p>
        </w:tc>
        <w:tc>
          <w:tcPr>
            <w:tcW w:w="2520" w:type="dxa"/>
          </w:tcPr>
          <w:p>
            <w:pPr>
              <w:pStyle w:val="26"/>
              <w:spacing w:line="360" w:lineRule="auto"/>
              <w:ind w:left="1080" w:leftChars="257" w:hanging="540"/>
              <w:rPr>
                <w:rFonts w:hAnsi="宋体" w:cs="宋体"/>
                <w:color w:val="auto"/>
                <w:sz w:val="24"/>
                <w:highlight w:val="none"/>
              </w:rPr>
            </w:pPr>
          </w:p>
        </w:tc>
        <w:tc>
          <w:tcPr>
            <w:tcW w:w="252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6"/>
              <w:spacing w:line="360" w:lineRule="auto"/>
              <w:ind w:left="1080" w:leftChars="257" w:hanging="540"/>
              <w:rPr>
                <w:rFonts w:hAnsi="宋体" w:cs="宋体"/>
                <w:color w:val="auto"/>
                <w:sz w:val="24"/>
                <w:highlight w:val="none"/>
              </w:rPr>
            </w:pPr>
          </w:p>
        </w:tc>
        <w:tc>
          <w:tcPr>
            <w:tcW w:w="2040" w:type="dxa"/>
          </w:tcPr>
          <w:p>
            <w:pPr>
              <w:pStyle w:val="26"/>
              <w:spacing w:line="360" w:lineRule="auto"/>
              <w:ind w:left="1080" w:leftChars="257" w:hanging="540"/>
              <w:rPr>
                <w:rFonts w:hAnsi="宋体" w:cs="宋体"/>
                <w:color w:val="auto"/>
                <w:sz w:val="24"/>
                <w:highlight w:val="none"/>
              </w:rPr>
            </w:pPr>
          </w:p>
        </w:tc>
        <w:tc>
          <w:tcPr>
            <w:tcW w:w="2520" w:type="dxa"/>
          </w:tcPr>
          <w:p>
            <w:pPr>
              <w:pStyle w:val="26"/>
              <w:spacing w:line="360" w:lineRule="auto"/>
              <w:ind w:left="1080" w:leftChars="257" w:hanging="540"/>
              <w:rPr>
                <w:rFonts w:hAnsi="宋体" w:cs="宋体"/>
                <w:color w:val="auto"/>
                <w:sz w:val="24"/>
                <w:highlight w:val="none"/>
              </w:rPr>
            </w:pPr>
          </w:p>
        </w:tc>
        <w:tc>
          <w:tcPr>
            <w:tcW w:w="252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6"/>
              <w:spacing w:line="360" w:lineRule="auto"/>
              <w:ind w:left="1080" w:leftChars="257" w:hanging="540"/>
              <w:rPr>
                <w:rFonts w:hAnsi="宋体" w:cs="宋体"/>
                <w:color w:val="auto"/>
                <w:sz w:val="24"/>
                <w:highlight w:val="none"/>
              </w:rPr>
            </w:pPr>
          </w:p>
        </w:tc>
        <w:tc>
          <w:tcPr>
            <w:tcW w:w="2040" w:type="dxa"/>
          </w:tcPr>
          <w:p>
            <w:pPr>
              <w:pStyle w:val="26"/>
              <w:spacing w:line="360" w:lineRule="auto"/>
              <w:ind w:left="1080" w:leftChars="257" w:hanging="540"/>
              <w:rPr>
                <w:rFonts w:hAnsi="宋体" w:cs="宋体"/>
                <w:color w:val="auto"/>
                <w:sz w:val="24"/>
                <w:highlight w:val="none"/>
              </w:rPr>
            </w:pPr>
          </w:p>
        </w:tc>
        <w:tc>
          <w:tcPr>
            <w:tcW w:w="2520" w:type="dxa"/>
          </w:tcPr>
          <w:p>
            <w:pPr>
              <w:pStyle w:val="26"/>
              <w:spacing w:line="360" w:lineRule="auto"/>
              <w:ind w:left="1080" w:leftChars="257" w:hanging="540"/>
              <w:rPr>
                <w:rFonts w:hAnsi="宋体" w:cs="宋体"/>
                <w:color w:val="auto"/>
                <w:sz w:val="24"/>
                <w:highlight w:val="none"/>
              </w:rPr>
            </w:pPr>
          </w:p>
        </w:tc>
        <w:tc>
          <w:tcPr>
            <w:tcW w:w="252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6"/>
              <w:spacing w:line="360" w:lineRule="auto"/>
              <w:ind w:left="1080" w:leftChars="257" w:hanging="540"/>
              <w:rPr>
                <w:rFonts w:hAnsi="宋体" w:cs="宋体"/>
                <w:color w:val="auto"/>
                <w:sz w:val="24"/>
                <w:highlight w:val="none"/>
              </w:rPr>
            </w:pPr>
          </w:p>
        </w:tc>
        <w:tc>
          <w:tcPr>
            <w:tcW w:w="2040" w:type="dxa"/>
          </w:tcPr>
          <w:p>
            <w:pPr>
              <w:pStyle w:val="26"/>
              <w:spacing w:line="360" w:lineRule="auto"/>
              <w:ind w:left="1080" w:leftChars="257" w:hanging="540"/>
              <w:rPr>
                <w:rFonts w:hAnsi="宋体" w:cs="宋体"/>
                <w:color w:val="auto"/>
                <w:sz w:val="24"/>
                <w:highlight w:val="none"/>
              </w:rPr>
            </w:pPr>
          </w:p>
        </w:tc>
        <w:tc>
          <w:tcPr>
            <w:tcW w:w="2520" w:type="dxa"/>
          </w:tcPr>
          <w:p>
            <w:pPr>
              <w:pStyle w:val="26"/>
              <w:spacing w:line="360" w:lineRule="auto"/>
              <w:ind w:left="1080" w:leftChars="257" w:hanging="540"/>
              <w:rPr>
                <w:rFonts w:hAnsi="宋体" w:cs="宋体"/>
                <w:color w:val="auto"/>
                <w:sz w:val="24"/>
                <w:highlight w:val="none"/>
              </w:rPr>
            </w:pPr>
          </w:p>
        </w:tc>
        <w:tc>
          <w:tcPr>
            <w:tcW w:w="252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6"/>
              <w:spacing w:line="360" w:lineRule="auto"/>
              <w:ind w:left="1080" w:leftChars="257" w:hanging="540"/>
              <w:rPr>
                <w:rFonts w:hAnsi="宋体" w:cs="宋体"/>
                <w:color w:val="auto"/>
                <w:sz w:val="24"/>
                <w:highlight w:val="none"/>
              </w:rPr>
            </w:pPr>
          </w:p>
        </w:tc>
        <w:tc>
          <w:tcPr>
            <w:tcW w:w="2040" w:type="dxa"/>
          </w:tcPr>
          <w:p>
            <w:pPr>
              <w:pStyle w:val="26"/>
              <w:spacing w:line="360" w:lineRule="auto"/>
              <w:ind w:left="1080" w:leftChars="257" w:hanging="540"/>
              <w:rPr>
                <w:rFonts w:hAnsi="宋体" w:cs="宋体"/>
                <w:color w:val="auto"/>
                <w:sz w:val="24"/>
                <w:highlight w:val="none"/>
              </w:rPr>
            </w:pPr>
          </w:p>
        </w:tc>
        <w:tc>
          <w:tcPr>
            <w:tcW w:w="2520" w:type="dxa"/>
          </w:tcPr>
          <w:p>
            <w:pPr>
              <w:pStyle w:val="26"/>
              <w:spacing w:line="360" w:lineRule="auto"/>
              <w:ind w:left="1080" w:leftChars="257" w:hanging="540"/>
              <w:rPr>
                <w:rFonts w:hAnsi="宋体" w:cs="宋体"/>
                <w:color w:val="auto"/>
                <w:sz w:val="24"/>
                <w:highlight w:val="none"/>
              </w:rPr>
            </w:pPr>
          </w:p>
        </w:tc>
        <w:tc>
          <w:tcPr>
            <w:tcW w:w="252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6"/>
              <w:spacing w:line="360" w:lineRule="auto"/>
              <w:ind w:left="1080" w:leftChars="257" w:hanging="540"/>
              <w:rPr>
                <w:rFonts w:hAnsi="宋体" w:cs="宋体"/>
                <w:color w:val="auto"/>
                <w:sz w:val="24"/>
                <w:highlight w:val="none"/>
              </w:rPr>
            </w:pPr>
          </w:p>
        </w:tc>
        <w:tc>
          <w:tcPr>
            <w:tcW w:w="2040" w:type="dxa"/>
          </w:tcPr>
          <w:p>
            <w:pPr>
              <w:pStyle w:val="26"/>
              <w:spacing w:line="360" w:lineRule="auto"/>
              <w:ind w:left="1080" w:leftChars="257" w:hanging="540"/>
              <w:rPr>
                <w:rFonts w:hAnsi="宋体" w:cs="宋体"/>
                <w:color w:val="auto"/>
                <w:sz w:val="24"/>
                <w:highlight w:val="none"/>
              </w:rPr>
            </w:pPr>
          </w:p>
        </w:tc>
        <w:tc>
          <w:tcPr>
            <w:tcW w:w="2520" w:type="dxa"/>
          </w:tcPr>
          <w:p>
            <w:pPr>
              <w:pStyle w:val="26"/>
              <w:spacing w:line="360" w:lineRule="auto"/>
              <w:ind w:left="1080" w:leftChars="257" w:hanging="540"/>
              <w:rPr>
                <w:rFonts w:hAnsi="宋体" w:cs="宋体"/>
                <w:color w:val="auto"/>
                <w:sz w:val="24"/>
                <w:highlight w:val="none"/>
              </w:rPr>
            </w:pPr>
          </w:p>
        </w:tc>
        <w:tc>
          <w:tcPr>
            <w:tcW w:w="252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6"/>
              <w:spacing w:line="360" w:lineRule="auto"/>
              <w:ind w:left="1080" w:leftChars="257" w:hanging="540"/>
              <w:rPr>
                <w:rFonts w:hAnsi="宋体" w:cs="宋体"/>
                <w:color w:val="auto"/>
                <w:sz w:val="24"/>
                <w:highlight w:val="none"/>
              </w:rPr>
            </w:pPr>
          </w:p>
        </w:tc>
        <w:tc>
          <w:tcPr>
            <w:tcW w:w="2040" w:type="dxa"/>
          </w:tcPr>
          <w:p>
            <w:pPr>
              <w:pStyle w:val="26"/>
              <w:spacing w:line="360" w:lineRule="auto"/>
              <w:ind w:left="1080" w:leftChars="257" w:hanging="540"/>
              <w:rPr>
                <w:rFonts w:hAnsi="宋体" w:cs="宋体"/>
                <w:color w:val="auto"/>
                <w:sz w:val="24"/>
                <w:highlight w:val="none"/>
              </w:rPr>
            </w:pPr>
          </w:p>
        </w:tc>
        <w:tc>
          <w:tcPr>
            <w:tcW w:w="2520" w:type="dxa"/>
          </w:tcPr>
          <w:p>
            <w:pPr>
              <w:pStyle w:val="26"/>
              <w:spacing w:line="360" w:lineRule="auto"/>
              <w:ind w:left="1080" w:leftChars="257" w:hanging="540"/>
              <w:rPr>
                <w:rFonts w:hAnsi="宋体" w:cs="宋体"/>
                <w:color w:val="auto"/>
                <w:sz w:val="24"/>
                <w:highlight w:val="none"/>
              </w:rPr>
            </w:pPr>
          </w:p>
        </w:tc>
        <w:tc>
          <w:tcPr>
            <w:tcW w:w="252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6"/>
              <w:spacing w:line="360" w:lineRule="auto"/>
              <w:ind w:left="1080" w:leftChars="257" w:hanging="540"/>
              <w:rPr>
                <w:rFonts w:hAnsi="宋体" w:cs="宋体"/>
                <w:color w:val="auto"/>
                <w:sz w:val="24"/>
                <w:highlight w:val="none"/>
              </w:rPr>
            </w:pPr>
          </w:p>
        </w:tc>
        <w:tc>
          <w:tcPr>
            <w:tcW w:w="2040" w:type="dxa"/>
          </w:tcPr>
          <w:p>
            <w:pPr>
              <w:pStyle w:val="26"/>
              <w:spacing w:line="360" w:lineRule="auto"/>
              <w:ind w:left="1080" w:leftChars="257" w:hanging="540"/>
              <w:rPr>
                <w:rFonts w:hAnsi="宋体" w:cs="宋体"/>
                <w:color w:val="auto"/>
                <w:sz w:val="24"/>
                <w:highlight w:val="none"/>
              </w:rPr>
            </w:pPr>
          </w:p>
        </w:tc>
        <w:tc>
          <w:tcPr>
            <w:tcW w:w="2520" w:type="dxa"/>
          </w:tcPr>
          <w:p>
            <w:pPr>
              <w:pStyle w:val="26"/>
              <w:spacing w:line="360" w:lineRule="auto"/>
              <w:ind w:left="1080" w:leftChars="257" w:hanging="540"/>
              <w:rPr>
                <w:rFonts w:hAnsi="宋体" w:cs="宋体"/>
                <w:color w:val="auto"/>
                <w:sz w:val="24"/>
                <w:highlight w:val="none"/>
              </w:rPr>
            </w:pPr>
          </w:p>
        </w:tc>
        <w:tc>
          <w:tcPr>
            <w:tcW w:w="252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6"/>
              <w:spacing w:line="360" w:lineRule="auto"/>
              <w:ind w:left="1080" w:leftChars="257" w:hanging="540"/>
              <w:rPr>
                <w:rFonts w:hAnsi="宋体" w:cs="宋体"/>
                <w:color w:val="auto"/>
                <w:sz w:val="24"/>
                <w:highlight w:val="none"/>
              </w:rPr>
            </w:pPr>
          </w:p>
        </w:tc>
        <w:tc>
          <w:tcPr>
            <w:tcW w:w="2040" w:type="dxa"/>
          </w:tcPr>
          <w:p>
            <w:pPr>
              <w:pStyle w:val="26"/>
              <w:spacing w:line="360" w:lineRule="auto"/>
              <w:ind w:left="1080" w:leftChars="257" w:hanging="540"/>
              <w:rPr>
                <w:rFonts w:hAnsi="宋体" w:cs="宋体"/>
                <w:color w:val="auto"/>
                <w:sz w:val="24"/>
                <w:highlight w:val="none"/>
              </w:rPr>
            </w:pPr>
          </w:p>
        </w:tc>
        <w:tc>
          <w:tcPr>
            <w:tcW w:w="2520" w:type="dxa"/>
          </w:tcPr>
          <w:p>
            <w:pPr>
              <w:pStyle w:val="26"/>
              <w:spacing w:line="360" w:lineRule="auto"/>
              <w:ind w:left="1080" w:leftChars="257" w:hanging="540"/>
              <w:rPr>
                <w:rFonts w:hAnsi="宋体" w:cs="宋体"/>
                <w:color w:val="auto"/>
                <w:sz w:val="24"/>
                <w:highlight w:val="none"/>
              </w:rPr>
            </w:pPr>
          </w:p>
        </w:tc>
        <w:tc>
          <w:tcPr>
            <w:tcW w:w="252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6"/>
              <w:spacing w:line="360" w:lineRule="auto"/>
              <w:ind w:left="1080" w:leftChars="257" w:hanging="540"/>
              <w:rPr>
                <w:rFonts w:hAnsi="宋体" w:cs="宋体"/>
                <w:color w:val="auto"/>
                <w:sz w:val="24"/>
                <w:highlight w:val="none"/>
              </w:rPr>
            </w:pPr>
          </w:p>
        </w:tc>
        <w:tc>
          <w:tcPr>
            <w:tcW w:w="2040" w:type="dxa"/>
          </w:tcPr>
          <w:p>
            <w:pPr>
              <w:pStyle w:val="26"/>
              <w:spacing w:line="360" w:lineRule="auto"/>
              <w:ind w:left="1080" w:leftChars="257" w:hanging="540"/>
              <w:rPr>
                <w:rFonts w:hAnsi="宋体" w:cs="宋体"/>
                <w:color w:val="auto"/>
                <w:sz w:val="24"/>
                <w:highlight w:val="none"/>
              </w:rPr>
            </w:pPr>
          </w:p>
        </w:tc>
        <w:tc>
          <w:tcPr>
            <w:tcW w:w="2520" w:type="dxa"/>
          </w:tcPr>
          <w:p>
            <w:pPr>
              <w:pStyle w:val="26"/>
              <w:spacing w:line="360" w:lineRule="auto"/>
              <w:ind w:left="1080" w:leftChars="257" w:hanging="540"/>
              <w:rPr>
                <w:rFonts w:hAnsi="宋体" w:cs="宋体"/>
                <w:color w:val="auto"/>
                <w:sz w:val="24"/>
                <w:highlight w:val="none"/>
              </w:rPr>
            </w:pPr>
          </w:p>
        </w:tc>
        <w:tc>
          <w:tcPr>
            <w:tcW w:w="252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6"/>
              <w:spacing w:line="360" w:lineRule="auto"/>
              <w:ind w:left="1080" w:leftChars="257" w:hanging="540"/>
              <w:rPr>
                <w:rFonts w:hAnsi="宋体" w:cs="宋体"/>
                <w:color w:val="auto"/>
                <w:sz w:val="24"/>
                <w:highlight w:val="none"/>
              </w:rPr>
            </w:pPr>
          </w:p>
        </w:tc>
        <w:tc>
          <w:tcPr>
            <w:tcW w:w="2040" w:type="dxa"/>
          </w:tcPr>
          <w:p>
            <w:pPr>
              <w:pStyle w:val="26"/>
              <w:spacing w:line="360" w:lineRule="auto"/>
              <w:ind w:left="1080" w:leftChars="257" w:hanging="540"/>
              <w:rPr>
                <w:rFonts w:hAnsi="宋体" w:cs="宋体"/>
                <w:color w:val="auto"/>
                <w:sz w:val="24"/>
                <w:highlight w:val="none"/>
              </w:rPr>
            </w:pPr>
          </w:p>
        </w:tc>
        <w:tc>
          <w:tcPr>
            <w:tcW w:w="2520" w:type="dxa"/>
          </w:tcPr>
          <w:p>
            <w:pPr>
              <w:pStyle w:val="26"/>
              <w:spacing w:line="360" w:lineRule="auto"/>
              <w:ind w:left="1080" w:leftChars="257" w:hanging="540"/>
              <w:rPr>
                <w:rFonts w:hAnsi="宋体" w:cs="宋体"/>
                <w:color w:val="auto"/>
                <w:sz w:val="24"/>
                <w:highlight w:val="none"/>
              </w:rPr>
            </w:pPr>
          </w:p>
        </w:tc>
        <w:tc>
          <w:tcPr>
            <w:tcW w:w="252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6"/>
              <w:spacing w:line="360" w:lineRule="auto"/>
              <w:ind w:left="1080" w:leftChars="257" w:hanging="540"/>
              <w:rPr>
                <w:rFonts w:hAnsi="宋体" w:cs="宋体"/>
                <w:color w:val="auto"/>
                <w:sz w:val="24"/>
                <w:highlight w:val="none"/>
              </w:rPr>
            </w:pPr>
          </w:p>
        </w:tc>
        <w:tc>
          <w:tcPr>
            <w:tcW w:w="2040" w:type="dxa"/>
          </w:tcPr>
          <w:p>
            <w:pPr>
              <w:pStyle w:val="26"/>
              <w:spacing w:line="360" w:lineRule="auto"/>
              <w:ind w:left="1080" w:leftChars="257" w:hanging="540"/>
              <w:rPr>
                <w:rFonts w:hAnsi="宋体" w:cs="宋体"/>
                <w:color w:val="auto"/>
                <w:sz w:val="24"/>
                <w:highlight w:val="none"/>
              </w:rPr>
            </w:pPr>
          </w:p>
        </w:tc>
        <w:tc>
          <w:tcPr>
            <w:tcW w:w="2520" w:type="dxa"/>
          </w:tcPr>
          <w:p>
            <w:pPr>
              <w:pStyle w:val="26"/>
              <w:spacing w:line="360" w:lineRule="auto"/>
              <w:ind w:left="1080" w:leftChars="257" w:hanging="540"/>
              <w:rPr>
                <w:rFonts w:hAnsi="宋体" w:cs="宋体"/>
                <w:color w:val="auto"/>
                <w:sz w:val="24"/>
                <w:highlight w:val="none"/>
              </w:rPr>
            </w:pPr>
          </w:p>
        </w:tc>
        <w:tc>
          <w:tcPr>
            <w:tcW w:w="252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6"/>
              <w:spacing w:line="360" w:lineRule="auto"/>
              <w:ind w:left="1080" w:leftChars="257" w:hanging="540"/>
              <w:rPr>
                <w:rFonts w:hAnsi="宋体" w:cs="宋体"/>
                <w:color w:val="auto"/>
                <w:sz w:val="24"/>
                <w:highlight w:val="none"/>
              </w:rPr>
            </w:pPr>
          </w:p>
        </w:tc>
        <w:tc>
          <w:tcPr>
            <w:tcW w:w="2040" w:type="dxa"/>
          </w:tcPr>
          <w:p>
            <w:pPr>
              <w:pStyle w:val="26"/>
              <w:spacing w:line="360" w:lineRule="auto"/>
              <w:ind w:left="1080" w:leftChars="257" w:hanging="540"/>
              <w:rPr>
                <w:rFonts w:hAnsi="宋体" w:cs="宋体"/>
                <w:color w:val="auto"/>
                <w:sz w:val="24"/>
                <w:highlight w:val="none"/>
              </w:rPr>
            </w:pPr>
          </w:p>
        </w:tc>
        <w:tc>
          <w:tcPr>
            <w:tcW w:w="2520" w:type="dxa"/>
          </w:tcPr>
          <w:p>
            <w:pPr>
              <w:pStyle w:val="26"/>
              <w:spacing w:line="360" w:lineRule="auto"/>
              <w:ind w:left="1080" w:leftChars="257" w:hanging="540"/>
              <w:rPr>
                <w:rFonts w:hAnsi="宋体" w:cs="宋体"/>
                <w:color w:val="auto"/>
                <w:sz w:val="24"/>
                <w:highlight w:val="none"/>
              </w:rPr>
            </w:pPr>
          </w:p>
        </w:tc>
        <w:tc>
          <w:tcPr>
            <w:tcW w:w="252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6"/>
              <w:spacing w:line="360" w:lineRule="auto"/>
              <w:ind w:left="1080" w:leftChars="257" w:hanging="540"/>
              <w:rPr>
                <w:rFonts w:hAnsi="宋体" w:cs="宋体"/>
                <w:color w:val="auto"/>
                <w:sz w:val="24"/>
                <w:highlight w:val="none"/>
              </w:rPr>
            </w:pPr>
          </w:p>
        </w:tc>
        <w:tc>
          <w:tcPr>
            <w:tcW w:w="2040" w:type="dxa"/>
          </w:tcPr>
          <w:p>
            <w:pPr>
              <w:pStyle w:val="26"/>
              <w:spacing w:line="360" w:lineRule="auto"/>
              <w:ind w:left="1080" w:leftChars="257" w:hanging="540"/>
              <w:rPr>
                <w:rFonts w:hAnsi="宋体" w:cs="宋体"/>
                <w:color w:val="auto"/>
                <w:sz w:val="24"/>
                <w:highlight w:val="none"/>
              </w:rPr>
            </w:pPr>
          </w:p>
        </w:tc>
        <w:tc>
          <w:tcPr>
            <w:tcW w:w="2520" w:type="dxa"/>
          </w:tcPr>
          <w:p>
            <w:pPr>
              <w:pStyle w:val="26"/>
              <w:spacing w:line="360" w:lineRule="auto"/>
              <w:ind w:left="1080" w:leftChars="257" w:hanging="540"/>
              <w:rPr>
                <w:rFonts w:hAnsi="宋体" w:cs="宋体"/>
                <w:color w:val="auto"/>
                <w:sz w:val="24"/>
                <w:highlight w:val="none"/>
              </w:rPr>
            </w:pPr>
          </w:p>
        </w:tc>
        <w:tc>
          <w:tcPr>
            <w:tcW w:w="252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26"/>
              <w:spacing w:line="360" w:lineRule="auto"/>
              <w:ind w:left="1080" w:leftChars="257" w:hanging="540"/>
              <w:rPr>
                <w:rFonts w:hAnsi="宋体" w:cs="宋体"/>
                <w:color w:val="auto"/>
                <w:sz w:val="24"/>
                <w:highlight w:val="none"/>
              </w:rPr>
            </w:pPr>
          </w:p>
        </w:tc>
        <w:tc>
          <w:tcPr>
            <w:tcW w:w="2040" w:type="dxa"/>
          </w:tcPr>
          <w:p>
            <w:pPr>
              <w:pStyle w:val="26"/>
              <w:spacing w:line="360" w:lineRule="auto"/>
              <w:ind w:left="1080" w:leftChars="257" w:hanging="540"/>
              <w:rPr>
                <w:rFonts w:hAnsi="宋体" w:cs="宋体"/>
                <w:color w:val="auto"/>
                <w:sz w:val="24"/>
                <w:highlight w:val="none"/>
              </w:rPr>
            </w:pPr>
          </w:p>
        </w:tc>
        <w:tc>
          <w:tcPr>
            <w:tcW w:w="2520" w:type="dxa"/>
          </w:tcPr>
          <w:p>
            <w:pPr>
              <w:pStyle w:val="26"/>
              <w:spacing w:line="360" w:lineRule="auto"/>
              <w:ind w:left="1080" w:leftChars="257" w:hanging="540"/>
              <w:rPr>
                <w:rFonts w:hAnsi="宋体" w:cs="宋体"/>
                <w:color w:val="auto"/>
                <w:sz w:val="24"/>
                <w:highlight w:val="none"/>
              </w:rPr>
            </w:pPr>
          </w:p>
        </w:tc>
        <w:tc>
          <w:tcPr>
            <w:tcW w:w="2520" w:type="dxa"/>
          </w:tcPr>
          <w:p>
            <w:pPr>
              <w:pStyle w:val="26"/>
              <w:spacing w:line="360" w:lineRule="auto"/>
              <w:ind w:left="1080" w:leftChars="257" w:hanging="540"/>
              <w:rPr>
                <w:rFonts w:hAnsi="宋体" w:cs="宋体"/>
                <w:color w:val="auto"/>
                <w:sz w:val="24"/>
                <w:highlight w:val="none"/>
              </w:rPr>
            </w:pPr>
          </w:p>
        </w:tc>
        <w:tc>
          <w:tcPr>
            <w:tcW w:w="900" w:type="dxa"/>
          </w:tcPr>
          <w:p>
            <w:pPr>
              <w:pStyle w:val="26"/>
              <w:spacing w:line="360" w:lineRule="auto"/>
              <w:ind w:left="1080" w:leftChars="257" w:hanging="540"/>
              <w:rPr>
                <w:rFonts w:hAnsi="宋体" w:cs="宋体"/>
                <w:color w:val="auto"/>
                <w:sz w:val="24"/>
                <w:highlight w:val="none"/>
              </w:rPr>
            </w:pPr>
          </w:p>
        </w:tc>
      </w:tr>
    </w:tbl>
    <w:p>
      <w:pPr>
        <w:pStyle w:val="26"/>
        <w:spacing w:line="360" w:lineRule="auto"/>
        <w:ind w:left="1080" w:leftChars="257" w:hanging="540"/>
        <w:rPr>
          <w:rFonts w:hAnsi="宋体" w:cs="宋体"/>
          <w:color w:val="auto"/>
          <w:sz w:val="24"/>
          <w:highlight w:val="none"/>
        </w:rPr>
      </w:pPr>
    </w:p>
    <w:p>
      <w:pPr>
        <w:pStyle w:val="26"/>
        <w:spacing w:line="360" w:lineRule="auto"/>
        <w:ind w:left="1080" w:leftChars="257" w:hanging="540"/>
        <w:rPr>
          <w:rFonts w:hAnsi="宋体" w:cs="宋体"/>
          <w:color w:val="auto"/>
          <w:sz w:val="24"/>
          <w:highlight w:val="none"/>
        </w:rPr>
      </w:pPr>
    </w:p>
    <w:p>
      <w:pPr>
        <w:pStyle w:val="26"/>
        <w:spacing w:line="360" w:lineRule="auto"/>
        <w:ind w:left="1080" w:leftChars="257" w:hanging="540"/>
        <w:rPr>
          <w:rFonts w:hAnsi="宋体" w:cs="宋体"/>
          <w:color w:val="auto"/>
          <w:sz w:val="24"/>
          <w:highlight w:val="none"/>
        </w:rPr>
      </w:pPr>
      <w:r>
        <w:rPr>
          <w:rFonts w:hint="eastAsia" w:hAnsi="宋体" w:cs="宋体"/>
          <w:color w:val="auto"/>
          <w:sz w:val="24"/>
          <w:highlight w:val="none"/>
        </w:rPr>
        <w:t>法定代表人或其委托代理人签字:</w:t>
      </w:r>
      <w:r>
        <w:rPr>
          <w:rFonts w:hint="eastAsia" w:hAnsi="宋体" w:cs="宋体"/>
          <w:color w:val="auto"/>
          <w:sz w:val="24"/>
          <w:highlight w:val="none"/>
          <w:u w:val="single"/>
        </w:rPr>
        <w:t xml:space="preserve"> </w:t>
      </w:r>
      <w:r>
        <w:rPr>
          <w:rFonts w:hint="eastAsia" w:hAnsi="宋体" w:cs="宋体"/>
          <w:color w:val="auto"/>
          <w:sz w:val="24"/>
          <w:highlight w:val="none"/>
          <w:u w:val="single"/>
        </w:rPr>
        <w:tab/>
      </w:r>
      <w:r>
        <w:rPr>
          <w:rFonts w:hint="eastAsia" w:hAnsi="宋体" w:cs="宋体"/>
          <w:color w:val="auto"/>
          <w:sz w:val="24"/>
          <w:highlight w:val="none"/>
          <w:u w:val="single"/>
        </w:rPr>
        <w:t xml:space="preserve">                 </w:t>
      </w:r>
    </w:p>
    <w:p>
      <w:pPr>
        <w:pStyle w:val="26"/>
        <w:tabs>
          <w:tab w:val="left" w:pos="5370"/>
        </w:tabs>
        <w:spacing w:line="360" w:lineRule="auto"/>
        <w:ind w:left="1080" w:leftChars="257" w:hanging="540"/>
        <w:rPr>
          <w:rFonts w:hAnsi="宋体" w:cs="宋体"/>
          <w:color w:val="auto"/>
          <w:sz w:val="24"/>
          <w:highlight w:val="none"/>
          <w:u w:val="single"/>
        </w:rPr>
      </w:pPr>
      <w:r>
        <w:rPr>
          <w:rFonts w:hint="eastAsia" w:hAnsi="宋体" w:cs="宋体"/>
          <w:color w:val="auto"/>
          <w:sz w:val="24"/>
          <w:highlight w:val="none"/>
        </w:rPr>
        <w:t>投标人(盖单位章):</w:t>
      </w:r>
      <w:r>
        <w:rPr>
          <w:rFonts w:hint="eastAsia" w:hAnsi="宋体" w:cs="宋体"/>
          <w:color w:val="auto"/>
          <w:sz w:val="24"/>
          <w:highlight w:val="none"/>
          <w:u w:val="single"/>
        </w:rPr>
        <w:tab/>
      </w:r>
    </w:p>
    <w:p>
      <w:pPr>
        <w:pStyle w:val="26"/>
        <w:spacing w:line="360" w:lineRule="auto"/>
        <w:rPr>
          <w:rFonts w:hAnsi="宋体" w:cs="宋体"/>
          <w:color w:val="auto"/>
          <w:sz w:val="24"/>
          <w:highlight w:val="none"/>
        </w:rPr>
      </w:pPr>
      <w:r>
        <w:rPr>
          <w:rFonts w:hint="eastAsia" w:hAnsi="宋体" w:cs="宋体"/>
          <w:color w:val="auto"/>
          <w:sz w:val="24"/>
          <w:highlight w:val="none"/>
          <w:u w:val="single"/>
        </w:rPr>
        <w:br w:type="page"/>
      </w:r>
      <w:bookmarkStart w:id="421" w:name="_Hlt520273973"/>
      <w:bookmarkEnd w:id="421"/>
      <w:bookmarkStart w:id="422" w:name="_Hlt520274407"/>
      <w:bookmarkEnd w:id="422"/>
      <w:bookmarkStart w:id="423" w:name="_Hlt520273711"/>
      <w:bookmarkEnd w:id="423"/>
      <w:bookmarkStart w:id="424" w:name="_Hlt520274065"/>
      <w:bookmarkEnd w:id="424"/>
      <w:bookmarkStart w:id="425" w:name="_Hlt520343392"/>
      <w:bookmarkEnd w:id="425"/>
      <w:bookmarkStart w:id="426" w:name="_Hlt520274393"/>
      <w:bookmarkEnd w:id="426"/>
      <w:bookmarkStart w:id="427" w:name="_Hlt520343000"/>
      <w:bookmarkEnd w:id="427"/>
      <w:bookmarkStart w:id="428" w:name="_Hlt520274911"/>
      <w:bookmarkEnd w:id="428"/>
      <w:bookmarkStart w:id="429" w:name="_Hlt520350918"/>
      <w:bookmarkEnd w:id="429"/>
      <w:bookmarkStart w:id="430" w:name="_Hlt520271212"/>
      <w:bookmarkEnd w:id="430"/>
      <w:bookmarkStart w:id="431" w:name="_Hlt520350957"/>
      <w:bookmarkEnd w:id="431"/>
      <w:r>
        <w:rPr>
          <w:rFonts w:hint="eastAsia" w:hAnsi="宋体" w:cs="宋体"/>
          <w:color w:val="auto"/>
          <w:sz w:val="24"/>
          <w:highlight w:val="none"/>
        </w:rPr>
        <w:t xml:space="preserve">  </w:t>
      </w:r>
    </w:p>
    <w:p>
      <w:pPr>
        <w:pStyle w:val="4"/>
        <w:spacing w:before="0" w:line="360" w:lineRule="auto"/>
        <w:ind w:firstLine="723" w:firstLineChars="300"/>
        <w:jc w:val="both"/>
        <w:rPr>
          <w:rFonts w:ascii="宋体" w:hAnsi="宋体" w:eastAsia="宋体" w:cs="宋体"/>
          <w:b w:val="0"/>
          <w:color w:val="auto"/>
          <w:sz w:val="24"/>
          <w:highlight w:val="none"/>
        </w:rPr>
      </w:pPr>
      <w:bookmarkStart w:id="432" w:name="_Toc518923120"/>
      <w:bookmarkStart w:id="433" w:name="_Toc21305"/>
      <w:bookmarkStart w:id="434" w:name="_Toc480"/>
      <w:bookmarkStart w:id="435" w:name="_Toc29458"/>
      <w:bookmarkStart w:id="436" w:name="_Toc17685"/>
      <w:bookmarkStart w:id="437" w:name="_Toc1986135724"/>
      <w:r>
        <w:rPr>
          <w:rFonts w:hint="eastAsia" w:ascii="宋体" w:hAnsi="宋体" w:eastAsia="宋体" w:cs="宋体"/>
          <w:color w:val="auto"/>
          <w:sz w:val="24"/>
          <w:highlight w:val="none"/>
        </w:rPr>
        <w:t xml:space="preserve">5-1 </w:t>
      </w:r>
      <w:r>
        <w:rPr>
          <w:rFonts w:hint="eastAsia" w:ascii="宋体" w:hAnsi="宋体" w:eastAsia="宋体" w:cs="宋体"/>
          <w:b w:val="0"/>
          <w:color w:val="auto"/>
          <w:sz w:val="24"/>
          <w:highlight w:val="none"/>
        </w:rPr>
        <w:t xml:space="preserve"> </w:t>
      </w:r>
      <w:r>
        <w:rPr>
          <w:rFonts w:hint="eastAsia" w:ascii="宋体" w:hAnsi="宋体" w:eastAsia="宋体" w:cs="宋体"/>
          <w:color w:val="auto"/>
          <w:sz w:val="24"/>
          <w:highlight w:val="none"/>
        </w:rPr>
        <w:t>投标人企业（单位）类型声明函（投标文件格式八）</w:t>
      </w:r>
      <w:bookmarkEnd w:id="432"/>
      <w:bookmarkEnd w:id="433"/>
      <w:bookmarkEnd w:id="434"/>
      <w:bookmarkEnd w:id="435"/>
      <w:bookmarkEnd w:id="436"/>
      <w:bookmarkEnd w:id="437"/>
    </w:p>
    <w:p>
      <w:pPr>
        <w:spacing w:line="360" w:lineRule="auto"/>
        <w:ind w:left="1080" w:leftChars="257" w:hanging="540"/>
        <w:jc w:val="center"/>
        <w:rPr>
          <w:rFonts w:ascii="宋体" w:hAnsi="宋体" w:cs="宋体"/>
          <w:b/>
          <w:color w:val="auto"/>
          <w:kern w:val="0"/>
          <w:sz w:val="24"/>
          <w:szCs w:val="20"/>
          <w:highlight w:val="none"/>
        </w:rPr>
      </w:pPr>
    </w:p>
    <w:p>
      <w:pPr>
        <w:widowControl/>
        <w:spacing w:before="100" w:beforeAutospacing="1" w:after="100" w:afterAutospacing="1"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本企业（单位）郑重声明下列事项（按照实际情况勾选或填空）：</w:t>
      </w:r>
    </w:p>
    <w:p>
      <w:pPr>
        <w:widowControl/>
        <w:spacing w:before="100" w:beforeAutospacing="1" w:after="100" w:afterAutospacing="1"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1、□本企业（单位）为直接投标人，提供本企业（单位）服务。</w:t>
      </w:r>
    </w:p>
    <w:p>
      <w:pPr>
        <w:widowControl/>
        <w:spacing w:before="100" w:beforeAutospacing="1" w:after="100" w:afterAutospacing="1" w:line="360" w:lineRule="auto"/>
        <w:ind w:firstLine="240" w:firstLineChars="100"/>
        <w:jc w:val="left"/>
        <w:rPr>
          <w:rFonts w:ascii="宋体" w:hAnsi="宋体" w:cs="宋体"/>
          <w:color w:val="auto"/>
          <w:kern w:val="0"/>
          <w:sz w:val="24"/>
          <w:highlight w:val="none"/>
        </w:rPr>
      </w:pPr>
      <w:r>
        <w:rPr>
          <w:rFonts w:hint="eastAsia" w:ascii="宋体" w:hAnsi="宋体" w:cs="宋体"/>
          <w:color w:val="auto"/>
          <w:kern w:val="0"/>
          <w:sz w:val="24"/>
          <w:highlight w:val="none"/>
        </w:rPr>
        <w:t>（1）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beforeAutospacing="1" w:after="100" w:afterAutospacing="1"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（2）本企业</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（请填写：是、不是）监狱企业。后附省级以上监狱管理局、戒毒管理局（含新疆生产建设兵团）出具的属于监狱企业的证明文件。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（3）根据《关于促进残疾人就业政府采购政策的通知》（财库〔2017〕141号）。本单位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（请填写：是、不是）残疾人福利性单位。</w:t>
      </w:r>
    </w:p>
    <w:p>
      <w:pPr>
        <w:widowControl/>
        <w:spacing w:before="100" w:beforeAutospacing="1" w:after="100" w:afterAutospacing="1"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2、□本项目提供伴随货物，由其他______（请填写：中型、小型、微型）企业、监狱企业或残疾人福利性单位制造。本条所称货物不包括使用大型企业注册商标的货物。</w:t>
      </w:r>
    </w:p>
    <w:p>
      <w:pPr>
        <w:widowControl/>
        <w:spacing w:before="100" w:beforeAutospacing="1" w:after="100" w:afterAutospacing="1" w:line="360" w:lineRule="auto"/>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3、□本企业（单位）为联合体一方，提供本企业（单位）制造的货物，由本企业（单位）承担工程、提供服务。本企业（单位）提供协议合同金额占到共同投标协议合同总金额的比例为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widowControl/>
        <w:spacing w:before="100" w:beforeAutospacing="1" w:after="100" w:afterAutospacing="1"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本企业（单位）对上述声明的真实性负责。如有虚假，将依法承担相应责任。</w:t>
      </w:r>
    </w:p>
    <w:p>
      <w:pPr>
        <w:spacing w:line="360" w:lineRule="auto"/>
        <w:ind w:left="1080" w:leftChars="257" w:hanging="540"/>
        <w:jc w:val="center"/>
        <w:rPr>
          <w:rFonts w:ascii="宋体" w:hAnsi="宋体" w:cs="宋体"/>
          <w:b/>
          <w:color w:val="auto"/>
          <w:kern w:val="0"/>
          <w:sz w:val="24"/>
          <w:szCs w:val="20"/>
          <w:highlight w:val="none"/>
        </w:rPr>
      </w:pPr>
      <w:r>
        <w:rPr>
          <w:rFonts w:hint="eastAsia" w:ascii="宋体" w:hAnsi="宋体" w:cs="宋体"/>
          <w:b/>
          <w:color w:val="auto"/>
          <w:kern w:val="0"/>
          <w:sz w:val="24"/>
          <w:szCs w:val="20"/>
          <w:highlight w:val="none"/>
        </w:rPr>
        <w:t>　</w:t>
      </w:r>
    </w:p>
    <w:p>
      <w:pPr>
        <w:widowControl/>
        <w:spacing w:before="100" w:beforeAutospacing="1" w:after="100" w:afterAutospacing="1" w:line="360" w:lineRule="auto"/>
        <w:ind w:firstLine="3960" w:firstLineChars="165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投标人名称（盖单位章）：</w:t>
      </w:r>
      <w:r>
        <w:rPr>
          <w:rFonts w:hint="eastAsia" w:ascii="宋体" w:hAnsi="宋体" w:cs="宋体"/>
          <w:color w:val="auto"/>
          <w:kern w:val="0"/>
          <w:sz w:val="24"/>
          <w:highlight w:val="none"/>
          <w:u w:val="single"/>
        </w:rPr>
        <w:t xml:space="preserve">             </w:t>
      </w:r>
    </w:p>
    <w:p>
      <w:pPr>
        <w:widowControl/>
        <w:spacing w:before="100" w:beforeAutospacing="1" w:after="100" w:afterAutospacing="1" w:line="360" w:lineRule="auto"/>
        <w:ind w:firstLine="3720" w:firstLineChars="15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日　期：</w:t>
      </w:r>
      <w:r>
        <w:rPr>
          <w:rFonts w:hint="eastAsia" w:ascii="宋体" w:hAnsi="宋体" w:cs="宋体"/>
          <w:color w:val="auto"/>
          <w:kern w:val="0"/>
          <w:sz w:val="24"/>
          <w:highlight w:val="none"/>
          <w:u w:val="single"/>
        </w:rPr>
        <w:t xml:space="preserve">             </w:t>
      </w:r>
    </w:p>
    <w:p>
      <w:pPr>
        <w:pStyle w:val="4"/>
        <w:spacing w:before="0" w:line="360" w:lineRule="auto"/>
        <w:ind w:firstLine="723" w:firstLineChars="300"/>
        <w:jc w:val="both"/>
        <w:rPr>
          <w:rFonts w:ascii="宋体" w:hAnsi="宋体" w:eastAsia="宋体" w:cs="宋体"/>
          <w:color w:val="auto"/>
          <w:sz w:val="24"/>
          <w:highlight w:val="none"/>
        </w:rPr>
      </w:pPr>
      <w:bookmarkStart w:id="438" w:name="_Toc497304300"/>
      <w:bookmarkStart w:id="439" w:name="_Toc22052"/>
      <w:bookmarkStart w:id="440" w:name="_Toc14769"/>
      <w:bookmarkStart w:id="441" w:name="_Toc25044"/>
      <w:bookmarkStart w:id="442" w:name="_Toc518923121"/>
      <w:bookmarkStart w:id="443" w:name="_Toc625"/>
      <w:bookmarkStart w:id="444" w:name="_Toc12477"/>
      <w:r>
        <w:rPr>
          <w:rFonts w:hint="eastAsia" w:ascii="宋体" w:hAnsi="宋体" w:eastAsia="宋体" w:cs="宋体"/>
          <w:color w:val="auto"/>
          <w:sz w:val="24"/>
          <w:highlight w:val="none"/>
        </w:rPr>
        <w:t xml:space="preserve">5-2    </w:t>
      </w:r>
      <w:r>
        <w:rPr>
          <w:rFonts w:hint="eastAsia" w:ascii="宋体" w:hAnsi="宋体" w:eastAsia="宋体" w:cs="宋体"/>
          <w:bCs/>
          <w:color w:val="auto"/>
          <w:sz w:val="24"/>
          <w:highlight w:val="none"/>
        </w:rPr>
        <w:t>中小企业声明函（</w:t>
      </w:r>
      <w:r>
        <w:rPr>
          <w:rFonts w:hint="eastAsia" w:ascii="宋体" w:hAnsi="宋体" w:eastAsia="宋体" w:cs="宋体"/>
          <w:color w:val="auto"/>
          <w:sz w:val="24"/>
          <w:highlight w:val="none"/>
        </w:rPr>
        <w:t>投标文件格式九）</w:t>
      </w:r>
      <w:bookmarkEnd w:id="438"/>
      <w:bookmarkEnd w:id="439"/>
    </w:p>
    <w:p>
      <w:pPr>
        <w:widowControl/>
        <w:ind w:firstLine="2891" w:firstLineChars="1200"/>
        <w:jc w:val="left"/>
        <w:rPr>
          <w:rFonts w:ascii="宋体" w:hAnsi="宋体" w:cs="宋体"/>
          <w:b/>
          <w:bCs/>
          <w:color w:val="auto"/>
          <w:kern w:val="0"/>
          <w:sz w:val="24"/>
          <w:highlight w:val="none"/>
          <w:lang w:bidi="ar"/>
        </w:rPr>
      </w:pPr>
    </w:p>
    <w:bookmarkEnd w:id="440"/>
    <w:bookmarkEnd w:id="441"/>
    <w:bookmarkEnd w:id="442"/>
    <w:bookmarkEnd w:id="443"/>
    <w:bookmarkEnd w:id="444"/>
    <w:p>
      <w:pPr>
        <w:widowControl/>
        <w:spacing w:before="100" w:beforeAutospacing="1" w:after="100" w:afterAutospacing="1" w:line="330" w:lineRule="atLeast"/>
        <w:ind w:firstLine="2891" w:firstLineChars="1200"/>
        <w:jc w:val="left"/>
        <w:rPr>
          <w:rFonts w:ascii="宋体" w:hAnsi="宋体" w:cs="宋体"/>
          <w:b/>
          <w:bCs/>
          <w:color w:val="auto"/>
          <w:kern w:val="0"/>
          <w:sz w:val="24"/>
          <w:highlight w:val="none"/>
        </w:rPr>
      </w:pPr>
      <w:r>
        <w:rPr>
          <w:rFonts w:hint="eastAsia" w:ascii="宋体" w:hAnsi="宋体" w:cs="宋体"/>
          <w:b/>
          <w:bCs/>
          <w:color w:val="auto"/>
          <w:kern w:val="0"/>
          <w:sz w:val="24"/>
          <w:highlight w:val="none"/>
        </w:rPr>
        <w:t>中小企业声明函（服务）</w:t>
      </w:r>
    </w:p>
    <w:p>
      <w:pPr>
        <w:widowControl/>
        <w:spacing w:before="100" w:beforeAutospacing="1" w:after="100" w:afterAutospacing="1" w:line="330" w:lineRule="atLeast"/>
        <w:ind w:firstLine="240" w:firstLineChars="100"/>
        <w:jc w:val="left"/>
        <w:rPr>
          <w:rFonts w:ascii="宋体" w:hAnsi="宋体" w:cs="宋体"/>
          <w:color w:val="auto"/>
          <w:kern w:val="0"/>
          <w:sz w:val="24"/>
          <w:highlight w:val="none"/>
        </w:rPr>
      </w:pPr>
    </w:p>
    <w:p>
      <w:pPr>
        <w:widowControl/>
        <w:spacing w:before="100" w:beforeAutospacing="1" w:after="100" w:afterAutospacing="1" w:line="330" w:lineRule="atLeas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widowControl/>
        <w:spacing w:before="100" w:beforeAutospacing="1" w:after="100" w:afterAutospacing="1" w:line="330" w:lineRule="atLeas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w:t>
      </w:r>
      <w:r>
        <w:rPr>
          <w:rFonts w:hint="eastAsia" w:ascii="宋体" w:hAnsi="宋体" w:cs="宋体"/>
          <w:color w:val="auto"/>
          <w:kern w:val="0"/>
          <w:sz w:val="24"/>
          <w:highlight w:val="none"/>
        </w:rPr>
        <w:t>；承建（承接）企业为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万元，资产总额为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rPr>
        <w:t>万元，属于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pPr>
        <w:widowControl/>
        <w:spacing w:before="100" w:beforeAutospacing="1" w:after="100" w:afterAutospacing="1" w:line="330" w:lineRule="atLeast"/>
        <w:ind w:firstLine="720" w:firstLineChars="300"/>
        <w:jc w:val="left"/>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w:t>
      </w:r>
      <w:r>
        <w:rPr>
          <w:rFonts w:hint="eastAsia" w:ascii="宋体" w:hAnsi="宋体" w:cs="宋体"/>
          <w:color w:val="auto"/>
          <w:kern w:val="0"/>
          <w:sz w:val="24"/>
          <w:highlight w:val="none"/>
        </w:rPr>
        <w:t>；承建（承接）企业为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万元，资产总额为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rPr>
        <w:t>万元，属于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pPr>
        <w:widowControl/>
        <w:spacing w:before="100" w:beforeAutospacing="1" w:after="100" w:afterAutospacing="1" w:line="330" w:lineRule="atLeast"/>
        <w:ind w:firstLine="240" w:firstLineChars="100"/>
        <w:jc w:val="left"/>
        <w:rPr>
          <w:rFonts w:ascii="宋体" w:hAnsi="宋体" w:cs="宋体"/>
          <w:color w:val="auto"/>
          <w:kern w:val="0"/>
          <w:sz w:val="24"/>
          <w:highlight w:val="none"/>
        </w:rPr>
      </w:pPr>
      <w:r>
        <w:rPr>
          <w:rFonts w:hint="eastAsia" w:ascii="宋体" w:hAnsi="宋体" w:cs="宋体"/>
          <w:color w:val="auto"/>
          <w:kern w:val="0"/>
          <w:sz w:val="24"/>
          <w:highlight w:val="none"/>
        </w:rPr>
        <w:t>……</w:t>
      </w:r>
    </w:p>
    <w:p>
      <w:pPr>
        <w:widowControl/>
        <w:spacing w:before="100" w:beforeAutospacing="1" w:after="100" w:afterAutospacing="1" w:line="330" w:lineRule="atLeast"/>
        <w:ind w:firstLine="240" w:firstLineChars="100"/>
        <w:jc w:val="left"/>
        <w:rPr>
          <w:rFonts w:ascii="宋体" w:hAnsi="宋体" w:cs="宋体"/>
          <w:color w:val="auto"/>
          <w:kern w:val="0"/>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pPr>
        <w:widowControl/>
        <w:spacing w:before="100" w:beforeAutospacing="1" w:after="100" w:afterAutospacing="1" w:line="330" w:lineRule="atLeast"/>
        <w:ind w:firstLine="240" w:firstLineChars="100"/>
        <w:jc w:val="left"/>
        <w:rPr>
          <w:rFonts w:ascii="宋体" w:hAnsi="宋体" w:cs="宋体"/>
          <w:color w:val="auto"/>
          <w:kern w:val="0"/>
          <w:sz w:val="24"/>
          <w:highlight w:val="none"/>
        </w:rPr>
      </w:pPr>
      <w:r>
        <w:rPr>
          <w:rFonts w:hint="eastAsia" w:ascii="宋体" w:hAnsi="宋体" w:cs="宋体"/>
          <w:color w:val="auto"/>
          <w:kern w:val="0"/>
          <w:sz w:val="24"/>
          <w:highlight w:val="none"/>
        </w:rPr>
        <w:t>本企业对上述声明内容的真实性负责。如有虚假，将依法承担相应责任。</w:t>
      </w:r>
    </w:p>
    <w:p>
      <w:pPr>
        <w:widowControl/>
        <w:spacing w:before="100" w:beforeAutospacing="1" w:after="100" w:afterAutospacing="1" w:line="330" w:lineRule="atLeast"/>
        <w:ind w:firstLine="240" w:firstLineChars="100"/>
        <w:jc w:val="left"/>
        <w:rPr>
          <w:rFonts w:ascii="宋体" w:hAnsi="宋体" w:cs="宋体"/>
          <w:color w:val="auto"/>
          <w:kern w:val="0"/>
          <w:sz w:val="24"/>
          <w:highlight w:val="none"/>
        </w:rPr>
      </w:pPr>
    </w:p>
    <w:p>
      <w:pPr>
        <w:widowControl/>
        <w:spacing w:before="100" w:beforeAutospacing="1" w:after="100" w:afterAutospacing="1" w:line="330" w:lineRule="atLeast"/>
        <w:ind w:firstLine="240" w:firstLineChars="100"/>
        <w:jc w:val="left"/>
        <w:rPr>
          <w:rFonts w:ascii="宋体" w:hAnsi="宋体" w:cs="宋体"/>
          <w:color w:val="auto"/>
          <w:kern w:val="0"/>
          <w:sz w:val="24"/>
          <w:highlight w:val="none"/>
        </w:rPr>
      </w:pPr>
      <w:r>
        <w:rPr>
          <w:rFonts w:hint="eastAsia" w:ascii="宋体" w:hAnsi="宋体" w:cs="宋体"/>
          <w:color w:val="auto"/>
          <w:kern w:val="0"/>
          <w:sz w:val="24"/>
          <w:highlight w:val="none"/>
        </w:rPr>
        <w:t>企业名称（盖章）：</w:t>
      </w:r>
    </w:p>
    <w:p>
      <w:pPr>
        <w:widowControl/>
        <w:spacing w:before="100" w:beforeAutospacing="1" w:after="100" w:afterAutospacing="1" w:line="330" w:lineRule="atLeast"/>
        <w:ind w:firstLine="240" w:firstLineChars="100"/>
        <w:jc w:val="left"/>
        <w:rPr>
          <w:rFonts w:ascii="宋体" w:hAnsi="宋体" w:cs="宋体"/>
          <w:color w:val="auto"/>
          <w:kern w:val="0"/>
          <w:sz w:val="24"/>
          <w:highlight w:val="none"/>
        </w:rPr>
      </w:pPr>
    </w:p>
    <w:p>
      <w:pPr>
        <w:widowControl/>
        <w:spacing w:before="100" w:beforeAutospacing="1" w:after="100" w:afterAutospacing="1" w:line="330" w:lineRule="atLeast"/>
        <w:ind w:firstLine="240" w:firstLineChars="10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日期：             </w:t>
      </w:r>
    </w:p>
    <w:p>
      <w:pPr>
        <w:widowControl/>
        <w:spacing w:before="100" w:beforeAutospacing="1" w:after="100" w:afterAutospacing="1" w:line="330" w:lineRule="atLeast"/>
        <w:jc w:val="left"/>
        <w:rPr>
          <w:rFonts w:ascii="宋体" w:hAnsi="宋体" w:cs="宋体"/>
          <w:color w:val="auto"/>
          <w:kern w:val="0"/>
          <w:sz w:val="24"/>
          <w:highlight w:val="none"/>
        </w:rPr>
      </w:pPr>
    </w:p>
    <w:p>
      <w:pPr>
        <w:pStyle w:val="15"/>
        <w:rPr>
          <w:rFonts w:hAnsi="宋体" w:cs="宋体"/>
          <w:color w:val="auto"/>
          <w:sz w:val="21"/>
          <w:szCs w:val="21"/>
          <w:highlight w:val="none"/>
        </w:rPr>
      </w:pPr>
      <w:r>
        <w:rPr>
          <w:rFonts w:hint="eastAsia" w:hAnsi="宋体" w:cs="宋体"/>
          <w:color w:val="auto"/>
          <w:sz w:val="21"/>
          <w:szCs w:val="21"/>
          <w:highlight w:val="none"/>
        </w:rPr>
        <w:t>注：从业人员、营业收入、资产总额填报上一年度数据，无上一年度数据的新成立企业可不填报。</w:t>
      </w:r>
    </w:p>
    <w:p>
      <w:pPr>
        <w:widowControl/>
        <w:ind w:firstLine="2891" w:firstLineChars="1200"/>
        <w:jc w:val="left"/>
        <w:rPr>
          <w:rFonts w:ascii="宋体" w:hAnsi="宋体" w:cs="宋体"/>
          <w:b/>
          <w:bCs/>
          <w:color w:val="auto"/>
          <w:kern w:val="0"/>
          <w:sz w:val="24"/>
          <w:highlight w:val="none"/>
          <w:lang w:bidi="ar"/>
        </w:rPr>
      </w:pPr>
    </w:p>
    <w:p>
      <w:pPr>
        <w:widowControl/>
        <w:ind w:firstLine="2891" w:firstLineChars="1200"/>
        <w:jc w:val="left"/>
        <w:rPr>
          <w:rFonts w:ascii="宋体" w:hAnsi="宋体" w:cs="宋体"/>
          <w:b/>
          <w:bCs/>
          <w:color w:val="auto"/>
          <w:kern w:val="0"/>
          <w:sz w:val="24"/>
          <w:highlight w:val="none"/>
          <w:lang w:bidi="ar"/>
        </w:rPr>
      </w:pPr>
    </w:p>
    <w:p>
      <w:pPr>
        <w:widowControl/>
        <w:ind w:firstLine="2891" w:firstLineChars="1200"/>
        <w:jc w:val="left"/>
        <w:rPr>
          <w:rFonts w:ascii="宋体" w:hAnsi="宋体" w:cs="宋体"/>
          <w:b/>
          <w:bCs/>
          <w:color w:val="auto"/>
          <w:kern w:val="0"/>
          <w:sz w:val="24"/>
          <w:highlight w:val="none"/>
          <w:lang w:bidi="ar"/>
        </w:rPr>
      </w:pPr>
    </w:p>
    <w:p>
      <w:pPr>
        <w:widowControl/>
        <w:ind w:firstLine="2891" w:firstLineChars="1200"/>
        <w:jc w:val="left"/>
        <w:rPr>
          <w:rFonts w:ascii="宋体" w:hAnsi="宋体" w:cs="宋体"/>
          <w:b/>
          <w:bCs/>
          <w:color w:val="auto"/>
          <w:kern w:val="0"/>
          <w:sz w:val="24"/>
          <w:highlight w:val="none"/>
          <w:lang w:bidi="ar"/>
        </w:rPr>
      </w:pPr>
    </w:p>
    <w:p>
      <w:pPr>
        <w:widowControl/>
        <w:spacing w:before="100" w:beforeAutospacing="1" w:after="100" w:afterAutospacing="1" w:line="360" w:lineRule="auto"/>
        <w:jc w:val="left"/>
        <w:rPr>
          <w:rFonts w:ascii="宋体" w:hAnsi="宋体" w:cs="宋体"/>
          <w:color w:val="auto"/>
          <w:highlight w:val="none"/>
        </w:rPr>
      </w:pPr>
    </w:p>
    <w:p>
      <w:pPr>
        <w:pStyle w:val="2"/>
        <w:rPr>
          <w:rFonts w:ascii="宋体" w:hAnsi="宋体" w:cs="宋体"/>
          <w:color w:val="auto"/>
          <w:highlight w:val="none"/>
        </w:rPr>
      </w:pPr>
    </w:p>
    <w:p>
      <w:pPr>
        <w:pStyle w:val="2"/>
        <w:rPr>
          <w:rFonts w:ascii="宋体" w:hAnsi="宋体" w:cs="宋体"/>
          <w:color w:val="auto"/>
          <w:highlight w:val="none"/>
        </w:rPr>
      </w:pPr>
    </w:p>
    <w:p>
      <w:pPr>
        <w:pStyle w:val="15"/>
        <w:spacing w:line="360" w:lineRule="auto"/>
        <w:ind w:firstLine="964" w:firstLineChars="400"/>
        <w:rPr>
          <w:rFonts w:hAnsi="宋体" w:cs="宋体"/>
          <w:color w:val="auto"/>
          <w:highlight w:val="none"/>
        </w:rPr>
      </w:pPr>
      <w:bookmarkStart w:id="445" w:name="_Toc6238"/>
      <w:bookmarkStart w:id="446" w:name="_Toc518923122"/>
      <w:r>
        <w:rPr>
          <w:rFonts w:hint="eastAsia" w:hAnsi="宋体" w:cs="宋体"/>
          <w:b/>
          <w:bCs/>
          <w:color w:val="auto"/>
          <w:highlight w:val="none"/>
        </w:rPr>
        <w:t>6   投标人关联单位的说</w:t>
      </w:r>
      <w:bookmarkEnd w:id="445"/>
      <w:bookmarkEnd w:id="446"/>
      <w:r>
        <w:rPr>
          <w:rFonts w:hint="eastAsia" w:hAnsi="宋体" w:cs="宋体"/>
          <w:b/>
          <w:bCs/>
          <w:color w:val="auto"/>
          <w:highlight w:val="none"/>
        </w:rPr>
        <w:t>明</w:t>
      </w:r>
    </w:p>
    <w:p>
      <w:pPr>
        <w:pStyle w:val="15"/>
        <w:spacing w:line="360" w:lineRule="auto"/>
        <w:ind w:firstLine="480" w:firstLineChars="200"/>
        <w:rPr>
          <w:rFonts w:hAnsi="宋体" w:cs="宋体"/>
          <w:color w:val="auto"/>
          <w:highlight w:val="none"/>
        </w:rPr>
      </w:pPr>
    </w:p>
    <w:p>
      <w:pPr>
        <w:pStyle w:val="15"/>
        <w:spacing w:line="360" w:lineRule="auto"/>
        <w:ind w:firstLine="480" w:firstLineChars="200"/>
        <w:rPr>
          <w:rFonts w:hAnsi="宋体" w:cs="宋体"/>
          <w:color w:val="auto"/>
          <w:highlight w:val="none"/>
        </w:rPr>
      </w:pPr>
      <w:r>
        <w:rPr>
          <w:rFonts w:hint="eastAsia" w:hAnsi="宋体" w:cs="宋体"/>
          <w:color w:val="auto"/>
          <w:highlight w:val="none"/>
        </w:rPr>
        <w:t>说明：投标人应当如实披露与本单位存在下列关联关系的单位名称：</w:t>
      </w:r>
    </w:p>
    <w:p>
      <w:pPr>
        <w:pStyle w:val="15"/>
        <w:spacing w:line="360" w:lineRule="auto"/>
        <w:ind w:firstLine="480" w:firstLineChars="200"/>
        <w:rPr>
          <w:rFonts w:hAnsi="宋体" w:cs="宋体"/>
          <w:color w:val="auto"/>
          <w:highlight w:val="none"/>
        </w:rPr>
      </w:pPr>
      <w:r>
        <w:rPr>
          <w:rFonts w:hint="eastAsia" w:hAnsi="宋体" w:cs="宋体"/>
          <w:color w:val="auto"/>
          <w:highlight w:val="none"/>
        </w:rPr>
        <w:t>（1）与投标人单位负责人为同一人的其他单位；</w:t>
      </w:r>
      <w:r>
        <w:rPr>
          <w:rFonts w:hint="eastAsia" w:hAnsi="宋体" w:cs="宋体"/>
          <w:color w:val="auto"/>
          <w:highlight w:val="none"/>
        </w:rPr>
        <w:br w:type="textWrapping"/>
      </w:r>
      <w:r>
        <w:rPr>
          <w:rFonts w:hint="eastAsia" w:hAnsi="宋体" w:cs="宋体"/>
          <w:color w:val="auto"/>
          <w:highlight w:val="none"/>
        </w:rPr>
        <w:t xml:space="preserve">    （2）与投标人存在直接控股、管理关系的其他单位。</w:t>
      </w:r>
    </w:p>
    <w:p>
      <w:pPr>
        <w:pStyle w:val="15"/>
        <w:spacing w:line="360" w:lineRule="auto"/>
        <w:jc w:val="center"/>
        <w:rPr>
          <w:rFonts w:hAnsi="宋体" w:cs="宋体"/>
          <w:color w:val="auto"/>
          <w:highlight w:val="none"/>
        </w:rPr>
      </w:pPr>
    </w:p>
    <w:p>
      <w:pPr>
        <w:pStyle w:val="15"/>
        <w:spacing w:line="360" w:lineRule="auto"/>
        <w:ind w:firstLine="723" w:firstLineChars="300"/>
        <w:rPr>
          <w:rFonts w:hAnsi="宋体" w:cs="宋体"/>
          <w:b/>
          <w:bCs/>
          <w:color w:val="auto"/>
          <w:highlight w:val="none"/>
        </w:rPr>
      </w:pPr>
      <w:bookmarkStart w:id="447" w:name="_Toc17066"/>
      <w:bookmarkStart w:id="448" w:name="_Toc518923123"/>
      <w:r>
        <w:rPr>
          <w:rFonts w:hint="eastAsia" w:hAnsi="宋体" w:cs="宋体"/>
          <w:b/>
          <w:bCs/>
          <w:color w:val="auto"/>
          <w:highlight w:val="none"/>
        </w:rPr>
        <w:t>7   投标文件还应包括投标人须知第10条的所有响应文件</w:t>
      </w:r>
      <w:bookmarkEnd w:id="447"/>
      <w:bookmarkEnd w:id="448"/>
    </w:p>
    <w:p>
      <w:pPr>
        <w:spacing w:line="360" w:lineRule="auto"/>
        <w:ind w:left="1080" w:leftChars="257" w:hanging="540"/>
        <w:jc w:val="center"/>
        <w:rPr>
          <w:rFonts w:ascii="宋体" w:hAnsi="宋体" w:cs="宋体"/>
          <w:color w:val="auto"/>
          <w:sz w:val="24"/>
          <w:highlight w:val="none"/>
        </w:rPr>
      </w:pPr>
      <w:r>
        <w:rPr>
          <w:rFonts w:hint="eastAsia" w:ascii="宋体" w:hAnsi="宋体" w:cs="宋体"/>
          <w:color w:val="auto"/>
          <w:sz w:val="24"/>
          <w:highlight w:val="none"/>
        </w:rPr>
        <w:br w:type="page"/>
      </w:r>
    </w:p>
    <w:p>
      <w:pPr>
        <w:spacing w:line="360" w:lineRule="auto"/>
        <w:jc w:val="center"/>
        <w:rPr>
          <w:rFonts w:ascii="宋体" w:hAnsi="宋体" w:cs="宋体"/>
          <w:b/>
          <w:color w:val="auto"/>
          <w:sz w:val="44"/>
          <w:szCs w:val="44"/>
          <w:highlight w:val="none"/>
        </w:rPr>
      </w:pPr>
    </w:p>
    <w:p>
      <w:pPr>
        <w:pStyle w:val="19"/>
        <w:rPr>
          <w:rFonts w:cs="宋体"/>
          <w:b/>
          <w:color w:val="auto"/>
          <w:sz w:val="52"/>
          <w:szCs w:val="52"/>
          <w:highlight w:val="none"/>
        </w:rPr>
      </w:pPr>
    </w:p>
    <w:p>
      <w:pPr>
        <w:spacing w:line="400" w:lineRule="atLeast"/>
        <w:jc w:val="center"/>
        <w:rPr>
          <w:rFonts w:ascii="方正小标宋简体" w:hAnsi="方正小标宋简体" w:eastAsia="方正小标宋简体" w:cs="方正小标宋简体"/>
          <w:b/>
          <w:color w:val="auto"/>
          <w:sz w:val="52"/>
          <w:szCs w:val="52"/>
          <w:highlight w:val="none"/>
        </w:rPr>
      </w:pPr>
      <w:r>
        <w:rPr>
          <w:rFonts w:hint="eastAsia" w:ascii="方正小标宋简体" w:hAnsi="方正小标宋简体" w:eastAsia="方正小标宋简体" w:cs="方正小标宋简体"/>
          <w:b/>
          <w:color w:val="auto"/>
          <w:sz w:val="52"/>
          <w:szCs w:val="52"/>
          <w:highlight w:val="none"/>
        </w:rPr>
        <w:t>喀什地区第一人民医院国家区域医疗中心智慧医院、多学科（专科、专病）数据中心</w:t>
      </w:r>
    </w:p>
    <w:p>
      <w:pPr>
        <w:spacing w:line="400" w:lineRule="atLeast"/>
        <w:jc w:val="center"/>
        <w:rPr>
          <w:rFonts w:ascii="方正小标宋简体" w:hAnsi="方正小标宋简体" w:eastAsia="方正小标宋简体" w:cs="方正小标宋简体"/>
          <w:b/>
          <w:color w:val="auto"/>
          <w:sz w:val="52"/>
          <w:szCs w:val="52"/>
          <w:highlight w:val="none"/>
        </w:rPr>
      </w:pPr>
      <w:r>
        <w:rPr>
          <w:rFonts w:hint="eastAsia" w:ascii="方正小标宋简体" w:hAnsi="方正小标宋简体" w:eastAsia="方正小标宋简体" w:cs="方正小标宋简体"/>
          <w:b/>
          <w:color w:val="auto"/>
          <w:sz w:val="52"/>
          <w:szCs w:val="52"/>
          <w:highlight w:val="none"/>
        </w:rPr>
        <w:t>信息化建设项目</w:t>
      </w:r>
    </w:p>
    <w:p>
      <w:pPr>
        <w:widowControl/>
        <w:spacing w:line="360" w:lineRule="auto"/>
        <w:jc w:val="left"/>
        <w:rPr>
          <w:rFonts w:ascii="宋体" w:hAnsi="宋体" w:cs="宋体"/>
          <w:color w:val="auto"/>
          <w:highlight w:val="none"/>
        </w:rPr>
      </w:pPr>
    </w:p>
    <w:p>
      <w:pPr>
        <w:spacing w:line="400" w:lineRule="atLeast"/>
        <w:jc w:val="center"/>
        <w:rPr>
          <w:rFonts w:ascii="宋体" w:hAnsi="宋体" w:cs="宋体"/>
          <w:b/>
          <w:color w:val="auto"/>
          <w:sz w:val="72"/>
          <w:szCs w:val="72"/>
          <w:highlight w:val="none"/>
        </w:rPr>
      </w:pPr>
      <w:r>
        <w:rPr>
          <w:rFonts w:hint="eastAsia" w:ascii="宋体" w:hAnsi="宋体" w:cs="宋体"/>
          <w:b/>
          <w:color w:val="auto"/>
          <w:sz w:val="72"/>
          <w:szCs w:val="72"/>
          <w:highlight w:val="none"/>
        </w:rPr>
        <w:t>公开招标文件</w:t>
      </w:r>
    </w:p>
    <w:p>
      <w:pPr>
        <w:spacing w:line="360" w:lineRule="auto"/>
        <w:ind w:left="1080" w:leftChars="257" w:hanging="540"/>
        <w:jc w:val="center"/>
        <w:rPr>
          <w:rFonts w:ascii="宋体" w:hAnsi="宋体" w:cs="宋体"/>
          <w:bCs/>
          <w:color w:val="auto"/>
          <w:sz w:val="52"/>
          <w:szCs w:val="52"/>
          <w:highlight w:val="none"/>
        </w:rPr>
      </w:pPr>
    </w:p>
    <w:p>
      <w:pPr>
        <w:spacing w:line="360" w:lineRule="auto"/>
        <w:ind w:left="1080" w:leftChars="257" w:hanging="540"/>
        <w:jc w:val="center"/>
        <w:rPr>
          <w:rFonts w:ascii="宋体" w:hAnsi="宋体" w:cs="宋体"/>
          <w:bCs/>
          <w:color w:val="auto"/>
          <w:sz w:val="32"/>
          <w:szCs w:val="32"/>
          <w:highlight w:val="none"/>
        </w:rPr>
      </w:pPr>
      <w:r>
        <w:rPr>
          <w:rFonts w:hint="eastAsia" w:ascii="宋体" w:hAnsi="宋体" w:cs="宋体"/>
          <w:bCs/>
          <w:color w:val="auto"/>
          <w:sz w:val="32"/>
          <w:szCs w:val="32"/>
          <w:highlight w:val="none"/>
        </w:rPr>
        <w:t>（项目编号：KSDQZFCG（GK）2023-26）</w:t>
      </w:r>
    </w:p>
    <w:p>
      <w:pPr>
        <w:spacing w:line="360" w:lineRule="auto"/>
        <w:ind w:left="1080" w:leftChars="257" w:hanging="540"/>
        <w:jc w:val="center"/>
        <w:rPr>
          <w:rFonts w:ascii="宋体" w:hAnsi="宋体" w:cs="宋体"/>
          <w:b/>
          <w:color w:val="auto"/>
          <w:sz w:val="32"/>
          <w:szCs w:val="32"/>
          <w:highlight w:val="none"/>
        </w:rPr>
      </w:pPr>
    </w:p>
    <w:p>
      <w:pPr>
        <w:spacing w:line="360" w:lineRule="auto"/>
        <w:ind w:left="1080" w:leftChars="257" w:hanging="540"/>
        <w:jc w:val="center"/>
        <w:rPr>
          <w:rFonts w:ascii="宋体" w:hAnsi="宋体" w:cs="宋体"/>
          <w:b/>
          <w:color w:val="auto"/>
          <w:sz w:val="36"/>
          <w:szCs w:val="36"/>
          <w:highlight w:val="none"/>
        </w:rPr>
      </w:pPr>
      <w:r>
        <w:rPr>
          <w:rFonts w:hint="eastAsia" w:ascii="宋体" w:hAnsi="宋体" w:cs="宋体"/>
          <w:b/>
          <w:color w:val="auto"/>
          <w:sz w:val="36"/>
          <w:szCs w:val="36"/>
          <w:highlight w:val="none"/>
        </w:rPr>
        <w:t>第二册</w:t>
      </w:r>
    </w:p>
    <w:p>
      <w:pPr>
        <w:pStyle w:val="19"/>
        <w:rPr>
          <w:rFonts w:cs="宋体"/>
          <w:b/>
          <w:color w:val="auto"/>
          <w:sz w:val="52"/>
          <w:highlight w:val="none"/>
        </w:rPr>
      </w:pPr>
    </w:p>
    <w:p>
      <w:pPr>
        <w:pStyle w:val="19"/>
        <w:rPr>
          <w:rFonts w:cs="宋体"/>
          <w:b/>
          <w:color w:val="auto"/>
          <w:sz w:val="52"/>
          <w:highlight w:val="none"/>
        </w:rPr>
      </w:pPr>
    </w:p>
    <w:p>
      <w:pPr>
        <w:spacing w:line="360" w:lineRule="auto"/>
        <w:ind w:firstLine="837" w:firstLineChars="299"/>
        <w:jc w:val="left"/>
        <w:rPr>
          <w:rFonts w:ascii="宋体" w:hAnsi="宋体" w:cs="宋体"/>
          <w:color w:val="auto"/>
          <w:sz w:val="28"/>
          <w:szCs w:val="28"/>
          <w:highlight w:val="none"/>
          <w:u w:val="single"/>
        </w:rPr>
      </w:pPr>
      <w:r>
        <w:rPr>
          <w:rFonts w:hint="eastAsia" w:ascii="宋体" w:hAnsi="宋体" w:cs="宋体"/>
          <w:color w:val="auto"/>
          <w:sz w:val="28"/>
          <w:szCs w:val="28"/>
          <w:highlight w:val="none"/>
        </w:rPr>
        <w:t>采 购 人：</w:t>
      </w:r>
      <w:r>
        <w:rPr>
          <w:rFonts w:hint="eastAsia" w:ascii="宋体" w:hAnsi="宋体" w:cs="宋体"/>
          <w:color w:val="auto"/>
          <w:sz w:val="28"/>
          <w:szCs w:val="28"/>
          <w:highlight w:val="none"/>
          <w:u w:val="single"/>
        </w:rPr>
        <w:t>喀什地区第一人民医院</w:t>
      </w:r>
    </w:p>
    <w:p>
      <w:pPr>
        <w:spacing w:line="360" w:lineRule="auto"/>
        <w:ind w:firstLine="837" w:firstLineChars="299"/>
        <w:rPr>
          <w:rFonts w:ascii="宋体" w:hAnsi="宋体" w:cs="宋体"/>
          <w:color w:val="auto"/>
          <w:sz w:val="28"/>
          <w:szCs w:val="28"/>
          <w:highlight w:val="none"/>
        </w:rPr>
      </w:pPr>
      <w:r>
        <w:rPr>
          <w:rFonts w:hint="eastAsia" w:ascii="宋体" w:hAnsi="宋体" w:cs="宋体"/>
          <w:color w:val="auto"/>
          <w:sz w:val="28"/>
          <w:szCs w:val="28"/>
          <w:highlight w:val="none"/>
        </w:rPr>
        <w:t>采购机构：</w:t>
      </w:r>
      <w:r>
        <w:rPr>
          <w:rFonts w:hint="eastAsia" w:ascii="宋体" w:hAnsi="宋体" w:cs="宋体"/>
          <w:color w:val="auto"/>
          <w:sz w:val="28"/>
          <w:szCs w:val="28"/>
          <w:highlight w:val="none"/>
          <w:u w:val="single"/>
        </w:rPr>
        <w:t>喀什地区公共资源交易中心</w:t>
      </w:r>
      <w:r>
        <w:rPr>
          <w:rFonts w:hint="eastAsia" w:ascii="宋体" w:hAnsi="宋体" w:cs="宋体"/>
          <w:color w:val="auto"/>
          <w:sz w:val="28"/>
          <w:szCs w:val="28"/>
          <w:highlight w:val="none"/>
        </w:rPr>
        <w:t xml:space="preserve"> </w:t>
      </w:r>
    </w:p>
    <w:p>
      <w:pPr>
        <w:spacing w:line="360" w:lineRule="auto"/>
        <w:ind w:firstLine="837" w:firstLineChars="299"/>
        <w:rPr>
          <w:rFonts w:hAnsi="宋体" w:cs="宋体"/>
          <w:color w:val="auto"/>
          <w:highlight w:val="none"/>
        </w:rPr>
      </w:pPr>
      <w:r>
        <w:rPr>
          <w:rFonts w:hint="eastAsia" w:ascii="宋体" w:hAnsi="宋体" w:cs="宋体"/>
          <w:color w:val="auto"/>
          <w:sz w:val="28"/>
          <w:szCs w:val="28"/>
          <w:highlight w:val="none"/>
        </w:rPr>
        <w:t>发出日期：</w:t>
      </w:r>
      <w:r>
        <w:rPr>
          <w:rFonts w:hint="eastAsia" w:ascii="宋体" w:hAnsi="宋体" w:cs="宋体"/>
          <w:color w:val="auto"/>
          <w:sz w:val="28"/>
          <w:szCs w:val="28"/>
          <w:highlight w:val="none"/>
          <w:u w:val="single"/>
        </w:rPr>
        <w:t>2023年</w:t>
      </w:r>
      <w:r>
        <w:rPr>
          <w:rFonts w:hint="eastAsia" w:ascii="宋体" w:hAnsi="宋体" w:cs="宋体"/>
          <w:color w:val="auto"/>
          <w:sz w:val="28"/>
          <w:szCs w:val="28"/>
          <w:highlight w:val="none"/>
          <w:u w:val="single"/>
          <w:lang w:val="en-US" w:eastAsia="zh-CN"/>
        </w:rPr>
        <w:t>7</w:t>
      </w:r>
      <w:r>
        <w:rPr>
          <w:rFonts w:hint="eastAsia" w:ascii="宋体" w:hAnsi="宋体" w:cs="宋体"/>
          <w:color w:val="auto"/>
          <w:sz w:val="28"/>
          <w:szCs w:val="28"/>
          <w:highlight w:val="none"/>
          <w:u w:val="single"/>
        </w:rPr>
        <w:t>月</w:t>
      </w:r>
      <w:bookmarkStart w:id="449" w:name="_Toc9913"/>
      <w:bookmarkStart w:id="450" w:name="_Toc216582822"/>
      <w:bookmarkStart w:id="451" w:name="_Toc507399902"/>
      <w:bookmarkStart w:id="452" w:name="_Toc219175634"/>
      <w:bookmarkStart w:id="453" w:name="_Toc518923124"/>
      <w:bookmarkStart w:id="454" w:name="_Toc218935350"/>
    </w:p>
    <w:p>
      <w:pPr>
        <w:rPr>
          <w:rFonts w:hint="eastAsia" w:hAnsi="宋体" w:cs="宋体"/>
          <w:color w:val="auto"/>
          <w:highlight w:val="none"/>
        </w:rPr>
      </w:pPr>
      <w:bookmarkStart w:id="455" w:name="_Toc187015976"/>
      <w:bookmarkStart w:id="456" w:name="_Toc30701"/>
      <w:bookmarkStart w:id="457" w:name="_Toc14452"/>
      <w:r>
        <w:rPr>
          <w:rFonts w:hint="eastAsia" w:hAnsi="宋体" w:cs="宋体"/>
          <w:color w:val="auto"/>
          <w:highlight w:val="none"/>
        </w:rPr>
        <w:br w:type="page"/>
      </w:r>
    </w:p>
    <w:p>
      <w:pPr>
        <w:pStyle w:val="3"/>
        <w:tabs>
          <w:tab w:val="left" w:pos="0"/>
        </w:tabs>
        <w:spacing w:before="0" w:after="0" w:line="360" w:lineRule="auto"/>
        <w:rPr>
          <w:rFonts w:hAnsi="宋体" w:cs="宋体"/>
          <w:color w:val="auto"/>
          <w:highlight w:val="none"/>
        </w:rPr>
      </w:pPr>
      <w:bookmarkStart w:id="458" w:name="_Toc16449"/>
      <w:r>
        <w:rPr>
          <w:rFonts w:hint="eastAsia" w:hAnsi="宋体" w:cs="宋体"/>
          <w:color w:val="auto"/>
          <w:highlight w:val="none"/>
        </w:rPr>
        <w:t>第3章 投标邀请</w:t>
      </w:r>
      <w:bookmarkEnd w:id="449"/>
      <w:bookmarkEnd w:id="450"/>
      <w:bookmarkEnd w:id="451"/>
      <w:bookmarkEnd w:id="452"/>
      <w:bookmarkEnd w:id="453"/>
      <w:bookmarkEnd w:id="454"/>
      <w:bookmarkEnd w:id="455"/>
      <w:bookmarkEnd w:id="456"/>
      <w:bookmarkEnd w:id="457"/>
      <w:bookmarkEnd w:id="458"/>
    </w:p>
    <w:p>
      <w:pPr>
        <w:ind w:firstLine="843" w:firstLineChars="300"/>
        <w:jc w:val="center"/>
        <w:outlineLvl w:val="1"/>
        <w:rPr>
          <w:rFonts w:ascii="宋体" w:hAnsi="宋体" w:cs="宋体"/>
          <w:b/>
          <w:bCs/>
          <w:color w:val="auto"/>
          <w:kern w:val="44"/>
          <w:sz w:val="24"/>
          <w:highlight w:val="none"/>
        </w:rPr>
      </w:pPr>
      <w:r>
        <w:rPr>
          <w:rFonts w:hint="eastAsia" w:ascii="宋体" w:hAnsi="宋体" w:cs="宋体"/>
          <w:b/>
          <w:bCs/>
          <w:color w:val="auto"/>
          <w:kern w:val="0"/>
          <w:sz w:val="28"/>
          <w:szCs w:val="28"/>
          <w:highlight w:val="none"/>
        </w:rPr>
        <w:t>喀什地区第一人民医院国家区域医疗中心智慧医院、多学科（专科、专病）数据中心信息化建设项目招标公告</w:t>
      </w:r>
    </w:p>
    <w:p>
      <w:pPr>
        <w:pBdr>
          <w:top w:val="single" w:color="auto" w:sz="4" w:space="1"/>
          <w:left w:val="single" w:color="auto" w:sz="4" w:space="4"/>
          <w:bottom w:val="single" w:color="auto" w:sz="4" w:space="1"/>
          <w:right w:val="single" w:color="auto" w:sz="4" w:space="4"/>
        </w:pBdr>
        <w:jc w:val="left"/>
        <w:rPr>
          <w:rFonts w:ascii="宋体" w:hAnsi="宋体" w:cs="宋体"/>
          <w:b/>
          <w:bCs/>
          <w:color w:val="auto"/>
          <w:sz w:val="24"/>
          <w:highlight w:val="none"/>
        </w:rPr>
      </w:pPr>
      <w:r>
        <w:rPr>
          <w:rFonts w:hint="eastAsia" w:ascii="宋体" w:hAnsi="宋体" w:cs="宋体"/>
          <w:b/>
          <w:bCs/>
          <w:color w:val="auto"/>
          <w:sz w:val="24"/>
          <w:highlight w:val="none"/>
        </w:rPr>
        <w:t>项目概况</w:t>
      </w:r>
    </w:p>
    <w:p>
      <w:pPr>
        <w:pBdr>
          <w:top w:val="single" w:color="auto" w:sz="4" w:space="1"/>
          <w:left w:val="single" w:color="auto" w:sz="4" w:space="4"/>
          <w:bottom w:val="single" w:color="auto" w:sz="4" w:space="1"/>
          <w:right w:val="single" w:color="auto" w:sz="4" w:space="4"/>
        </w:pBdr>
        <w:spacing w:line="360" w:lineRule="exact"/>
        <w:ind w:firstLine="480" w:firstLineChars="200"/>
        <w:rPr>
          <w:rFonts w:ascii="宋体" w:hAnsi="宋体" w:cs="宋体"/>
          <w:b/>
          <w:bCs/>
          <w:color w:val="auto"/>
          <w:sz w:val="24"/>
          <w:highlight w:val="none"/>
        </w:rPr>
      </w:pPr>
      <w:r>
        <w:rPr>
          <w:rFonts w:hint="eastAsia" w:ascii="宋体" w:hAnsi="宋体"/>
          <w:color w:val="auto"/>
          <w:sz w:val="24"/>
          <w:highlight w:val="none"/>
          <w:u w:val="single"/>
        </w:rPr>
        <w:t>喀什地区第一人民医院国家区域医疗中心智慧医院、多学科（专科、专病）数据中心信息化建设项目</w:t>
      </w:r>
      <w:r>
        <w:rPr>
          <w:rFonts w:hint="eastAsia" w:ascii="宋体" w:hAnsi="宋体" w:cs="宋体"/>
          <w:color w:val="auto"/>
          <w:sz w:val="24"/>
          <w:highlight w:val="none"/>
        </w:rPr>
        <w:t>招标项目的潜在投标人应在政采云平台获取招标文件，并于2023年</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分（北京时间）前递交投标文件。</w:t>
      </w:r>
    </w:p>
    <w:p>
      <w:pPr>
        <w:pBdr>
          <w:top w:val="single" w:color="auto" w:sz="4" w:space="1"/>
          <w:left w:val="single" w:color="auto" w:sz="4" w:space="4"/>
          <w:bottom w:val="single" w:color="auto" w:sz="4" w:space="1"/>
          <w:right w:val="single" w:color="auto" w:sz="4" w:space="4"/>
        </w:pBdr>
        <w:ind w:firstLine="480" w:firstLineChars="200"/>
        <w:rPr>
          <w:rFonts w:ascii="宋体" w:hAnsi="宋体" w:cs="宋体"/>
          <w:color w:val="auto"/>
          <w:sz w:val="24"/>
          <w:highlight w:val="none"/>
        </w:rPr>
      </w:pPr>
    </w:p>
    <w:p>
      <w:pPr>
        <w:spacing w:line="360" w:lineRule="auto"/>
        <w:rPr>
          <w:rFonts w:ascii="宋体" w:hAnsi="宋体" w:cs="宋体"/>
          <w:color w:val="auto"/>
          <w:highlight w:val="none"/>
        </w:rPr>
      </w:pPr>
    </w:p>
    <w:p>
      <w:pPr>
        <w:pStyle w:val="40"/>
        <w:spacing w:line="360" w:lineRule="exact"/>
        <w:outlineLvl w:val="1"/>
        <w:rPr>
          <w:color w:val="auto"/>
          <w:highlight w:val="none"/>
        </w:rPr>
      </w:pPr>
      <w:bookmarkStart w:id="459" w:name="_Toc1854"/>
      <w:r>
        <w:rPr>
          <w:rFonts w:hint="eastAsia"/>
          <w:b/>
          <w:bCs/>
          <w:color w:val="auto"/>
          <w:highlight w:val="none"/>
        </w:rPr>
        <w:t>一、项目基本情况</w:t>
      </w:r>
      <w:bookmarkEnd w:id="459"/>
    </w:p>
    <w:p>
      <w:pPr>
        <w:pStyle w:val="40"/>
        <w:spacing w:line="360" w:lineRule="exact"/>
        <w:ind w:firstLine="480" w:firstLineChars="200"/>
        <w:rPr>
          <w:rFonts w:hint="eastAsia"/>
          <w:color w:val="auto"/>
          <w:highlight w:val="none"/>
        </w:rPr>
      </w:pPr>
      <w:r>
        <w:rPr>
          <w:rFonts w:hint="eastAsia"/>
          <w:color w:val="auto"/>
          <w:highlight w:val="none"/>
        </w:rPr>
        <w:t>1.项目编号：</w:t>
      </w:r>
      <w:r>
        <w:rPr>
          <w:rFonts w:hint="eastAsia"/>
          <w:color w:val="auto"/>
          <w:highlight w:val="none"/>
          <w:lang w:val="en-US" w:eastAsia="zh-CN"/>
        </w:rPr>
        <w:t>KSDQZFCG（GK）2023-26</w:t>
      </w:r>
    </w:p>
    <w:p>
      <w:pPr>
        <w:pStyle w:val="40"/>
        <w:spacing w:line="360" w:lineRule="exact"/>
        <w:ind w:firstLine="480" w:firstLineChars="200"/>
        <w:rPr>
          <w:color w:val="auto"/>
          <w:highlight w:val="none"/>
        </w:rPr>
      </w:pPr>
      <w:r>
        <w:rPr>
          <w:rFonts w:hint="eastAsia"/>
          <w:color w:val="auto"/>
          <w:highlight w:val="none"/>
        </w:rPr>
        <w:t>2.项目名称：喀什地区第一人民医院国家区域医疗中心智慧医院、多学科（专科、专病）数据中心信息化建设项目</w:t>
      </w:r>
    </w:p>
    <w:p>
      <w:pPr>
        <w:pStyle w:val="40"/>
        <w:spacing w:line="360" w:lineRule="exact"/>
        <w:ind w:firstLine="480" w:firstLineChars="200"/>
        <w:rPr>
          <w:color w:val="auto"/>
          <w:highlight w:val="none"/>
        </w:rPr>
      </w:pPr>
      <w:r>
        <w:rPr>
          <w:rFonts w:hint="eastAsia"/>
          <w:color w:val="auto"/>
          <w:highlight w:val="none"/>
        </w:rPr>
        <w:t>3.采购方式：公开招标</w:t>
      </w:r>
    </w:p>
    <w:p>
      <w:pPr>
        <w:pStyle w:val="40"/>
        <w:spacing w:line="360" w:lineRule="exact"/>
        <w:ind w:firstLine="480" w:firstLineChars="200"/>
        <w:rPr>
          <w:color w:val="auto"/>
          <w:highlight w:val="none"/>
        </w:rPr>
      </w:pPr>
      <w:r>
        <w:rPr>
          <w:rFonts w:hint="eastAsia"/>
          <w:color w:val="auto"/>
          <w:highlight w:val="none"/>
        </w:rPr>
        <w:t>4.预算金额：15233</w:t>
      </w:r>
      <w:r>
        <w:rPr>
          <w:color w:val="auto"/>
          <w:highlight w:val="none"/>
        </w:rPr>
        <w:t>.</w:t>
      </w:r>
      <w:r>
        <w:rPr>
          <w:rFonts w:hint="eastAsia"/>
          <w:color w:val="auto"/>
          <w:highlight w:val="none"/>
        </w:rPr>
        <w:t>8万元</w:t>
      </w:r>
    </w:p>
    <w:p>
      <w:pPr>
        <w:pStyle w:val="40"/>
        <w:spacing w:line="360" w:lineRule="exact"/>
        <w:ind w:firstLine="480" w:firstLineChars="200"/>
        <w:rPr>
          <w:color w:val="auto"/>
          <w:highlight w:val="none"/>
        </w:rPr>
      </w:pPr>
      <w:r>
        <w:rPr>
          <w:rFonts w:hint="eastAsia"/>
          <w:color w:val="auto"/>
          <w:highlight w:val="none"/>
        </w:rPr>
        <w:t>5.最高限价（万元）：15233</w:t>
      </w:r>
      <w:r>
        <w:rPr>
          <w:color w:val="auto"/>
          <w:highlight w:val="none"/>
        </w:rPr>
        <w:t>.</w:t>
      </w:r>
      <w:r>
        <w:rPr>
          <w:rFonts w:hint="eastAsia"/>
          <w:color w:val="auto"/>
          <w:highlight w:val="none"/>
        </w:rPr>
        <w:t>8万元</w:t>
      </w:r>
    </w:p>
    <w:p>
      <w:pPr>
        <w:pStyle w:val="40"/>
        <w:spacing w:line="360" w:lineRule="exact"/>
        <w:ind w:firstLine="480" w:firstLineChars="200"/>
        <w:rPr>
          <w:rFonts w:hint="default" w:eastAsia="宋体"/>
          <w:color w:val="auto"/>
          <w:highlight w:val="none"/>
          <w:lang w:val="en-US" w:eastAsia="zh-CN"/>
        </w:rPr>
      </w:pPr>
      <w:r>
        <w:rPr>
          <w:rFonts w:hint="eastAsia"/>
          <w:color w:val="auto"/>
          <w:highlight w:val="none"/>
        </w:rPr>
        <w:t>6.采购需求：喀什地区第一人民医院国家区域医疗中心智慧医院、多学科（专科、专病）数据中心信息化建设项目，本项目不分包，</w:t>
      </w:r>
      <w:r>
        <w:rPr>
          <w:rFonts w:hint="eastAsia"/>
          <w:color w:val="auto"/>
          <w:highlight w:val="none"/>
          <w:lang w:val="zh-CN"/>
        </w:rPr>
        <w:t>详细采购内容详见招标文件。建设内容：一、智慧医院一体化平台；二、区域大数据中心；三、区域传染病防控平台；四、区域监管平台；五、接口服务；六、基础系统软件；七、等保和密评服务；八、硬件产品；九、集成服务等。详细采购内容详见招标文件。</w:t>
      </w:r>
    </w:p>
    <w:p>
      <w:pPr>
        <w:pStyle w:val="40"/>
        <w:spacing w:line="360" w:lineRule="exact"/>
        <w:ind w:firstLine="480" w:firstLineChars="200"/>
        <w:rPr>
          <w:color w:val="auto"/>
          <w:highlight w:val="none"/>
        </w:rPr>
      </w:pPr>
      <w:r>
        <w:rPr>
          <w:rFonts w:hint="eastAsia"/>
          <w:color w:val="auto"/>
          <w:highlight w:val="none"/>
        </w:rPr>
        <w:t>7.本项目不接受联合体投标。</w:t>
      </w:r>
    </w:p>
    <w:p>
      <w:pPr>
        <w:pStyle w:val="40"/>
        <w:spacing w:line="360" w:lineRule="exact"/>
        <w:outlineLvl w:val="1"/>
        <w:rPr>
          <w:color w:val="auto"/>
          <w:highlight w:val="none"/>
        </w:rPr>
      </w:pPr>
      <w:bookmarkStart w:id="460" w:name="_Toc28359090"/>
      <w:bookmarkStart w:id="461" w:name="_Toc35393799"/>
      <w:bookmarkStart w:id="462" w:name="_Toc35393630"/>
      <w:bookmarkStart w:id="463" w:name="_Toc28359013"/>
      <w:bookmarkStart w:id="464" w:name="_Toc18555"/>
      <w:r>
        <w:rPr>
          <w:rFonts w:hint="eastAsia"/>
          <w:b/>
          <w:bCs/>
          <w:color w:val="auto"/>
          <w:highlight w:val="none"/>
        </w:rPr>
        <w:t>二、投标供应商资格要求：</w:t>
      </w:r>
      <w:bookmarkEnd w:id="460"/>
      <w:bookmarkEnd w:id="461"/>
      <w:bookmarkEnd w:id="462"/>
      <w:bookmarkEnd w:id="463"/>
      <w:bookmarkEnd w:id="464"/>
    </w:p>
    <w:p>
      <w:pPr>
        <w:pStyle w:val="40"/>
        <w:spacing w:line="360" w:lineRule="exact"/>
        <w:ind w:firstLine="480" w:firstLineChars="200"/>
        <w:rPr>
          <w:color w:val="auto"/>
          <w:highlight w:val="none"/>
        </w:rPr>
      </w:pPr>
      <w:r>
        <w:rPr>
          <w:rFonts w:hint="eastAsia"/>
          <w:color w:val="auto"/>
          <w:highlight w:val="none"/>
        </w:rPr>
        <w:t>1.满足《中华人民共和国政府采购法》第二十二条要求：</w:t>
      </w:r>
    </w:p>
    <w:p>
      <w:pPr>
        <w:pStyle w:val="40"/>
        <w:spacing w:line="360" w:lineRule="exact"/>
        <w:ind w:firstLine="240" w:firstLineChars="100"/>
        <w:rPr>
          <w:color w:val="auto"/>
          <w:highlight w:val="none"/>
        </w:rPr>
      </w:pPr>
      <w:r>
        <w:rPr>
          <w:rFonts w:hint="eastAsia"/>
          <w:color w:val="auto"/>
          <w:highlight w:val="none"/>
        </w:rPr>
        <w:t>（1）具有独立承担民事责任的能力；</w:t>
      </w:r>
    </w:p>
    <w:p>
      <w:pPr>
        <w:pStyle w:val="40"/>
        <w:spacing w:line="360" w:lineRule="exact"/>
        <w:ind w:firstLine="240" w:firstLineChars="100"/>
        <w:rPr>
          <w:color w:val="auto"/>
          <w:highlight w:val="none"/>
        </w:rPr>
      </w:pPr>
      <w:r>
        <w:rPr>
          <w:rFonts w:hint="eastAsia"/>
          <w:color w:val="auto"/>
          <w:highlight w:val="none"/>
        </w:rPr>
        <w:t>（2）具有健全的财务会计制度；</w:t>
      </w:r>
    </w:p>
    <w:p>
      <w:pPr>
        <w:pStyle w:val="40"/>
        <w:spacing w:line="360" w:lineRule="exact"/>
        <w:ind w:firstLine="240" w:firstLineChars="100"/>
        <w:rPr>
          <w:color w:val="auto"/>
          <w:highlight w:val="none"/>
        </w:rPr>
      </w:pPr>
      <w:r>
        <w:rPr>
          <w:rFonts w:hint="eastAsia"/>
          <w:color w:val="auto"/>
          <w:highlight w:val="none"/>
        </w:rPr>
        <w:t>（3）具有履行合同所必需的设备和专业技术能力；</w:t>
      </w:r>
    </w:p>
    <w:p>
      <w:pPr>
        <w:pStyle w:val="40"/>
        <w:spacing w:line="360" w:lineRule="exact"/>
        <w:ind w:firstLine="240" w:firstLineChars="100"/>
        <w:rPr>
          <w:color w:val="auto"/>
          <w:highlight w:val="none"/>
        </w:rPr>
      </w:pPr>
      <w:r>
        <w:rPr>
          <w:rFonts w:hint="eastAsia"/>
          <w:color w:val="auto"/>
          <w:highlight w:val="none"/>
        </w:rPr>
        <w:t>（4）有依法缴纳税收和社会保障资金的良好记录；</w:t>
      </w:r>
    </w:p>
    <w:p>
      <w:pPr>
        <w:pStyle w:val="40"/>
        <w:spacing w:line="360" w:lineRule="exact"/>
        <w:ind w:firstLine="240" w:firstLineChars="100"/>
        <w:rPr>
          <w:color w:val="auto"/>
          <w:highlight w:val="none"/>
        </w:rPr>
      </w:pPr>
      <w:r>
        <w:rPr>
          <w:rFonts w:hint="eastAsia"/>
          <w:color w:val="auto"/>
          <w:highlight w:val="none"/>
        </w:rPr>
        <w:t>（5）参加政府采购活动前三年内，在经营活动中没有重大违法记录；</w:t>
      </w:r>
    </w:p>
    <w:p>
      <w:pPr>
        <w:pStyle w:val="40"/>
        <w:spacing w:line="360" w:lineRule="exact"/>
        <w:ind w:firstLine="240" w:firstLineChars="100"/>
        <w:rPr>
          <w:color w:val="auto"/>
          <w:highlight w:val="none"/>
        </w:rPr>
      </w:pPr>
      <w:r>
        <w:rPr>
          <w:rFonts w:hint="eastAsia"/>
          <w:color w:val="auto"/>
          <w:highlight w:val="none"/>
        </w:rPr>
        <w:t>（6）法律、行政法规规定的其他条件。</w:t>
      </w:r>
    </w:p>
    <w:p>
      <w:pPr>
        <w:pStyle w:val="40"/>
        <w:spacing w:line="360" w:lineRule="exact"/>
        <w:ind w:firstLine="480" w:firstLineChars="200"/>
        <w:rPr>
          <w:color w:val="auto"/>
          <w:highlight w:val="none"/>
        </w:rPr>
      </w:pPr>
      <w:r>
        <w:rPr>
          <w:rFonts w:hint="eastAsia"/>
          <w:color w:val="auto"/>
          <w:highlight w:val="none"/>
        </w:rPr>
        <w:t>2.在“信用中国”网站（ www.creditchina.gov.cn） 被列入失信被执行人、重大税收违法案件当事人名单(信用服务-重点领域严重失信主体名单查询-搜索栏输入单位全称-截图)、中国政府采购网</w:t>
      </w:r>
      <w:r>
        <w:rPr>
          <w:rFonts w:hint="eastAsia"/>
          <w:color w:val="auto"/>
          <w:sz w:val="22"/>
          <w:szCs w:val="22"/>
          <w:highlight w:val="none"/>
        </w:rPr>
        <w:t>（http://www.ccgp.gov.cn/search/cr/）</w:t>
      </w:r>
      <w:r>
        <w:rPr>
          <w:rFonts w:hint="eastAsia"/>
          <w:color w:val="auto"/>
          <w:highlight w:val="none"/>
        </w:rPr>
        <w:t>严重违法失信行为记录名单的（尚在处罚期内的）将拒绝其参加本次招标活动。</w:t>
      </w:r>
    </w:p>
    <w:p>
      <w:pPr>
        <w:pStyle w:val="40"/>
        <w:spacing w:line="360" w:lineRule="exact"/>
        <w:ind w:firstLine="480" w:firstLineChars="200"/>
        <w:rPr>
          <w:color w:val="auto"/>
          <w:highlight w:val="none"/>
        </w:rPr>
      </w:pPr>
      <w:r>
        <w:rPr>
          <w:rFonts w:hint="eastAsia"/>
          <w:color w:val="auto"/>
          <w:highlight w:val="none"/>
        </w:rPr>
        <w:t>3.本项目不接受联合体投标。</w:t>
      </w:r>
    </w:p>
    <w:p>
      <w:pPr>
        <w:pStyle w:val="40"/>
        <w:spacing w:line="360" w:lineRule="exact"/>
        <w:outlineLvl w:val="1"/>
        <w:rPr>
          <w:b/>
          <w:bCs/>
          <w:color w:val="auto"/>
          <w:highlight w:val="none"/>
        </w:rPr>
      </w:pPr>
      <w:bookmarkStart w:id="465" w:name="_Toc3992"/>
      <w:r>
        <w:rPr>
          <w:rFonts w:hint="eastAsia"/>
          <w:b/>
          <w:bCs/>
          <w:color w:val="auto"/>
          <w:highlight w:val="none"/>
        </w:rPr>
        <w:t>三、获取采购文件</w:t>
      </w:r>
      <w:bookmarkEnd w:id="465"/>
    </w:p>
    <w:p>
      <w:pPr>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获取时间：2023年</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13</w:t>
      </w:r>
      <w:r>
        <w:rPr>
          <w:rFonts w:hint="eastAsia" w:ascii="宋体" w:hAnsi="宋体" w:cs="宋体"/>
          <w:color w:val="auto"/>
          <w:sz w:val="24"/>
          <w:highlight w:val="none"/>
        </w:rPr>
        <w:t>日至2023年</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日</w:t>
      </w:r>
    </w:p>
    <w:p>
      <w:pPr>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获取方式：供应商登陆新疆政府采购网 (ccgp-xinjiang.gov.cn)见此项目公告附件下载。</w:t>
      </w:r>
    </w:p>
    <w:p>
      <w:pPr>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获取地点：供应商登陆新疆政府采购网 (ccgp-xinjiang.gov.cn)见此项目公告附件下载。</w:t>
      </w:r>
    </w:p>
    <w:p>
      <w:pPr>
        <w:spacing w:line="360" w:lineRule="exact"/>
        <w:outlineLvl w:val="1"/>
        <w:rPr>
          <w:rFonts w:ascii="宋体" w:hAnsi="宋体" w:cs="宋体"/>
          <w:b/>
          <w:color w:val="auto"/>
          <w:sz w:val="24"/>
          <w:highlight w:val="none"/>
        </w:rPr>
      </w:pPr>
      <w:bookmarkStart w:id="466" w:name="_Toc28359082"/>
      <w:bookmarkStart w:id="467" w:name="_Toc28359005"/>
      <w:bookmarkStart w:id="468" w:name="_Toc29050"/>
      <w:bookmarkStart w:id="469" w:name="_Toc35393624"/>
      <w:bookmarkStart w:id="470" w:name="_Toc2422"/>
      <w:bookmarkStart w:id="471" w:name="_Toc35393793"/>
      <w:bookmarkStart w:id="472" w:name="_Toc952"/>
      <w:bookmarkStart w:id="473" w:name="_Toc2532"/>
      <w:bookmarkStart w:id="474" w:name="_Toc9047"/>
      <w:r>
        <w:rPr>
          <w:rFonts w:hint="eastAsia" w:ascii="宋体" w:hAnsi="宋体" w:cs="宋体"/>
          <w:b/>
          <w:color w:val="auto"/>
          <w:sz w:val="24"/>
          <w:highlight w:val="none"/>
        </w:rPr>
        <w:t>四、提交投标文件</w:t>
      </w:r>
      <w:bookmarkEnd w:id="466"/>
      <w:bookmarkEnd w:id="467"/>
      <w:r>
        <w:rPr>
          <w:rFonts w:hint="eastAsia" w:ascii="宋体" w:hAnsi="宋体" w:cs="宋体"/>
          <w:b/>
          <w:color w:val="auto"/>
          <w:sz w:val="24"/>
          <w:highlight w:val="none"/>
        </w:rPr>
        <w:t>截止时间、开标时间和地点</w:t>
      </w:r>
      <w:bookmarkEnd w:id="468"/>
      <w:bookmarkEnd w:id="469"/>
      <w:bookmarkEnd w:id="470"/>
      <w:bookmarkEnd w:id="471"/>
      <w:bookmarkEnd w:id="472"/>
      <w:bookmarkEnd w:id="473"/>
      <w:bookmarkEnd w:id="474"/>
    </w:p>
    <w:p>
      <w:pPr>
        <w:spacing w:line="36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提交投标文件截止时间：</w:t>
      </w:r>
      <w:bookmarkStart w:id="475" w:name="_Toc35393625"/>
      <w:bookmarkStart w:id="476" w:name="_Toc28359084"/>
      <w:bookmarkStart w:id="477" w:name="_Toc35393794"/>
      <w:bookmarkStart w:id="478" w:name="_Toc28359007"/>
      <w:r>
        <w:rPr>
          <w:rFonts w:hint="eastAsia" w:ascii="宋体" w:hAnsi="宋体" w:cs="宋体"/>
          <w:color w:val="auto"/>
          <w:sz w:val="24"/>
          <w:highlight w:val="none"/>
        </w:rPr>
        <w:t>2023年</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w:t>
      </w:r>
      <w:r>
        <w:rPr>
          <w:rFonts w:hint="eastAsia" w:ascii="宋体" w:hAnsi="宋体" w:cs="宋体"/>
          <w:bCs/>
          <w:color w:val="auto"/>
          <w:sz w:val="24"/>
          <w:highlight w:val="none"/>
        </w:rPr>
        <w:t>（北京时间）</w:t>
      </w:r>
    </w:p>
    <w:p>
      <w:pPr>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投标地点：</w:t>
      </w:r>
      <w:r>
        <w:rPr>
          <w:rFonts w:hint="eastAsia" w:ascii="宋体" w:hAnsi="宋体" w:cs="宋体"/>
          <w:color w:val="auto"/>
          <w:kern w:val="0"/>
          <w:sz w:val="24"/>
          <w:highlight w:val="none"/>
        </w:rPr>
        <w:t>政采云平台</w:t>
      </w:r>
      <w:r>
        <w:rPr>
          <w:rFonts w:hint="eastAsia" w:ascii="宋体" w:hAnsi="宋体" w:cs="宋体"/>
          <w:color w:val="auto"/>
          <w:sz w:val="24"/>
          <w:highlight w:val="none"/>
        </w:rPr>
        <w:t>（https://login.zcygov.cn/user-login/#/login）</w:t>
      </w:r>
    </w:p>
    <w:p>
      <w:pPr>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开标时间：2023年</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11</w:t>
      </w:r>
      <w:r>
        <w:rPr>
          <w:rFonts w:hint="eastAsia" w:ascii="宋体" w:hAnsi="宋体" w:cs="宋体"/>
          <w:color w:val="auto"/>
          <w:sz w:val="24"/>
          <w:highlight w:val="none"/>
        </w:rPr>
        <w:t>点</w:t>
      </w:r>
      <w:r>
        <w:rPr>
          <w:rFonts w:hint="eastAsia" w:ascii="宋体" w:hAnsi="宋体" w:cs="宋体"/>
          <w:color w:val="auto"/>
          <w:sz w:val="24"/>
          <w:highlight w:val="none"/>
          <w:lang w:val="en-US" w:eastAsia="zh-CN"/>
        </w:rPr>
        <w:t>00</w:t>
      </w:r>
      <w:r>
        <w:rPr>
          <w:rFonts w:hint="eastAsia" w:ascii="宋体" w:hAnsi="宋体" w:cs="宋体"/>
          <w:color w:val="auto"/>
          <w:sz w:val="24"/>
          <w:highlight w:val="none"/>
        </w:rPr>
        <w:t>分（北京时间）</w:t>
      </w:r>
    </w:p>
    <w:p>
      <w:pPr>
        <w:spacing w:line="3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开标地点：</w:t>
      </w:r>
      <w:bookmarkStart w:id="479" w:name="_Toc30400"/>
      <w:bookmarkStart w:id="480" w:name="_Toc20863"/>
      <w:bookmarkStart w:id="481" w:name="_Toc23672"/>
      <w:r>
        <w:rPr>
          <w:rFonts w:hint="eastAsia" w:ascii="宋体" w:hAnsi="宋体" w:cs="宋体"/>
          <w:color w:val="auto"/>
          <w:kern w:val="0"/>
          <w:sz w:val="24"/>
          <w:highlight w:val="none"/>
        </w:rPr>
        <w:t>政采云平台</w:t>
      </w:r>
      <w:r>
        <w:rPr>
          <w:rFonts w:hint="eastAsia" w:ascii="宋体" w:hAnsi="宋体" w:cs="宋体"/>
          <w:color w:val="auto"/>
          <w:sz w:val="24"/>
          <w:highlight w:val="none"/>
        </w:rPr>
        <w:t>（https://login.zcygov.cn/user-login/#/login）</w:t>
      </w:r>
    </w:p>
    <w:p>
      <w:pPr>
        <w:spacing w:line="360" w:lineRule="exact"/>
        <w:outlineLvl w:val="1"/>
        <w:rPr>
          <w:rFonts w:ascii="宋体" w:hAnsi="宋体" w:cs="宋体"/>
          <w:b/>
          <w:color w:val="auto"/>
          <w:sz w:val="24"/>
          <w:highlight w:val="none"/>
        </w:rPr>
      </w:pPr>
      <w:bookmarkStart w:id="482" w:name="_Toc24343"/>
      <w:r>
        <w:rPr>
          <w:rFonts w:hint="eastAsia" w:ascii="宋体" w:hAnsi="宋体" w:cs="宋体"/>
          <w:b/>
          <w:color w:val="auto"/>
          <w:sz w:val="24"/>
          <w:highlight w:val="none"/>
        </w:rPr>
        <w:t>五、公告期限</w:t>
      </w:r>
      <w:bookmarkEnd w:id="475"/>
      <w:bookmarkEnd w:id="476"/>
      <w:bookmarkEnd w:id="477"/>
      <w:bookmarkEnd w:id="478"/>
      <w:bookmarkEnd w:id="479"/>
      <w:bookmarkEnd w:id="480"/>
      <w:bookmarkEnd w:id="481"/>
      <w:bookmarkEnd w:id="482"/>
    </w:p>
    <w:p>
      <w:pPr>
        <w:spacing w:line="3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pPr>
        <w:spacing w:line="360" w:lineRule="exact"/>
        <w:outlineLvl w:val="1"/>
        <w:rPr>
          <w:rFonts w:ascii="宋体" w:hAnsi="宋体" w:cs="宋体"/>
          <w:b/>
          <w:color w:val="auto"/>
          <w:sz w:val="24"/>
          <w:highlight w:val="none"/>
        </w:rPr>
      </w:pPr>
      <w:bookmarkStart w:id="483" w:name="_Toc29092"/>
      <w:r>
        <w:rPr>
          <w:rFonts w:hint="eastAsia" w:ascii="宋体" w:hAnsi="宋体" w:cs="宋体"/>
          <w:b/>
          <w:color w:val="auto"/>
          <w:sz w:val="24"/>
          <w:highlight w:val="none"/>
        </w:rPr>
        <w:t>六、其它补充事宜</w:t>
      </w:r>
      <w:bookmarkEnd w:id="483"/>
    </w:p>
    <w:p>
      <w:pPr>
        <w:pStyle w:val="40"/>
        <w:spacing w:line="360" w:lineRule="exact"/>
        <w:ind w:firstLine="480" w:firstLineChars="200"/>
        <w:rPr>
          <w:color w:val="auto"/>
          <w:highlight w:val="none"/>
        </w:rPr>
      </w:pPr>
      <w:bookmarkStart w:id="484" w:name="_Toc35393803"/>
      <w:bookmarkStart w:id="485" w:name="_Toc35393634"/>
      <w:bookmarkStart w:id="486" w:name="_Toc28359017"/>
      <w:bookmarkStart w:id="487" w:name="_Toc28359094"/>
      <w:r>
        <w:rPr>
          <w:rFonts w:hint="eastAsia"/>
          <w:color w:val="auto"/>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spacing w:line="360" w:lineRule="exact"/>
        <w:ind w:firstLine="540"/>
        <w:rPr>
          <w:rFonts w:ascii="宋体" w:hAnsi="宋体" w:cs="宋体"/>
          <w:color w:val="auto"/>
          <w:sz w:val="24"/>
          <w:highlight w:val="none"/>
        </w:rPr>
      </w:pPr>
      <w:r>
        <w:rPr>
          <w:rFonts w:hint="eastAsia" w:ascii="宋体" w:hAnsi="宋体" w:cs="宋体"/>
          <w:color w:val="auto"/>
          <w:sz w:val="24"/>
          <w:highlight w:val="none"/>
        </w:rPr>
        <w:t>2.本项目实行网上投标，采用电子投标文件(供应商须使用CA加密设备通过政采云电子投标客户端制作投标文件)。若供应商参与投标，自行承担投标一切费用。</w:t>
      </w:r>
    </w:p>
    <w:p>
      <w:pPr>
        <w:spacing w:line="360" w:lineRule="exact"/>
        <w:ind w:firstLine="540"/>
        <w:rPr>
          <w:rFonts w:ascii="宋体" w:hAnsi="宋体" w:cs="宋体"/>
          <w:color w:val="auto"/>
          <w:sz w:val="24"/>
          <w:highlight w:val="none"/>
        </w:rPr>
      </w:pPr>
      <w:r>
        <w:rPr>
          <w:rFonts w:hint="eastAsia" w:ascii="宋体" w:hAnsi="宋体" w:cs="宋体"/>
          <w:color w:val="auto"/>
          <w:sz w:val="24"/>
          <w:highlight w:val="none"/>
        </w:rPr>
        <w:t>3.各供应商应在开标前应确保成为新疆政府采购网正式注册入库供应商，并完成CA数字证书申领。因未注册入库、未办理CA数字证书等原因造成无法投标或投标失败等后果由供应商自行承担。</w:t>
      </w:r>
    </w:p>
    <w:p>
      <w:pPr>
        <w:spacing w:line="360" w:lineRule="exact"/>
        <w:ind w:firstLine="540"/>
        <w:rPr>
          <w:rFonts w:ascii="宋体" w:hAnsi="宋体" w:cs="宋体"/>
          <w:color w:val="auto"/>
          <w:sz w:val="24"/>
          <w:highlight w:val="none"/>
        </w:rPr>
      </w:pPr>
      <w:r>
        <w:rPr>
          <w:rFonts w:hint="eastAsia" w:ascii="宋体" w:hAnsi="宋体" w:cs="宋体"/>
          <w:color w:val="auto"/>
          <w:sz w:val="24"/>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60" w:lineRule="exact"/>
        <w:ind w:firstLine="540"/>
        <w:rPr>
          <w:rFonts w:ascii="宋体" w:hAnsi="宋体" w:cs="宋体"/>
          <w:color w:val="auto"/>
          <w:sz w:val="24"/>
          <w:highlight w:val="none"/>
        </w:rPr>
      </w:pPr>
      <w:r>
        <w:rPr>
          <w:rFonts w:hint="eastAsia" w:ascii="宋体" w:hAnsi="宋体" w:cs="宋体"/>
          <w:color w:val="auto"/>
          <w:sz w:val="24"/>
          <w:highlight w:val="none"/>
        </w:rPr>
        <w:t>5.供应商在开标时须使用制作加密电子投标文件所使用的CA锁及电脑，电脑须提前配置好浏览器（建议使用360浏览器或谷歌浏览器），以便开标时解锁。</w:t>
      </w:r>
    </w:p>
    <w:p>
      <w:pPr>
        <w:spacing w:line="360" w:lineRule="exact"/>
        <w:ind w:firstLine="540"/>
        <w:rPr>
          <w:rFonts w:ascii="宋体" w:hAnsi="宋体" w:cs="宋体"/>
          <w:color w:val="auto"/>
          <w:sz w:val="24"/>
          <w:highlight w:val="none"/>
        </w:rPr>
      </w:pPr>
      <w:r>
        <w:rPr>
          <w:rFonts w:hint="eastAsia" w:ascii="宋体" w:hAnsi="宋体" w:cs="宋体"/>
          <w:color w:val="auto"/>
          <w:sz w:val="24"/>
          <w:highlight w:val="none"/>
        </w:rPr>
        <w:t>6.投标保证金缴纳及确认时间：凡拟参加本次招标项目的供应商，必须在开标前将投标保证金汇入指定账户。否则，届时其投标将被拒绝。</w:t>
      </w:r>
    </w:p>
    <w:p>
      <w:pPr>
        <w:keepNext w:val="0"/>
        <w:keepLines w:val="0"/>
        <w:pageBreakBefore w:val="0"/>
        <w:widowControl/>
        <w:numPr>
          <w:ilvl w:val="0"/>
          <w:numId w:val="0"/>
        </w:numPr>
        <w:shd w:val="clear" w:color="auto" w:fill="FFFFFF"/>
        <w:tabs>
          <w:tab w:val="left" w:pos="864"/>
        </w:tabs>
        <w:kinsoku/>
        <w:wordWrap w:val="0"/>
        <w:overflowPunct/>
        <w:topLinePunct w:val="0"/>
        <w:autoSpaceDE/>
        <w:autoSpaceDN/>
        <w:bidi w:val="0"/>
        <w:adjustRightInd/>
        <w:snapToGrid/>
        <w:spacing w:line="360" w:lineRule="exact"/>
        <w:ind w:firstLine="480" w:firstLineChars="200"/>
        <w:textAlignment w:val="auto"/>
        <w:outlineLvl w:val="9"/>
        <w:rPr>
          <w:rFonts w:ascii="宋体" w:hAnsi="宋体" w:cs="宋体"/>
          <w:color w:val="auto"/>
          <w:highlight w:val="none"/>
        </w:rPr>
      </w:pPr>
      <w:r>
        <w:rPr>
          <w:rFonts w:hint="eastAsia" w:ascii="宋体" w:hAnsi="宋体" w:cs="宋体"/>
          <w:b w:val="0"/>
          <w:bCs w:val="0"/>
          <w:color w:val="auto"/>
          <w:sz w:val="24"/>
          <w:szCs w:val="24"/>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bookmarkEnd w:id="484"/>
      <w:bookmarkEnd w:id="485"/>
      <w:bookmarkEnd w:id="486"/>
      <w:bookmarkEnd w:id="487"/>
    </w:p>
    <w:p>
      <w:pPr>
        <w:widowControl/>
        <w:spacing w:line="360" w:lineRule="auto"/>
        <w:ind w:firstLine="482" w:firstLineChars="200"/>
        <w:jc w:val="left"/>
        <w:outlineLvl w:val="1"/>
        <w:rPr>
          <w:rFonts w:ascii="宋体" w:hAnsi="宋体" w:cs="宋体"/>
          <w:color w:val="auto"/>
          <w:highlight w:val="none"/>
        </w:rPr>
      </w:pPr>
      <w:bookmarkStart w:id="488" w:name="_Toc10301"/>
      <w:bookmarkStart w:id="489" w:name="_Hlk21311295"/>
      <w:bookmarkStart w:id="490" w:name="_Toc512937850"/>
      <w:r>
        <w:rPr>
          <w:rFonts w:hint="eastAsia" w:ascii="宋体" w:hAnsi="宋体" w:cs="宋体"/>
          <w:b/>
          <w:bCs/>
          <w:color w:val="auto"/>
          <w:kern w:val="0"/>
          <w:sz w:val="24"/>
          <w:highlight w:val="none"/>
        </w:rPr>
        <w:t>七、</w:t>
      </w:r>
      <w:bookmarkStart w:id="491" w:name="_Toc35393636"/>
      <w:bookmarkStart w:id="492" w:name="_Toc35393805"/>
      <w:bookmarkStart w:id="493" w:name="_Toc28359095"/>
      <w:bookmarkStart w:id="494" w:name="_Toc28359018"/>
      <w:r>
        <w:rPr>
          <w:rFonts w:hint="eastAsia" w:ascii="宋体" w:hAnsi="宋体" w:cs="宋体"/>
          <w:b/>
          <w:bCs/>
          <w:color w:val="auto"/>
          <w:kern w:val="0"/>
          <w:sz w:val="24"/>
          <w:highlight w:val="none"/>
        </w:rPr>
        <w:t>凡对本次采购提出询问，请按以下方式联系。</w:t>
      </w:r>
      <w:bookmarkEnd w:id="488"/>
      <w:bookmarkEnd w:id="491"/>
      <w:bookmarkEnd w:id="492"/>
      <w:bookmarkEnd w:id="493"/>
      <w:bookmarkEnd w:id="494"/>
      <w:r>
        <w:rPr>
          <w:rFonts w:hint="eastAsia" w:ascii="宋体" w:hAnsi="宋体" w:cs="宋体"/>
          <w:color w:val="auto"/>
          <w:sz w:val="24"/>
          <w:highlight w:val="none"/>
        </w:rPr>
        <w:t xml:space="preserve">  </w:t>
      </w:r>
      <w:r>
        <w:rPr>
          <w:rFonts w:hint="eastAsia" w:ascii="宋体" w:hAnsi="宋体" w:cs="宋体"/>
          <w:color w:val="auto"/>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采购人名称：喀什地区第一人民医院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lang w:eastAsia="zh-CN"/>
        </w:rPr>
        <w:t>喀什市迎宾大道</w:t>
      </w:r>
      <w:r>
        <w:rPr>
          <w:rFonts w:hint="eastAsia" w:ascii="宋体" w:hAnsi="宋体" w:cs="宋体"/>
          <w:color w:val="auto"/>
          <w:sz w:val="24"/>
          <w:highlight w:val="none"/>
          <w:lang w:val="en-US" w:eastAsia="zh-CN"/>
        </w:rPr>
        <w:t>120号</w:t>
      </w:r>
      <w:r>
        <w:rPr>
          <w:rFonts w:ascii="宋体" w:hAnsi="宋体" w:cs="宋体"/>
          <w:color w:val="auto"/>
          <w:sz w:val="24"/>
          <w:highlight w:val="none"/>
        </w:rPr>
        <w:t xml:space="preserve"> </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 系 人：</w:t>
      </w:r>
      <w:r>
        <w:rPr>
          <w:rFonts w:hint="eastAsia" w:ascii="宋体" w:hAnsi="宋体" w:cs="宋体"/>
          <w:color w:val="auto"/>
          <w:sz w:val="24"/>
          <w:highlight w:val="none"/>
          <w:lang w:eastAsia="zh-CN"/>
        </w:rPr>
        <w:t>曹林岚</w:t>
      </w:r>
    </w:p>
    <w:p>
      <w:pPr>
        <w:spacing w:line="360" w:lineRule="auto"/>
        <w:ind w:firstLine="480" w:firstLineChars="200"/>
        <w:rPr>
          <w:rFonts w:hint="default" w:ascii="宋体" w:hAnsi="宋体" w:eastAsia="宋体" w:cs="宋体"/>
          <w:color w:val="auto"/>
          <w:kern w:val="0"/>
          <w:sz w:val="24"/>
          <w:highlight w:val="none"/>
          <w:lang w:val="en-US" w:eastAsia="zh-CN"/>
        </w:rPr>
      </w:pPr>
      <w:r>
        <w:rPr>
          <w:rFonts w:hint="eastAsia" w:ascii="宋体" w:hAnsi="宋体" w:cs="宋体"/>
          <w:color w:val="auto"/>
          <w:sz w:val="24"/>
          <w:highlight w:val="none"/>
        </w:rPr>
        <w:t>联 系 电 话：</w:t>
      </w:r>
      <w:r>
        <w:rPr>
          <w:rFonts w:hint="eastAsia" w:ascii="宋体" w:hAnsi="宋体" w:cs="宋体"/>
          <w:color w:val="auto"/>
          <w:kern w:val="0"/>
          <w:sz w:val="24"/>
          <w:highlight w:val="none"/>
          <w:lang w:val="en-US" w:eastAsia="zh-CN"/>
        </w:rPr>
        <w:t>0998-2962911</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采购机构：喀什地区公共资源交易中心</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采购机构地址：喀什地区疏附县商贸园区疆南农批市场内 </w:t>
      </w:r>
    </w:p>
    <w:p>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 系 人：</w:t>
      </w:r>
      <w:r>
        <w:rPr>
          <w:rFonts w:hint="eastAsia" w:ascii="宋体" w:hAnsi="宋体" w:cs="宋体"/>
          <w:color w:val="auto"/>
          <w:sz w:val="24"/>
          <w:highlight w:val="none"/>
          <w:lang w:eastAsia="zh-CN"/>
        </w:rPr>
        <w:t>朱文财</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 系 电 话：</w:t>
      </w:r>
      <w:r>
        <w:rPr>
          <w:rFonts w:hint="eastAsia" w:ascii="宋体" w:hAnsi="宋体" w:cs="宋体"/>
          <w:color w:val="auto"/>
          <w:sz w:val="24"/>
          <w:highlight w:val="none"/>
          <w:lang w:val="en-US" w:eastAsia="zh-CN"/>
        </w:rPr>
        <w:t>0998-5885138</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监督单位：喀什地区财政局</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地    址：喀什市解放北路46号喀什地区财政局办公大楼二层</w:t>
      </w:r>
    </w:p>
    <w:p>
      <w:pPr>
        <w:pStyle w:val="15"/>
        <w:spacing w:line="360" w:lineRule="auto"/>
        <w:rPr>
          <w:rFonts w:hAnsi="宋体" w:cs="宋体"/>
          <w:color w:val="auto"/>
          <w:kern w:val="2"/>
          <w:szCs w:val="24"/>
          <w:highlight w:val="none"/>
        </w:rPr>
      </w:pPr>
      <w:r>
        <w:rPr>
          <w:rFonts w:hint="eastAsia" w:hAnsi="宋体" w:cs="宋体"/>
          <w:color w:val="auto"/>
          <w:kern w:val="2"/>
          <w:szCs w:val="24"/>
          <w:highlight w:val="none"/>
        </w:rPr>
        <w:t>联 系 电 话：0998-2597200   2597000</w:t>
      </w:r>
    </w:p>
    <w:bookmarkEnd w:id="489"/>
    <w:p>
      <w:pPr>
        <w:pStyle w:val="3"/>
        <w:tabs>
          <w:tab w:val="left" w:pos="0"/>
        </w:tabs>
        <w:spacing w:before="0" w:after="0" w:line="360" w:lineRule="auto"/>
        <w:rPr>
          <w:rFonts w:hAnsi="宋体" w:cs="宋体"/>
          <w:color w:val="auto"/>
          <w:sz w:val="24"/>
          <w:highlight w:val="none"/>
        </w:rPr>
      </w:pPr>
      <w:r>
        <w:rPr>
          <w:rFonts w:hint="eastAsia" w:hAnsi="宋体" w:cs="宋体"/>
          <w:color w:val="auto"/>
          <w:sz w:val="24"/>
          <w:highlight w:val="none"/>
        </w:rPr>
        <w:br w:type="page"/>
      </w:r>
      <w:bookmarkStart w:id="495" w:name="_Toc15034"/>
      <w:bookmarkStart w:id="496" w:name="_Toc30818"/>
      <w:bookmarkStart w:id="497" w:name="_Toc518923125"/>
      <w:bookmarkStart w:id="498" w:name="_Toc7955"/>
      <w:bookmarkStart w:id="499" w:name="_Toc216582823"/>
      <w:bookmarkStart w:id="500" w:name="_Toc1408933071"/>
      <w:bookmarkStart w:id="501" w:name="_Toc28647"/>
      <w:bookmarkStart w:id="502" w:name="_Toc507399903"/>
      <w:r>
        <w:rPr>
          <w:rFonts w:hint="eastAsia" w:hAnsi="宋体" w:cs="宋体"/>
          <w:color w:val="auto"/>
          <w:highlight w:val="none"/>
        </w:rPr>
        <w:t>第4章  投标人须知资料表</w:t>
      </w:r>
      <w:bookmarkEnd w:id="490"/>
      <w:bookmarkEnd w:id="495"/>
      <w:bookmarkEnd w:id="496"/>
      <w:bookmarkEnd w:id="497"/>
      <w:bookmarkEnd w:id="498"/>
      <w:bookmarkEnd w:id="499"/>
      <w:bookmarkEnd w:id="500"/>
      <w:bookmarkEnd w:id="501"/>
      <w:bookmarkEnd w:id="502"/>
    </w:p>
    <w:p>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 xml:space="preserve"> 本表是本招标项目的具体资料，是对投标人须知的具体补充和修改，如有矛盾，应</w:t>
      </w:r>
      <w:r>
        <w:rPr>
          <w:rFonts w:hint="eastAsia" w:ascii="宋体" w:hAnsi="宋体" w:cs="宋体"/>
          <w:b/>
          <w:color w:val="auto"/>
          <w:sz w:val="24"/>
          <w:highlight w:val="none"/>
        </w:rPr>
        <w:t>以本资料表为准</w:t>
      </w:r>
      <w:r>
        <w:rPr>
          <w:rFonts w:hint="eastAsia" w:ascii="宋体" w:hAnsi="宋体" w:cs="宋体"/>
          <w:color w:val="auto"/>
          <w:sz w:val="24"/>
          <w:highlight w:val="none"/>
        </w:rPr>
        <w:t>。</w:t>
      </w:r>
    </w:p>
    <w:tbl>
      <w:tblPr>
        <w:tblStyle w:val="43"/>
        <w:tblW w:w="83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6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360" w:lineRule="auto"/>
              <w:ind w:left="1080" w:leftChars="257" w:hanging="540"/>
              <w:rPr>
                <w:rFonts w:ascii="宋体" w:hAnsi="宋体" w:cs="宋体"/>
                <w:color w:val="auto"/>
                <w:sz w:val="24"/>
                <w:highlight w:val="none"/>
              </w:rPr>
            </w:pPr>
            <w:r>
              <w:rPr>
                <w:rFonts w:hint="eastAsia" w:ascii="宋体" w:hAnsi="宋体" w:cs="宋体"/>
                <w:color w:val="auto"/>
                <w:sz w:val="24"/>
                <w:highlight w:val="none"/>
              </w:rPr>
              <w:t>条款号</w:t>
            </w:r>
          </w:p>
        </w:tc>
        <w:tc>
          <w:tcPr>
            <w:tcW w:w="6840" w:type="dxa"/>
            <w:vAlign w:val="center"/>
          </w:tcPr>
          <w:p>
            <w:pPr>
              <w:spacing w:line="360" w:lineRule="auto"/>
              <w:ind w:left="1080" w:leftChars="257" w:hanging="540"/>
              <w:rPr>
                <w:rFonts w:ascii="宋体" w:hAnsi="宋体" w:cs="宋体"/>
                <w:b/>
                <w:color w:val="auto"/>
                <w:sz w:val="24"/>
                <w:highlight w:val="none"/>
              </w:rPr>
            </w:pPr>
            <w:r>
              <w:rPr>
                <w:rFonts w:hint="eastAsia" w:ascii="宋体" w:hAnsi="宋体" w:cs="宋体"/>
                <w:b/>
                <w:color w:val="auto"/>
                <w:sz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68" w:type="dxa"/>
            <w:vAlign w:val="center"/>
          </w:tcPr>
          <w:p>
            <w:pPr>
              <w:spacing w:line="360" w:lineRule="auto"/>
              <w:ind w:left="1080" w:leftChars="257" w:hanging="540"/>
              <w:rPr>
                <w:rFonts w:ascii="宋体" w:hAnsi="宋体" w:cs="宋体"/>
                <w:color w:val="auto"/>
                <w:sz w:val="24"/>
                <w:highlight w:val="none"/>
              </w:rPr>
            </w:pPr>
            <w:r>
              <w:rPr>
                <w:rFonts w:hint="eastAsia" w:ascii="宋体" w:hAnsi="宋体" w:cs="宋体"/>
                <w:color w:val="auto"/>
                <w:sz w:val="24"/>
                <w:highlight w:val="none"/>
              </w:rPr>
              <w:t>1.1</w:t>
            </w:r>
          </w:p>
        </w:tc>
        <w:tc>
          <w:tcPr>
            <w:tcW w:w="6840" w:type="dxa"/>
            <w:vAlign w:val="center"/>
          </w:tcPr>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采购人：</w:t>
            </w:r>
            <w:r>
              <w:rPr>
                <w:rFonts w:hint="eastAsia" w:ascii="宋体" w:hAnsi="宋体" w:cs="宋体"/>
                <w:color w:val="auto"/>
                <w:sz w:val="24"/>
                <w:highlight w:val="none"/>
                <w:u w:val="single"/>
              </w:rPr>
              <w:t>喀什地区第一人民医院</w:t>
            </w:r>
          </w:p>
          <w:p>
            <w:pPr>
              <w:spacing w:line="360" w:lineRule="auto"/>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地  址：</w:t>
            </w:r>
            <w:r>
              <w:rPr>
                <w:rFonts w:hint="eastAsia" w:ascii="宋体" w:hAnsi="宋体" w:cs="宋体"/>
                <w:color w:val="auto"/>
                <w:sz w:val="24"/>
                <w:highlight w:val="none"/>
                <w:u w:val="single"/>
                <w:lang w:eastAsia="zh-CN"/>
              </w:rPr>
              <w:t>喀什市迎宾大道</w:t>
            </w:r>
            <w:r>
              <w:rPr>
                <w:rFonts w:hint="eastAsia" w:ascii="宋体" w:hAnsi="宋体" w:cs="宋体"/>
                <w:color w:val="auto"/>
                <w:sz w:val="24"/>
                <w:highlight w:val="none"/>
                <w:u w:val="single"/>
                <w:lang w:val="en-US" w:eastAsia="zh-CN"/>
              </w:rPr>
              <w:t>120号</w:t>
            </w:r>
          </w:p>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电  话：</w:t>
            </w:r>
            <w:r>
              <w:rPr>
                <w:rFonts w:hint="eastAsia" w:ascii="宋体" w:hAnsi="宋体" w:cs="宋体"/>
                <w:color w:val="auto"/>
                <w:sz w:val="24"/>
                <w:highlight w:val="none"/>
                <w:u w:val="single"/>
                <w:lang w:val="en-US" w:eastAsia="zh-CN"/>
              </w:rPr>
              <w:t>0998-2962911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360" w:lineRule="auto"/>
              <w:ind w:left="1080" w:leftChars="257" w:hanging="540"/>
              <w:rPr>
                <w:rFonts w:ascii="宋体" w:hAnsi="宋体" w:cs="宋体"/>
                <w:color w:val="auto"/>
                <w:sz w:val="24"/>
                <w:highlight w:val="none"/>
              </w:rPr>
            </w:pPr>
            <w:r>
              <w:rPr>
                <w:rFonts w:hint="eastAsia" w:ascii="宋体" w:hAnsi="宋体" w:cs="宋体"/>
                <w:color w:val="auto"/>
                <w:sz w:val="24"/>
                <w:highlight w:val="none"/>
              </w:rPr>
              <w:t>1.2</w:t>
            </w:r>
          </w:p>
        </w:tc>
        <w:tc>
          <w:tcPr>
            <w:tcW w:w="6840" w:type="dxa"/>
            <w:vAlign w:val="center"/>
          </w:tcPr>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采购代理机构：</w:t>
            </w:r>
            <w:r>
              <w:rPr>
                <w:rFonts w:hint="eastAsia" w:ascii="宋体" w:hAnsi="宋体" w:cs="宋体"/>
                <w:color w:val="auto"/>
                <w:sz w:val="24"/>
                <w:highlight w:val="none"/>
                <w:u w:val="single"/>
              </w:rPr>
              <w:t xml:space="preserve"> 喀什地区公共资源交易中心</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喀什地区疏附县商贸园区疆南农批电子交易大楼</w:t>
            </w:r>
          </w:p>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业务联系人：</w:t>
            </w:r>
            <w:r>
              <w:rPr>
                <w:rFonts w:hint="eastAsia" w:ascii="宋体" w:hAnsi="宋体" w:cs="宋体"/>
                <w:color w:val="auto"/>
                <w:sz w:val="24"/>
                <w:highlight w:val="none"/>
                <w:u w:val="single"/>
                <w:lang w:eastAsia="zh-CN"/>
              </w:rPr>
              <w:t>朱文财</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电话：</w:t>
            </w:r>
            <w:r>
              <w:rPr>
                <w:rFonts w:hint="eastAsia" w:ascii="宋体" w:hAnsi="宋体" w:cs="宋体"/>
                <w:color w:val="auto"/>
                <w:sz w:val="24"/>
                <w:highlight w:val="none"/>
                <w:u w:val="single"/>
                <w:lang w:val="en-US" w:eastAsia="zh-CN"/>
              </w:rPr>
              <w:t>0998-5885138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360" w:lineRule="auto"/>
              <w:ind w:left="1080" w:leftChars="257" w:hanging="540"/>
              <w:rPr>
                <w:rFonts w:ascii="宋体" w:hAnsi="宋体" w:cs="宋体"/>
                <w:color w:val="auto"/>
                <w:sz w:val="24"/>
                <w:highlight w:val="none"/>
              </w:rPr>
            </w:pPr>
            <w:r>
              <w:rPr>
                <w:rFonts w:hint="eastAsia" w:ascii="宋体" w:hAnsi="宋体" w:cs="宋体"/>
                <w:color w:val="auto"/>
                <w:sz w:val="24"/>
                <w:highlight w:val="none"/>
              </w:rPr>
              <w:t>1.3.4</w:t>
            </w:r>
          </w:p>
        </w:tc>
        <w:tc>
          <w:tcPr>
            <w:tcW w:w="6840" w:type="dxa"/>
            <w:vAlign w:val="center"/>
          </w:tcPr>
          <w:p>
            <w:pPr>
              <w:spacing w:line="360" w:lineRule="auto"/>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合格投标人资格要求：</w:t>
            </w:r>
          </w:p>
          <w:p>
            <w:pPr>
              <w:pStyle w:val="56"/>
              <w:ind w:firstLine="0" w:firstLineChars="0"/>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1.满足《中华人民共和国政府采购法》第二十二条规定；</w:t>
            </w:r>
          </w:p>
          <w:p>
            <w:pPr>
              <w:pStyle w:val="56"/>
              <w:ind w:firstLine="0" w:firstLineChars="0"/>
              <w:rPr>
                <w:rFonts w:ascii="宋体" w:hAnsi="宋体" w:cs="宋体"/>
                <w:color w:val="auto"/>
                <w:kern w:val="0"/>
                <w:sz w:val="24"/>
                <w:highlight w:val="none"/>
                <w:lang w:bidi="ar"/>
              </w:rPr>
            </w:pPr>
            <w:r>
              <w:rPr>
                <w:rFonts w:hint="eastAsia" w:ascii="宋体" w:hAnsi="宋体" w:cs="宋体"/>
                <w:color w:val="auto"/>
                <w:kern w:val="0"/>
                <w:sz w:val="24"/>
                <w:highlight w:val="none"/>
                <w:lang w:bidi="ar"/>
              </w:rPr>
              <w:t>2.独立承担民事责任能力的企业、事业、自然人，提供营业执照等经营性证件；</w:t>
            </w:r>
          </w:p>
          <w:p>
            <w:pPr>
              <w:pStyle w:val="56"/>
              <w:ind w:firstLine="0" w:firstLineChars="0"/>
              <w:rPr>
                <w:rFonts w:ascii="宋体" w:hAnsi="宋体" w:cs="宋体"/>
                <w:color w:val="auto"/>
                <w:kern w:val="0"/>
                <w:sz w:val="24"/>
                <w:highlight w:val="none"/>
                <w:lang w:bidi="ar"/>
              </w:rPr>
            </w:pPr>
            <w:r>
              <w:rPr>
                <w:rFonts w:hint="eastAsia" w:ascii="宋体" w:hAnsi="宋体" w:cs="宋体"/>
                <w:color w:val="auto"/>
                <w:kern w:val="0"/>
                <w:sz w:val="24"/>
                <w:highlight w:val="none"/>
                <w:lang w:bidi="ar"/>
              </w:rPr>
              <w:t>3.法人身份证明或法人授权委托书（含法人身份证复印件）和被授权人身份有效证件；</w:t>
            </w:r>
          </w:p>
          <w:p>
            <w:pPr>
              <w:pStyle w:val="56"/>
              <w:ind w:firstLine="0" w:firstLineChars="0"/>
              <w:rPr>
                <w:rFonts w:ascii="宋体" w:hAnsi="宋体" w:cs="宋体"/>
                <w:color w:val="auto"/>
                <w:kern w:val="0"/>
                <w:sz w:val="24"/>
                <w:highlight w:val="none"/>
                <w:lang w:bidi="ar"/>
              </w:rPr>
            </w:pPr>
            <w:r>
              <w:rPr>
                <w:rFonts w:hint="eastAsia" w:ascii="宋体" w:hAnsi="宋体" w:cs="宋体"/>
                <w:color w:val="auto"/>
                <w:kern w:val="0"/>
                <w:sz w:val="24"/>
                <w:highlight w:val="none"/>
                <w:lang w:bidi="ar"/>
              </w:rPr>
              <w:t>4.近两年任意一年的财务审计报告（新成立公司提供开标前三个月内任意一个月有效银行资信证明）；</w:t>
            </w:r>
          </w:p>
          <w:p>
            <w:pPr>
              <w:pStyle w:val="56"/>
              <w:ind w:firstLine="0" w:firstLineChars="0"/>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5.投标企业依法缴纳近 6 个月任意一个月社会保险的凭据；</w:t>
            </w:r>
          </w:p>
          <w:p>
            <w:pPr>
              <w:pStyle w:val="56"/>
              <w:ind w:firstLine="0" w:firstLineChars="0"/>
              <w:rPr>
                <w:rFonts w:ascii="宋体" w:hAnsi="宋体" w:cs="宋体"/>
                <w:color w:val="auto"/>
                <w:kern w:val="0"/>
                <w:sz w:val="24"/>
                <w:highlight w:val="none"/>
                <w:lang w:bidi="ar"/>
              </w:rPr>
            </w:pPr>
            <w:r>
              <w:rPr>
                <w:rFonts w:hint="eastAsia" w:ascii="宋体" w:hAnsi="宋体" w:cs="宋体"/>
                <w:color w:val="auto"/>
                <w:kern w:val="0"/>
                <w:sz w:val="24"/>
                <w:highlight w:val="none"/>
                <w:lang w:bidi="ar"/>
              </w:rPr>
              <w:t>6.投标企业提供税务部门出具的近 6 个月任意一个月的完税证明；</w:t>
            </w:r>
          </w:p>
          <w:p>
            <w:pPr>
              <w:pStyle w:val="56"/>
              <w:ind w:firstLine="0" w:firstLineChars="0"/>
              <w:rPr>
                <w:rFonts w:ascii="宋体" w:hAnsi="宋体" w:cs="宋体"/>
                <w:color w:val="auto"/>
                <w:kern w:val="0"/>
                <w:sz w:val="24"/>
                <w:highlight w:val="none"/>
                <w:lang w:bidi="ar"/>
              </w:rPr>
            </w:pPr>
            <w:r>
              <w:rPr>
                <w:rFonts w:hint="eastAsia" w:ascii="宋体" w:hAnsi="宋体" w:cs="宋体"/>
                <w:color w:val="auto"/>
                <w:kern w:val="0"/>
                <w:sz w:val="24"/>
                <w:highlight w:val="none"/>
                <w:lang w:bidi="ar"/>
              </w:rPr>
              <w:t>7.根据《财政部关于在政府采购活动中查询及使用信用记录有关问题的通知》（财库﹝2016﹞125号）的要求，凡拟参加本次招标项目的供应商，如在“信用中国”网站（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以招标代理或招标人查询为准）；</w:t>
            </w:r>
          </w:p>
          <w:p>
            <w:pPr>
              <w:pStyle w:val="56"/>
              <w:ind w:firstLine="0" w:firstLineChars="0"/>
              <w:rPr>
                <w:rFonts w:ascii="宋体" w:hAnsi="宋体" w:cs="宋体"/>
                <w:color w:val="auto"/>
                <w:kern w:val="0"/>
                <w:sz w:val="24"/>
                <w:highlight w:val="none"/>
                <w:lang w:bidi="ar"/>
              </w:rPr>
            </w:pPr>
            <w:r>
              <w:rPr>
                <w:rFonts w:hint="eastAsia" w:ascii="宋体" w:hAnsi="宋体" w:cs="宋体"/>
                <w:color w:val="auto"/>
                <w:kern w:val="0"/>
                <w:sz w:val="24"/>
                <w:highlight w:val="none"/>
                <w:lang w:bidi="ar"/>
              </w:rPr>
              <w:t>8.参与政府采购活动前3年内未被列入失信、重大税收违法案件、财政部门禁止参加政府采购活动的承诺书；</w:t>
            </w:r>
          </w:p>
          <w:p>
            <w:pPr>
              <w:pStyle w:val="56"/>
              <w:ind w:firstLine="0" w:firstLineChars="0"/>
              <w:rPr>
                <w:rFonts w:ascii="宋体" w:hAnsi="宋体" w:cs="宋体"/>
                <w:color w:val="auto"/>
                <w:kern w:val="0"/>
                <w:sz w:val="24"/>
                <w:highlight w:val="none"/>
                <w:lang w:bidi="ar"/>
              </w:rPr>
            </w:pPr>
            <w:r>
              <w:rPr>
                <w:rFonts w:hint="eastAsia" w:ascii="宋体" w:hAnsi="宋体" w:cs="宋体"/>
                <w:color w:val="auto"/>
                <w:kern w:val="0"/>
                <w:sz w:val="24"/>
                <w:highlight w:val="none"/>
                <w:lang w:bidi="ar"/>
              </w:rPr>
              <w:t>9.提供针对本次项目《反商业贿赂承诺书》；</w:t>
            </w:r>
          </w:p>
          <w:p>
            <w:pPr>
              <w:pStyle w:val="56"/>
              <w:ind w:firstLine="0" w:firstLineChars="0"/>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10.缴纳投标保证金有效凭证；</w:t>
            </w:r>
          </w:p>
          <w:p>
            <w:pPr>
              <w:pStyle w:val="56"/>
              <w:ind w:firstLine="0" w:firstLineChars="0"/>
              <w:rPr>
                <w:rFonts w:ascii="宋体" w:hAnsi="宋体" w:cs="宋体"/>
                <w:b/>
                <w:bCs/>
                <w:color w:val="auto"/>
                <w:kern w:val="0"/>
                <w:sz w:val="24"/>
                <w:highlight w:val="none"/>
                <w:lang w:bidi="ar"/>
              </w:rPr>
            </w:pPr>
            <w:r>
              <w:rPr>
                <w:rFonts w:hint="eastAsia" w:ascii="宋体" w:hAnsi="宋体" w:cs="宋体"/>
                <w:color w:val="auto"/>
                <w:kern w:val="0"/>
                <w:sz w:val="24"/>
                <w:highlight w:val="none"/>
                <w:lang w:bidi="ar"/>
              </w:rPr>
              <w:t>11.本项目不接受联合体投标。</w:t>
            </w:r>
          </w:p>
          <w:p>
            <w:pPr>
              <w:pStyle w:val="21"/>
              <w:ind w:firstLine="0" w:firstLineChars="0"/>
              <w:jc w:val="left"/>
              <w:rPr>
                <w:rFonts w:ascii="宋体" w:hAnsi="宋体" w:cs="宋体"/>
                <w:color w:val="auto"/>
                <w:kern w:val="0"/>
                <w:sz w:val="21"/>
                <w:szCs w:val="21"/>
                <w:highlight w:val="none"/>
                <w:lang w:bidi="ar"/>
              </w:rPr>
            </w:pPr>
            <w:r>
              <w:rPr>
                <w:rFonts w:hint="eastAsia" w:ascii="宋体" w:hAnsi="宋体" w:cs="宋体"/>
                <w:color w:val="auto"/>
                <w:kern w:val="0"/>
                <w:sz w:val="21"/>
                <w:szCs w:val="21"/>
                <w:highlight w:val="none"/>
                <w:lang w:bidi="ar"/>
              </w:rPr>
              <w:t>注：1、“提供税务部门出具的近 6 个月任意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pPr>
              <w:pStyle w:val="19"/>
              <w:rPr>
                <w:rFonts w:cs="宋体"/>
                <w:color w:val="auto"/>
                <w:highlight w:val="none"/>
              </w:rPr>
            </w:pPr>
            <w:r>
              <w:rPr>
                <w:rFonts w:hint="eastAsia" w:cs="宋体"/>
                <w:b/>
                <w:bCs/>
                <w:color w:val="auto"/>
                <w:kern w:val="0"/>
                <w:sz w:val="21"/>
                <w:szCs w:val="21"/>
                <w:highlight w:val="none"/>
                <w:lang w:bidi="ar"/>
              </w:rPr>
              <w:t>提示：</w:t>
            </w:r>
            <w:r>
              <w:rPr>
                <w:rFonts w:hint="eastAsia" w:cs="宋体"/>
                <w:color w:val="auto"/>
                <w:kern w:val="0"/>
                <w:sz w:val="21"/>
                <w:szCs w:val="21"/>
                <w:highlight w:val="none"/>
                <w:lang w:bidi="ar"/>
              </w:rPr>
              <w:t>上述资质开标现场能够通过官方网络查证的，均视为合格供应商。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vAlign w:val="center"/>
          </w:tcPr>
          <w:p>
            <w:pPr>
              <w:spacing w:line="360" w:lineRule="auto"/>
              <w:ind w:left="1080" w:leftChars="257" w:hanging="540"/>
              <w:rPr>
                <w:rFonts w:ascii="宋体" w:hAnsi="宋体" w:cs="宋体"/>
                <w:color w:val="auto"/>
                <w:sz w:val="24"/>
                <w:highlight w:val="none"/>
              </w:rPr>
            </w:pPr>
            <w:r>
              <w:rPr>
                <w:rFonts w:hint="eastAsia" w:ascii="宋体" w:hAnsi="宋体" w:cs="宋体"/>
                <w:color w:val="auto"/>
                <w:sz w:val="24"/>
                <w:highlight w:val="none"/>
              </w:rPr>
              <w:t>1.3.5</w:t>
            </w:r>
          </w:p>
        </w:tc>
        <w:tc>
          <w:tcPr>
            <w:tcW w:w="6840"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是否为专门面向中小企业采购：</w:t>
            </w:r>
            <w:r>
              <w:rPr>
                <w:rFonts w:hint="eastAsia" w:ascii="宋体" w:hAnsi="宋体" w:cs="宋体"/>
                <w:color w:val="auto"/>
                <w:sz w:val="24"/>
                <w:highlight w:val="none"/>
                <w:u w:val="single"/>
              </w:rPr>
              <w:t>否</w:t>
            </w:r>
            <w:r>
              <w:rPr>
                <w:rFonts w:hint="eastAsia" w:ascii="宋体" w:hAnsi="宋体" w:cs="宋体"/>
                <w:i/>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vAlign w:val="center"/>
          </w:tcPr>
          <w:p>
            <w:pPr>
              <w:spacing w:line="360" w:lineRule="auto"/>
              <w:ind w:left="1080" w:leftChars="257" w:hanging="540"/>
              <w:rPr>
                <w:rFonts w:ascii="宋体" w:hAnsi="宋体" w:cs="宋体"/>
                <w:color w:val="auto"/>
                <w:sz w:val="24"/>
                <w:highlight w:val="none"/>
              </w:rPr>
            </w:pPr>
            <w:r>
              <w:rPr>
                <w:rFonts w:hint="eastAsia" w:ascii="宋体" w:hAnsi="宋体" w:cs="宋体"/>
                <w:color w:val="auto"/>
                <w:sz w:val="24"/>
                <w:highlight w:val="none"/>
              </w:rPr>
              <w:t>1.4</w:t>
            </w:r>
          </w:p>
        </w:tc>
        <w:tc>
          <w:tcPr>
            <w:tcW w:w="6840"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是否允许联合体投标：</w:t>
            </w:r>
            <w:r>
              <w:rPr>
                <w:rFonts w:hint="eastAsia" w:ascii="宋体" w:hAnsi="宋体" w:cs="宋体"/>
                <w:color w:val="auto"/>
                <w:sz w:val="24"/>
                <w:highlight w:val="none"/>
                <w:u w:val="single"/>
              </w:rPr>
              <w:t>否</w:t>
            </w:r>
            <w:r>
              <w:rPr>
                <w:rFonts w:hint="eastAsia" w:ascii="宋体" w:hAnsi="宋体" w:cs="宋体"/>
                <w:i/>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vAlign w:val="center"/>
          </w:tcPr>
          <w:p>
            <w:pPr>
              <w:spacing w:line="360" w:lineRule="auto"/>
              <w:ind w:left="1080" w:leftChars="257" w:hanging="540"/>
              <w:rPr>
                <w:rFonts w:ascii="宋体" w:hAnsi="宋体" w:cs="宋体"/>
                <w:color w:val="auto"/>
                <w:sz w:val="24"/>
                <w:highlight w:val="none"/>
              </w:rPr>
            </w:pPr>
            <w:r>
              <w:rPr>
                <w:rFonts w:hint="eastAsia" w:ascii="宋体" w:hAnsi="宋体" w:cs="宋体"/>
                <w:color w:val="auto"/>
                <w:sz w:val="24"/>
                <w:highlight w:val="none"/>
              </w:rPr>
              <w:t>1.4.8</w:t>
            </w:r>
          </w:p>
        </w:tc>
        <w:tc>
          <w:tcPr>
            <w:tcW w:w="6840"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vAlign w:val="center"/>
          </w:tcPr>
          <w:p>
            <w:pPr>
              <w:spacing w:line="360" w:lineRule="auto"/>
              <w:ind w:left="1080" w:leftChars="257" w:hanging="540"/>
              <w:rPr>
                <w:rFonts w:ascii="宋体" w:hAnsi="宋体" w:cs="宋体"/>
                <w:color w:val="auto"/>
                <w:sz w:val="24"/>
                <w:highlight w:val="none"/>
              </w:rPr>
            </w:pPr>
            <w:r>
              <w:rPr>
                <w:rFonts w:hint="eastAsia" w:ascii="宋体" w:hAnsi="宋体" w:cs="宋体"/>
                <w:color w:val="auto"/>
                <w:sz w:val="24"/>
                <w:highlight w:val="none"/>
              </w:rPr>
              <w:t>2.2</w:t>
            </w:r>
          </w:p>
        </w:tc>
        <w:tc>
          <w:tcPr>
            <w:tcW w:w="6840"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项目预算金额：15233</w:t>
            </w:r>
            <w:r>
              <w:rPr>
                <w:rFonts w:ascii="宋体" w:hAnsi="宋体" w:cs="宋体"/>
                <w:color w:val="auto"/>
                <w:sz w:val="24"/>
                <w:highlight w:val="none"/>
              </w:rPr>
              <w:t>.</w:t>
            </w:r>
            <w:r>
              <w:rPr>
                <w:rFonts w:hint="eastAsia" w:ascii="宋体" w:hAnsi="宋体" w:cs="宋体"/>
                <w:color w:val="auto"/>
                <w:sz w:val="24"/>
                <w:highlight w:val="none"/>
              </w:rPr>
              <w:t>8万元，本项目最高限价：15233</w:t>
            </w:r>
            <w:r>
              <w:rPr>
                <w:rFonts w:ascii="宋体" w:hAnsi="宋体" w:cs="宋体"/>
                <w:color w:val="auto"/>
                <w:sz w:val="24"/>
                <w:highlight w:val="none"/>
              </w:rPr>
              <w:t>.</w:t>
            </w:r>
            <w:r>
              <w:rPr>
                <w:rFonts w:hint="eastAsia" w:ascii="宋体" w:hAnsi="宋体" w:cs="宋体"/>
                <w:color w:val="auto"/>
                <w:sz w:val="24"/>
                <w:highlight w:val="none"/>
              </w:rPr>
              <w:t>8</w:t>
            </w:r>
            <w:r>
              <w:rPr>
                <w:rFonts w:hint="eastAsia" w:ascii="宋体" w:hAnsi="宋体" w:cs="宋体"/>
                <w:color w:val="auto"/>
                <w:sz w:val="24"/>
                <w:highlight w:val="none"/>
                <w:lang w:eastAsia="zh-Hans"/>
              </w:rPr>
              <w:t>万</w:t>
            </w:r>
            <w:r>
              <w:rPr>
                <w:rFonts w:hint="eastAsia" w:ascii="宋体" w:hAnsi="宋体" w:cs="宋体"/>
                <w:color w:val="auto"/>
                <w:sz w:val="24"/>
                <w:highlight w:val="none"/>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468" w:type="dxa"/>
            <w:vAlign w:val="center"/>
          </w:tcPr>
          <w:p>
            <w:pPr>
              <w:spacing w:line="360" w:lineRule="auto"/>
              <w:ind w:left="1080" w:leftChars="257" w:hanging="540"/>
              <w:rPr>
                <w:rFonts w:ascii="宋体" w:hAnsi="宋体" w:cs="宋体"/>
                <w:color w:val="auto"/>
                <w:sz w:val="24"/>
                <w:highlight w:val="none"/>
              </w:rPr>
            </w:pPr>
            <w:r>
              <w:rPr>
                <w:rFonts w:hint="eastAsia" w:ascii="宋体" w:hAnsi="宋体" w:cs="宋体"/>
                <w:color w:val="auto"/>
                <w:sz w:val="24"/>
                <w:highlight w:val="none"/>
              </w:rPr>
              <w:t>8.1</w:t>
            </w:r>
          </w:p>
        </w:tc>
        <w:tc>
          <w:tcPr>
            <w:tcW w:w="6840" w:type="dxa"/>
            <w:vAlign w:val="center"/>
          </w:tcPr>
          <w:p>
            <w:pPr>
              <w:spacing w:line="360" w:lineRule="auto"/>
              <w:rPr>
                <w:rFonts w:ascii="宋体" w:hAnsi="宋体" w:cs="宋体"/>
                <w:color w:val="auto"/>
                <w:sz w:val="24"/>
                <w:highlight w:val="none"/>
              </w:rPr>
            </w:pPr>
            <w:r>
              <w:rPr>
                <w:rFonts w:hint="eastAsia" w:ascii="宋体" w:hAnsi="宋体" w:cs="宋体"/>
                <w:b/>
                <w:bCs/>
                <w:color w:val="auto"/>
                <w:sz w:val="24"/>
                <w:highlight w:val="none"/>
              </w:rPr>
              <w:t>本项目不分包。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360" w:lineRule="auto"/>
              <w:ind w:left="1080" w:leftChars="257" w:hanging="540"/>
              <w:rPr>
                <w:rFonts w:ascii="宋体" w:hAnsi="宋体" w:cs="宋体"/>
                <w:color w:val="auto"/>
                <w:sz w:val="24"/>
                <w:highlight w:val="none"/>
              </w:rPr>
            </w:pPr>
            <w:r>
              <w:rPr>
                <w:rFonts w:hint="eastAsia" w:ascii="宋体" w:hAnsi="宋体" w:cs="宋体"/>
                <w:color w:val="auto"/>
                <w:sz w:val="24"/>
                <w:highlight w:val="none"/>
              </w:rPr>
              <w:t>12</w:t>
            </w:r>
          </w:p>
        </w:tc>
        <w:tc>
          <w:tcPr>
            <w:tcW w:w="6840" w:type="dxa"/>
            <w:vAlign w:val="center"/>
          </w:tcPr>
          <w:p>
            <w:pPr>
              <w:pStyle w:val="15"/>
              <w:spacing w:line="360" w:lineRule="auto"/>
              <w:ind w:firstLine="0"/>
              <w:rPr>
                <w:rFonts w:hAnsi="宋体" w:cs="宋体"/>
                <w:color w:val="auto"/>
                <w:kern w:val="2"/>
                <w:szCs w:val="24"/>
                <w:highlight w:val="none"/>
              </w:rPr>
            </w:pPr>
            <w:r>
              <w:rPr>
                <w:rFonts w:hint="eastAsia" w:hAnsi="宋体" w:cs="宋体"/>
                <w:color w:val="auto"/>
                <w:kern w:val="2"/>
                <w:szCs w:val="24"/>
                <w:highlight w:val="none"/>
              </w:rPr>
              <w:t xml:space="preserve">投标保证金形式： </w:t>
            </w:r>
            <w:r>
              <w:rPr>
                <w:rFonts w:hint="eastAsia" w:hAnsi="宋体" w:cs="宋体"/>
                <w:color w:val="auto"/>
                <w:highlight w:val="none"/>
              </w:rPr>
              <w:t xml:space="preserve">☑保函  ☑电汇 ☑ 企业账户网银汇款（本项目允许的其他形式） </w:t>
            </w:r>
          </w:p>
          <w:p>
            <w:pPr>
              <w:spacing w:line="360" w:lineRule="auto"/>
              <w:rPr>
                <w:rFonts w:hint="default" w:ascii="宋体" w:hAnsi="宋体" w:eastAsia="宋体" w:cs="宋体"/>
                <w:color w:val="auto"/>
                <w:sz w:val="24"/>
                <w:highlight w:val="none"/>
                <w:lang w:val="en-US" w:eastAsia="zh-Hans"/>
              </w:rPr>
            </w:pPr>
            <w:r>
              <w:rPr>
                <w:rFonts w:hint="eastAsia" w:ascii="宋体" w:hAnsi="宋体" w:cs="宋体"/>
                <w:color w:val="auto"/>
                <w:sz w:val="24"/>
                <w:highlight w:val="none"/>
              </w:rPr>
              <w:t>保证金数额：</w:t>
            </w:r>
            <w:r>
              <w:rPr>
                <w:rFonts w:hint="eastAsia" w:ascii="宋体" w:hAnsi="宋体" w:cs="宋体"/>
                <w:color w:val="auto"/>
                <w:sz w:val="24"/>
                <w:highlight w:val="none"/>
                <w:lang w:val="en-US" w:eastAsia="zh-Hans"/>
              </w:rPr>
              <w:t>小写：</w:t>
            </w:r>
            <w:r>
              <w:rPr>
                <w:rFonts w:hint="default" w:ascii="宋体" w:hAnsi="宋体" w:cs="宋体"/>
                <w:color w:val="auto"/>
                <w:sz w:val="24"/>
                <w:highlight w:val="none"/>
              </w:rPr>
              <w:t>2000000</w:t>
            </w:r>
            <w:r>
              <w:rPr>
                <w:rFonts w:hint="eastAsia" w:ascii="宋体" w:hAnsi="宋体" w:cs="宋体"/>
                <w:color w:val="auto"/>
                <w:sz w:val="24"/>
                <w:highlight w:val="none"/>
              </w:rPr>
              <w:t>元</w:t>
            </w:r>
            <w:r>
              <w:rPr>
                <w:rFonts w:hint="default"/>
                <w:color w:val="auto"/>
                <w:highlight w:val="none"/>
              </w:rPr>
              <w:t xml:space="preserve">  </w:t>
            </w:r>
            <w:r>
              <w:rPr>
                <w:rFonts w:hint="eastAsia"/>
                <w:color w:val="auto"/>
                <w:highlight w:val="none"/>
                <w:lang w:val="en-US" w:eastAsia="zh-Hans"/>
              </w:rPr>
              <w:t>大写：贰佰万元整</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投标保证金收款人：喀什地区公共资源交易中心            </w:t>
            </w:r>
          </w:p>
          <w:p>
            <w:pPr>
              <w:spacing w:line="360" w:lineRule="auto"/>
              <w:rPr>
                <w:rFonts w:ascii="宋体" w:hAnsi="宋体" w:cs="宋体"/>
                <w:color w:val="auto"/>
                <w:sz w:val="24"/>
                <w:highlight w:val="none"/>
              </w:rPr>
            </w:pPr>
            <w:r>
              <w:rPr>
                <w:rFonts w:hint="eastAsia" w:ascii="宋体" w:hAnsi="宋体" w:cs="宋体"/>
                <w:color w:val="auto"/>
                <w:sz w:val="24"/>
                <w:highlight w:val="none"/>
              </w:rPr>
              <w:t>开户行：中国建设银行股份有限公司疏附支行</w:t>
            </w:r>
          </w:p>
          <w:p>
            <w:pPr>
              <w:spacing w:line="360" w:lineRule="auto"/>
              <w:rPr>
                <w:rFonts w:ascii="宋体" w:hAnsi="宋体" w:cs="宋体"/>
                <w:color w:val="auto"/>
                <w:sz w:val="24"/>
                <w:highlight w:val="none"/>
              </w:rPr>
            </w:pPr>
            <w:r>
              <w:rPr>
                <w:rFonts w:hint="eastAsia" w:ascii="宋体" w:hAnsi="宋体" w:cs="宋体"/>
                <w:color w:val="auto"/>
                <w:sz w:val="24"/>
                <w:highlight w:val="none"/>
              </w:rPr>
              <w:t>银行账号：65050174602600000509-000003</w:t>
            </w:r>
          </w:p>
          <w:p>
            <w:pPr>
              <w:spacing w:line="360" w:lineRule="auto"/>
              <w:rPr>
                <w:rFonts w:ascii="宋体" w:hAnsi="宋体" w:cs="宋体"/>
                <w:color w:val="auto"/>
                <w:sz w:val="24"/>
                <w:highlight w:val="none"/>
              </w:rPr>
            </w:pPr>
            <w:r>
              <w:rPr>
                <w:rFonts w:hint="eastAsia" w:ascii="宋体" w:hAnsi="宋体" w:cs="宋体"/>
                <w:color w:val="auto"/>
                <w:sz w:val="24"/>
                <w:highlight w:val="none"/>
              </w:rPr>
              <w:t>行    号：105894200029</w:t>
            </w:r>
          </w:p>
          <w:p>
            <w:pPr>
              <w:rPr>
                <w:rFonts w:ascii="宋体" w:hAnsi="宋体" w:cs="宋体"/>
                <w:color w:val="auto"/>
                <w:sz w:val="21"/>
                <w:szCs w:val="21"/>
                <w:highlight w:val="none"/>
              </w:rPr>
            </w:pPr>
            <w:r>
              <w:rPr>
                <w:rFonts w:hint="eastAsia" w:ascii="宋体" w:hAnsi="宋体" w:cs="宋体"/>
                <w:color w:val="auto"/>
                <w:sz w:val="21"/>
                <w:szCs w:val="21"/>
                <w:highlight w:val="none"/>
              </w:rPr>
              <w:t>1.打款时必须注明投标保证金项目名称或项目编号（否则视为无效打款）。到账截止时间：投标截止时间前（以到账时间为准，节假日除外）。</w:t>
            </w:r>
          </w:p>
          <w:p>
            <w:pPr>
              <w:rPr>
                <w:rFonts w:ascii="宋体" w:hAnsi="宋体" w:cs="宋体"/>
                <w:color w:val="auto"/>
                <w:sz w:val="21"/>
                <w:szCs w:val="21"/>
                <w:highlight w:val="none"/>
              </w:rPr>
            </w:pPr>
            <w:r>
              <w:rPr>
                <w:rFonts w:hint="eastAsia" w:ascii="宋体" w:hAnsi="宋体" w:cs="宋体"/>
                <w:color w:val="auto"/>
                <w:sz w:val="21"/>
                <w:szCs w:val="21"/>
                <w:highlight w:val="none"/>
              </w:rPr>
              <w:t>2.本项目不需要换取收据，银行汇款凭证用于投标保证金证明。如因投标人自身原因打款不成功的，代理公司不承担任何责任。</w:t>
            </w:r>
          </w:p>
          <w:p>
            <w:pPr>
              <w:rPr>
                <w:rFonts w:ascii="宋体" w:hAnsi="宋体" w:cs="宋体"/>
                <w:color w:val="auto"/>
                <w:sz w:val="21"/>
                <w:szCs w:val="21"/>
                <w:highlight w:val="none"/>
              </w:rPr>
            </w:pP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应在与采购人签订合同之日起5个工作日内，保证金收受机构根据</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提供的打款凭证及时办理投标保证金无息退还手续。</w:t>
            </w:r>
          </w:p>
          <w:p>
            <w:pPr>
              <w:rPr>
                <w:rFonts w:ascii="宋体" w:hAnsi="宋体" w:cs="宋体"/>
                <w:color w:val="auto"/>
                <w:sz w:val="24"/>
                <w:highlight w:val="none"/>
              </w:rPr>
            </w:pPr>
            <w:r>
              <w:rPr>
                <w:rFonts w:hint="eastAsia" w:ascii="宋体" w:hAnsi="宋体" w:cs="宋体"/>
                <w:color w:val="auto"/>
                <w:sz w:val="21"/>
                <w:szCs w:val="21"/>
                <w:highlight w:val="none"/>
              </w:rPr>
              <w:t>4.未中标投标人的投标保证金将在中标通知书发出之日暨中标结果公告公布之日起5个工作日内无息退还，保证金收受机构根据未</w:t>
            </w:r>
            <w:r>
              <w:rPr>
                <w:rFonts w:hint="eastAsia" w:ascii="宋体" w:hAnsi="宋体" w:cs="宋体"/>
                <w:color w:val="auto"/>
                <w:sz w:val="21"/>
                <w:szCs w:val="21"/>
                <w:highlight w:val="none"/>
                <w:lang w:eastAsia="zh-CN"/>
              </w:rPr>
              <w:t>投标人</w:t>
            </w:r>
            <w:r>
              <w:rPr>
                <w:rFonts w:hint="eastAsia" w:ascii="宋体" w:hAnsi="宋体" w:cs="宋体"/>
                <w:color w:val="auto"/>
                <w:sz w:val="21"/>
                <w:szCs w:val="21"/>
                <w:highlight w:val="none"/>
              </w:rPr>
              <w:t>提供的打款凭证及时办理退还投标保证金手续。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468" w:type="dxa"/>
            <w:vAlign w:val="center"/>
          </w:tcPr>
          <w:p>
            <w:pPr>
              <w:spacing w:line="360" w:lineRule="auto"/>
              <w:ind w:left="1080" w:leftChars="257" w:hanging="540"/>
              <w:rPr>
                <w:rFonts w:ascii="宋体" w:hAnsi="宋体" w:cs="宋体"/>
                <w:color w:val="auto"/>
                <w:sz w:val="24"/>
                <w:highlight w:val="none"/>
              </w:rPr>
            </w:pPr>
            <w:r>
              <w:rPr>
                <w:rFonts w:hint="eastAsia" w:ascii="宋体" w:hAnsi="宋体" w:cs="宋体"/>
                <w:color w:val="auto"/>
                <w:sz w:val="24"/>
                <w:highlight w:val="none"/>
              </w:rPr>
              <w:t>13.1</w:t>
            </w:r>
          </w:p>
        </w:tc>
        <w:tc>
          <w:tcPr>
            <w:tcW w:w="6840" w:type="dxa"/>
            <w:vAlign w:val="center"/>
          </w:tcPr>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投标有效期：</w:t>
            </w:r>
            <w:r>
              <w:rPr>
                <w:rFonts w:hint="eastAsia" w:ascii="宋体" w:hAnsi="宋体" w:cs="宋体"/>
                <w:color w:val="auto"/>
                <w:sz w:val="24"/>
                <w:highlight w:val="none"/>
                <w:u w:val="single"/>
              </w:rPr>
              <w:t>90</w:t>
            </w:r>
            <w:r>
              <w:rPr>
                <w:rFonts w:hint="eastAsia" w:ascii="宋体" w:hAnsi="宋体" w:cs="宋体"/>
                <w:color w:val="auto"/>
                <w:sz w:val="24"/>
                <w:highlight w:val="none"/>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vAlign w:val="center"/>
          </w:tcPr>
          <w:p>
            <w:pPr>
              <w:spacing w:line="360" w:lineRule="auto"/>
              <w:ind w:left="1080" w:leftChars="257" w:hanging="540"/>
              <w:rPr>
                <w:rFonts w:ascii="宋体" w:hAnsi="宋体" w:cs="宋体"/>
                <w:color w:val="auto"/>
                <w:sz w:val="24"/>
                <w:highlight w:val="none"/>
              </w:rPr>
            </w:pPr>
            <w:r>
              <w:rPr>
                <w:rFonts w:hint="eastAsia" w:ascii="宋体" w:hAnsi="宋体" w:cs="宋体"/>
                <w:color w:val="auto"/>
                <w:sz w:val="24"/>
                <w:highlight w:val="none"/>
              </w:rPr>
              <w:t>14.1</w:t>
            </w:r>
          </w:p>
        </w:tc>
        <w:tc>
          <w:tcPr>
            <w:tcW w:w="6840" w:type="dxa"/>
            <w:vAlign w:val="center"/>
          </w:tcPr>
          <w:p>
            <w:pPr>
              <w:rPr>
                <w:color w:val="auto"/>
                <w:highlight w:val="none"/>
              </w:rPr>
            </w:pPr>
            <w:r>
              <w:rPr>
                <w:rFonts w:hint="eastAsia"/>
                <w:color w:val="auto"/>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rPr>
                <w:color w:val="auto"/>
                <w:highlight w:val="none"/>
              </w:rPr>
            </w:pPr>
            <w:r>
              <w:rPr>
                <w:rFonts w:hint="eastAsia"/>
                <w:color w:val="auto"/>
                <w:highlight w:val="none"/>
              </w:rPr>
              <w:t>2.本项目实行网上投标，采用电子投标文件(供应商须使用CA加密设备通过政采云电子投标客户端制作投标文件)。若供应商参与投标，自行承担投标一切费用。</w:t>
            </w:r>
          </w:p>
          <w:p>
            <w:pPr>
              <w:rPr>
                <w:color w:val="auto"/>
                <w:highlight w:val="none"/>
              </w:rPr>
            </w:pPr>
            <w:r>
              <w:rPr>
                <w:rFonts w:hint="eastAsia"/>
                <w:color w:val="auto"/>
                <w:highlight w:val="none"/>
              </w:rPr>
              <w:t>3.各供应商应在开标前应确保成为新疆政府采购网正式注册入库供应商，并完成CA数字证书申领。因未注册入库、未办理CA数字证书等原因造成无法投标或投标失败等后果由供应商自行承担。</w:t>
            </w:r>
          </w:p>
          <w:p>
            <w:pPr>
              <w:rPr>
                <w:color w:val="auto"/>
                <w:highlight w:val="none"/>
              </w:rPr>
            </w:pPr>
            <w:r>
              <w:rPr>
                <w:rFonts w:hint="eastAsia"/>
                <w:color w:val="auto"/>
                <w:highlight w:val="none"/>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rPr>
                <w:color w:val="auto"/>
                <w:highlight w:val="none"/>
              </w:rPr>
            </w:pPr>
            <w:r>
              <w:rPr>
                <w:rFonts w:hint="eastAsia"/>
                <w:color w:val="auto"/>
                <w:highlight w:val="none"/>
              </w:rPr>
              <w:t>5.供应商在开标时须使用制作加密电子投标文件所使用的CA锁及电脑，电脑须提前配置好浏览器（建议使用360浏览器或谷歌浏览器），以便开标时解锁。</w:t>
            </w:r>
          </w:p>
          <w:p>
            <w:pPr>
              <w:rPr>
                <w:color w:val="auto"/>
                <w:highlight w:val="none"/>
              </w:rPr>
            </w:pPr>
            <w:r>
              <w:rPr>
                <w:rFonts w:hint="eastAsia"/>
                <w:color w:val="auto"/>
                <w:highlight w:val="none"/>
              </w:rPr>
              <w:t>6.投标保证金缴纳及确认时间：凡拟参加本次招标项目的供应商，必须在开标前将投标保证金汇入指定账户。否则，届时其投标将被拒绝。</w:t>
            </w:r>
          </w:p>
          <w:p>
            <w:pPr>
              <w:rPr>
                <w:color w:val="auto"/>
                <w:highlight w:val="none"/>
              </w:rPr>
            </w:pPr>
            <w:r>
              <w:rPr>
                <w:rFonts w:hint="eastAsia"/>
                <w:color w:val="auto"/>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pPr>
              <w:rPr>
                <w:color w:val="auto"/>
                <w:highlight w:val="none"/>
              </w:rPr>
            </w:pPr>
            <w:r>
              <w:rPr>
                <w:rFonts w:hint="eastAsia"/>
                <w:color w:val="auto"/>
                <w:highlight w:val="none"/>
              </w:rPr>
              <w:t>8.各供应商须在投标截止时间前完成在系统上递交电子投标文件。投标供应商的电子投标文件是经过CA证书加密后上传提交的，任何单位或个人均无法在投标截止时间(即开标时间)之前查看或篡改，不存在泄密风险。（严格按照政采云电子投标流程制作并上传电子投标文件）</w:t>
            </w:r>
          </w:p>
          <w:p>
            <w:pPr>
              <w:rPr>
                <w:color w:val="auto"/>
                <w:highlight w:val="none"/>
              </w:rPr>
            </w:pPr>
            <w:r>
              <w:rPr>
                <w:rFonts w:hint="eastAsia"/>
                <w:color w:val="auto"/>
                <w:highlight w:val="none"/>
              </w:rPr>
              <w:t>9.各供应商在投标截止时间前将“投标文件”上传至政采云平台。投标文件包括“开标一览表及资格证明文件”与“商务及技术文件”两部分合并成一册。投标文件应按照招标文件规定的格式填写、签署和盖章，并以PDF格式上传至政采云开评标平台（投标文件为正本扫描件）。</w:t>
            </w:r>
          </w:p>
          <w:p>
            <w:pPr>
              <w:rPr>
                <w:color w:val="auto"/>
                <w:highlight w:val="none"/>
              </w:rPr>
            </w:pPr>
            <w:r>
              <w:rPr>
                <w:rFonts w:hint="eastAsia"/>
                <w:color w:val="auto"/>
                <w:highlight w:val="none"/>
              </w:rPr>
              <w:t>10.解密时长为30分钟。</w:t>
            </w:r>
          </w:p>
          <w:p>
            <w:pPr>
              <w:rPr>
                <w:rFonts w:hint="eastAsia"/>
                <w:color w:val="auto"/>
                <w:highlight w:val="none"/>
              </w:rPr>
            </w:pPr>
            <w:r>
              <w:rPr>
                <w:rFonts w:hint="eastAsia"/>
                <w:color w:val="auto"/>
                <w:highlight w:val="none"/>
              </w:rPr>
              <w:t>11.投标人须提供备份的投标文件。</w:t>
            </w:r>
          </w:p>
          <w:p>
            <w:pPr>
              <w:pStyle w:val="21"/>
              <w:ind w:left="0" w:leftChars="0" w:firstLine="0" w:firstLineChars="0"/>
              <w:rPr>
                <w:rFonts w:hint="default" w:eastAsia="宋体"/>
                <w:color w:val="auto"/>
                <w:highlight w:val="none"/>
                <w:lang w:val="en-US" w:eastAsia="zh-CN"/>
              </w:rPr>
            </w:pPr>
            <w:r>
              <w:rPr>
                <w:rFonts w:hint="eastAsia" w:ascii="宋体" w:hAnsi="宋体" w:cs="宋体"/>
                <w:b/>
                <w:bCs/>
                <w:color w:val="auto"/>
                <w:sz w:val="21"/>
                <w:szCs w:val="21"/>
                <w:highlight w:val="none"/>
                <w:lang w:val="en-US" w:eastAsia="zh-CN"/>
              </w:rPr>
              <w:t>12.本项目有在线演示环节，请各供应商根据招标文件要求准备演示内容，及时接受政采云官方平台发起的视频会议邀请进行相应演示。请各供应商在演示前调试好音频及视频设备。因供应商的网络或设备因素导致无法在线演示，由供应商自行承担后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vAlign w:val="center"/>
          </w:tcPr>
          <w:p>
            <w:pPr>
              <w:spacing w:line="360" w:lineRule="auto"/>
              <w:ind w:left="1080" w:leftChars="257" w:hanging="540"/>
              <w:rPr>
                <w:rFonts w:ascii="宋体" w:hAnsi="宋体" w:cs="宋体"/>
                <w:color w:val="auto"/>
                <w:sz w:val="24"/>
                <w:highlight w:val="none"/>
              </w:rPr>
            </w:pPr>
            <w:r>
              <w:rPr>
                <w:rFonts w:hint="eastAsia" w:ascii="宋体" w:hAnsi="宋体" w:cs="宋体"/>
                <w:color w:val="auto"/>
                <w:sz w:val="24"/>
                <w:highlight w:val="none"/>
              </w:rPr>
              <w:t>16．1</w:t>
            </w:r>
          </w:p>
        </w:tc>
        <w:tc>
          <w:tcPr>
            <w:tcW w:w="6840"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投标截止时间：</w:t>
            </w:r>
            <w:r>
              <w:rPr>
                <w:rFonts w:hint="eastAsia" w:ascii="宋体" w:hAnsi="宋体" w:cs="宋体"/>
                <w:color w:val="auto"/>
                <w:sz w:val="24"/>
                <w:highlight w:val="none"/>
                <w:u w:val="single"/>
              </w:rPr>
              <w:t>2023年</w:t>
            </w:r>
            <w:r>
              <w:rPr>
                <w:rFonts w:hint="eastAsia" w:ascii="宋体" w:hAnsi="宋体" w:cs="宋体"/>
                <w:color w:val="auto"/>
                <w:sz w:val="24"/>
                <w:highlight w:val="none"/>
                <w:u w:val="single"/>
                <w:lang w:val="en-US" w:eastAsia="zh-CN"/>
              </w:rPr>
              <w:t>8</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11：00</w:t>
            </w:r>
            <w:r>
              <w:rPr>
                <w:rFonts w:hint="eastAsia" w:ascii="宋体" w:hAnsi="宋体" w:cs="宋体"/>
                <w:color w:val="auto"/>
                <w:sz w:val="24"/>
                <w:highlight w:val="none"/>
                <w:u w:val="singl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vAlign w:val="center"/>
          </w:tcPr>
          <w:p>
            <w:pPr>
              <w:spacing w:line="360" w:lineRule="auto"/>
              <w:ind w:left="1080" w:leftChars="257" w:hanging="540"/>
              <w:rPr>
                <w:rFonts w:ascii="宋体" w:hAnsi="宋体" w:cs="宋体"/>
                <w:color w:val="auto"/>
                <w:sz w:val="24"/>
                <w:highlight w:val="none"/>
              </w:rPr>
            </w:pPr>
            <w:r>
              <w:rPr>
                <w:rFonts w:hint="eastAsia" w:ascii="宋体" w:hAnsi="宋体" w:cs="宋体"/>
                <w:color w:val="auto"/>
                <w:sz w:val="24"/>
                <w:highlight w:val="none"/>
              </w:rPr>
              <w:t>18.1</w:t>
            </w:r>
          </w:p>
        </w:tc>
        <w:tc>
          <w:tcPr>
            <w:tcW w:w="6840" w:type="dxa"/>
            <w:vAlign w:val="center"/>
          </w:tcPr>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开标时间：</w:t>
            </w:r>
            <w:r>
              <w:rPr>
                <w:rFonts w:hint="eastAsia" w:ascii="宋体" w:hAnsi="宋体" w:cs="宋体"/>
                <w:color w:val="auto"/>
                <w:sz w:val="24"/>
                <w:highlight w:val="none"/>
                <w:u w:val="single"/>
              </w:rPr>
              <w:t>2023年</w:t>
            </w:r>
            <w:r>
              <w:rPr>
                <w:rFonts w:hint="eastAsia" w:ascii="宋体" w:hAnsi="宋体" w:cs="宋体"/>
                <w:color w:val="auto"/>
                <w:sz w:val="24"/>
                <w:highlight w:val="none"/>
                <w:u w:val="single"/>
                <w:lang w:val="en-US" w:eastAsia="zh-CN"/>
              </w:rPr>
              <w:t>8</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11：00</w:t>
            </w:r>
            <w:r>
              <w:rPr>
                <w:rFonts w:hint="eastAsia" w:ascii="宋体" w:hAnsi="宋体" w:cs="宋体"/>
                <w:color w:val="auto"/>
                <w:sz w:val="24"/>
                <w:highlight w:val="none"/>
                <w:u w:val="single"/>
              </w:rPr>
              <w:t>（北京时间）</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开标地点：喀什地区疏附县商贸园区疆南农批市场内</w:t>
            </w:r>
            <w:r>
              <w:rPr>
                <w:rFonts w:hint="eastAsia" w:ascii="宋体" w:hAnsi="宋体" w:cs="宋体"/>
                <w:color w:val="auto"/>
                <w:sz w:val="24"/>
                <w:highlight w:val="none"/>
                <w:lang w:eastAsia="zh-CN"/>
              </w:rPr>
              <w:t>（政采云电子评标）</w:t>
            </w:r>
            <w:r>
              <w:rPr>
                <w:rFonts w:hint="eastAsia" w:ascii="宋体" w:hAnsi="宋体" w:cs="宋体"/>
                <w:color w:val="auto"/>
                <w:sz w:val="24"/>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68" w:type="dxa"/>
            <w:vAlign w:val="center"/>
          </w:tcPr>
          <w:p>
            <w:pPr>
              <w:spacing w:line="360" w:lineRule="auto"/>
              <w:ind w:left="1080" w:leftChars="257" w:hanging="540"/>
              <w:rPr>
                <w:rFonts w:ascii="宋体" w:hAnsi="宋体" w:cs="宋体"/>
                <w:color w:val="auto"/>
                <w:sz w:val="24"/>
                <w:highlight w:val="none"/>
              </w:rPr>
            </w:pPr>
            <w:r>
              <w:rPr>
                <w:rFonts w:hint="eastAsia" w:ascii="宋体" w:hAnsi="宋体" w:cs="宋体"/>
                <w:color w:val="auto"/>
                <w:sz w:val="24"/>
                <w:highlight w:val="none"/>
              </w:rPr>
              <w:t>23.2</w:t>
            </w:r>
          </w:p>
        </w:tc>
        <w:tc>
          <w:tcPr>
            <w:tcW w:w="6840" w:type="dxa"/>
            <w:vAlign w:val="center"/>
          </w:tcPr>
          <w:p>
            <w:pPr>
              <w:spacing w:line="360" w:lineRule="auto"/>
              <w:rPr>
                <w:rFonts w:ascii="宋体" w:hAnsi="宋体" w:cs="宋体"/>
                <w:i/>
                <w:color w:val="auto"/>
                <w:sz w:val="24"/>
                <w:highlight w:val="none"/>
              </w:rPr>
            </w:pPr>
            <w:r>
              <w:rPr>
                <w:rFonts w:hint="eastAsia" w:ascii="宋体" w:hAnsi="宋体" w:cs="宋体"/>
                <w:color w:val="auto"/>
                <w:sz w:val="24"/>
                <w:highlight w:val="none"/>
              </w:rPr>
              <w:t>评标方法：适用</w:t>
            </w:r>
            <w:r>
              <w:rPr>
                <w:rFonts w:hint="eastAsia" w:ascii="宋体" w:hAnsi="宋体" w:cs="宋体"/>
                <w:color w:val="auto"/>
                <w:sz w:val="24"/>
                <w:highlight w:val="none"/>
                <w:u w:val="single"/>
              </w:rPr>
              <w:t>综合评分法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vAlign w:val="center"/>
          </w:tcPr>
          <w:p>
            <w:pPr>
              <w:spacing w:line="360" w:lineRule="auto"/>
              <w:ind w:left="1080" w:leftChars="257" w:hanging="540"/>
              <w:rPr>
                <w:rFonts w:ascii="宋体" w:hAnsi="宋体" w:cs="宋体"/>
                <w:color w:val="auto"/>
                <w:sz w:val="24"/>
                <w:highlight w:val="none"/>
              </w:rPr>
            </w:pPr>
            <w:r>
              <w:rPr>
                <w:rFonts w:hint="eastAsia" w:ascii="宋体" w:hAnsi="宋体" w:cs="宋体"/>
                <w:color w:val="auto"/>
                <w:sz w:val="24"/>
                <w:highlight w:val="none"/>
              </w:rPr>
              <w:t>27</w:t>
            </w:r>
          </w:p>
        </w:tc>
        <w:tc>
          <w:tcPr>
            <w:tcW w:w="6840"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推荐中标候选供应商的数量：</w:t>
            </w:r>
            <w:r>
              <w:rPr>
                <w:rFonts w:hint="eastAsia" w:ascii="宋体" w:hAnsi="宋体" w:cs="宋体"/>
                <w:color w:val="auto"/>
                <w:sz w:val="24"/>
                <w:highlight w:val="none"/>
                <w:u w:val="single"/>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vAlign w:val="center"/>
          </w:tcPr>
          <w:p>
            <w:pPr>
              <w:spacing w:line="360" w:lineRule="auto"/>
              <w:ind w:left="1080" w:leftChars="257" w:hanging="540"/>
              <w:rPr>
                <w:rFonts w:ascii="宋体" w:hAnsi="宋体" w:cs="宋体"/>
                <w:color w:val="auto"/>
                <w:sz w:val="24"/>
                <w:highlight w:val="none"/>
              </w:rPr>
            </w:pPr>
            <w:r>
              <w:rPr>
                <w:rFonts w:hint="eastAsia" w:ascii="宋体" w:hAnsi="宋体" w:cs="宋体"/>
                <w:color w:val="auto"/>
                <w:sz w:val="24"/>
                <w:highlight w:val="none"/>
              </w:rPr>
              <w:t>27</w:t>
            </w:r>
          </w:p>
        </w:tc>
        <w:tc>
          <w:tcPr>
            <w:tcW w:w="6840"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招标人是否委托评标委员会直接确定</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否 </w:t>
            </w:r>
            <w:r>
              <w:rPr>
                <w:rFonts w:hint="eastAsia" w:ascii="宋体" w:hAnsi="宋体" w:cs="宋体"/>
                <w:color w:val="auto"/>
                <w:sz w:val="24"/>
                <w:highlight w:val="none"/>
              </w:rPr>
              <w:t xml:space="preserve"> </w:t>
            </w:r>
            <w:r>
              <w:rPr>
                <w:rFonts w:hint="eastAsia" w:ascii="宋体" w:hAnsi="宋体" w:cs="宋体"/>
                <w:i/>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360" w:lineRule="auto"/>
              <w:ind w:left="1080" w:leftChars="257" w:hanging="540"/>
              <w:rPr>
                <w:rFonts w:ascii="宋体" w:hAnsi="宋体" w:cs="宋体"/>
                <w:color w:val="auto"/>
                <w:sz w:val="24"/>
                <w:highlight w:val="none"/>
              </w:rPr>
            </w:pPr>
            <w:r>
              <w:rPr>
                <w:rFonts w:hint="eastAsia" w:ascii="宋体" w:hAnsi="宋体" w:cs="宋体"/>
                <w:color w:val="auto"/>
                <w:sz w:val="24"/>
                <w:highlight w:val="none"/>
              </w:rPr>
              <w:t>31.1</w:t>
            </w:r>
          </w:p>
        </w:tc>
        <w:tc>
          <w:tcPr>
            <w:tcW w:w="6840"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履约保证金金额：</w:t>
            </w:r>
            <w:r>
              <w:rPr>
                <w:rFonts w:hint="eastAsia" w:ascii="宋体" w:hAnsi="宋体" w:cs="宋体"/>
                <w:b/>
                <w:bCs/>
                <w:color w:val="auto"/>
                <w:sz w:val="24"/>
                <w:highlight w:val="none"/>
              </w:rPr>
              <w:t>合同总价的5% 计算向下取整至万元（不得超过政府采购合同金额的10%）</w:t>
            </w:r>
            <w:r>
              <w:rPr>
                <w:rFonts w:hint="eastAsia" w:ascii="宋体" w:hAnsi="宋体" w:cs="宋体"/>
                <w:color w:val="auto"/>
                <w:sz w:val="24"/>
                <w:highlight w:val="none"/>
              </w:rPr>
              <w:t>。</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履约保证金形式： </w:t>
            </w:r>
            <w:bookmarkStart w:id="503" w:name="_Hlk22725541"/>
            <w:r>
              <w:rPr>
                <w:rFonts w:hint="eastAsia" w:ascii="宋体" w:hAnsi="宋体" w:cs="宋体"/>
                <w:color w:val="auto"/>
                <w:sz w:val="24"/>
                <w:highlight w:val="none"/>
              </w:rPr>
              <w:t>电汇或企业账户网银汇款</w:t>
            </w:r>
            <w:bookmarkEnd w:id="503"/>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提交履约保证金的时间： 签订合同前打入甲方指定账户</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注：</w:t>
            </w:r>
            <w:r>
              <w:rPr>
                <w:rFonts w:hint="eastAsia" w:ascii="宋体" w:hAnsi="宋体" w:cs="宋体"/>
                <w:color w:val="auto"/>
                <w:sz w:val="24"/>
                <w:highlight w:val="none"/>
                <w:lang w:val="zh-CN"/>
              </w:rPr>
              <w:t>双方可以通过协商另行约定其他退还时间和方式及用途。</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履约保证金收款人：喀什地区第一人民医院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360" w:lineRule="auto"/>
              <w:ind w:left="1080" w:leftChars="257" w:hanging="540"/>
              <w:rPr>
                <w:rFonts w:ascii="宋体" w:hAnsi="宋体" w:cs="宋体"/>
                <w:color w:val="auto"/>
                <w:sz w:val="24"/>
                <w:highlight w:val="none"/>
              </w:rPr>
            </w:pPr>
            <w:r>
              <w:rPr>
                <w:rFonts w:hint="eastAsia" w:ascii="宋体" w:hAnsi="宋体" w:cs="宋体"/>
                <w:color w:val="auto"/>
                <w:sz w:val="24"/>
                <w:highlight w:val="none"/>
              </w:rPr>
              <w:t>32</w:t>
            </w:r>
          </w:p>
        </w:tc>
        <w:tc>
          <w:tcPr>
            <w:tcW w:w="6840"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本项目无中标服务费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360" w:lineRule="auto"/>
              <w:ind w:left="1080" w:leftChars="257" w:hanging="540"/>
              <w:rPr>
                <w:rFonts w:ascii="宋体" w:hAnsi="宋体" w:cs="宋体"/>
                <w:color w:val="auto"/>
                <w:sz w:val="24"/>
                <w:highlight w:val="none"/>
              </w:rPr>
            </w:pPr>
            <w:r>
              <w:rPr>
                <w:rFonts w:hint="eastAsia" w:ascii="宋体" w:hAnsi="宋体" w:cs="宋体"/>
                <w:color w:val="auto"/>
                <w:sz w:val="24"/>
                <w:highlight w:val="none"/>
              </w:rPr>
              <w:t>33.1</w:t>
            </w:r>
          </w:p>
        </w:tc>
        <w:tc>
          <w:tcPr>
            <w:tcW w:w="6840"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本项目是否属于信用担保试点范围：</w:t>
            </w:r>
            <w:r>
              <w:rPr>
                <w:rFonts w:hint="eastAsia" w:ascii="宋体" w:hAnsi="宋体" w:cs="宋体"/>
                <w:color w:val="auto"/>
                <w:sz w:val="24"/>
                <w:highlight w:val="none"/>
                <w:u w:val="single"/>
              </w:rPr>
              <w:t xml:space="preserve"> 否</w:t>
            </w:r>
            <w:r>
              <w:rPr>
                <w:rFonts w:hint="eastAsia" w:ascii="宋体" w:hAnsi="宋体" w:cs="宋体"/>
                <w:color w:val="auto"/>
                <w:sz w:val="24"/>
                <w:highlight w:val="none"/>
              </w:rPr>
              <w:t xml:space="preserve"> </w:t>
            </w:r>
            <w:r>
              <w:rPr>
                <w:rFonts w:hint="eastAsia" w:ascii="宋体" w:hAnsi="宋体" w:cs="宋体"/>
                <w:i/>
                <w:color w:val="auto"/>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360" w:lineRule="auto"/>
              <w:ind w:left="1080" w:leftChars="257" w:hanging="540"/>
              <w:rPr>
                <w:rFonts w:ascii="宋体" w:hAnsi="宋体" w:cs="宋体"/>
                <w:color w:val="auto"/>
                <w:sz w:val="24"/>
                <w:highlight w:val="none"/>
              </w:rPr>
            </w:pPr>
            <w:r>
              <w:rPr>
                <w:rFonts w:hint="eastAsia" w:ascii="宋体" w:hAnsi="宋体" w:cs="宋体"/>
                <w:color w:val="auto"/>
                <w:sz w:val="24"/>
                <w:highlight w:val="none"/>
              </w:rPr>
              <w:t>34.3</w:t>
            </w:r>
          </w:p>
        </w:tc>
        <w:tc>
          <w:tcPr>
            <w:tcW w:w="6840" w:type="dxa"/>
            <w:vAlign w:val="center"/>
          </w:tcPr>
          <w:p>
            <w:pPr>
              <w:spacing w:line="360" w:lineRule="auto"/>
              <w:ind w:left="710" w:leftChars="-23" w:hanging="758" w:hangingChars="316"/>
              <w:rPr>
                <w:rFonts w:ascii="宋体" w:hAnsi="宋体" w:cs="宋体"/>
                <w:color w:val="auto"/>
                <w:sz w:val="24"/>
                <w:highlight w:val="none"/>
              </w:rPr>
            </w:pPr>
            <w:r>
              <w:rPr>
                <w:rFonts w:hint="eastAsia" w:ascii="宋体" w:hAnsi="宋体" w:cs="宋体"/>
                <w:color w:val="auto"/>
                <w:sz w:val="24"/>
                <w:highlight w:val="none"/>
              </w:rPr>
              <w:t>反腐倡廉监督电话/邮箱：</w:t>
            </w:r>
            <w:r>
              <w:rPr>
                <w:rFonts w:hint="eastAsia" w:ascii="宋体" w:hAnsi="宋体" w:cs="宋体"/>
                <w:color w:val="auto"/>
                <w:sz w:val="24"/>
                <w:highlight w:val="none"/>
                <w:u w:val="single"/>
              </w:rPr>
              <w:t xml:space="preserve">  0998-2597200  2597000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360" w:lineRule="auto"/>
              <w:ind w:left="1080" w:leftChars="257" w:hanging="540"/>
              <w:rPr>
                <w:rFonts w:ascii="宋体" w:hAnsi="宋体" w:cs="宋体"/>
                <w:color w:val="auto"/>
                <w:sz w:val="24"/>
                <w:highlight w:val="none"/>
              </w:rPr>
            </w:pPr>
            <w:r>
              <w:rPr>
                <w:rFonts w:hint="eastAsia" w:ascii="宋体" w:hAnsi="宋体" w:cs="宋体"/>
                <w:color w:val="auto"/>
                <w:sz w:val="24"/>
                <w:highlight w:val="none"/>
              </w:rPr>
              <w:t>36.3</w:t>
            </w:r>
          </w:p>
        </w:tc>
        <w:tc>
          <w:tcPr>
            <w:tcW w:w="6840" w:type="dxa"/>
            <w:vAlign w:val="center"/>
          </w:tcPr>
          <w:p>
            <w:pPr>
              <w:spacing w:line="360" w:lineRule="auto"/>
              <w:ind w:left="710" w:leftChars="-23" w:hanging="758" w:hangingChars="316"/>
              <w:rPr>
                <w:rFonts w:ascii="宋体" w:hAnsi="宋体" w:cs="宋体"/>
                <w:color w:val="auto"/>
                <w:sz w:val="24"/>
                <w:highlight w:val="none"/>
                <w:u w:val="single"/>
              </w:rPr>
            </w:pPr>
            <w:r>
              <w:rPr>
                <w:rFonts w:hint="eastAsia" w:ascii="宋体" w:hAnsi="宋体" w:cs="宋体"/>
                <w:color w:val="auto"/>
                <w:sz w:val="24"/>
                <w:highlight w:val="none"/>
              </w:rPr>
              <w:t>联系部门：</w:t>
            </w:r>
            <w:r>
              <w:rPr>
                <w:rFonts w:hint="eastAsia" w:ascii="宋体" w:hAnsi="宋体" w:cs="宋体"/>
                <w:color w:val="auto"/>
                <w:sz w:val="24"/>
                <w:highlight w:val="none"/>
                <w:u w:val="single"/>
              </w:rPr>
              <w:t>喀什地区第一人民医院或地区公共资源交易中心</w:t>
            </w:r>
          </w:p>
          <w:p>
            <w:pPr>
              <w:spacing w:line="360" w:lineRule="auto"/>
              <w:ind w:left="710" w:leftChars="-23" w:hanging="758" w:hangingChars="316"/>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0998-2962911  0998-5885138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8308" w:type="dxa"/>
            <w:gridSpan w:val="2"/>
            <w:tcBorders>
              <w:top w:val="single" w:color="auto" w:sz="12" w:space="0"/>
              <w:left w:val="single" w:color="auto" w:sz="12" w:space="0"/>
              <w:bottom w:val="single" w:color="auto" w:sz="12" w:space="0"/>
              <w:right w:val="single" w:color="auto" w:sz="12" w:space="0"/>
            </w:tcBorders>
            <w:vAlign w:val="center"/>
          </w:tcPr>
          <w:p>
            <w:pPr>
              <w:spacing w:line="360" w:lineRule="auto"/>
              <w:rPr>
                <w:rFonts w:ascii="宋体" w:hAnsi="宋体" w:cs="宋体"/>
                <w:color w:val="auto"/>
                <w:sz w:val="24"/>
                <w:highlight w:val="none"/>
              </w:rPr>
            </w:pPr>
          </w:p>
        </w:tc>
      </w:tr>
    </w:tbl>
    <w:p>
      <w:pPr>
        <w:spacing w:line="360" w:lineRule="auto"/>
        <w:ind w:left="1080" w:leftChars="257" w:hanging="540"/>
        <w:rPr>
          <w:rFonts w:ascii="宋体" w:hAnsi="宋体" w:cs="宋体"/>
          <w:color w:val="auto"/>
          <w:sz w:val="24"/>
          <w:highlight w:val="none"/>
        </w:rPr>
        <w:sectPr>
          <w:headerReference r:id="rId3" w:type="default"/>
          <w:footerReference r:id="rId5" w:type="default"/>
          <w:headerReference r:id="rId4" w:type="even"/>
          <w:footerReference r:id="rId6" w:type="even"/>
          <w:pgSz w:w="11906" w:h="16838"/>
          <w:pgMar w:top="1440" w:right="1797" w:bottom="1440" w:left="1797" w:header="851" w:footer="992" w:gutter="0"/>
          <w:cols w:space="720" w:num="1"/>
          <w:docGrid w:linePitch="312" w:charSpace="0"/>
        </w:sectPr>
      </w:pPr>
    </w:p>
    <w:p>
      <w:pPr>
        <w:pStyle w:val="3"/>
        <w:rPr>
          <w:rFonts w:hAnsi="宋体" w:cs="宋体"/>
          <w:color w:val="auto"/>
          <w:sz w:val="24"/>
          <w:szCs w:val="16"/>
          <w:highlight w:val="none"/>
        </w:rPr>
      </w:pPr>
      <w:bookmarkStart w:id="504" w:name="_Toc20857"/>
      <w:bookmarkStart w:id="505" w:name="_Toc1783432475"/>
      <w:bookmarkStart w:id="506" w:name="_Toc20390"/>
      <w:bookmarkStart w:id="507" w:name="_Toc12309"/>
      <w:bookmarkStart w:id="508" w:name="_Toc216513787"/>
      <w:bookmarkStart w:id="509" w:name="_Toc219175635"/>
      <w:bookmarkStart w:id="510" w:name="_Toc216582811"/>
      <w:bookmarkStart w:id="511" w:name="_Toc218935351"/>
      <w:r>
        <w:rPr>
          <w:rFonts w:hint="eastAsia" w:hAnsi="宋体" w:cs="宋体"/>
          <w:color w:val="auto"/>
          <w:sz w:val="24"/>
          <w:szCs w:val="16"/>
          <w:highlight w:val="none"/>
        </w:rPr>
        <w:t>资格审查表</w:t>
      </w:r>
      <w:bookmarkEnd w:id="504"/>
      <w:bookmarkEnd w:id="505"/>
      <w:bookmarkEnd w:id="506"/>
      <w:bookmarkEnd w:id="507"/>
    </w:p>
    <w:tbl>
      <w:tblPr>
        <w:tblStyle w:val="43"/>
        <w:tblpPr w:leftFromText="180" w:rightFromText="180" w:vertAnchor="text" w:horzAnchor="page" w:tblpX="1626" w:tblpY="142"/>
        <w:tblOverlap w:val="never"/>
        <w:tblW w:w="8224" w:type="dxa"/>
        <w:tblInd w:w="0" w:type="dxa"/>
        <w:tblLayout w:type="fixed"/>
        <w:tblCellMar>
          <w:top w:w="0" w:type="dxa"/>
          <w:left w:w="108" w:type="dxa"/>
          <w:bottom w:w="0" w:type="dxa"/>
          <w:right w:w="108" w:type="dxa"/>
        </w:tblCellMar>
      </w:tblPr>
      <w:tblGrid>
        <w:gridCol w:w="538"/>
        <w:gridCol w:w="6138"/>
        <w:gridCol w:w="355"/>
        <w:gridCol w:w="329"/>
        <w:gridCol w:w="399"/>
        <w:gridCol w:w="465"/>
      </w:tblGrid>
      <w:tr>
        <w:tblPrEx>
          <w:tblCellMar>
            <w:top w:w="0" w:type="dxa"/>
            <w:left w:w="108" w:type="dxa"/>
            <w:bottom w:w="0" w:type="dxa"/>
            <w:right w:w="108" w:type="dxa"/>
          </w:tblCellMar>
        </w:tblPrEx>
        <w:trPr>
          <w:trHeight w:val="727" w:hRule="atLeast"/>
        </w:trPr>
        <w:tc>
          <w:tcPr>
            <w:tcW w:w="538" w:type="dxa"/>
            <w:vMerge w:val="restart"/>
            <w:tcBorders>
              <w:top w:val="single" w:color="auto" w:sz="4" w:space="0"/>
              <w:left w:val="single" w:color="auto" w:sz="4" w:space="0"/>
              <w:bottom w:val="single" w:color="000000" w:sz="4" w:space="0"/>
              <w:right w:val="single" w:color="auto" w:sz="4" w:space="0"/>
            </w:tcBorders>
            <w:shd w:val="clear" w:color="000000" w:fill="E2EFDA"/>
            <w:vAlign w:val="center"/>
          </w:tcPr>
          <w:p>
            <w:pPr>
              <w:widowControl/>
              <w:spacing w:line="360" w:lineRule="auto"/>
              <w:jc w:val="center"/>
              <w:rPr>
                <w:rFonts w:ascii="宋体" w:hAnsi="宋体" w:cs="宋体"/>
                <w:b/>
                <w:bCs/>
                <w:color w:val="auto"/>
                <w:kern w:val="0"/>
                <w:szCs w:val="21"/>
                <w:highlight w:val="none"/>
              </w:rPr>
            </w:pPr>
            <w:bookmarkStart w:id="512" w:name="_Toc518923126"/>
            <w:bookmarkStart w:id="513" w:name="_Toc218935354"/>
            <w:bookmarkStart w:id="514" w:name="_Toc507399906"/>
            <w:bookmarkStart w:id="515" w:name="_Toc216582825"/>
            <w:bookmarkStart w:id="516" w:name="_Toc219175638"/>
            <w:bookmarkStart w:id="517" w:name="_Toc7112"/>
            <w:r>
              <w:rPr>
                <w:rFonts w:hint="eastAsia" w:ascii="宋体" w:hAnsi="宋体" w:cs="宋体"/>
                <w:b/>
                <w:bCs/>
                <w:color w:val="auto"/>
                <w:kern w:val="0"/>
                <w:szCs w:val="21"/>
                <w:highlight w:val="none"/>
              </w:rPr>
              <w:t>序号</w:t>
            </w:r>
          </w:p>
        </w:tc>
        <w:tc>
          <w:tcPr>
            <w:tcW w:w="6138" w:type="dxa"/>
            <w:vMerge w:val="restart"/>
            <w:tcBorders>
              <w:top w:val="single" w:color="auto" w:sz="4" w:space="0"/>
              <w:left w:val="single" w:color="auto" w:sz="4" w:space="0"/>
              <w:bottom w:val="single" w:color="000000" w:sz="4" w:space="0"/>
              <w:right w:val="single" w:color="auto" w:sz="4" w:space="0"/>
            </w:tcBorders>
            <w:shd w:val="clear" w:color="000000" w:fill="E2EFDA"/>
            <w:vAlign w:val="center"/>
          </w:tcPr>
          <w:p>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审核项目</w:t>
            </w:r>
          </w:p>
        </w:tc>
        <w:tc>
          <w:tcPr>
            <w:tcW w:w="684" w:type="dxa"/>
            <w:gridSpan w:val="2"/>
            <w:tcBorders>
              <w:top w:val="single" w:color="auto" w:sz="4" w:space="0"/>
              <w:left w:val="nil"/>
              <w:bottom w:val="single" w:color="auto" w:sz="4" w:space="0"/>
              <w:right w:val="single" w:color="auto" w:sz="4" w:space="0"/>
            </w:tcBorders>
            <w:shd w:val="clear" w:color="000000" w:fill="E2EFDA"/>
            <w:vAlign w:val="center"/>
          </w:tcPr>
          <w:p>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投标人1</w:t>
            </w:r>
          </w:p>
        </w:tc>
        <w:tc>
          <w:tcPr>
            <w:tcW w:w="864" w:type="dxa"/>
            <w:gridSpan w:val="2"/>
            <w:tcBorders>
              <w:top w:val="single" w:color="auto" w:sz="4" w:space="0"/>
              <w:left w:val="nil"/>
              <w:bottom w:val="single" w:color="auto" w:sz="4" w:space="0"/>
              <w:right w:val="single" w:color="auto" w:sz="4" w:space="0"/>
            </w:tcBorders>
            <w:shd w:val="clear" w:color="000000" w:fill="E2EFDA"/>
            <w:vAlign w:val="center"/>
          </w:tcPr>
          <w:p>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投标人N</w:t>
            </w:r>
          </w:p>
        </w:tc>
      </w:tr>
      <w:tr>
        <w:tblPrEx>
          <w:tblCellMar>
            <w:top w:w="0" w:type="dxa"/>
            <w:left w:w="108" w:type="dxa"/>
            <w:bottom w:w="0" w:type="dxa"/>
            <w:right w:w="108" w:type="dxa"/>
          </w:tblCellMar>
        </w:tblPrEx>
        <w:trPr>
          <w:trHeight w:val="90" w:hRule="atLeast"/>
        </w:trPr>
        <w:tc>
          <w:tcPr>
            <w:tcW w:w="538"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360" w:lineRule="auto"/>
              <w:jc w:val="left"/>
              <w:rPr>
                <w:rFonts w:ascii="宋体" w:hAnsi="宋体" w:cs="宋体"/>
                <w:b/>
                <w:bCs/>
                <w:color w:val="auto"/>
                <w:kern w:val="0"/>
                <w:szCs w:val="21"/>
                <w:highlight w:val="none"/>
              </w:rPr>
            </w:pPr>
          </w:p>
        </w:tc>
        <w:tc>
          <w:tcPr>
            <w:tcW w:w="6138"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spacing w:line="360" w:lineRule="auto"/>
              <w:jc w:val="left"/>
              <w:rPr>
                <w:rFonts w:ascii="宋体" w:hAnsi="宋体" w:cs="宋体"/>
                <w:b/>
                <w:bCs/>
                <w:color w:val="auto"/>
                <w:kern w:val="0"/>
                <w:szCs w:val="21"/>
                <w:highlight w:val="none"/>
              </w:rPr>
            </w:pPr>
          </w:p>
        </w:tc>
        <w:tc>
          <w:tcPr>
            <w:tcW w:w="355" w:type="dxa"/>
            <w:tcBorders>
              <w:top w:val="nil"/>
              <w:left w:val="nil"/>
              <w:bottom w:val="single" w:color="auto" w:sz="4" w:space="0"/>
              <w:right w:val="single" w:color="auto" w:sz="4" w:space="0"/>
            </w:tcBorders>
            <w:shd w:val="clear" w:color="000000" w:fill="E2EFDA"/>
            <w:vAlign w:val="center"/>
          </w:tcPr>
          <w:p>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是</w:t>
            </w:r>
          </w:p>
        </w:tc>
        <w:tc>
          <w:tcPr>
            <w:tcW w:w="329" w:type="dxa"/>
            <w:tcBorders>
              <w:top w:val="nil"/>
              <w:left w:val="nil"/>
              <w:bottom w:val="single" w:color="auto" w:sz="4" w:space="0"/>
              <w:right w:val="single" w:color="auto" w:sz="4" w:space="0"/>
            </w:tcBorders>
            <w:shd w:val="clear" w:color="000000" w:fill="E2EFDA"/>
            <w:vAlign w:val="center"/>
          </w:tcPr>
          <w:p>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否</w:t>
            </w:r>
          </w:p>
        </w:tc>
        <w:tc>
          <w:tcPr>
            <w:tcW w:w="399" w:type="dxa"/>
            <w:tcBorders>
              <w:top w:val="nil"/>
              <w:left w:val="nil"/>
              <w:bottom w:val="single" w:color="auto" w:sz="4" w:space="0"/>
              <w:right w:val="single" w:color="auto" w:sz="4" w:space="0"/>
            </w:tcBorders>
            <w:shd w:val="clear" w:color="000000" w:fill="E2EFDA"/>
            <w:vAlign w:val="center"/>
          </w:tcPr>
          <w:p>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是</w:t>
            </w:r>
          </w:p>
        </w:tc>
        <w:tc>
          <w:tcPr>
            <w:tcW w:w="465" w:type="dxa"/>
            <w:tcBorders>
              <w:top w:val="nil"/>
              <w:left w:val="nil"/>
              <w:bottom w:val="single" w:color="auto" w:sz="4" w:space="0"/>
              <w:right w:val="single" w:color="auto" w:sz="4" w:space="0"/>
            </w:tcBorders>
            <w:shd w:val="clear" w:color="000000" w:fill="E2EFDA"/>
            <w:vAlign w:val="center"/>
          </w:tcPr>
          <w:p>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否</w:t>
            </w:r>
          </w:p>
        </w:tc>
      </w:tr>
      <w:tr>
        <w:tblPrEx>
          <w:tblCellMar>
            <w:top w:w="0" w:type="dxa"/>
            <w:left w:w="108" w:type="dxa"/>
            <w:bottom w:w="0" w:type="dxa"/>
            <w:right w:w="108" w:type="dxa"/>
          </w:tblCellMar>
        </w:tblPrEx>
        <w:trPr>
          <w:trHeight w:val="611" w:hRule="atLeast"/>
        </w:trPr>
        <w:tc>
          <w:tcPr>
            <w:tcW w:w="53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6138"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lang w:bidi="ar"/>
              </w:rPr>
              <w:t>独立承担民事责任能力的企业、事业、自然人，提供营业执照等经营性证件</w:t>
            </w:r>
            <w:r>
              <w:rPr>
                <w:rFonts w:hint="eastAsia" w:ascii="宋体" w:hAnsi="宋体" w:cs="宋体"/>
                <w:color w:val="auto"/>
                <w:kern w:val="0"/>
                <w:szCs w:val="21"/>
                <w:highlight w:val="none"/>
              </w:rPr>
              <w:t>；</w:t>
            </w:r>
          </w:p>
        </w:tc>
        <w:tc>
          <w:tcPr>
            <w:tcW w:w="35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c>
          <w:tcPr>
            <w:tcW w:w="32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c>
          <w:tcPr>
            <w:tcW w:w="39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c>
          <w:tcPr>
            <w:tcW w:w="46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r>
      <w:tr>
        <w:tblPrEx>
          <w:tblCellMar>
            <w:top w:w="0" w:type="dxa"/>
            <w:left w:w="108" w:type="dxa"/>
            <w:bottom w:w="0" w:type="dxa"/>
            <w:right w:w="108" w:type="dxa"/>
          </w:tblCellMar>
        </w:tblPrEx>
        <w:trPr>
          <w:trHeight w:val="668" w:hRule="atLeast"/>
        </w:trPr>
        <w:tc>
          <w:tcPr>
            <w:tcW w:w="53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6138"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lang w:bidi="ar"/>
              </w:rPr>
              <w:t>法人身份证明或法人授权委托书（含法人身份证复印件）和被授权人身份有效证件</w:t>
            </w:r>
            <w:r>
              <w:rPr>
                <w:rFonts w:hint="eastAsia" w:ascii="宋体" w:hAnsi="宋体" w:cs="宋体"/>
                <w:color w:val="auto"/>
                <w:kern w:val="0"/>
                <w:szCs w:val="21"/>
                <w:highlight w:val="none"/>
              </w:rPr>
              <w:t>;</w:t>
            </w:r>
          </w:p>
        </w:tc>
        <w:tc>
          <w:tcPr>
            <w:tcW w:w="35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c>
          <w:tcPr>
            <w:tcW w:w="32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c>
          <w:tcPr>
            <w:tcW w:w="39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c>
          <w:tcPr>
            <w:tcW w:w="46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r>
      <w:tr>
        <w:tblPrEx>
          <w:tblCellMar>
            <w:top w:w="0" w:type="dxa"/>
            <w:left w:w="108" w:type="dxa"/>
            <w:bottom w:w="0" w:type="dxa"/>
            <w:right w:w="108" w:type="dxa"/>
          </w:tblCellMar>
        </w:tblPrEx>
        <w:trPr>
          <w:trHeight w:val="840" w:hRule="atLeast"/>
        </w:trPr>
        <w:tc>
          <w:tcPr>
            <w:tcW w:w="53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6138" w:type="dxa"/>
            <w:tcBorders>
              <w:top w:val="nil"/>
              <w:left w:val="nil"/>
              <w:bottom w:val="single" w:color="auto" w:sz="4" w:space="0"/>
              <w:right w:val="single" w:color="auto" w:sz="4" w:space="0"/>
            </w:tcBorders>
            <w:vAlign w:val="center"/>
          </w:tcPr>
          <w:p>
            <w:pPr>
              <w:pStyle w:val="56"/>
              <w:ind w:firstLine="0" w:firstLineChars="0"/>
              <w:rPr>
                <w:rFonts w:ascii="宋体" w:hAnsi="宋体" w:cs="宋体"/>
                <w:color w:val="auto"/>
                <w:kern w:val="0"/>
                <w:szCs w:val="21"/>
                <w:highlight w:val="none"/>
              </w:rPr>
            </w:pPr>
            <w:r>
              <w:rPr>
                <w:rFonts w:hint="eastAsia" w:ascii="宋体" w:hAnsi="宋体" w:cs="宋体"/>
                <w:color w:val="auto"/>
                <w:kern w:val="0"/>
                <w:szCs w:val="21"/>
                <w:highlight w:val="none"/>
                <w:lang w:bidi="ar"/>
              </w:rPr>
              <w:t>近两年任意一年的财务审计报告（新成立公司提供开标前三个月内任意一个月有效银行资信证明）；</w:t>
            </w:r>
          </w:p>
        </w:tc>
        <w:tc>
          <w:tcPr>
            <w:tcW w:w="35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c>
          <w:tcPr>
            <w:tcW w:w="32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c>
          <w:tcPr>
            <w:tcW w:w="39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c>
          <w:tcPr>
            <w:tcW w:w="46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r>
      <w:tr>
        <w:tblPrEx>
          <w:tblCellMar>
            <w:top w:w="0" w:type="dxa"/>
            <w:left w:w="108" w:type="dxa"/>
            <w:bottom w:w="0" w:type="dxa"/>
            <w:right w:w="108" w:type="dxa"/>
          </w:tblCellMar>
        </w:tblPrEx>
        <w:trPr>
          <w:trHeight w:val="340" w:hRule="atLeast"/>
        </w:trPr>
        <w:tc>
          <w:tcPr>
            <w:tcW w:w="53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6138"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lang w:bidi="ar"/>
              </w:rPr>
              <w:t>投标企业依法缴纳近 6 个月任意一个月社会保险的凭据；</w:t>
            </w:r>
          </w:p>
        </w:tc>
        <w:tc>
          <w:tcPr>
            <w:tcW w:w="35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c>
          <w:tcPr>
            <w:tcW w:w="32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c>
          <w:tcPr>
            <w:tcW w:w="39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c>
          <w:tcPr>
            <w:tcW w:w="46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r>
      <w:tr>
        <w:tblPrEx>
          <w:tblCellMar>
            <w:top w:w="0" w:type="dxa"/>
            <w:left w:w="108" w:type="dxa"/>
            <w:bottom w:w="0" w:type="dxa"/>
            <w:right w:w="108" w:type="dxa"/>
          </w:tblCellMar>
        </w:tblPrEx>
        <w:trPr>
          <w:trHeight w:val="408" w:hRule="atLeast"/>
        </w:trPr>
        <w:tc>
          <w:tcPr>
            <w:tcW w:w="53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6138"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lang w:bidi="ar"/>
              </w:rPr>
              <w:t>投标企业提供税务部门出具的近 6 个月任意一个月的完税证明；</w:t>
            </w:r>
          </w:p>
        </w:tc>
        <w:tc>
          <w:tcPr>
            <w:tcW w:w="35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c>
          <w:tcPr>
            <w:tcW w:w="32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c>
          <w:tcPr>
            <w:tcW w:w="39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c>
          <w:tcPr>
            <w:tcW w:w="46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r>
      <w:tr>
        <w:tblPrEx>
          <w:tblCellMar>
            <w:top w:w="0" w:type="dxa"/>
            <w:left w:w="108" w:type="dxa"/>
            <w:bottom w:w="0" w:type="dxa"/>
            <w:right w:w="108" w:type="dxa"/>
          </w:tblCellMar>
        </w:tblPrEx>
        <w:trPr>
          <w:trHeight w:val="840" w:hRule="atLeast"/>
        </w:trPr>
        <w:tc>
          <w:tcPr>
            <w:tcW w:w="53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6138"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根据《财政部关于在政府采购活动中查询及使用信用记录有关问题的通知》（财库﹝2016﹞125号）的要求，凡拟参加本次招标项目的供应商，如在“信用中国”网站（ www.creditchina.gov.cn） 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w:t>
            </w:r>
            <w:r>
              <w:rPr>
                <w:rFonts w:hint="eastAsia" w:ascii="宋体" w:hAnsi="宋体" w:cs="宋体"/>
                <w:color w:val="auto"/>
                <w:kern w:val="0"/>
                <w:szCs w:val="21"/>
                <w:highlight w:val="none"/>
              </w:rPr>
              <w:t>；</w:t>
            </w:r>
          </w:p>
        </w:tc>
        <w:tc>
          <w:tcPr>
            <w:tcW w:w="35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c>
          <w:tcPr>
            <w:tcW w:w="32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c>
          <w:tcPr>
            <w:tcW w:w="39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c>
          <w:tcPr>
            <w:tcW w:w="46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r>
      <w:tr>
        <w:tblPrEx>
          <w:tblCellMar>
            <w:top w:w="0" w:type="dxa"/>
            <w:left w:w="108" w:type="dxa"/>
            <w:bottom w:w="0" w:type="dxa"/>
            <w:right w:w="108" w:type="dxa"/>
          </w:tblCellMar>
        </w:tblPrEx>
        <w:trPr>
          <w:trHeight w:val="680" w:hRule="atLeast"/>
        </w:trPr>
        <w:tc>
          <w:tcPr>
            <w:tcW w:w="53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6138"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lang w:bidi="ar"/>
              </w:rPr>
              <w:t>参与政府采购活动前3年内未被列入失信、重大税收违法案件、财政部门禁止参加政府采购活动的承诺书</w:t>
            </w:r>
            <w:r>
              <w:rPr>
                <w:rFonts w:hint="eastAsia" w:ascii="宋体" w:hAnsi="宋体" w:cs="宋体"/>
                <w:color w:val="auto"/>
                <w:kern w:val="0"/>
                <w:szCs w:val="21"/>
                <w:highlight w:val="none"/>
              </w:rPr>
              <w:t>；</w:t>
            </w:r>
          </w:p>
        </w:tc>
        <w:tc>
          <w:tcPr>
            <w:tcW w:w="35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c>
          <w:tcPr>
            <w:tcW w:w="32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c>
          <w:tcPr>
            <w:tcW w:w="39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c>
          <w:tcPr>
            <w:tcW w:w="46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r>
      <w:tr>
        <w:tblPrEx>
          <w:tblCellMar>
            <w:top w:w="0" w:type="dxa"/>
            <w:left w:w="108" w:type="dxa"/>
            <w:bottom w:w="0" w:type="dxa"/>
            <w:right w:w="108" w:type="dxa"/>
          </w:tblCellMar>
        </w:tblPrEx>
        <w:trPr>
          <w:trHeight w:val="462" w:hRule="atLeast"/>
        </w:trPr>
        <w:tc>
          <w:tcPr>
            <w:tcW w:w="53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6138"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lang w:bidi="ar"/>
              </w:rPr>
              <w:t>提供针对本次项目《反商业贿赂承诺书》；</w:t>
            </w:r>
          </w:p>
        </w:tc>
        <w:tc>
          <w:tcPr>
            <w:tcW w:w="35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p>
        </w:tc>
        <w:tc>
          <w:tcPr>
            <w:tcW w:w="32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p>
        </w:tc>
        <w:tc>
          <w:tcPr>
            <w:tcW w:w="39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p>
        </w:tc>
        <w:tc>
          <w:tcPr>
            <w:tcW w:w="46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568" w:hRule="atLeast"/>
        </w:trPr>
        <w:tc>
          <w:tcPr>
            <w:tcW w:w="53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6138" w:type="dxa"/>
            <w:tcBorders>
              <w:top w:val="nil"/>
              <w:left w:val="nil"/>
              <w:bottom w:val="single" w:color="auto" w:sz="4" w:space="0"/>
              <w:right w:val="single" w:color="auto" w:sz="4" w:space="0"/>
            </w:tcBorders>
            <w:vAlign w:val="center"/>
          </w:tcPr>
          <w:p>
            <w:pPr>
              <w:pStyle w:val="30"/>
              <w:spacing w:line="360" w:lineRule="auto"/>
              <w:rPr>
                <w:rFonts w:hAnsi="宋体" w:cs="宋体"/>
                <w:color w:val="auto"/>
                <w:sz w:val="21"/>
                <w:szCs w:val="21"/>
                <w:highlight w:val="none"/>
              </w:rPr>
            </w:pPr>
            <w:r>
              <w:rPr>
                <w:rFonts w:hint="eastAsia" w:hAnsi="宋体" w:cs="宋体"/>
                <w:color w:val="auto"/>
                <w:sz w:val="21"/>
                <w:szCs w:val="21"/>
                <w:highlight w:val="none"/>
                <w:lang w:bidi="ar"/>
              </w:rPr>
              <w:t>缴纳投标保证金有效凭证</w:t>
            </w:r>
            <w:r>
              <w:rPr>
                <w:rFonts w:hint="eastAsia" w:hAnsi="宋体" w:cs="宋体"/>
                <w:color w:val="auto"/>
                <w:sz w:val="21"/>
                <w:szCs w:val="21"/>
                <w:highlight w:val="none"/>
              </w:rPr>
              <w:t>；</w:t>
            </w:r>
          </w:p>
        </w:tc>
        <w:tc>
          <w:tcPr>
            <w:tcW w:w="35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c>
          <w:tcPr>
            <w:tcW w:w="32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c>
          <w:tcPr>
            <w:tcW w:w="39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c>
          <w:tcPr>
            <w:tcW w:w="46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r>
      <w:tr>
        <w:tblPrEx>
          <w:tblCellMar>
            <w:top w:w="0" w:type="dxa"/>
            <w:left w:w="108" w:type="dxa"/>
            <w:bottom w:w="0" w:type="dxa"/>
            <w:right w:w="108" w:type="dxa"/>
          </w:tblCellMar>
        </w:tblPrEx>
        <w:trPr>
          <w:trHeight w:val="579" w:hRule="atLeast"/>
        </w:trPr>
        <w:tc>
          <w:tcPr>
            <w:tcW w:w="538"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6138"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本项目不接受联合体投标。</w:t>
            </w:r>
          </w:p>
        </w:tc>
        <w:tc>
          <w:tcPr>
            <w:tcW w:w="35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c>
          <w:tcPr>
            <w:tcW w:w="32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c>
          <w:tcPr>
            <w:tcW w:w="399"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c>
          <w:tcPr>
            <w:tcW w:w="465" w:type="dxa"/>
            <w:tcBorders>
              <w:top w:val="nil"/>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tc>
      </w:tr>
      <w:tr>
        <w:tblPrEx>
          <w:tblCellMar>
            <w:top w:w="0" w:type="dxa"/>
            <w:left w:w="108" w:type="dxa"/>
            <w:bottom w:w="0" w:type="dxa"/>
            <w:right w:w="108" w:type="dxa"/>
          </w:tblCellMar>
        </w:tblPrEx>
        <w:trPr>
          <w:trHeight w:val="948" w:hRule="atLeast"/>
        </w:trPr>
        <w:tc>
          <w:tcPr>
            <w:tcW w:w="5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p>
        </w:tc>
        <w:tc>
          <w:tcPr>
            <w:tcW w:w="6138"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kern w:val="0"/>
                <w:szCs w:val="21"/>
                <w:highlight w:val="none"/>
              </w:rPr>
              <w:t>结论</w:t>
            </w:r>
          </w:p>
        </w:tc>
        <w:tc>
          <w:tcPr>
            <w:tcW w:w="35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p>
        </w:tc>
        <w:tc>
          <w:tcPr>
            <w:tcW w:w="329"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p>
        </w:tc>
        <w:tc>
          <w:tcPr>
            <w:tcW w:w="399"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p>
        </w:tc>
        <w:tc>
          <w:tcPr>
            <w:tcW w:w="465"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Cs w:val="21"/>
                <w:highlight w:val="none"/>
              </w:rPr>
            </w:pPr>
          </w:p>
        </w:tc>
      </w:tr>
    </w:tbl>
    <w:p>
      <w:pPr>
        <w:pStyle w:val="3"/>
        <w:tabs>
          <w:tab w:val="left" w:pos="0"/>
        </w:tabs>
        <w:spacing w:before="0" w:after="0" w:line="240" w:lineRule="atLeast"/>
        <w:ind w:left="630"/>
        <w:rPr>
          <w:rFonts w:hAnsi="宋体" w:cs="宋体"/>
          <w:color w:val="auto"/>
          <w:highlight w:val="none"/>
        </w:rPr>
      </w:pPr>
      <w:bookmarkStart w:id="518" w:name="_Toc7801"/>
      <w:bookmarkStart w:id="519" w:name="_Toc6254"/>
      <w:bookmarkStart w:id="520" w:name="_Toc17613"/>
      <w:bookmarkStart w:id="521" w:name="_Toc1720346146"/>
      <w:r>
        <w:rPr>
          <w:rFonts w:hint="eastAsia" w:hAnsi="宋体" w:cs="宋体"/>
          <w:color w:val="auto"/>
          <w:highlight w:val="none"/>
        </w:rPr>
        <w:t xml:space="preserve">第5章   </w:t>
      </w:r>
      <w:bookmarkEnd w:id="512"/>
      <w:bookmarkEnd w:id="513"/>
      <w:bookmarkEnd w:id="514"/>
      <w:bookmarkEnd w:id="515"/>
      <w:bookmarkEnd w:id="516"/>
      <w:bookmarkEnd w:id="517"/>
      <w:bookmarkEnd w:id="518"/>
      <w:bookmarkEnd w:id="519"/>
      <w:r>
        <w:rPr>
          <w:rFonts w:hint="eastAsia" w:hAnsi="宋体" w:cs="宋体"/>
          <w:color w:val="auto"/>
          <w:highlight w:val="none"/>
        </w:rPr>
        <w:t>项目服务及建设需求</w:t>
      </w:r>
      <w:bookmarkEnd w:id="520"/>
      <w:bookmarkEnd w:id="521"/>
    </w:p>
    <w:p>
      <w:pPr>
        <w:pStyle w:val="3"/>
        <w:numPr>
          <w:ilvl w:val="0"/>
          <w:numId w:val="8"/>
        </w:numPr>
        <w:autoSpaceDE/>
        <w:autoSpaceDN/>
        <w:adjustRightInd/>
        <w:spacing w:before="340" w:after="0" w:line="578" w:lineRule="auto"/>
        <w:jc w:val="both"/>
        <w:rPr>
          <w:rFonts w:hAnsi="宋体"/>
          <w:color w:val="auto"/>
          <w:sz w:val="24"/>
          <w:szCs w:val="24"/>
          <w:highlight w:val="none"/>
        </w:rPr>
      </w:pPr>
      <w:bookmarkStart w:id="522" w:name="_Toc30365"/>
      <w:r>
        <w:rPr>
          <w:rFonts w:hint="eastAsia" w:hAnsi="宋体"/>
          <w:color w:val="auto"/>
          <w:sz w:val="24"/>
          <w:szCs w:val="24"/>
          <w:highlight w:val="none"/>
          <w:lang w:eastAsia="zh-CN"/>
        </w:rPr>
        <w:t>基本情况</w:t>
      </w:r>
      <w:bookmarkEnd w:id="522"/>
    </w:p>
    <w:p>
      <w:pPr>
        <w:spacing w:line="360" w:lineRule="auto"/>
        <w:ind w:firstLine="480" w:firstLineChars="200"/>
        <w:rPr>
          <w:rFonts w:ascii="宋体" w:hAnsi="宋体"/>
          <w:color w:val="auto"/>
          <w:sz w:val="24"/>
          <w:highlight w:val="none"/>
        </w:rPr>
      </w:pPr>
      <w:r>
        <w:rPr>
          <w:rFonts w:ascii="宋体" w:hAnsi="宋体"/>
          <w:color w:val="auto"/>
          <w:sz w:val="24"/>
          <w:highlight w:val="none"/>
        </w:rPr>
        <w:t>本次国家区域医疗中心智慧医院、多学科（专科、专病）数据中心信息化建设项目建设总体规模如下：</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（1）智慧一体化医院平台及接口服务覆盖疏附广州新城院区、东城儿童中心院区、国家区域医疗中心、喀地一院总院四个院区。</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（2）区域大数据中心、</w:t>
      </w:r>
      <w:r>
        <w:rPr>
          <w:rFonts w:hint="eastAsia" w:ascii="宋体" w:hAnsi="宋体"/>
          <w:color w:val="auto"/>
          <w:sz w:val="24"/>
          <w:highlight w:val="none"/>
        </w:rPr>
        <w:t>区域传染病防控平台</w:t>
      </w:r>
      <w:r>
        <w:rPr>
          <w:rFonts w:ascii="宋体" w:hAnsi="宋体"/>
          <w:color w:val="auto"/>
          <w:sz w:val="24"/>
          <w:highlight w:val="none"/>
        </w:rPr>
        <w:t>、区域监管平台覆盖疏附广州新城院区、东城儿童中心院区、国家区域医疗中心、喀地一院总院四个院区及下属</w:t>
      </w:r>
      <w:r>
        <w:rPr>
          <w:rFonts w:hint="eastAsia" w:ascii="宋体" w:hAnsi="宋体"/>
          <w:color w:val="auto"/>
          <w:sz w:val="24"/>
          <w:highlight w:val="none"/>
        </w:rPr>
        <w:t>12家县市医院</w:t>
      </w:r>
      <w:r>
        <w:rPr>
          <w:rFonts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（3）网络系统覆盖4个院区、2个数据中心的广域网双星型冗余路由系统和核心交换系统。</w:t>
      </w:r>
    </w:p>
    <w:p>
      <w:pPr>
        <w:spacing w:line="360" w:lineRule="auto"/>
        <w:ind w:firstLine="480" w:firstLineChars="200"/>
        <w:rPr>
          <w:rFonts w:ascii="宋体" w:hAnsi="宋体"/>
          <w:color w:val="auto"/>
          <w:sz w:val="24"/>
          <w:highlight w:val="none"/>
        </w:rPr>
      </w:pPr>
      <w:r>
        <w:rPr>
          <w:rFonts w:ascii="宋体" w:hAnsi="宋体"/>
          <w:color w:val="auto"/>
          <w:sz w:val="24"/>
          <w:highlight w:val="none"/>
        </w:rPr>
        <w:t>（4）计算、存储系统覆盖疏附广州新城院区、东城儿童中心院区、国家区域医疗中心、喀地一院总院四个院区及下属</w:t>
      </w:r>
      <w:r>
        <w:rPr>
          <w:rFonts w:hint="eastAsia" w:ascii="宋体" w:hAnsi="宋体"/>
          <w:color w:val="auto"/>
          <w:sz w:val="24"/>
          <w:highlight w:val="none"/>
        </w:rPr>
        <w:t>12家县市医院</w:t>
      </w:r>
      <w:r>
        <w:rPr>
          <w:rFonts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（5）信息资源规划和数据库系统覆盖</w:t>
      </w:r>
      <w:r>
        <w:rPr>
          <w:rFonts w:hint="eastAsia" w:ascii="宋体" w:hAnsi="宋体"/>
          <w:color w:val="auto"/>
          <w:sz w:val="24"/>
          <w:highlight w:val="none"/>
        </w:rPr>
        <w:t>喀什广东科学技术研究院</w:t>
      </w:r>
      <w:r>
        <w:rPr>
          <w:rFonts w:ascii="宋体" w:hAnsi="宋体"/>
          <w:color w:val="auto"/>
          <w:sz w:val="24"/>
          <w:highlight w:val="none"/>
        </w:rPr>
        <w:t>数据中心和</w:t>
      </w:r>
      <w:r>
        <w:rPr>
          <w:rFonts w:hint="eastAsia" w:ascii="宋体" w:hAnsi="宋体"/>
          <w:color w:val="auto"/>
          <w:sz w:val="24"/>
          <w:highlight w:val="none"/>
        </w:rPr>
        <w:t>喀什地区第一人民医院</w:t>
      </w:r>
      <w:r>
        <w:rPr>
          <w:rFonts w:ascii="宋体" w:hAnsi="宋体"/>
          <w:color w:val="auto"/>
          <w:sz w:val="24"/>
          <w:highlight w:val="none"/>
        </w:rPr>
        <w:t>数据中心。</w:t>
      </w:r>
    </w:p>
    <w:p>
      <w:pPr>
        <w:spacing w:line="360" w:lineRule="auto"/>
        <w:ind w:firstLine="480" w:firstLineChars="200"/>
        <w:rPr>
          <w:rFonts w:ascii="宋体" w:hAnsi="宋体"/>
          <w:color w:val="auto"/>
          <w:sz w:val="24"/>
          <w:highlight w:val="none"/>
        </w:rPr>
      </w:pPr>
      <w:r>
        <w:rPr>
          <w:rFonts w:ascii="宋体" w:hAnsi="宋体"/>
          <w:color w:val="auto"/>
          <w:sz w:val="24"/>
          <w:highlight w:val="none"/>
        </w:rPr>
        <w:t>（6）大数据平台依托于</w:t>
      </w:r>
      <w:r>
        <w:rPr>
          <w:rFonts w:hint="eastAsia" w:ascii="宋体" w:hAnsi="宋体"/>
          <w:color w:val="auto"/>
          <w:sz w:val="24"/>
          <w:highlight w:val="none"/>
        </w:rPr>
        <w:t>喀什广东科学技术研究院</w:t>
      </w:r>
      <w:r>
        <w:rPr>
          <w:rFonts w:ascii="宋体" w:hAnsi="宋体"/>
          <w:color w:val="auto"/>
          <w:sz w:val="24"/>
          <w:highlight w:val="none"/>
        </w:rPr>
        <w:t>新建的高性能高可靠数据中心核心网络系统建设</w:t>
      </w:r>
    </w:p>
    <w:p>
      <w:pPr>
        <w:spacing w:line="360" w:lineRule="auto"/>
        <w:ind w:firstLine="480" w:firstLineChars="200"/>
        <w:rPr>
          <w:rFonts w:ascii="宋体" w:hAnsi="宋体"/>
          <w:color w:val="auto"/>
          <w:sz w:val="24"/>
          <w:highlight w:val="none"/>
        </w:rPr>
      </w:pPr>
      <w:r>
        <w:rPr>
          <w:rFonts w:ascii="宋体" w:hAnsi="宋体"/>
          <w:color w:val="auto"/>
          <w:sz w:val="24"/>
          <w:highlight w:val="none"/>
        </w:rPr>
        <w:t>（7）视频会议系统覆盖疏附广州新城院区、东城儿童中心院区、国家区域医疗中心、喀地一院总院四个院区及下属</w:t>
      </w:r>
      <w:r>
        <w:rPr>
          <w:rFonts w:hint="eastAsia" w:ascii="宋体" w:hAnsi="宋体"/>
          <w:color w:val="auto"/>
          <w:sz w:val="24"/>
          <w:highlight w:val="none"/>
        </w:rPr>
        <w:t>12家县市医院</w:t>
      </w:r>
      <w:r>
        <w:rPr>
          <w:rFonts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（8）安全系统覆盖针对</w:t>
      </w:r>
      <w:r>
        <w:rPr>
          <w:rFonts w:hint="eastAsia" w:ascii="宋体" w:hAnsi="宋体"/>
          <w:color w:val="auto"/>
          <w:sz w:val="24"/>
          <w:highlight w:val="none"/>
        </w:rPr>
        <w:t>喀什广东科学技术研究院</w:t>
      </w:r>
      <w:r>
        <w:rPr>
          <w:rFonts w:ascii="宋体" w:hAnsi="宋体"/>
          <w:color w:val="auto"/>
          <w:sz w:val="24"/>
          <w:highlight w:val="none"/>
        </w:rPr>
        <w:t>新建数据中心的内外网整体安全管控。</w:t>
      </w:r>
    </w:p>
    <w:p>
      <w:pPr>
        <w:pStyle w:val="3"/>
        <w:numPr>
          <w:ilvl w:val="0"/>
          <w:numId w:val="8"/>
        </w:numPr>
        <w:autoSpaceDE/>
        <w:autoSpaceDN/>
        <w:adjustRightInd/>
        <w:spacing w:before="340" w:after="0" w:line="578" w:lineRule="auto"/>
        <w:jc w:val="both"/>
        <w:rPr>
          <w:rFonts w:hAnsi="宋体"/>
          <w:color w:val="auto"/>
          <w:sz w:val="24"/>
          <w:szCs w:val="24"/>
          <w:highlight w:val="none"/>
        </w:rPr>
      </w:pPr>
      <w:bookmarkStart w:id="523" w:name="_Toc26352"/>
      <w:bookmarkStart w:id="524" w:name="_Toc138247806"/>
      <w:bookmarkStart w:id="525" w:name="_Toc417986896"/>
      <w:bookmarkStart w:id="526" w:name="_Toc2114340651"/>
      <w:r>
        <w:rPr>
          <w:rFonts w:hint="eastAsia" w:hAnsi="宋体"/>
          <w:color w:val="auto"/>
          <w:sz w:val="24"/>
          <w:szCs w:val="24"/>
          <w:highlight w:val="none"/>
        </w:rPr>
        <w:t>主要建设内容</w:t>
      </w:r>
      <w:bookmarkEnd w:id="523"/>
      <w:bookmarkEnd w:id="524"/>
      <w:bookmarkEnd w:id="525"/>
      <w:bookmarkEnd w:id="526"/>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本项目以“1+X+监管”模式开展国家区域医疗中心智慧医院、多学科（专科、专病）数据中心信息化建设。项目所需建设的具体内容，整体上划分如下：</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2"/>
        <w:gridCol w:w="6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trPr>
        <w:tc>
          <w:tcPr>
            <w:tcW w:w="2122" w:type="dxa"/>
            <w:shd w:val="clear" w:color="auto" w:fill="4472C4"/>
            <w:vAlign w:val="center"/>
          </w:tcPr>
          <w:p>
            <w:pPr>
              <w:autoSpaceDE w:val="0"/>
              <w:autoSpaceDN w:val="0"/>
              <w:spacing w:before="13" w:line="360" w:lineRule="auto"/>
              <w:ind w:left="105" w:leftChars="50" w:right="105" w:rightChars="50"/>
              <w:jc w:val="center"/>
              <w:rPr>
                <w:rFonts w:ascii="宋体" w:hAnsi="宋体" w:cs="仿宋_GB2312"/>
                <w:b/>
                <w:color w:val="auto"/>
                <w:w w:val="105"/>
                <w:highlight w:val="none"/>
                <w:lang w:eastAsia="en-US"/>
              </w:rPr>
            </w:pPr>
            <w:r>
              <w:rPr>
                <w:rFonts w:hint="eastAsia" w:ascii="宋体" w:hAnsi="宋体" w:cs="仿宋_GB2312"/>
                <w:b/>
                <w:color w:val="auto"/>
                <w:w w:val="105"/>
                <w:highlight w:val="none"/>
              </w:rPr>
              <w:t>项目模块</w:t>
            </w:r>
          </w:p>
        </w:tc>
        <w:tc>
          <w:tcPr>
            <w:tcW w:w="6945" w:type="dxa"/>
            <w:shd w:val="clear" w:color="auto" w:fill="4472C4"/>
            <w:vAlign w:val="center"/>
          </w:tcPr>
          <w:p>
            <w:pPr>
              <w:autoSpaceDE w:val="0"/>
              <w:autoSpaceDN w:val="0"/>
              <w:spacing w:before="13" w:line="360" w:lineRule="auto"/>
              <w:ind w:left="105" w:leftChars="50" w:right="105" w:rightChars="50"/>
              <w:jc w:val="center"/>
              <w:rPr>
                <w:rFonts w:ascii="宋体" w:hAnsi="宋体" w:cs="仿宋_GB2312"/>
                <w:b/>
                <w:color w:val="auto"/>
                <w:w w:val="105"/>
                <w:highlight w:val="none"/>
              </w:rPr>
            </w:pPr>
            <w:r>
              <w:rPr>
                <w:rFonts w:hint="eastAsia" w:ascii="宋体" w:hAnsi="宋体" w:cs="仿宋_GB2312"/>
                <w:b/>
                <w:color w:val="auto"/>
                <w:w w:val="105"/>
                <w:highlight w:val="none"/>
              </w:rPr>
              <w:t>主要内容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2122" w:type="dxa"/>
            <w:vAlign w:val="center"/>
          </w:tcPr>
          <w:p>
            <w:pPr>
              <w:autoSpaceDE w:val="0"/>
              <w:autoSpaceDN w:val="0"/>
              <w:spacing w:before="6" w:line="360" w:lineRule="auto"/>
              <w:ind w:left="105" w:leftChars="50" w:right="105" w:rightChars="50"/>
              <w:jc w:val="center"/>
              <w:rPr>
                <w:rFonts w:ascii="宋体" w:hAnsi="宋体" w:cs="仿宋_GB2312"/>
                <w:b/>
                <w:bCs/>
                <w:color w:val="auto"/>
                <w:highlight w:val="none"/>
              </w:rPr>
            </w:pPr>
            <w:r>
              <w:rPr>
                <w:rFonts w:hint="eastAsia" w:ascii="宋体" w:hAnsi="宋体" w:cs="仿宋_GB2312"/>
                <w:b/>
                <w:bCs/>
                <w:color w:val="auto"/>
                <w:highlight w:val="none"/>
              </w:rPr>
              <w:t>智慧医院一体化</w:t>
            </w:r>
          </w:p>
        </w:tc>
        <w:tc>
          <w:tcPr>
            <w:tcW w:w="6945" w:type="dxa"/>
            <w:vAlign w:val="center"/>
          </w:tcPr>
          <w:p>
            <w:pPr>
              <w:pStyle w:val="201"/>
              <w:numPr>
                <w:ilvl w:val="0"/>
                <w:numId w:val="9"/>
              </w:numPr>
              <w:spacing w:before="6" w:line="360" w:lineRule="auto"/>
              <w:ind w:left="367" w:right="105" w:rightChars="50" w:hanging="247"/>
              <w:rPr>
                <w:rFonts w:ascii="宋体" w:hAnsi="宋体" w:eastAsia="宋体" w:cs="仿宋_GB2312"/>
                <w:color w:val="auto"/>
                <w:sz w:val="24"/>
                <w:highlight w:val="none"/>
                <w:lang w:eastAsia="zh-CN"/>
              </w:rPr>
            </w:pPr>
            <w:r>
              <w:rPr>
                <w:rFonts w:hint="eastAsia" w:ascii="宋体" w:hAnsi="宋体" w:eastAsia="宋体" w:cs="仿宋_GB2312"/>
                <w:color w:val="auto"/>
                <w:sz w:val="24"/>
                <w:highlight w:val="none"/>
                <w:lang w:eastAsia="zh-CN"/>
              </w:rPr>
              <w:t>建设一套标准智慧医院一体化平台，包括医院基础数据平台、智慧医疗、智慧管理、智慧服务和其他支持等业务系统和服务，以支持喀地一院“一院多区”发展（包括新旧院区）的同质化管理。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2122" w:type="dxa"/>
            <w:vAlign w:val="center"/>
          </w:tcPr>
          <w:p>
            <w:pPr>
              <w:autoSpaceDE w:val="0"/>
              <w:autoSpaceDN w:val="0"/>
              <w:spacing w:before="6" w:line="360" w:lineRule="auto"/>
              <w:ind w:left="105" w:leftChars="50" w:right="105" w:rightChars="50"/>
              <w:jc w:val="center"/>
              <w:rPr>
                <w:rFonts w:ascii="宋体" w:hAnsi="宋体" w:cs="仿宋_GB2312"/>
                <w:b/>
                <w:bCs/>
                <w:color w:val="auto"/>
                <w:highlight w:val="none"/>
              </w:rPr>
            </w:pPr>
            <w:r>
              <w:rPr>
                <w:rFonts w:hint="eastAsia" w:ascii="宋体" w:hAnsi="宋体" w:cs="仿宋_GB2312"/>
                <w:b/>
                <w:bCs/>
                <w:color w:val="auto"/>
                <w:highlight w:val="none"/>
              </w:rPr>
              <w:t>区域大数据中心及区域传染病防控平台</w:t>
            </w:r>
          </w:p>
        </w:tc>
        <w:tc>
          <w:tcPr>
            <w:tcW w:w="6945" w:type="dxa"/>
            <w:vAlign w:val="center"/>
          </w:tcPr>
          <w:p>
            <w:pPr>
              <w:pStyle w:val="201"/>
              <w:numPr>
                <w:ilvl w:val="0"/>
                <w:numId w:val="9"/>
              </w:numPr>
              <w:spacing w:before="6" w:line="360" w:lineRule="auto"/>
              <w:ind w:left="367" w:right="105" w:rightChars="50" w:hanging="247"/>
              <w:rPr>
                <w:rFonts w:ascii="宋体" w:hAnsi="宋体" w:eastAsia="宋体" w:cs="仿宋_GB2312"/>
                <w:color w:val="auto"/>
                <w:sz w:val="24"/>
                <w:highlight w:val="none"/>
                <w:lang w:eastAsia="zh-CN"/>
              </w:rPr>
            </w:pPr>
            <w:r>
              <w:rPr>
                <w:rFonts w:hint="eastAsia" w:ascii="宋体" w:hAnsi="宋体" w:eastAsia="宋体" w:cs="仿宋_GB2312"/>
                <w:color w:val="auto"/>
                <w:sz w:val="24"/>
                <w:highlight w:val="none"/>
                <w:lang w:eastAsia="zh-CN"/>
              </w:rPr>
              <w:t>建设区域大数据中心，包括区域多学科专病大数据平台、多个学科专病数据库、区域科研中心、远程医疗服务管理平台等，支撑和推动区域医学发展，辐射和引领区域医疗服务能力、科研创新。</w:t>
            </w:r>
          </w:p>
          <w:p>
            <w:pPr>
              <w:pStyle w:val="201"/>
              <w:numPr>
                <w:ilvl w:val="0"/>
                <w:numId w:val="9"/>
              </w:numPr>
              <w:spacing w:before="6" w:line="360" w:lineRule="auto"/>
              <w:ind w:left="367" w:right="105" w:rightChars="50" w:hanging="247"/>
              <w:rPr>
                <w:rFonts w:ascii="宋体" w:hAnsi="宋体" w:eastAsia="宋体" w:cs="仿宋_GB2312"/>
                <w:color w:val="auto"/>
                <w:sz w:val="24"/>
                <w:highlight w:val="none"/>
                <w:lang w:eastAsia="zh-CN"/>
              </w:rPr>
            </w:pPr>
            <w:r>
              <w:rPr>
                <w:rFonts w:hint="eastAsia" w:ascii="宋体" w:hAnsi="宋体" w:eastAsia="宋体" w:cs="仿宋_GB2312"/>
                <w:color w:val="auto"/>
                <w:sz w:val="24"/>
                <w:highlight w:val="none"/>
                <w:lang w:eastAsia="zh-CN"/>
              </w:rPr>
              <w:t>建设一套区域传染病防控平台，结合智能防控硬件设备建设贯穿院前、院中、院后的传染病防控系统，同时打造的传染病和症候群的监测、预警、宣教、辅助诊断、统计分析一体化的传染病防控平台。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2122" w:type="dxa"/>
            <w:vAlign w:val="center"/>
          </w:tcPr>
          <w:p>
            <w:pPr>
              <w:autoSpaceDE w:val="0"/>
              <w:autoSpaceDN w:val="0"/>
              <w:spacing w:before="6" w:line="360" w:lineRule="auto"/>
              <w:ind w:left="105" w:leftChars="50" w:right="105" w:rightChars="50"/>
              <w:jc w:val="center"/>
              <w:rPr>
                <w:rFonts w:ascii="宋体" w:hAnsi="宋体" w:cs="仿宋_GB2312"/>
                <w:b/>
                <w:bCs/>
                <w:color w:val="auto"/>
                <w:highlight w:val="none"/>
              </w:rPr>
            </w:pPr>
            <w:r>
              <w:rPr>
                <w:rFonts w:hint="eastAsia" w:ascii="宋体" w:hAnsi="宋体" w:cs="仿宋_GB2312"/>
                <w:b/>
                <w:bCs/>
                <w:color w:val="auto"/>
                <w:highlight w:val="none"/>
              </w:rPr>
              <w:t>区域监管平台</w:t>
            </w:r>
          </w:p>
        </w:tc>
        <w:tc>
          <w:tcPr>
            <w:tcW w:w="6945" w:type="dxa"/>
            <w:vAlign w:val="center"/>
          </w:tcPr>
          <w:p>
            <w:pPr>
              <w:pStyle w:val="201"/>
              <w:numPr>
                <w:ilvl w:val="0"/>
                <w:numId w:val="9"/>
              </w:numPr>
              <w:spacing w:before="6" w:line="360" w:lineRule="auto"/>
              <w:ind w:left="367" w:right="105" w:rightChars="50" w:hanging="247"/>
              <w:rPr>
                <w:rFonts w:ascii="宋体" w:hAnsi="宋体" w:eastAsia="宋体" w:cs="仿宋_GB2312"/>
                <w:color w:val="auto"/>
                <w:sz w:val="24"/>
                <w:highlight w:val="none"/>
                <w:lang w:eastAsia="zh-CN"/>
              </w:rPr>
            </w:pPr>
            <w:r>
              <w:rPr>
                <w:rFonts w:hint="eastAsia" w:ascii="宋体" w:hAnsi="宋体" w:eastAsia="宋体" w:cs="仿宋_GB2312"/>
                <w:color w:val="auto"/>
                <w:sz w:val="24"/>
                <w:highlight w:val="none"/>
                <w:lang w:eastAsia="zh-CN"/>
              </w:rPr>
              <w:t>建设区域监管平台，包括区域疾病数据分析平台、区域医疗质量数据监管平台，实现临床质控中心监管、专科专病医疗数据质控监管以及区域会诊质量监管等功能，提高区域医疗中心治理能力为目标，充分利用医疗中心信息基础资源，通过各类大数据工具，实时、动态、多维度的汇总、分析、利用、钻取、展示各病种诊疗数据及患者统计数据，为管理部门提供业务管理和辅助决策支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2122" w:type="dxa"/>
            <w:vAlign w:val="center"/>
          </w:tcPr>
          <w:p>
            <w:pPr>
              <w:autoSpaceDE w:val="0"/>
              <w:autoSpaceDN w:val="0"/>
              <w:spacing w:before="6" w:line="360" w:lineRule="auto"/>
              <w:ind w:left="105" w:leftChars="50" w:right="105" w:rightChars="50"/>
              <w:jc w:val="center"/>
              <w:rPr>
                <w:rFonts w:ascii="宋体" w:hAnsi="宋体" w:cs="仿宋_GB2312"/>
                <w:b/>
                <w:bCs/>
                <w:color w:val="auto"/>
                <w:highlight w:val="none"/>
              </w:rPr>
            </w:pPr>
            <w:r>
              <w:rPr>
                <w:rFonts w:hint="eastAsia" w:ascii="宋体" w:hAnsi="宋体" w:cs="仿宋_GB2312"/>
                <w:b/>
                <w:bCs/>
                <w:color w:val="auto"/>
                <w:highlight w:val="none"/>
              </w:rPr>
              <w:t>配套IT基础设施</w:t>
            </w:r>
          </w:p>
        </w:tc>
        <w:tc>
          <w:tcPr>
            <w:tcW w:w="6945" w:type="dxa"/>
            <w:vAlign w:val="center"/>
          </w:tcPr>
          <w:p>
            <w:pPr>
              <w:pStyle w:val="201"/>
              <w:numPr>
                <w:ilvl w:val="0"/>
                <w:numId w:val="9"/>
              </w:numPr>
              <w:spacing w:before="6" w:line="360" w:lineRule="auto"/>
              <w:ind w:left="367" w:right="105" w:rightChars="50" w:hanging="247"/>
              <w:rPr>
                <w:rFonts w:ascii="宋体" w:hAnsi="宋体" w:eastAsia="宋体" w:cs="仿宋_GB2312"/>
                <w:color w:val="auto"/>
                <w:sz w:val="24"/>
                <w:highlight w:val="none"/>
                <w:lang w:eastAsia="zh-CN"/>
              </w:rPr>
            </w:pPr>
            <w:r>
              <w:rPr>
                <w:rFonts w:hint="eastAsia" w:ascii="宋体" w:hAnsi="宋体" w:eastAsia="宋体" w:cs="仿宋_GB2312"/>
                <w:color w:val="auto"/>
                <w:sz w:val="24"/>
                <w:highlight w:val="none"/>
                <w:lang w:eastAsia="zh-CN"/>
              </w:rPr>
              <w:t>建设所有规划系统的配套硬件，包括网络、服务器、存储、信息安全、终端（PC、PAD、PDA、大屏、自助设备等）。</w:t>
            </w:r>
          </w:p>
        </w:tc>
      </w:tr>
    </w:tbl>
    <w:p>
      <w:pPr>
        <w:spacing w:line="360" w:lineRule="auto"/>
        <w:ind w:firstLine="480" w:firstLineChars="200"/>
        <w:rPr>
          <w:rFonts w:ascii="宋体" w:hAnsi="宋体"/>
          <w:color w:val="auto"/>
          <w:sz w:val="24"/>
          <w:highlight w:val="none"/>
        </w:rPr>
      </w:pPr>
    </w:p>
    <w:p>
      <w:pPr>
        <w:pStyle w:val="3"/>
        <w:numPr>
          <w:ilvl w:val="0"/>
          <w:numId w:val="8"/>
        </w:numPr>
        <w:autoSpaceDE/>
        <w:autoSpaceDN/>
        <w:adjustRightInd/>
        <w:spacing w:before="340" w:after="330" w:line="578" w:lineRule="auto"/>
        <w:jc w:val="both"/>
        <w:rPr>
          <w:rFonts w:hAnsi="宋体"/>
          <w:color w:val="auto"/>
          <w:sz w:val="24"/>
          <w:szCs w:val="24"/>
          <w:highlight w:val="none"/>
        </w:rPr>
      </w:pPr>
      <w:bookmarkStart w:id="527" w:name="_Toc484003827"/>
      <w:bookmarkStart w:id="528" w:name="_Toc138247809"/>
      <w:bookmarkStart w:id="529" w:name="_Toc480888413"/>
      <w:bookmarkStart w:id="530" w:name="_Toc519611336"/>
      <w:bookmarkStart w:id="531" w:name="_Toc17312"/>
      <w:bookmarkStart w:id="532" w:name="_Toc480700310"/>
      <w:r>
        <w:rPr>
          <w:rFonts w:hint="eastAsia" w:hAnsi="宋体"/>
          <w:color w:val="auto"/>
          <w:sz w:val="24"/>
          <w:szCs w:val="24"/>
          <w:highlight w:val="none"/>
        </w:rPr>
        <w:t>应用软件系统功能要求</w:t>
      </w:r>
      <w:bookmarkEnd w:id="527"/>
      <w:bookmarkEnd w:id="528"/>
      <w:bookmarkEnd w:id="529"/>
      <w:bookmarkEnd w:id="530"/>
      <w:bookmarkEnd w:id="531"/>
      <w:bookmarkEnd w:id="532"/>
    </w:p>
    <w:p>
      <w:pPr>
        <w:pStyle w:val="4"/>
        <w:keepNext w:val="0"/>
        <w:keepLines w:val="0"/>
        <w:numPr>
          <w:ilvl w:val="1"/>
          <w:numId w:val="8"/>
        </w:numPr>
        <w:tabs>
          <w:tab w:val="left" w:pos="720"/>
        </w:tabs>
        <w:autoSpaceDE/>
        <w:autoSpaceDN/>
        <w:adjustRightInd/>
        <w:spacing w:before="0" w:line="240" w:lineRule="auto"/>
        <w:jc w:val="both"/>
        <w:rPr>
          <w:rFonts w:ascii="宋体" w:hAnsi="宋体"/>
          <w:color w:val="auto"/>
          <w:sz w:val="24"/>
          <w:highlight w:val="none"/>
        </w:rPr>
      </w:pPr>
      <w:bookmarkStart w:id="533" w:name="_Toc519611335"/>
      <w:bookmarkStart w:id="534" w:name="_Toc2131749200"/>
      <w:bookmarkStart w:id="535" w:name="_Toc10186"/>
      <w:bookmarkStart w:id="536" w:name="_Toc138247810"/>
      <w:bookmarkStart w:id="537" w:name="_Toc480888405"/>
      <w:bookmarkStart w:id="538" w:name="_Toc480700307"/>
      <w:r>
        <w:rPr>
          <w:rFonts w:hint="eastAsia" w:ascii="宋体" w:hAnsi="宋体"/>
          <w:color w:val="auto"/>
          <w:sz w:val="24"/>
          <w:highlight w:val="none"/>
        </w:rPr>
        <w:t>建设</w:t>
      </w:r>
      <w:bookmarkEnd w:id="533"/>
      <w:r>
        <w:rPr>
          <w:rFonts w:hint="eastAsia" w:ascii="宋体" w:hAnsi="宋体"/>
          <w:color w:val="auto"/>
          <w:sz w:val="24"/>
          <w:highlight w:val="none"/>
        </w:rPr>
        <w:t>模块内容</w:t>
      </w:r>
      <w:bookmarkEnd w:id="534"/>
      <w:bookmarkEnd w:id="535"/>
      <w:bookmarkEnd w:id="536"/>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rPr>
        <w:t xml:space="preserve"> 项目建设软件清单如下表所示：</w:t>
      </w:r>
    </w:p>
    <w:p>
      <w:pPr>
        <w:jc w:val="center"/>
        <w:rPr>
          <w:rFonts w:ascii="宋体" w:hAnsi="宋体"/>
          <w:b/>
          <w:bCs/>
          <w:color w:val="auto"/>
          <w:sz w:val="24"/>
          <w:highlight w:val="none"/>
        </w:rPr>
        <w:sectPr>
          <w:headerReference r:id="rId7" w:type="default"/>
          <w:footerReference r:id="rId8" w:type="default"/>
          <w:pgSz w:w="11906" w:h="16838"/>
          <w:pgMar w:top="1440" w:right="1800" w:bottom="1440" w:left="1800" w:header="851" w:footer="992" w:gutter="0"/>
          <w:cols w:space="720" w:num="1"/>
          <w:docGrid w:type="lines" w:linePitch="312" w:charSpace="0"/>
        </w:sectPr>
      </w:pPr>
    </w:p>
    <w:tbl>
      <w:tblPr>
        <w:tblStyle w:val="43"/>
        <w:tblW w:w="13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572"/>
        <w:gridCol w:w="1843"/>
        <w:gridCol w:w="10"/>
        <w:gridCol w:w="2399"/>
        <w:gridCol w:w="5670"/>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1101" w:type="dxa"/>
            <w:shd w:val="clear" w:color="000000" w:fill="D9D9D9"/>
            <w:vAlign w:val="center"/>
          </w:tcPr>
          <w:p>
            <w:pPr>
              <w:jc w:val="center"/>
              <w:rPr>
                <w:rFonts w:ascii="宋体" w:hAnsi="宋体"/>
                <w:b/>
                <w:bCs/>
                <w:color w:val="auto"/>
                <w:sz w:val="24"/>
                <w:highlight w:val="none"/>
              </w:rPr>
            </w:pPr>
            <w:r>
              <w:rPr>
                <w:rFonts w:hint="eastAsia" w:ascii="宋体" w:hAnsi="宋体"/>
                <w:b/>
                <w:bCs/>
                <w:color w:val="auto"/>
                <w:sz w:val="24"/>
                <w:highlight w:val="none"/>
              </w:rPr>
              <w:t>序号</w:t>
            </w:r>
          </w:p>
        </w:tc>
        <w:tc>
          <w:tcPr>
            <w:tcW w:w="1572" w:type="dxa"/>
            <w:shd w:val="clear" w:color="000000" w:fill="D9D9D9"/>
            <w:vAlign w:val="center"/>
          </w:tcPr>
          <w:p>
            <w:pPr>
              <w:jc w:val="center"/>
              <w:rPr>
                <w:rFonts w:ascii="宋体" w:hAnsi="宋体"/>
                <w:b/>
                <w:bCs/>
                <w:color w:val="auto"/>
                <w:sz w:val="24"/>
                <w:highlight w:val="none"/>
              </w:rPr>
            </w:pPr>
            <w:r>
              <w:rPr>
                <w:rFonts w:hint="eastAsia" w:ascii="宋体" w:hAnsi="宋体"/>
                <w:b/>
                <w:bCs/>
                <w:color w:val="auto"/>
                <w:sz w:val="24"/>
                <w:highlight w:val="none"/>
              </w:rPr>
              <w:t>业务域</w:t>
            </w:r>
          </w:p>
        </w:tc>
        <w:tc>
          <w:tcPr>
            <w:tcW w:w="1843" w:type="dxa"/>
            <w:shd w:val="clear" w:color="000000" w:fill="D9D9D9"/>
            <w:vAlign w:val="center"/>
          </w:tcPr>
          <w:p>
            <w:pPr>
              <w:jc w:val="center"/>
              <w:rPr>
                <w:rFonts w:ascii="宋体" w:hAnsi="宋体"/>
                <w:b/>
                <w:bCs/>
                <w:color w:val="auto"/>
                <w:sz w:val="24"/>
                <w:highlight w:val="none"/>
              </w:rPr>
            </w:pPr>
            <w:r>
              <w:rPr>
                <w:rFonts w:hint="eastAsia" w:ascii="宋体" w:hAnsi="宋体"/>
                <w:b/>
                <w:bCs/>
                <w:color w:val="auto"/>
                <w:sz w:val="24"/>
                <w:highlight w:val="none"/>
              </w:rPr>
              <w:t>一级项目</w:t>
            </w:r>
          </w:p>
        </w:tc>
        <w:tc>
          <w:tcPr>
            <w:tcW w:w="2409" w:type="dxa"/>
            <w:gridSpan w:val="2"/>
            <w:shd w:val="clear" w:color="000000" w:fill="D9D9D9"/>
            <w:vAlign w:val="center"/>
          </w:tcPr>
          <w:p>
            <w:pPr>
              <w:jc w:val="center"/>
              <w:rPr>
                <w:rFonts w:ascii="宋体" w:hAnsi="宋体"/>
                <w:b/>
                <w:bCs/>
                <w:color w:val="auto"/>
                <w:sz w:val="24"/>
                <w:highlight w:val="none"/>
              </w:rPr>
            </w:pPr>
            <w:r>
              <w:rPr>
                <w:rFonts w:hint="eastAsia" w:ascii="宋体" w:hAnsi="宋体"/>
                <w:b/>
                <w:bCs/>
                <w:color w:val="auto"/>
                <w:sz w:val="24"/>
                <w:highlight w:val="none"/>
              </w:rPr>
              <w:t>二级项目</w:t>
            </w:r>
          </w:p>
        </w:tc>
        <w:tc>
          <w:tcPr>
            <w:tcW w:w="5670" w:type="dxa"/>
            <w:shd w:val="clear" w:color="000000" w:fill="D9D9D9"/>
            <w:vAlign w:val="center"/>
          </w:tcPr>
          <w:p>
            <w:pPr>
              <w:jc w:val="center"/>
              <w:rPr>
                <w:rFonts w:ascii="宋体" w:hAnsi="宋体"/>
                <w:b/>
                <w:bCs/>
                <w:color w:val="auto"/>
                <w:sz w:val="24"/>
                <w:highlight w:val="none"/>
              </w:rPr>
            </w:pPr>
            <w:r>
              <w:rPr>
                <w:rFonts w:hint="eastAsia" w:ascii="宋体" w:hAnsi="宋体"/>
                <w:b/>
                <w:bCs/>
                <w:color w:val="auto"/>
                <w:sz w:val="24"/>
                <w:highlight w:val="none"/>
              </w:rPr>
              <w:t>系统/项目名称</w:t>
            </w:r>
          </w:p>
        </w:tc>
        <w:tc>
          <w:tcPr>
            <w:tcW w:w="1342" w:type="dxa"/>
            <w:shd w:val="clear" w:color="000000" w:fill="D9D9D9"/>
            <w:vAlign w:val="center"/>
          </w:tcPr>
          <w:p>
            <w:pPr>
              <w:jc w:val="center"/>
              <w:rPr>
                <w:rFonts w:ascii="宋体" w:hAnsi="宋体"/>
                <w:b/>
                <w:bCs/>
                <w:color w:val="auto"/>
                <w:sz w:val="24"/>
                <w:highlight w:val="none"/>
              </w:rPr>
            </w:pPr>
            <w:r>
              <w:rPr>
                <w:rFonts w:hint="eastAsia" w:ascii="宋体" w:hAnsi="宋体"/>
                <w:b/>
                <w:bCs/>
                <w:color w:val="auto"/>
                <w:sz w:val="24"/>
                <w:highlight w:val="none"/>
              </w:rPr>
              <w:t>建设状态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widowControl/>
              <w:numPr>
                <w:ilvl w:val="0"/>
                <w:numId w:val="10"/>
              </w:numPr>
              <w:jc w:val="center"/>
              <w:rPr>
                <w:color w:val="auto"/>
                <w:kern w:val="0"/>
                <w:sz w:val="22"/>
                <w:szCs w:val="22"/>
                <w:highlight w:val="none"/>
              </w:rPr>
            </w:pPr>
          </w:p>
        </w:tc>
        <w:tc>
          <w:tcPr>
            <w:tcW w:w="1572" w:type="dxa"/>
            <w:vMerge w:val="restart"/>
            <w:vAlign w:val="center"/>
          </w:tcPr>
          <w:p>
            <w:pPr>
              <w:jc w:val="center"/>
              <w:rPr>
                <w:rFonts w:ascii="宋体" w:hAnsi="宋体"/>
                <w:b/>
                <w:bCs/>
                <w:color w:val="auto"/>
                <w:sz w:val="24"/>
                <w:highlight w:val="none"/>
              </w:rPr>
            </w:pPr>
            <w:r>
              <w:rPr>
                <w:rFonts w:hint="eastAsia" w:ascii="宋体" w:hAnsi="宋体"/>
                <w:b/>
                <w:bCs/>
                <w:color w:val="auto"/>
                <w:sz w:val="24"/>
                <w:highlight w:val="none"/>
              </w:rPr>
              <w:t>一、智慧医院系统</w:t>
            </w:r>
          </w:p>
        </w:tc>
        <w:tc>
          <w:tcPr>
            <w:tcW w:w="1843" w:type="dxa"/>
            <w:vMerge w:val="restart"/>
            <w:noWrap/>
            <w:vAlign w:val="center"/>
          </w:tcPr>
          <w:p>
            <w:pPr>
              <w:rPr>
                <w:rFonts w:ascii="宋体" w:hAnsi="宋体"/>
                <w:color w:val="auto"/>
                <w:sz w:val="24"/>
                <w:highlight w:val="none"/>
              </w:rPr>
            </w:pPr>
            <w:r>
              <w:rPr>
                <w:rFonts w:hint="eastAsia" w:ascii="宋体" w:hAnsi="宋体"/>
                <w:color w:val="auto"/>
                <w:sz w:val="24"/>
                <w:highlight w:val="none"/>
              </w:rPr>
              <w:t>平台基础建设</w:t>
            </w:r>
          </w:p>
        </w:tc>
        <w:tc>
          <w:tcPr>
            <w:tcW w:w="2409" w:type="dxa"/>
            <w:gridSpan w:val="2"/>
            <w:vMerge w:val="restart"/>
            <w:noWrap/>
            <w:vAlign w:val="center"/>
          </w:tcPr>
          <w:p>
            <w:pPr>
              <w:rPr>
                <w:rFonts w:ascii="宋体" w:hAnsi="宋体"/>
                <w:color w:val="auto"/>
                <w:sz w:val="24"/>
                <w:highlight w:val="none"/>
              </w:rPr>
            </w:pPr>
            <w:r>
              <w:rPr>
                <w:rFonts w:hint="eastAsia" w:ascii="宋体" w:hAnsi="宋体"/>
                <w:color w:val="auto"/>
                <w:sz w:val="24"/>
                <w:highlight w:val="none"/>
              </w:rPr>
              <w:t>信息集成平台</w:t>
            </w:r>
          </w:p>
        </w:tc>
        <w:tc>
          <w:tcPr>
            <w:tcW w:w="5670" w:type="dxa"/>
            <w:vAlign w:val="center"/>
          </w:tcPr>
          <w:p>
            <w:pPr>
              <w:rPr>
                <w:rFonts w:ascii="宋体" w:hAnsi="宋体"/>
                <w:color w:val="auto"/>
                <w:sz w:val="24"/>
                <w:highlight w:val="none"/>
              </w:rPr>
            </w:pPr>
            <w:r>
              <w:rPr>
                <w:rFonts w:hint="eastAsia" w:ascii="宋体" w:hAnsi="宋体"/>
                <w:color w:val="auto"/>
                <w:sz w:val="24"/>
                <w:highlight w:val="none"/>
              </w:rPr>
              <w:t>医疗集成引擎</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信息平台管理</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平台服务监控</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restart"/>
            <w:noWrap/>
            <w:vAlign w:val="center"/>
          </w:tcPr>
          <w:p>
            <w:pPr>
              <w:rPr>
                <w:rFonts w:ascii="宋体" w:hAnsi="宋体"/>
                <w:color w:val="auto"/>
                <w:sz w:val="24"/>
                <w:highlight w:val="none"/>
              </w:rPr>
            </w:pPr>
            <w:r>
              <w:rPr>
                <w:rFonts w:hint="eastAsia" w:ascii="宋体" w:hAnsi="宋体"/>
                <w:color w:val="auto"/>
                <w:sz w:val="24"/>
                <w:highlight w:val="none"/>
              </w:rPr>
              <w:t>平台基础应用</w:t>
            </w:r>
          </w:p>
        </w:tc>
        <w:tc>
          <w:tcPr>
            <w:tcW w:w="5670" w:type="dxa"/>
            <w:vAlign w:val="center"/>
          </w:tcPr>
          <w:p>
            <w:pPr>
              <w:rPr>
                <w:rFonts w:ascii="宋体" w:hAnsi="宋体"/>
                <w:color w:val="auto"/>
                <w:sz w:val="24"/>
                <w:highlight w:val="none"/>
              </w:rPr>
            </w:pPr>
            <w:r>
              <w:rPr>
                <w:rFonts w:hint="eastAsia" w:ascii="宋体" w:hAnsi="宋体"/>
                <w:color w:val="auto"/>
                <w:sz w:val="24"/>
                <w:highlight w:val="none"/>
              </w:rPr>
              <w:t>患者主索引</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统一身份认证</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统一通讯服务</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hint="eastAsia" w:ascii="宋体" w:hAnsi="宋体" w:eastAsia="宋体"/>
                <w:color w:val="auto"/>
                <w:sz w:val="24"/>
                <w:highlight w:val="none"/>
                <w:lang w:eastAsia="zh-CN"/>
              </w:rPr>
            </w:pPr>
            <w:r>
              <w:rPr>
                <w:rFonts w:hint="eastAsia" w:ascii="宋体" w:hAnsi="宋体"/>
                <w:color w:val="auto"/>
                <w:sz w:val="24"/>
                <w:highlight w:val="none"/>
                <w:lang w:eastAsia="zh-CN"/>
              </w:rPr>
              <w:t>文档共享管理</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hint="eastAsia" w:ascii="宋体" w:hAnsi="宋体" w:eastAsia="宋体"/>
                <w:color w:val="auto"/>
                <w:sz w:val="24"/>
                <w:highlight w:val="none"/>
                <w:lang w:eastAsia="zh-CN"/>
              </w:rPr>
            </w:pPr>
            <w:r>
              <w:rPr>
                <w:rFonts w:hint="eastAsia" w:ascii="宋体" w:hAnsi="宋体"/>
                <w:color w:val="auto"/>
                <w:sz w:val="24"/>
                <w:highlight w:val="none"/>
                <w:lang w:eastAsia="zh-CN"/>
              </w:rPr>
              <w:t>数据统一上报</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restart"/>
            <w:vAlign w:val="center"/>
          </w:tcPr>
          <w:p>
            <w:pPr>
              <w:rPr>
                <w:rFonts w:ascii="宋体" w:hAnsi="宋体"/>
                <w:color w:val="auto"/>
                <w:sz w:val="24"/>
                <w:highlight w:val="none"/>
              </w:rPr>
            </w:pPr>
            <w:r>
              <w:rPr>
                <w:rFonts w:hint="eastAsia" w:ascii="宋体" w:hAnsi="宋体"/>
                <w:color w:val="auto"/>
                <w:sz w:val="24"/>
                <w:highlight w:val="none"/>
              </w:rPr>
              <w:t>数据治理平台</w:t>
            </w:r>
          </w:p>
        </w:tc>
        <w:tc>
          <w:tcPr>
            <w:tcW w:w="5670" w:type="dxa"/>
            <w:noWrap/>
            <w:vAlign w:val="center"/>
          </w:tcPr>
          <w:p>
            <w:pPr>
              <w:rPr>
                <w:rFonts w:ascii="宋体" w:hAnsi="宋体"/>
                <w:color w:val="auto"/>
                <w:sz w:val="24"/>
                <w:highlight w:val="none"/>
              </w:rPr>
            </w:pPr>
            <w:r>
              <w:rPr>
                <w:rFonts w:hint="eastAsia" w:ascii="宋体" w:hAnsi="宋体"/>
                <w:color w:val="auto"/>
                <w:sz w:val="24"/>
                <w:highlight w:val="none"/>
              </w:rPr>
              <w:t>数据获取管理</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noWrap/>
            <w:vAlign w:val="center"/>
          </w:tcPr>
          <w:p>
            <w:pPr>
              <w:rPr>
                <w:rFonts w:ascii="宋体" w:hAnsi="宋体"/>
                <w:color w:val="auto"/>
                <w:sz w:val="24"/>
                <w:highlight w:val="none"/>
              </w:rPr>
            </w:pPr>
            <w:r>
              <w:rPr>
                <w:rFonts w:hint="eastAsia" w:ascii="宋体" w:hAnsi="宋体"/>
                <w:color w:val="auto"/>
                <w:sz w:val="24"/>
                <w:highlight w:val="none"/>
              </w:rPr>
              <w:t>元数据管理</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主数据管理</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noWrap/>
            <w:vAlign w:val="center"/>
          </w:tcPr>
          <w:p>
            <w:pPr>
              <w:rPr>
                <w:rFonts w:ascii="宋体" w:hAnsi="宋体"/>
                <w:color w:val="auto"/>
                <w:sz w:val="24"/>
                <w:highlight w:val="none"/>
              </w:rPr>
            </w:pPr>
            <w:r>
              <w:rPr>
                <w:rFonts w:hint="eastAsia" w:ascii="宋体" w:hAnsi="宋体"/>
                <w:color w:val="auto"/>
                <w:sz w:val="24"/>
                <w:highlight w:val="none"/>
              </w:rPr>
              <w:t>数据质量管理</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noWrap/>
            <w:vAlign w:val="center"/>
          </w:tcPr>
          <w:p>
            <w:pPr>
              <w:rPr>
                <w:rFonts w:hint="eastAsia" w:ascii="宋体" w:hAnsi="宋体" w:eastAsia="宋体"/>
                <w:color w:val="auto"/>
                <w:sz w:val="24"/>
                <w:highlight w:val="none"/>
                <w:lang w:val="en-US" w:eastAsia="zh-CN"/>
              </w:rPr>
            </w:pPr>
            <w:r>
              <w:rPr>
                <w:rFonts w:hint="eastAsia" w:ascii="宋体" w:hAnsi="宋体"/>
                <w:color w:val="auto"/>
                <w:sz w:val="24"/>
                <w:highlight w:val="none"/>
              </w:rPr>
              <w:t>API管理</w:t>
            </w:r>
            <w:r>
              <w:rPr>
                <w:rFonts w:hint="eastAsia" w:ascii="宋体" w:hAnsi="宋体"/>
                <w:color w:val="auto"/>
                <w:sz w:val="24"/>
                <w:highlight w:val="none"/>
                <w:lang w:eastAsia="zh-CN"/>
              </w:rPr>
              <w:t>平台</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noWrap/>
            <w:vAlign w:val="center"/>
          </w:tcPr>
          <w:p>
            <w:pPr>
              <w:rPr>
                <w:rFonts w:hint="eastAsia" w:ascii="宋体" w:hAnsi="宋体" w:eastAsia="宋体"/>
                <w:color w:val="auto"/>
                <w:sz w:val="24"/>
                <w:highlight w:val="none"/>
                <w:lang w:eastAsia="zh-CN"/>
              </w:rPr>
            </w:pPr>
            <w:r>
              <w:rPr>
                <w:rFonts w:hint="eastAsia" w:ascii="宋体" w:hAnsi="宋体"/>
                <w:color w:val="auto"/>
                <w:sz w:val="24"/>
                <w:highlight w:val="none"/>
              </w:rPr>
              <w:t>数据资产</w:t>
            </w:r>
            <w:r>
              <w:rPr>
                <w:rFonts w:hint="eastAsia" w:ascii="宋体" w:hAnsi="宋体"/>
                <w:color w:val="auto"/>
                <w:sz w:val="24"/>
                <w:highlight w:val="none"/>
                <w:lang w:eastAsia="zh-CN"/>
              </w:rPr>
              <w:t>管理</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医学文本分析</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restart"/>
            <w:noWrap/>
            <w:vAlign w:val="center"/>
          </w:tcPr>
          <w:p>
            <w:pPr>
              <w:rPr>
                <w:rFonts w:ascii="宋体" w:hAnsi="宋体"/>
                <w:color w:val="auto"/>
                <w:sz w:val="24"/>
                <w:highlight w:val="none"/>
              </w:rPr>
            </w:pPr>
            <w:r>
              <w:rPr>
                <w:rFonts w:hint="eastAsia" w:ascii="宋体" w:hAnsi="宋体"/>
                <w:color w:val="auto"/>
                <w:sz w:val="24"/>
                <w:highlight w:val="none"/>
              </w:rPr>
              <w:t>数据中心平台</w:t>
            </w:r>
          </w:p>
        </w:tc>
        <w:tc>
          <w:tcPr>
            <w:tcW w:w="5670" w:type="dxa"/>
            <w:vAlign w:val="center"/>
          </w:tcPr>
          <w:p>
            <w:pPr>
              <w:rPr>
                <w:rFonts w:ascii="宋体" w:hAnsi="宋体"/>
                <w:color w:val="auto"/>
                <w:sz w:val="24"/>
                <w:highlight w:val="none"/>
              </w:rPr>
            </w:pPr>
            <w:r>
              <w:rPr>
                <w:rFonts w:hint="eastAsia" w:ascii="宋体" w:hAnsi="宋体"/>
                <w:color w:val="auto"/>
                <w:sz w:val="24"/>
                <w:highlight w:val="none"/>
              </w:rPr>
              <w:t>临床数据中心</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运营数据中心</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noWrap/>
            <w:vAlign w:val="center"/>
          </w:tcPr>
          <w:p>
            <w:pPr>
              <w:rPr>
                <w:rFonts w:ascii="宋体" w:hAnsi="宋体"/>
                <w:color w:val="auto"/>
                <w:sz w:val="24"/>
                <w:highlight w:val="none"/>
              </w:rPr>
            </w:pPr>
            <w:r>
              <w:rPr>
                <w:rFonts w:hint="eastAsia" w:ascii="宋体" w:hAnsi="宋体"/>
                <w:color w:val="auto"/>
                <w:sz w:val="24"/>
                <w:highlight w:val="none"/>
              </w:rPr>
              <w:t>影像数据中心</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restart"/>
            <w:vAlign w:val="center"/>
          </w:tcPr>
          <w:p>
            <w:pPr>
              <w:rPr>
                <w:rFonts w:ascii="宋体" w:hAnsi="宋体"/>
                <w:color w:val="auto"/>
                <w:sz w:val="24"/>
                <w:highlight w:val="none"/>
              </w:rPr>
            </w:pPr>
            <w:r>
              <w:rPr>
                <w:rFonts w:hint="eastAsia" w:ascii="宋体" w:hAnsi="宋体"/>
                <w:color w:val="auto"/>
                <w:sz w:val="24"/>
                <w:highlight w:val="none"/>
              </w:rPr>
              <w:t>决策支持建设</w:t>
            </w:r>
          </w:p>
        </w:tc>
        <w:tc>
          <w:tcPr>
            <w:tcW w:w="2409" w:type="dxa"/>
            <w:gridSpan w:val="2"/>
            <w:vMerge w:val="restart"/>
            <w:noWrap/>
            <w:vAlign w:val="center"/>
          </w:tcPr>
          <w:p>
            <w:pPr>
              <w:rPr>
                <w:rFonts w:ascii="宋体" w:hAnsi="宋体"/>
                <w:color w:val="auto"/>
                <w:sz w:val="24"/>
                <w:highlight w:val="none"/>
              </w:rPr>
            </w:pPr>
            <w:r>
              <w:rPr>
                <w:rFonts w:hint="eastAsia" w:ascii="宋体" w:hAnsi="宋体"/>
                <w:color w:val="auto"/>
                <w:sz w:val="24"/>
                <w:highlight w:val="none"/>
              </w:rPr>
              <w:t>临床决策系统</w:t>
            </w:r>
          </w:p>
        </w:tc>
        <w:tc>
          <w:tcPr>
            <w:tcW w:w="5670" w:type="dxa"/>
            <w:vAlign w:val="center"/>
          </w:tcPr>
          <w:p>
            <w:pPr>
              <w:rPr>
                <w:rFonts w:ascii="宋体" w:hAnsi="宋体"/>
                <w:color w:val="auto"/>
                <w:sz w:val="24"/>
                <w:highlight w:val="none"/>
              </w:rPr>
            </w:pPr>
            <w:r>
              <w:rPr>
                <w:rFonts w:hint="eastAsia" w:ascii="宋体" w:hAnsi="宋体"/>
                <w:color w:val="auto"/>
                <w:sz w:val="24"/>
                <w:highlight w:val="none"/>
              </w:rPr>
              <w:t>智能决策引擎</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临床助手</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医学知识库</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noWrap/>
            <w:vAlign w:val="center"/>
          </w:tcPr>
          <w:p>
            <w:pPr>
              <w:rPr>
                <w:rFonts w:ascii="宋体" w:hAnsi="宋体"/>
                <w:color w:val="auto"/>
                <w:sz w:val="24"/>
                <w:highlight w:val="none"/>
              </w:rPr>
            </w:pPr>
            <w:r>
              <w:rPr>
                <w:rFonts w:hint="eastAsia" w:ascii="宋体" w:hAnsi="宋体"/>
                <w:color w:val="auto"/>
                <w:sz w:val="24"/>
                <w:highlight w:val="none"/>
              </w:rPr>
              <w:t>流程闭环决策支持系统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restart"/>
            <w:noWrap/>
            <w:vAlign w:val="center"/>
          </w:tcPr>
          <w:p>
            <w:pPr>
              <w:rPr>
                <w:rFonts w:ascii="宋体" w:hAnsi="宋体"/>
                <w:color w:val="auto"/>
                <w:sz w:val="24"/>
                <w:highlight w:val="none"/>
              </w:rPr>
            </w:pPr>
            <w:r>
              <w:rPr>
                <w:rFonts w:hint="eastAsia" w:ascii="宋体" w:hAnsi="宋体"/>
                <w:color w:val="auto"/>
                <w:sz w:val="24"/>
                <w:highlight w:val="none"/>
              </w:rPr>
              <w:t>智能决策</w:t>
            </w:r>
            <w:r>
              <w:rPr>
                <w:rFonts w:hint="eastAsia" w:ascii="宋体" w:hAnsi="宋体"/>
                <w:color w:val="auto"/>
                <w:sz w:val="24"/>
                <w:highlight w:val="none"/>
                <w:lang w:eastAsia="zh-CN"/>
              </w:rPr>
              <w:t>支持</w:t>
            </w:r>
            <w:r>
              <w:rPr>
                <w:rFonts w:hint="eastAsia" w:ascii="宋体" w:hAnsi="宋体"/>
                <w:color w:val="auto"/>
                <w:sz w:val="24"/>
                <w:highlight w:val="none"/>
              </w:rPr>
              <w:t>系统</w:t>
            </w:r>
          </w:p>
        </w:tc>
        <w:tc>
          <w:tcPr>
            <w:tcW w:w="5670" w:type="dxa"/>
            <w:vAlign w:val="center"/>
          </w:tcPr>
          <w:p>
            <w:pPr>
              <w:rPr>
                <w:rFonts w:ascii="宋体" w:hAnsi="宋体"/>
                <w:color w:val="auto"/>
                <w:sz w:val="24"/>
                <w:highlight w:val="none"/>
              </w:rPr>
            </w:pPr>
            <w:r>
              <w:rPr>
                <w:rFonts w:hint="eastAsia" w:ascii="宋体" w:hAnsi="宋体"/>
                <w:color w:val="auto"/>
                <w:sz w:val="24"/>
                <w:highlight w:val="none"/>
              </w:rPr>
              <w:t>静脉血栓栓塞症智能防治系统</w:t>
            </w:r>
          </w:p>
        </w:tc>
        <w:tc>
          <w:tcPr>
            <w:tcW w:w="1342" w:type="dxa"/>
            <w:vAlign w:val="center"/>
          </w:tcPr>
          <w:p>
            <w:pPr>
              <w:jc w:val="center"/>
              <w:rPr>
                <w:rFonts w:ascii="宋体" w:hAnsi="宋体"/>
                <w:iCs/>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noWrap/>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病历/病案智能质控系统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noWrap/>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AKI AI智能预警监控系统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血糖代谢异常智能预警系统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restart"/>
            <w:vAlign w:val="center"/>
          </w:tcPr>
          <w:p>
            <w:pPr>
              <w:rPr>
                <w:rFonts w:ascii="宋体" w:hAnsi="宋体"/>
                <w:color w:val="auto"/>
                <w:sz w:val="24"/>
                <w:highlight w:val="none"/>
              </w:rPr>
            </w:pPr>
            <w:r>
              <w:rPr>
                <w:rFonts w:hint="eastAsia" w:ascii="宋体" w:hAnsi="宋体"/>
                <w:color w:val="auto"/>
                <w:sz w:val="24"/>
                <w:highlight w:val="none"/>
                <w:lang w:eastAsia="zh-CN"/>
              </w:rPr>
              <w:t>医院</w:t>
            </w:r>
            <w:r>
              <w:rPr>
                <w:rFonts w:hint="eastAsia" w:ascii="宋体" w:hAnsi="宋体"/>
                <w:color w:val="auto"/>
                <w:sz w:val="24"/>
                <w:highlight w:val="none"/>
              </w:rPr>
              <w:t>管理决策系统</w:t>
            </w:r>
          </w:p>
        </w:tc>
        <w:tc>
          <w:tcPr>
            <w:tcW w:w="5670" w:type="dxa"/>
            <w:vAlign w:val="center"/>
          </w:tcPr>
          <w:p>
            <w:pPr>
              <w:rPr>
                <w:rFonts w:ascii="宋体" w:hAnsi="宋体"/>
                <w:color w:val="auto"/>
                <w:sz w:val="24"/>
                <w:highlight w:val="none"/>
              </w:rPr>
            </w:pPr>
            <w:r>
              <w:rPr>
                <w:rFonts w:hint="eastAsia" w:ascii="宋体" w:hAnsi="宋体"/>
                <w:color w:val="auto"/>
                <w:sz w:val="24"/>
                <w:highlight w:val="none"/>
              </w:rPr>
              <w:t>综合运营决策</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专题运营分析</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hint="default" w:ascii="宋体" w:hAnsi="宋体" w:eastAsia="宋体"/>
                <w:color w:val="auto"/>
                <w:sz w:val="24"/>
                <w:highlight w:val="none"/>
                <w:lang w:val="en-US" w:eastAsia="zh-CN"/>
              </w:rPr>
            </w:pPr>
            <w:r>
              <w:rPr>
                <w:rFonts w:hint="eastAsia" w:ascii="宋体" w:hAnsi="宋体"/>
                <w:color w:val="auto"/>
                <w:sz w:val="24"/>
                <w:highlight w:val="none"/>
              </w:rPr>
              <w:t>资源监控分析</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4252" w:type="dxa"/>
            <w:gridSpan w:val="3"/>
            <w:vMerge w:val="restart"/>
            <w:vAlign w:val="center"/>
          </w:tcPr>
          <w:p>
            <w:pPr>
              <w:rPr>
                <w:rFonts w:ascii="宋体" w:hAnsi="宋体"/>
                <w:color w:val="auto"/>
                <w:sz w:val="24"/>
                <w:highlight w:val="none"/>
              </w:rPr>
            </w:pPr>
            <w:r>
              <w:rPr>
                <w:rFonts w:hint="eastAsia" w:ascii="宋体" w:hAnsi="宋体"/>
                <w:color w:val="auto"/>
                <w:sz w:val="24"/>
                <w:highlight w:val="none"/>
              </w:rPr>
              <w:t>智慧医疗系统</w:t>
            </w:r>
          </w:p>
        </w:tc>
        <w:tc>
          <w:tcPr>
            <w:tcW w:w="5670" w:type="dxa"/>
            <w:vAlign w:val="center"/>
          </w:tcPr>
          <w:p>
            <w:pPr>
              <w:rPr>
                <w:rFonts w:ascii="宋体" w:hAnsi="宋体"/>
                <w:color w:val="auto"/>
                <w:sz w:val="24"/>
                <w:highlight w:val="none"/>
              </w:rPr>
            </w:pPr>
            <w:r>
              <w:rPr>
                <w:rFonts w:hint="eastAsia" w:ascii="宋体" w:hAnsi="宋体"/>
                <w:color w:val="auto"/>
                <w:sz w:val="24"/>
                <w:highlight w:val="none"/>
              </w:rPr>
              <w:t>门诊分诊叫号系统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4252" w:type="dxa"/>
            <w:gridSpan w:val="3"/>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急诊信息系统</w:t>
            </w:r>
          </w:p>
        </w:tc>
        <w:tc>
          <w:tcPr>
            <w:tcW w:w="1342" w:type="dxa"/>
            <w:vAlign w:val="center"/>
          </w:tcPr>
          <w:p>
            <w:pPr>
              <w:jc w:val="center"/>
              <w:rPr>
                <w:rFonts w:ascii="宋体" w:hAnsi="宋体"/>
                <w:color w:val="auto"/>
                <w:sz w:val="24"/>
                <w:highlight w:val="none"/>
              </w:rPr>
            </w:pPr>
            <w:r>
              <w:rPr>
                <w:rFonts w:hint="eastAsia" w:ascii="宋体" w:hAnsi="宋体"/>
                <w:iCs/>
                <w:color w:val="auto"/>
                <w:sz w:val="24"/>
                <w:highlight w:val="none"/>
              </w:rPr>
              <w:t>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4252" w:type="dxa"/>
            <w:gridSpan w:val="3"/>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手术麻醉系统</w:t>
            </w:r>
          </w:p>
        </w:tc>
        <w:tc>
          <w:tcPr>
            <w:tcW w:w="1342" w:type="dxa"/>
          </w:tcPr>
          <w:p>
            <w:pPr>
              <w:jc w:val="center"/>
              <w:rPr>
                <w:rFonts w:ascii="宋体" w:hAnsi="宋体"/>
                <w:iCs/>
                <w:color w:val="auto"/>
                <w:sz w:val="24"/>
                <w:highlight w:val="none"/>
              </w:rPr>
            </w:pPr>
            <w:r>
              <w:rPr>
                <w:rFonts w:hint="eastAsia" w:ascii="宋体" w:hAnsi="宋体"/>
                <w:iCs/>
                <w:color w:val="auto"/>
                <w:sz w:val="24"/>
                <w:highlight w:val="none"/>
              </w:rPr>
              <w:t>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4252" w:type="dxa"/>
            <w:gridSpan w:val="3"/>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重症监护室信息系统扩容</w:t>
            </w:r>
          </w:p>
        </w:tc>
        <w:tc>
          <w:tcPr>
            <w:tcW w:w="1342" w:type="dxa"/>
          </w:tcPr>
          <w:p>
            <w:pPr>
              <w:jc w:val="center"/>
              <w:rPr>
                <w:rFonts w:ascii="宋体" w:hAnsi="宋体"/>
                <w:iCs/>
                <w:color w:val="auto"/>
                <w:sz w:val="24"/>
                <w:highlight w:val="none"/>
              </w:rPr>
            </w:pPr>
            <w:r>
              <w:rPr>
                <w:rFonts w:hint="eastAsia" w:ascii="宋体" w:hAnsi="宋体"/>
                <w:iCs/>
                <w:color w:val="auto"/>
                <w:sz w:val="24"/>
                <w:highlight w:val="none"/>
              </w:rPr>
              <w:t>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4252" w:type="dxa"/>
            <w:gridSpan w:val="3"/>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消毒供应管理系统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4252" w:type="dxa"/>
            <w:gridSpan w:val="3"/>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挂号管理系统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4252" w:type="dxa"/>
            <w:gridSpan w:val="3"/>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门诊医生站</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4252" w:type="dxa"/>
            <w:gridSpan w:val="3"/>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门诊便民医生站</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4252" w:type="dxa"/>
            <w:gridSpan w:val="3"/>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门诊慢病医生站</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4252" w:type="dxa"/>
            <w:gridSpan w:val="3"/>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住院医生站</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4252" w:type="dxa"/>
            <w:gridSpan w:val="3"/>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住院护士站系统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4252" w:type="dxa"/>
            <w:gridSpan w:val="3"/>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门（急）诊输液系统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4252" w:type="dxa"/>
            <w:gridSpan w:val="3"/>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门急诊应急系统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4252" w:type="dxa"/>
            <w:gridSpan w:val="3"/>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结构化病历编辑器</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4252" w:type="dxa"/>
            <w:gridSpan w:val="3"/>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门诊电子病历</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4252" w:type="dxa"/>
            <w:gridSpan w:val="3"/>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住院电子病历</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4252" w:type="dxa"/>
            <w:gridSpan w:val="3"/>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病历质控系统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4252" w:type="dxa"/>
            <w:gridSpan w:val="3"/>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电子病历浏览WEB版</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4252" w:type="dxa"/>
            <w:gridSpan w:val="3"/>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药师工作站（前置审方系统）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4252" w:type="dxa"/>
            <w:gridSpan w:val="3"/>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临床路径系统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4252" w:type="dxa"/>
            <w:gridSpan w:val="3"/>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会诊管理系统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4252" w:type="dxa"/>
            <w:gridSpan w:val="3"/>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移动查房系统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4252" w:type="dxa"/>
            <w:gridSpan w:val="3"/>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移动护理系统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升级改造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4252" w:type="dxa"/>
            <w:gridSpan w:val="3"/>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医技管理系统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4252" w:type="dxa"/>
            <w:gridSpan w:val="3"/>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血液透析管理系统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4252" w:type="dxa"/>
            <w:gridSpan w:val="3"/>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康复管理系统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4252" w:type="dxa"/>
            <w:gridSpan w:val="3"/>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高压氧信息管理系统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4252" w:type="dxa"/>
            <w:gridSpan w:val="3"/>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一般治疗系统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4252" w:type="dxa"/>
            <w:gridSpan w:val="3"/>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日间手术室信息系统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4252" w:type="dxa"/>
            <w:gridSpan w:val="3"/>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检验系统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升级改造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4252" w:type="dxa"/>
            <w:gridSpan w:val="3"/>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合理用药系统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升级改造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4252" w:type="dxa"/>
            <w:gridSpan w:val="3"/>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PEM-D心身整体</w:t>
            </w:r>
            <w:r>
              <w:rPr>
                <w:rFonts w:hint="eastAsia" w:ascii="宋体" w:hAnsi="宋体"/>
                <w:color w:val="auto"/>
                <w:sz w:val="24"/>
                <w:highlight w:val="none"/>
                <w:lang w:eastAsia="zh-CN"/>
              </w:rPr>
              <w:t>评审</w:t>
            </w:r>
            <w:r>
              <w:rPr>
                <w:rFonts w:hint="eastAsia" w:ascii="宋体" w:hAnsi="宋体"/>
                <w:color w:val="auto"/>
                <w:sz w:val="24"/>
                <w:highlight w:val="none"/>
              </w:rPr>
              <w:t>干预系统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4252" w:type="dxa"/>
            <w:gridSpan w:val="3"/>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小儿康复科</w:t>
            </w:r>
            <w:r>
              <w:rPr>
                <w:rFonts w:hint="eastAsia" w:ascii="宋体" w:hAnsi="宋体"/>
                <w:color w:val="auto"/>
                <w:sz w:val="24"/>
                <w:highlight w:val="none"/>
                <w:lang w:eastAsia="zh-CN"/>
              </w:rPr>
              <w:t>评审</w:t>
            </w:r>
            <w:r>
              <w:rPr>
                <w:rFonts w:hint="eastAsia" w:ascii="宋体" w:hAnsi="宋体"/>
                <w:color w:val="auto"/>
                <w:sz w:val="24"/>
                <w:highlight w:val="none"/>
              </w:rPr>
              <w:t>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4252" w:type="dxa"/>
            <w:gridSpan w:val="3"/>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基础数据维护</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restart"/>
            <w:vAlign w:val="center"/>
          </w:tcPr>
          <w:p>
            <w:pPr>
              <w:rPr>
                <w:rFonts w:ascii="宋体" w:hAnsi="宋体"/>
                <w:color w:val="auto"/>
                <w:sz w:val="24"/>
                <w:highlight w:val="none"/>
              </w:rPr>
            </w:pPr>
            <w:r>
              <w:rPr>
                <w:rFonts w:hint="eastAsia" w:ascii="宋体" w:hAnsi="宋体"/>
                <w:color w:val="auto"/>
                <w:sz w:val="24"/>
                <w:highlight w:val="none"/>
              </w:rPr>
              <w:t>智慧管理系统</w:t>
            </w:r>
          </w:p>
        </w:tc>
        <w:tc>
          <w:tcPr>
            <w:tcW w:w="2409" w:type="dxa"/>
            <w:gridSpan w:val="2"/>
            <w:vMerge w:val="restart"/>
            <w:vAlign w:val="center"/>
          </w:tcPr>
          <w:p>
            <w:pPr>
              <w:rPr>
                <w:rFonts w:ascii="宋体" w:hAnsi="宋体"/>
                <w:color w:val="auto"/>
                <w:sz w:val="24"/>
                <w:highlight w:val="none"/>
              </w:rPr>
            </w:pPr>
            <w:r>
              <w:rPr>
                <w:rFonts w:hint="eastAsia" w:ascii="宋体" w:hAnsi="宋体"/>
                <w:color w:val="auto"/>
                <w:sz w:val="24"/>
                <w:highlight w:val="none"/>
              </w:rPr>
              <w:t>医疗管理系统</w:t>
            </w:r>
          </w:p>
        </w:tc>
        <w:tc>
          <w:tcPr>
            <w:tcW w:w="5670" w:type="dxa"/>
            <w:vAlign w:val="center"/>
          </w:tcPr>
          <w:p>
            <w:pPr>
              <w:rPr>
                <w:rFonts w:ascii="宋体" w:hAnsi="宋体"/>
                <w:color w:val="auto"/>
                <w:sz w:val="24"/>
                <w:highlight w:val="none"/>
              </w:rPr>
            </w:pPr>
            <w:r>
              <w:rPr>
                <w:rFonts w:hint="eastAsia" w:ascii="宋体" w:hAnsi="宋体"/>
                <w:color w:val="auto"/>
                <w:sz w:val="24"/>
                <w:highlight w:val="none"/>
              </w:rPr>
              <w:t>医院感染管理系统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单病种过程质控与数据上报系统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升级改造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不良事件</w:t>
            </w:r>
            <w:r>
              <w:rPr>
                <w:rFonts w:hint="eastAsia" w:ascii="宋体" w:hAnsi="宋体"/>
                <w:color w:val="auto"/>
                <w:sz w:val="24"/>
                <w:highlight w:val="none"/>
                <w:lang w:eastAsia="zh-CN"/>
              </w:rPr>
              <w:t>上报</w:t>
            </w:r>
            <w:r>
              <w:rPr>
                <w:rFonts w:hint="eastAsia" w:ascii="宋体" w:hAnsi="宋体"/>
                <w:color w:val="auto"/>
                <w:sz w:val="24"/>
                <w:highlight w:val="none"/>
              </w:rPr>
              <w:t>管理系统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护士站集成视图</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护理管理系统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升级改造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医务管理系统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医院传染病报告管理系统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疾病预防控制信息系统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药库管理系统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门急诊药房管理系统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住院药房管理系统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病案无纸化系统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院内多学科协作诊疗</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医疗统计系统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院长查询系统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图书馆管理</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三级医院等级评审系统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三级公立医院绩效考核内控管理平台</w:t>
            </w:r>
          </w:p>
        </w:tc>
        <w:tc>
          <w:tcPr>
            <w:tcW w:w="1342" w:type="dxa"/>
            <w:vAlign w:val="center"/>
          </w:tcPr>
          <w:p>
            <w:pPr>
              <w:jc w:val="center"/>
              <w:rPr>
                <w:rFonts w:ascii="宋体" w:hAnsi="宋体"/>
                <w:iCs/>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医疗质量</w:t>
            </w:r>
            <w:r>
              <w:rPr>
                <w:rFonts w:hint="eastAsia" w:ascii="宋体" w:hAnsi="宋体"/>
                <w:color w:val="auto"/>
                <w:sz w:val="24"/>
                <w:highlight w:val="none"/>
                <w:lang w:eastAsia="zh-CN"/>
              </w:rPr>
              <w:t>监控</w:t>
            </w:r>
            <w:r>
              <w:rPr>
                <w:rFonts w:hint="eastAsia" w:ascii="宋体" w:hAnsi="宋体"/>
                <w:color w:val="auto"/>
                <w:sz w:val="24"/>
                <w:highlight w:val="none"/>
              </w:rPr>
              <w:t>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危急值预警管理系统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C</w:t>
            </w:r>
            <w:r>
              <w:rPr>
                <w:rFonts w:ascii="宋体" w:hAnsi="宋体"/>
                <w:color w:val="auto"/>
                <w:sz w:val="24"/>
                <w:highlight w:val="none"/>
              </w:rPr>
              <w:t>A</w:t>
            </w:r>
            <w:r>
              <w:rPr>
                <w:rFonts w:hint="eastAsia" w:ascii="宋体" w:hAnsi="宋体"/>
                <w:color w:val="auto"/>
                <w:sz w:val="24"/>
                <w:highlight w:val="none"/>
              </w:rPr>
              <w:t>移动签章</w:t>
            </w:r>
          </w:p>
        </w:tc>
        <w:tc>
          <w:tcPr>
            <w:tcW w:w="1342" w:type="dxa"/>
            <w:vAlign w:val="center"/>
          </w:tcPr>
          <w:p>
            <w:pPr>
              <w:jc w:val="center"/>
              <w:rPr>
                <w:rFonts w:ascii="宋体" w:hAnsi="宋体"/>
                <w:iCs/>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医保软件</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升级改造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中国医院药物警戒系统</w:t>
            </w:r>
          </w:p>
        </w:tc>
        <w:tc>
          <w:tcPr>
            <w:tcW w:w="1342" w:type="dxa"/>
            <w:vAlign w:val="center"/>
          </w:tcPr>
          <w:p>
            <w:pPr>
              <w:jc w:val="center"/>
              <w:rPr>
                <w:rFonts w:ascii="宋体" w:hAnsi="宋体"/>
                <w:iCs/>
                <w:color w:val="auto"/>
                <w:sz w:val="24"/>
                <w:highlight w:val="none"/>
              </w:rPr>
            </w:pPr>
            <w:r>
              <w:rPr>
                <w:rFonts w:hint="eastAsia" w:ascii="宋体" w:hAnsi="宋体"/>
                <w:iCs/>
                <w:color w:val="auto"/>
                <w:sz w:val="24"/>
                <w:highlight w:val="none"/>
              </w:rPr>
              <w:t>升级改造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感染性疾病大数据平台</w:t>
            </w:r>
          </w:p>
        </w:tc>
        <w:tc>
          <w:tcPr>
            <w:tcW w:w="1342" w:type="dxa"/>
            <w:vAlign w:val="center"/>
          </w:tcPr>
          <w:p>
            <w:pPr>
              <w:jc w:val="center"/>
              <w:rPr>
                <w:rFonts w:ascii="宋体" w:hAnsi="宋体"/>
                <w:iCs/>
                <w:color w:val="auto"/>
                <w:sz w:val="24"/>
                <w:highlight w:val="none"/>
              </w:rPr>
            </w:pPr>
            <w:r>
              <w:rPr>
                <w:rFonts w:hint="eastAsia" w:ascii="宋体" w:hAnsi="宋体"/>
                <w:iCs/>
                <w:color w:val="auto"/>
                <w:sz w:val="24"/>
                <w:highlight w:val="none"/>
              </w:rPr>
              <w:t>升级改造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医保飞行检查专项审核系统</w:t>
            </w:r>
          </w:p>
        </w:tc>
        <w:tc>
          <w:tcPr>
            <w:tcW w:w="1342" w:type="dxa"/>
            <w:vAlign w:val="center"/>
          </w:tcPr>
          <w:p>
            <w:pPr>
              <w:jc w:val="center"/>
              <w:rPr>
                <w:rFonts w:ascii="宋体" w:hAnsi="宋体"/>
                <w:iCs/>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职业病管理信息系统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胸痛中心质控平台</w:t>
            </w:r>
          </w:p>
        </w:tc>
        <w:tc>
          <w:tcPr>
            <w:tcW w:w="1342" w:type="dxa"/>
            <w:vAlign w:val="center"/>
          </w:tcPr>
          <w:p>
            <w:pPr>
              <w:jc w:val="center"/>
              <w:rPr>
                <w:rFonts w:ascii="宋体" w:hAnsi="宋体"/>
                <w:iCs/>
                <w:color w:val="auto"/>
                <w:sz w:val="24"/>
                <w:highlight w:val="none"/>
              </w:rPr>
            </w:pPr>
            <w:r>
              <w:rPr>
                <w:rFonts w:hint="eastAsia" w:ascii="宋体" w:hAnsi="宋体"/>
                <w:iCs/>
                <w:color w:val="auto"/>
                <w:sz w:val="24"/>
                <w:highlight w:val="none"/>
              </w:rPr>
              <w:t>升级改造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restart"/>
            <w:vAlign w:val="center"/>
          </w:tcPr>
          <w:p>
            <w:pPr>
              <w:rPr>
                <w:rFonts w:ascii="宋体" w:hAnsi="宋体"/>
                <w:color w:val="auto"/>
                <w:sz w:val="24"/>
                <w:highlight w:val="none"/>
                <w:lang w:eastAsia="zh-Hans"/>
              </w:rPr>
            </w:pPr>
            <w:r>
              <w:rPr>
                <w:rFonts w:hint="eastAsia" w:ascii="宋体" w:hAnsi="宋体"/>
                <w:color w:val="auto"/>
                <w:sz w:val="24"/>
                <w:highlight w:val="none"/>
                <w:lang w:eastAsia="zh-Hans"/>
              </w:rPr>
              <w:t>财务运营一体化</w:t>
            </w:r>
            <w:r>
              <w:rPr>
                <w:rFonts w:ascii="宋体" w:hAnsi="宋体"/>
                <w:color w:val="auto"/>
                <w:sz w:val="24"/>
                <w:highlight w:val="none"/>
                <w:lang w:eastAsia="zh-Hans"/>
              </w:rPr>
              <w:t>HRP</w:t>
            </w:r>
          </w:p>
        </w:tc>
        <w:tc>
          <w:tcPr>
            <w:tcW w:w="5670" w:type="dxa"/>
            <w:vAlign w:val="center"/>
          </w:tcPr>
          <w:p>
            <w:pPr>
              <w:rPr>
                <w:rFonts w:hint="eastAsia" w:ascii="宋体" w:hAnsi="宋体" w:eastAsia="宋体"/>
                <w:color w:val="auto"/>
                <w:sz w:val="24"/>
                <w:highlight w:val="none"/>
                <w:lang w:eastAsia="zh-CN"/>
              </w:rPr>
            </w:pPr>
            <w:r>
              <w:rPr>
                <w:rFonts w:hint="eastAsia" w:ascii="宋体" w:hAnsi="宋体"/>
                <w:color w:val="auto"/>
                <w:sz w:val="24"/>
                <w:highlight w:val="none"/>
              </w:rPr>
              <w:t>财务管理</w:t>
            </w:r>
          </w:p>
        </w:tc>
        <w:tc>
          <w:tcPr>
            <w:tcW w:w="1342" w:type="dxa"/>
            <w:vAlign w:val="center"/>
          </w:tcPr>
          <w:p>
            <w:pPr>
              <w:jc w:val="center"/>
              <w:rPr>
                <w:rFonts w:ascii="宋体" w:hAnsi="宋体"/>
                <w:iCs/>
                <w:color w:val="auto"/>
                <w:sz w:val="24"/>
                <w:highlight w:val="none"/>
              </w:rPr>
            </w:pPr>
            <w:r>
              <w:rPr>
                <w:rFonts w:hint="eastAsia" w:ascii="宋体" w:hAnsi="宋体"/>
                <w:iCs/>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固定资产管理系统</w:t>
            </w:r>
          </w:p>
        </w:tc>
        <w:tc>
          <w:tcPr>
            <w:tcW w:w="1342" w:type="dxa"/>
            <w:vAlign w:val="center"/>
          </w:tcPr>
          <w:p>
            <w:pPr>
              <w:jc w:val="center"/>
              <w:rPr>
                <w:rFonts w:hint="eastAsia" w:ascii="宋体" w:hAnsi="宋体" w:eastAsia="宋体"/>
                <w:iCs/>
                <w:color w:val="auto"/>
                <w:sz w:val="24"/>
                <w:highlight w:val="none"/>
                <w:lang w:eastAsia="zh-CN"/>
              </w:rPr>
            </w:pPr>
            <w:r>
              <w:rPr>
                <w:rFonts w:hint="eastAsia" w:ascii="宋体" w:hAnsi="宋体"/>
                <w:color w:val="auto"/>
                <w:sz w:val="24"/>
                <w:highlight w:val="none"/>
              </w:rPr>
              <w:t>升级改造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hint="eastAsia" w:ascii="宋体" w:hAnsi="宋体" w:eastAsia="宋体"/>
                <w:color w:val="auto"/>
                <w:sz w:val="24"/>
                <w:highlight w:val="none"/>
                <w:lang w:eastAsia="zh-CN"/>
              </w:rPr>
            </w:pPr>
            <w:r>
              <w:rPr>
                <w:rFonts w:hint="eastAsia" w:ascii="宋体" w:hAnsi="宋体"/>
                <w:color w:val="auto"/>
                <w:sz w:val="24"/>
                <w:highlight w:val="none"/>
                <w:lang w:eastAsia="zh-CN"/>
              </w:rPr>
              <w:t>全面预算管理</w:t>
            </w:r>
          </w:p>
        </w:tc>
        <w:tc>
          <w:tcPr>
            <w:tcW w:w="1342" w:type="dxa"/>
            <w:vAlign w:val="center"/>
          </w:tcPr>
          <w:p>
            <w:pPr>
              <w:jc w:val="center"/>
              <w:rPr>
                <w:rFonts w:ascii="宋体" w:hAnsi="宋体"/>
                <w:iCs/>
                <w:color w:val="auto"/>
                <w:sz w:val="24"/>
                <w:highlight w:val="none"/>
              </w:rPr>
            </w:pPr>
            <w:r>
              <w:rPr>
                <w:rFonts w:hint="eastAsia" w:ascii="宋体" w:hAnsi="宋体"/>
                <w:iCs/>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合同管理</w:t>
            </w:r>
          </w:p>
        </w:tc>
        <w:tc>
          <w:tcPr>
            <w:tcW w:w="1342" w:type="dxa"/>
            <w:vAlign w:val="center"/>
          </w:tcPr>
          <w:p>
            <w:pPr>
              <w:jc w:val="center"/>
              <w:rPr>
                <w:rFonts w:ascii="宋体" w:hAnsi="宋体"/>
                <w:iCs/>
                <w:color w:val="auto"/>
                <w:sz w:val="24"/>
                <w:highlight w:val="none"/>
              </w:rPr>
            </w:pPr>
            <w:r>
              <w:rPr>
                <w:rFonts w:hint="eastAsia" w:ascii="宋体" w:hAnsi="宋体"/>
                <w:iCs/>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成本管理系统（</w:t>
            </w:r>
            <w:r>
              <w:rPr>
                <w:rFonts w:hint="eastAsia" w:ascii="宋体" w:hAnsi="宋体"/>
                <w:color w:val="auto"/>
                <w:sz w:val="24"/>
                <w:highlight w:val="none"/>
                <w:lang w:eastAsia="zh-CN"/>
              </w:rPr>
              <w:t>病种</w:t>
            </w:r>
            <w:r>
              <w:rPr>
                <w:rFonts w:hint="eastAsia" w:ascii="宋体" w:hAnsi="宋体"/>
                <w:color w:val="auto"/>
                <w:sz w:val="24"/>
                <w:highlight w:val="none"/>
              </w:rPr>
              <w:t>成本管理）</w:t>
            </w:r>
          </w:p>
        </w:tc>
        <w:tc>
          <w:tcPr>
            <w:tcW w:w="1342" w:type="dxa"/>
            <w:vAlign w:val="center"/>
          </w:tcPr>
          <w:p>
            <w:pPr>
              <w:jc w:val="center"/>
              <w:rPr>
                <w:rFonts w:ascii="宋体" w:hAnsi="宋体"/>
                <w:iCs/>
                <w:color w:val="auto"/>
                <w:sz w:val="24"/>
                <w:highlight w:val="none"/>
              </w:rPr>
            </w:pPr>
            <w:r>
              <w:rPr>
                <w:rFonts w:hint="eastAsia" w:ascii="宋体" w:hAnsi="宋体"/>
                <w:iCs/>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restart"/>
            <w:noWrap/>
            <w:vAlign w:val="center"/>
          </w:tcPr>
          <w:p>
            <w:pPr>
              <w:rPr>
                <w:rFonts w:ascii="宋体" w:hAnsi="宋体"/>
                <w:color w:val="auto"/>
                <w:sz w:val="24"/>
                <w:highlight w:val="none"/>
              </w:rPr>
            </w:pPr>
            <w:r>
              <w:rPr>
                <w:rFonts w:hint="eastAsia" w:ascii="宋体" w:hAnsi="宋体"/>
                <w:color w:val="auto"/>
                <w:sz w:val="24"/>
                <w:highlight w:val="none"/>
              </w:rPr>
              <w:t>运营管理系统</w:t>
            </w:r>
          </w:p>
        </w:tc>
        <w:tc>
          <w:tcPr>
            <w:tcW w:w="5670" w:type="dxa"/>
            <w:vAlign w:val="center"/>
          </w:tcPr>
          <w:p>
            <w:pPr>
              <w:rPr>
                <w:rFonts w:ascii="宋体" w:hAnsi="宋体"/>
                <w:color w:val="auto"/>
                <w:sz w:val="24"/>
                <w:highlight w:val="none"/>
              </w:rPr>
            </w:pPr>
            <w:r>
              <w:rPr>
                <w:rFonts w:hint="eastAsia" w:ascii="宋体" w:hAnsi="宋体"/>
                <w:color w:val="auto"/>
                <w:sz w:val="24"/>
                <w:highlight w:val="none"/>
              </w:rPr>
              <w:t>医疗服务价格控费系统与分析系统</w:t>
            </w:r>
          </w:p>
        </w:tc>
        <w:tc>
          <w:tcPr>
            <w:tcW w:w="1342" w:type="dxa"/>
            <w:vAlign w:val="center"/>
          </w:tcPr>
          <w:p>
            <w:pPr>
              <w:jc w:val="center"/>
              <w:rPr>
                <w:rFonts w:ascii="宋体" w:hAnsi="宋体"/>
                <w:iCs/>
                <w:color w:val="auto"/>
                <w:sz w:val="24"/>
                <w:highlight w:val="none"/>
              </w:rPr>
            </w:pPr>
            <w:r>
              <w:rPr>
                <w:rFonts w:hint="eastAsia" w:ascii="宋体" w:hAnsi="宋体"/>
                <w:iCs/>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DR</w:t>
            </w:r>
            <w:r>
              <w:rPr>
                <w:rFonts w:ascii="宋体" w:hAnsi="宋体"/>
                <w:color w:val="auto"/>
                <w:sz w:val="24"/>
                <w:highlight w:val="none"/>
              </w:rPr>
              <w:t>G</w:t>
            </w:r>
            <w:r>
              <w:rPr>
                <w:rFonts w:hint="eastAsia" w:ascii="宋体" w:hAnsi="宋体"/>
                <w:color w:val="auto"/>
                <w:sz w:val="24"/>
                <w:highlight w:val="none"/>
              </w:rPr>
              <w:t>医保付费智能审核及D</w:t>
            </w:r>
            <w:r>
              <w:rPr>
                <w:rFonts w:ascii="宋体" w:hAnsi="宋体"/>
                <w:color w:val="auto"/>
                <w:sz w:val="24"/>
                <w:highlight w:val="none"/>
              </w:rPr>
              <w:t>RG</w:t>
            </w:r>
            <w:r>
              <w:rPr>
                <w:rFonts w:hint="eastAsia" w:ascii="宋体" w:hAnsi="宋体"/>
                <w:color w:val="auto"/>
                <w:sz w:val="24"/>
                <w:highlight w:val="none"/>
              </w:rPr>
              <w:t>绩效考核</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医保智能审核</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升级改造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智慧党建管理系统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IT运维管理系统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医学装备管理系统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升级改造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物资管理系统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客户关系管理系统CRM</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O</w:t>
            </w:r>
            <w:r>
              <w:rPr>
                <w:rFonts w:ascii="宋体" w:hAnsi="宋体"/>
                <w:color w:val="auto"/>
                <w:sz w:val="24"/>
                <w:highlight w:val="none"/>
              </w:rPr>
              <w:t>A</w:t>
            </w:r>
            <w:r>
              <w:rPr>
                <w:rFonts w:hint="eastAsia" w:ascii="宋体" w:hAnsi="宋体"/>
                <w:color w:val="auto"/>
                <w:sz w:val="24"/>
                <w:highlight w:val="none"/>
              </w:rPr>
              <w:t>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升级改造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H</w:t>
            </w:r>
            <w:r>
              <w:rPr>
                <w:rFonts w:ascii="宋体" w:hAnsi="宋体"/>
                <w:color w:val="auto"/>
                <w:sz w:val="24"/>
                <w:highlight w:val="none"/>
              </w:rPr>
              <w:t>R</w:t>
            </w:r>
            <w:r>
              <w:rPr>
                <w:rFonts w:hint="eastAsia" w:ascii="宋体" w:hAnsi="宋体"/>
                <w:color w:val="auto"/>
                <w:sz w:val="24"/>
                <w:highlight w:val="none"/>
              </w:rPr>
              <w:t>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升级改造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工资系统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升级改造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短信服务</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数字科教系统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升级改造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hint="eastAsia" w:ascii="宋体" w:hAnsi="宋体" w:eastAsia="宋体"/>
                <w:color w:val="auto"/>
                <w:sz w:val="24"/>
                <w:highlight w:val="none"/>
                <w:lang w:eastAsia="zh-CN"/>
              </w:rPr>
            </w:pPr>
            <w:r>
              <w:rPr>
                <w:rFonts w:hint="eastAsia" w:ascii="宋体" w:hAnsi="宋体"/>
                <w:color w:val="auto"/>
                <w:sz w:val="24"/>
                <w:highlight w:val="none"/>
              </w:rPr>
              <w:t>实验室</w:t>
            </w:r>
            <w:r>
              <w:rPr>
                <w:rFonts w:hint="eastAsia" w:ascii="宋体" w:hAnsi="宋体"/>
                <w:color w:val="auto"/>
                <w:sz w:val="24"/>
                <w:highlight w:val="none"/>
                <w:lang w:eastAsia="zh-CN"/>
              </w:rPr>
              <w:t>设备管理软件</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教学培训管理系统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新疆维吾尔自治区住院医师规范化培训综合管理平台</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restart"/>
            <w:vAlign w:val="center"/>
          </w:tcPr>
          <w:p>
            <w:pPr>
              <w:rPr>
                <w:rFonts w:ascii="宋体" w:hAnsi="宋体"/>
                <w:color w:val="auto"/>
                <w:sz w:val="24"/>
                <w:highlight w:val="none"/>
              </w:rPr>
            </w:pPr>
            <w:r>
              <w:rPr>
                <w:rFonts w:hint="eastAsia" w:ascii="宋体" w:hAnsi="宋体"/>
                <w:color w:val="auto"/>
                <w:sz w:val="24"/>
                <w:highlight w:val="none"/>
              </w:rPr>
              <w:t>临床科研平台</w:t>
            </w:r>
          </w:p>
        </w:tc>
        <w:tc>
          <w:tcPr>
            <w:tcW w:w="5670" w:type="dxa"/>
            <w:vAlign w:val="center"/>
          </w:tcPr>
          <w:p>
            <w:pPr>
              <w:rPr>
                <w:rFonts w:ascii="宋体" w:hAnsi="宋体"/>
                <w:color w:val="auto"/>
                <w:sz w:val="24"/>
                <w:highlight w:val="none"/>
              </w:rPr>
            </w:pPr>
            <w:r>
              <w:rPr>
                <w:rFonts w:hint="eastAsia" w:ascii="宋体" w:hAnsi="宋体"/>
                <w:color w:val="auto"/>
                <w:sz w:val="24"/>
                <w:highlight w:val="none"/>
              </w:rPr>
              <w:t>科研数据搜索协助系统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专科科研管理协助系统</w:t>
            </w:r>
          </w:p>
        </w:tc>
        <w:tc>
          <w:tcPr>
            <w:tcW w:w="1342" w:type="dxa"/>
            <w:vAlign w:val="center"/>
          </w:tcPr>
          <w:p>
            <w:pPr>
              <w:jc w:val="center"/>
              <w:rPr>
                <w:rFonts w:ascii="宋体" w:hAnsi="宋体"/>
                <w:iCs/>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hint="eastAsia" w:ascii="宋体" w:hAnsi="宋体" w:eastAsia="宋体"/>
                <w:color w:val="auto"/>
                <w:sz w:val="24"/>
                <w:highlight w:val="none"/>
                <w:lang w:eastAsia="zh-CN"/>
              </w:rPr>
            </w:pPr>
            <w:r>
              <w:rPr>
                <w:rFonts w:hint="eastAsia" w:ascii="宋体" w:hAnsi="宋体"/>
                <w:color w:val="auto"/>
                <w:sz w:val="24"/>
                <w:highlight w:val="none"/>
              </w:rPr>
              <w:t>科研学术服务</w:t>
            </w:r>
            <w:r>
              <w:rPr>
                <w:rFonts w:hint="eastAsia" w:ascii="宋体" w:hAnsi="宋体"/>
                <w:color w:val="auto"/>
                <w:sz w:val="24"/>
                <w:highlight w:val="none"/>
                <w:lang w:eastAsia="zh-CN"/>
              </w:rPr>
              <w:t>系统</w:t>
            </w:r>
          </w:p>
        </w:tc>
        <w:tc>
          <w:tcPr>
            <w:tcW w:w="1342" w:type="dxa"/>
            <w:vAlign w:val="center"/>
          </w:tcPr>
          <w:p>
            <w:pPr>
              <w:jc w:val="center"/>
              <w:rPr>
                <w:rFonts w:ascii="宋体" w:hAnsi="宋体"/>
                <w:iCs/>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临床数据分析系统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restart"/>
            <w:noWrap/>
            <w:vAlign w:val="center"/>
          </w:tcPr>
          <w:p>
            <w:pPr>
              <w:rPr>
                <w:rFonts w:ascii="宋体" w:hAnsi="宋体"/>
                <w:color w:val="auto"/>
                <w:sz w:val="24"/>
                <w:highlight w:val="none"/>
              </w:rPr>
            </w:pPr>
            <w:r>
              <w:rPr>
                <w:rFonts w:hint="eastAsia" w:ascii="宋体" w:hAnsi="宋体"/>
                <w:color w:val="auto"/>
                <w:sz w:val="24"/>
                <w:highlight w:val="none"/>
              </w:rPr>
              <w:t>智慧后勤系统</w:t>
            </w:r>
          </w:p>
        </w:tc>
        <w:tc>
          <w:tcPr>
            <w:tcW w:w="5670" w:type="dxa"/>
            <w:vAlign w:val="center"/>
          </w:tcPr>
          <w:p>
            <w:pPr>
              <w:rPr>
                <w:rFonts w:ascii="宋体" w:hAnsi="宋体"/>
                <w:color w:val="auto"/>
                <w:sz w:val="24"/>
                <w:highlight w:val="none"/>
              </w:rPr>
            </w:pPr>
            <w:r>
              <w:rPr>
                <w:rFonts w:hint="eastAsia" w:ascii="宋体" w:hAnsi="宋体"/>
                <w:color w:val="auto"/>
                <w:sz w:val="24"/>
                <w:highlight w:val="none"/>
              </w:rPr>
              <w:t>后勤一站式服务系统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升级改造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noWrap/>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设备巡检管理</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noWrap/>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医疗废弃物管理</w:t>
            </w:r>
          </w:p>
        </w:tc>
        <w:tc>
          <w:tcPr>
            <w:tcW w:w="1342" w:type="dxa"/>
            <w:vAlign w:val="center"/>
          </w:tcPr>
          <w:p>
            <w:pPr>
              <w:jc w:val="center"/>
              <w:rPr>
                <w:rFonts w:ascii="宋体" w:hAnsi="宋体"/>
                <w:iCs/>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restart"/>
            <w:noWrap/>
            <w:vAlign w:val="center"/>
          </w:tcPr>
          <w:p>
            <w:pPr>
              <w:rPr>
                <w:rFonts w:ascii="宋体" w:hAnsi="宋体"/>
                <w:color w:val="auto"/>
                <w:sz w:val="24"/>
                <w:highlight w:val="none"/>
              </w:rPr>
            </w:pPr>
            <w:r>
              <w:rPr>
                <w:rFonts w:hint="eastAsia" w:ascii="宋体" w:hAnsi="宋体"/>
                <w:color w:val="auto"/>
                <w:sz w:val="24"/>
                <w:highlight w:val="none"/>
              </w:rPr>
              <w:t>智慧服务系统</w:t>
            </w:r>
          </w:p>
        </w:tc>
        <w:tc>
          <w:tcPr>
            <w:tcW w:w="2409" w:type="dxa"/>
            <w:gridSpan w:val="2"/>
            <w:vMerge w:val="restart"/>
            <w:noWrap/>
            <w:vAlign w:val="center"/>
          </w:tcPr>
          <w:p>
            <w:pPr>
              <w:rPr>
                <w:rFonts w:ascii="宋体" w:hAnsi="宋体"/>
                <w:color w:val="auto"/>
                <w:sz w:val="24"/>
                <w:highlight w:val="none"/>
              </w:rPr>
            </w:pPr>
            <w:r>
              <w:rPr>
                <w:rFonts w:hint="eastAsia" w:ascii="宋体" w:hAnsi="宋体"/>
                <w:color w:val="auto"/>
                <w:sz w:val="24"/>
                <w:highlight w:val="none"/>
              </w:rPr>
              <w:t>智慧服务应用</w:t>
            </w:r>
          </w:p>
        </w:tc>
        <w:tc>
          <w:tcPr>
            <w:tcW w:w="5670" w:type="dxa"/>
            <w:vAlign w:val="center"/>
          </w:tcPr>
          <w:p>
            <w:pPr>
              <w:rPr>
                <w:rFonts w:ascii="宋体" w:hAnsi="宋体"/>
                <w:color w:val="auto"/>
                <w:sz w:val="24"/>
                <w:highlight w:val="none"/>
              </w:rPr>
            </w:pPr>
            <w:r>
              <w:rPr>
                <w:rFonts w:hint="eastAsia" w:ascii="宋体" w:hAnsi="宋体"/>
                <w:color w:val="auto"/>
                <w:sz w:val="24"/>
                <w:highlight w:val="none"/>
              </w:rPr>
              <w:t>患者自助服务</w:t>
            </w:r>
          </w:p>
        </w:tc>
        <w:tc>
          <w:tcPr>
            <w:tcW w:w="1342" w:type="dxa"/>
            <w:vAlign w:val="center"/>
          </w:tcPr>
          <w:p>
            <w:pPr>
              <w:jc w:val="center"/>
              <w:rPr>
                <w:rFonts w:ascii="宋体" w:hAnsi="宋体"/>
                <w:iCs/>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noWrap/>
            <w:vAlign w:val="center"/>
          </w:tcPr>
          <w:p>
            <w:pPr>
              <w:rPr>
                <w:rFonts w:ascii="宋体" w:hAnsi="宋体"/>
                <w:color w:val="auto"/>
                <w:sz w:val="24"/>
                <w:highlight w:val="none"/>
              </w:rPr>
            </w:pPr>
          </w:p>
        </w:tc>
        <w:tc>
          <w:tcPr>
            <w:tcW w:w="2409" w:type="dxa"/>
            <w:gridSpan w:val="2"/>
            <w:vMerge w:val="continue"/>
            <w:noWrap/>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结算窗口叫号系统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门急诊收费系统</w:t>
            </w:r>
          </w:p>
        </w:tc>
        <w:tc>
          <w:tcPr>
            <w:tcW w:w="1342" w:type="dxa"/>
            <w:vAlign w:val="center"/>
          </w:tcPr>
          <w:p>
            <w:pPr>
              <w:jc w:val="center"/>
              <w:rPr>
                <w:rFonts w:ascii="宋体" w:hAnsi="宋体"/>
                <w:iCs/>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住院收费系统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门诊诊间结算</w:t>
            </w:r>
          </w:p>
        </w:tc>
        <w:tc>
          <w:tcPr>
            <w:tcW w:w="1342" w:type="dxa"/>
            <w:vAlign w:val="center"/>
          </w:tcPr>
          <w:p>
            <w:pPr>
              <w:jc w:val="center"/>
              <w:rPr>
                <w:rFonts w:ascii="宋体" w:hAnsi="宋体"/>
                <w:iCs/>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住院床旁结算</w:t>
            </w:r>
          </w:p>
        </w:tc>
        <w:tc>
          <w:tcPr>
            <w:tcW w:w="1342" w:type="dxa"/>
            <w:vAlign w:val="center"/>
          </w:tcPr>
          <w:p>
            <w:pPr>
              <w:jc w:val="center"/>
              <w:rPr>
                <w:rFonts w:ascii="宋体" w:hAnsi="宋体"/>
                <w:iCs/>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入出转管理系统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掌上医院</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hint="eastAsia" w:ascii="宋体" w:hAnsi="宋体" w:eastAsia="宋体"/>
                <w:color w:val="auto"/>
                <w:sz w:val="24"/>
                <w:highlight w:val="none"/>
                <w:lang w:eastAsia="zh-CN"/>
              </w:rPr>
            </w:pPr>
            <w:r>
              <w:rPr>
                <w:rFonts w:hint="eastAsia" w:ascii="宋体" w:hAnsi="宋体"/>
                <w:color w:val="auto"/>
                <w:sz w:val="24"/>
                <w:highlight w:val="none"/>
              </w:rPr>
              <w:t>统一支付</w:t>
            </w:r>
            <w:r>
              <w:rPr>
                <w:rFonts w:hint="eastAsia" w:ascii="宋体" w:hAnsi="宋体"/>
                <w:color w:val="auto"/>
                <w:sz w:val="24"/>
                <w:highlight w:val="none"/>
                <w:lang w:eastAsia="zh-CN"/>
              </w:rPr>
              <w:t>平台</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电子处方流转</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患者随访管理</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商保结算平台</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医患纠纷管理系统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电子发票管理</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预住院管理</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医院导诊系统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院内导航系统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患者定位管理</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一卡通管理系统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360度</w:t>
            </w:r>
            <w:r>
              <w:rPr>
                <w:rFonts w:hint="eastAsia" w:ascii="宋体" w:hAnsi="宋体"/>
                <w:color w:val="auto"/>
                <w:sz w:val="24"/>
                <w:highlight w:val="none"/>
                <w:lang w:eastAsia="zh-CN"/>
              </w:rPr>
              <w:t>评审</w:t>
            </w:r>
            <w:r>
              <w:rPr>
                <w:rFonts w:hint="eastAsia" w:ascii="宋体" w:hAnsi="宋体"/>
                <w:color w:val="auto"/>
                <w:sz w:val="24"/>
                <w:highlight w:val="none"/>
              </w:rPr>
              <w:t>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全资源预约系统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43" w:type="dxa"/>
            <w:vMerge w:val="continue"/>
            <w:vAlign w:val="center"/>
          </w:tcPr>
          <w:p>
            <w:pPr>
              <w:rPr>
                <w:rFonts w:ascii="宋体" w:hAnsi="宋体"/>
                <w:color w:val="auto"/>
                <w:sz w:val="24"/>
                <w:highlight w:val="none"/>
              </w:rPr>
            </w:pPr>
          </w:p>
        </w:tc>
        <w:tc>
          <w:tcPr>
            <w:tcW w:w="2409" w:type="dxa"/>
            <w:gridSpan w:val="2"/>
            <w:noWrap/>
            <w:vAlign w:val="center"/>
          </w:tcPr>
          <w:p>
            <w:pPr>
              <w:rPr>
                <w:rFonts w:ascii="宋体" w:hAnsi="宋体"/>
                <w:color w:val="auto"/>
                <w:sz w:val="24"/>
                <w:highlight w:val="none"/>
              </w:rPr>
            </w:pPr>
            <w:r>
              <w:rPr>
                <w:rFonts w:hint="eastAsia" w:ascii="宋体" w:hAnsi="宋体"/>
                <w:color w:val="auto"/>
                <w:sz w:val="24"/>
                <w:highlight w:val="none"/>
              </w:rPr>
              <w:t>评审评级要求</w:t>
            </w:r>
          </w:p>
        </w:tc>
        <w:tc>
          <w:tcPr>
            <w:tcW w:w="5670" w:type="dxa"/>
            <w:vAlign w:val="center"/>
          </w:tcPr>
          <w:p>
            <w:pPr>
              <w:rPr>
                <w:rFonts w:ascii="宋体" w:hAnsi="宋体"/>
                <w:color w:val="auto"/>
                <w:sz w:val="24"/>
                <w:highlight w:val="none"/>
              </w:rPr>
            </w:pPr>
            <w:r>
              <w:rPr>
                <w:rFonts w:hint="eastAsia" w:ascii="宋体" w:hAnsi="宋体"/>
                <w:color w:val="auto"/>
                <w:sz w:val="24"/>
                <w:highlight w:val="none"/>
              </w:rPr>
              <w:t>评审评级要求</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restart"/>
            <w:vAlign w:val="center"/>
          </w:tcPr>
          <w:p>
            <w:pPr>
              <w:jc w:val="center"/>
              <w:rPr>
                <w:rFonts w:ascii="宋体" w:hAnsi="宋体"/>
                <w:b/>
                <w:bCs/>
                <w:color w:val="auto"/>
                <w:sz w:val="24"/>
                <w:highlight w:val="none"/>
              </w:rPr>
            </w:pPr>
            <w:r>
              <w:rPr>
                <w:rFonts w:hint="eastAsia" w:ascii="宋体" w:hAnsi="宋体"/>
                <w:b/>
                <w:bCs/>
                <w:color w:val="auto"/>
                <w:sz w:val="24"/>
                <w:highlight w:val="none"/>
              </w:rPr>
              <w:t>二、区域大数据中心</w:t>
            </w:r>
          </w:p>
        </w:tc>
        <w:tc>
          <w:tcPr>
            <w:tcW w:w="1853" w:type="dxa"/>
            <w:gridSpan w:val="2"/>
            <w:vMerge w:val="restart"/>
            <w:vAlign w:val="center"/>
          </w:tcPr>
          <w:p>
            <w:pPr>
              <w:rPr>
                <w:rFonts w:ascii="宋体" w:hAnsi="宋体"/>
                <w:color w:val="auto"/>
                <w:sz w:val="24"/>
                <w:highlight w:val="none"/>
              </w:rPr>
            </w:pPr>
            <w:r>
              <w:rPr>
                <w:rFonts w:hint="eastAsia" w:ascii="宋体" w:hAnsi="宋体"/>
                <w:color w:val="auto"/>
                <w:sz w:val="24"/>
                <w:highlight w:val="none"/>
              </w:rPr>
              <w:t>区域多学科专病大数据平台</w:t>
            </w:r>
          </w:p>
        </w:tc>
        <w:tc>
          <w:tcPr>
            <w:tcW w:w="2399" w:type="dxa"/>
            <w:vAlign w:val="center"/>
          </w:tcPr>
          <w:p>
            <w:pPr>
              <w:rPr>
                <w:rFonts w:ascii="宋体" w:hAnsi="宋体"/>
                <w:color w:val="auto"/>
                <w:sz w:val="24"/>
                <w:highlight w:val="none"/>
              </w:rPr>
            </w:pPr>
            <w:r>
              <w:rPr>
                <w:rFonts w:hint="eastAsia" w:ascii="宋体" w:hAnsi="宋体"/>
                <w:color w:val="auto"/>
                <w:sz w:val="24"/>
                <w:highlight w:val="none"/>
              </w:rPr>
              <w:t>数据采集</w:t>
            </w:r>
          </w:p>
        </w:tc>
        <w:tc>
          <w:tcPr>
            <w:tcW w:w="5670" w:type="dxa"/>
            <w:noWrap/>
            <w:vAlign w:val="center"/>
          </w:tcPr>
          <w:p>
            <w:pPr>
              <w:rPr>
                <w:rFonts w:ascii="宋体" w:hAnsi="宋体"/>
                <w:color w:val="auto"/>
                <w:sz w:val="24"/>
                <w:highlight w:val="none"/>
              </w:rPr>
            </w:pPr>
            <w:r>
              <w:rPr>
                <w:rFonts w:hint="eastAsia" w:ascii="宋体" w:hAnsi="宋体"/>
                <w:color w:val="auto"/>
                <w:sz w:val="24"/>
                <w:highlight w:val="none"/>
              </w:rPr>
              <w:t>数据采集</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Align w:val="center"/>
          </w:tcPr>
          <w:p>
            <w:pPr>
              <w:rPr>
                <w:rFonts w:ascii="宋体" w:hAnsi="宋体"/>
                <w:color w:val="auto"/>
                <w:sz w:val="24"/>
                <w:highlight w:val="none"/>
              </w:rPr>
            </w:pPr>
            <w:r>
              <w:rPr>
                <w:rFonts w:hint="eastAsia" w:ascii="宋体" w:hAnsi="宋体"/>
                <w:color w:val="auto"/>
                <w:sz w:val="24"/>
                <w:highlight w:val="none"/>
              </w:rPr>
              <w:t>数据处理</w:t>
            </w:r>
          </w:p>
        </w:tc>
        <w:tc>
          <w:tcPr>
            <w:tcW w:w="5670" w:type="dxa"/>
            <w:noWrap/>
            <w:vAlign w:val="center"/>
          </w:tcPr>
          <w:p>
            <w:pPr>
              <w:rPr>
                <w:rFonts w:ascii="宋体" w:hAnsi="宋体"/>
                <w:color w:val="auto"/>
                <w:sz w:val="24"/>
                <w:highlight w:val="none"/>
              </w:rPr>
            </w:pPr>
            <w:r>
              <w:rPr>
                <w:rFonts w:hint="eastAsia" w:ascii="宋体" w:hAnsi="宋体"/>
                <w:color w:val="auto"/>
                <w:sz w:val="24"/>
                <w:highlight w:val="none"/>
              </w:rPr>
              <w:t>数据处理</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Align w:val="center"/>
          </w:tcPr>
          <w:p>
            <w:pPr>
              <w:rPr>
                <w:rFonts w:ascii="宋体" w:hAnsi="宋体"/>
                <w:color w:val="auto"/>
                <w:sz w:val="24"/>
                <w:highlight w:val="none"/>
              </w:rPr>
            </w:pPr>
            <w:r>
              <w:rPr>
                <w:rFonts w:hint="eastAsia" w:ascii="宋体" w:hAnsi="宋体"/>
                <w:color w:val="auto"/>
                <w:sz w:val="24"/>
                <w:highlight w:val="none"/>
              </w:rPr>
              <w:t>数据管控</w:t>
            </w:r>
          </w:p>
        </w:tc>
        <w:tc>
          <w:tcPr>
            <w:tcW w:w="5670" w:type="dxa"/>
            <w:noWrap/>
            <w:vAlign w:val="center"/>
          </w:tcPr>
          <w:p>
            <w:pPr>
              <w:rPr>
                <w:rFonts w:ascii="宋体" w:hAnsi="宋体"/>
                <w:color w:val="auto"/>
                <w:sz w:val="24"/>
                <w:highlight w:val="none"/>
              </w:rPr>
            </w:pPr>
            <w:r>
              <w:rPr>
                <w:rFonts w:hint="eastAsia" w:ascii="宋体" w:hAnsi="宋体"/>
                <w:color w:val="auto"/>
                <w:sz w:val="24"/>
                <w:highlight w:val="none"/>
              </w:rPr>
              <w:t>数据管控</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Align w:val="center"/>
          </w:tcPr>
          <w:p>
            <w:pPr>
              <w:rPr>
                <w:rFonts w:ascii="宋体" w:hAnsi="宋体"/>
                <w:color w:val="auto"/>
                <w:sz w:val="24"/>
                <w:highlight w:val="none"/>
              </w:rPr>
            </w:pPr>
            <w:r>
              <w:rPr>
                <w:rFonts w:hint="eastAsia" w:ascii="宋体" w:hAnsi="宋体"/>
                <w:color w:val="auto"/>
                <w:sz w:val="24"/>
                <w:highlight w:val="none"/>
              </w:rPr>
              <w:t>数据服务</w:t>
            </w:r>
          </w:p>
        </w:tc>
        <w:tc>
          <w:tcPr>
            <w:tcW w:w="5670" w:type="dxa"/>
            <w:noWrap/>
            <w:vAlign w:val="center"/>
          </w:tcPr>
          <w:p>
            <w:pPr>
              <w:rPr>
                <w:rFonts w:ascii="宋体" w:hAnsi="宋体"/>
                <w:color w:val="auto"/>
                <w:sz w:val="24"/>
                <w:highlight w:val="none"/>
              </w:rPr>
            </w:pPr>
            <w:r>
              <w:rPr>
                <w:rFonts w:hint="eastAsia" w:ascii="宋体" w:hAnsi="宋体"/>
                <w:color w:val="auto"/>
                <w:sz w:val="24"/>
                <w:highlight w:val="none"/>
              </w:rPr>
              <w:t>数据服务</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Align w:val="center"/>
          </w:tcPr>
          <w:p>
            <w:pPr>
              <w:rPr>
                <w:rFonts w:ascii="宋体" w:hAnsi="宋体"/>
                <w:color w:val="auto"/>
                <w:sz w:val="24"/>
                <w:highlight w:val="none"/>
              </w:rPr>
            </w:pPr>
            <w:r>
              <w:rPr>
                <w:rFonts w:hint="eastAsia" w:ascii="宋体" w:hAnsi="宋体"/>
                <w:color w:val="auto"/>
                <w:sz w:val="24"/>
                <w:highlight w:val="none"/>
              </w:rPr>
              <w:t>数据安全</w:t>
            </w:r>
          </w:p>
        </w:tc>
        <w:tc>
          <w:tcPr>
            <w:tcW w:w="5670" w:type="dxa"/>
            <w:noWrap/>
            <w:vAlign w:val="center"/>
          </w:tcPr>
          <w:p>
            <w:pPr>
              <w:rPr>
                <w:rFonts w:ascii="宋体" w:hAnsi="宋体"/>
                <w:color w:val="auto"/>
                <w:sz w:val="24"/>
                <w:highlight w:val="none"/>
              </w:rPr>
            </w:pPr>
            <w:r>
              <w:rPr>
                <w:rFonts w:hint="eastAsia" w:ascii="宋体" w:hAnsi="宋体"/>
                <w:color w:val="auto"/>
                <w:sz w:val="24"/>
                <w:highlight w:val="none"/>
              </w:rPr>
              <w:t>数据安全</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Align w:val="center"/>
          </w:tcPr>
          <w:p>
            <w:pPr>
              <w:rPr>
                <w:rFonts w:ascii="宋体" w:hAnsi="宋体"/>
                <w:color w:val="auto"/>
                <w:sz w:val="24"/>
                <w:highlight w:val="none"/>
              </w:rPr>
            </w:pPr>
            <w:r>
              <w:rPr>
                <w:rFonts w:hint="eastAsia" w:ascii="宋体" w:hAnsi="宋体"/>
                <w:color w:val="auto"/>
                <w:sz w:val="24"/>
                <w:highlight w:val="none"/>
              </w:rPr>
              <w:t>平台管理</w:t>
            </w:r>
          </w:p>
        </w:tc>
        <w:tc>
          <w:tcPr>
            <w:tcW w:w="5670" w:type="dxa"/>
            <w:noWrap/>
            <w:vAlign w:val="center"/>
          </w:tcPr>
          <w:p>
            <w:pPr>
              <w:rPr>
                <w:rFonts w:ascii="宋体" w:hAnsi="宋体"/>
                <w:color w:val="auto"/>
                <w:sz w:val="24"/>
                <w:highlight w:val="none"/>
              </w:rPr>
            </w:pPr>
            <w:r>
              <w:rPr>
                <w:rFonts w:hint="eastAsia" w:ascii="宋体" w:hAnsi="宋体"/>
                <w:color w:val="auto"/>
                <w:sz w:val="24"/>
                <w:highlight w:val="none"/>
              </w:rPr>
              <w:t>平台管理</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restart"/>
            <w:vAlign w:val="center"/>
          </w:tcPr>
          <w:p>
            <w:pPr>
              <w:rPr>
                <w:rFonts w:ascii="宋体" w:hAnsi="宋体"/>
                <w:color w:val="auto"/>
                <w:sz w:val="24"/>
                <w:highlight w:val="none"/>
              </w:rPr>
            </w:pPr>
            <w:r>
              <w:rPr>
                <w:rFonts w:hint="eastAsia" w:ascii="宋体" w:hAnsi="宋体"/>
                <w:color w:val="auto"/>
                <w:sz w:val="24"/>
                <w:highlight w:val="none"/>
              </w:rPr>
              <w:t>区域专科专病数据平台</w:t>
            </w:r>
          </w:p>
        </w:tc>
        <w:tc>
          <w:tcPr>
            <w:tcW w:w="2399" w:type="dxa"/>
            <w:vAlign w:val="center"/>
          </w:tcPr>
          <w:p>
            <w:pPr>
              <w:rPr>
                <w:rFonts w:ascii="宋体" w:hAnsi="宋体"/>
                <w:color w:val="auto"/>
                <w:sz w:val="24"/>
                <w:highlight w:val="none"/>
              </w:rPr>
            </w:pPr>
            <w:r>
              <w:rPr>
                <w:rFonts w:hint="eastAsia" w:ascii="宋体" w:hAnsi="宋体"/>
                <w:color w:val="auto"/>
                <w:sz w:val="24"/>
                <w:highlight w:val="none"/>
              </w:rPr>
              <w:t>专病数据加工平台</w:t>
            </w:r>
          </w:p>
        </w:tc>
        <w:tc>
          <w:tcPr>
            <w:tcW w:w="5670" w:type="dxa"/>
            <w:noWrap/>
            <w:vAlign w:val="center"/>
          </w:tcPr>
          <w:p>
            <w:pPr>
              <w:rPr>
                <w:rFonts w:ascii="宋体" w:hAnsi="宋体"/>
                <w:color w:val="auto"/>
                <w:sz w:val="24"/>
                <w:highlight w:val="none"/>
              </w:rPr>
            </w:pPr>
            <w:r>
              <w:rPr>
                <w:rFonts w:hint="eastAsia" w:ascii="宋体" w:hAnsi="宋体"/>
                <w:color w:val="auto"/>
                <w:sz w:val="24"/>
                <w:highlight w:val="none"/>
              </w:rPr>
              <w:t>专病数据加工平台</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restart"/>
            <w:vAlign w:val="center"/>
          </w:tcPr>
          <w:p>
            <w:pPr>
              <w:rPr>
                <w:rFonts w:ascii="宋体" w:hAnsi="宋体"/>
                <w:color w:val="auto"/>
                <w:sz w:val="24"/>
                <w:highlight w:val="none"/>
              </w:rPr>
            </w:pPr>
            <w:r>
              <w:rPr>
                <w:rFonts w:hint="eastAsia" w:ascii="宋体" w:hAnsi="宋体"/>
                <w:color w:val="auto"/>
                <w:sz w:val="24"/>
                <w:highlight w:val="none"/>
              </w:rPr>
              <w:t>智能化应用平台</w:t>
            </w:r>
          </w:p>
        </w:tc>
        <w:tc>
          <w:tcPr>
            <w:tcW w:w="5670" w:type="dxa"/>
            <w:vAlign w:val="center"/>
          </w:tcPr>
          <w:p>
            <w:pPr>
              <w:rPr>
                <w:rFonts w:ascii="宋体" w:hAnsi="宋体"/>
                <w:color w:val="auto"/>
                <w:sz w:val="24"/>
                <w:highlight w:val="none"/>
              </w:rPr>
            </w:pPr>
            <w:r>
              <w:rPr>
                <w:rFonts w:hint="eastAsia" w:ascii="宋体" w:hAnsi="宋体"/>
                <w:color w:val="auto"/>
                <w:sz w:val="24"/>
                <w:highlight w:val="none"/>
              </w:rPr>
              <w:t>数字化放疗系统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5</w:t>
            </w:r>
            <w:r>
              <w:rPr>
                <w:rFonts w:ascii="宋体" w:hAnsi="宋体"/>
                <w:color w:val="auto"/>
                <w:sz w:val="24"/>
                <w:highlight w:val="none"/>
              </w:rPr>
              <w:t>G+</w:t>
            </w:r>
            <w:r>
              <w:rPr>
                <w:rFonts w:hint="eastAsia" w:ascii="宋体" w:hAnsi="宋体"/>
                <w:color w:val="auto"/>
                <w:sz w:val="24"/>
                <w:highlight w:val="none"/>
              </w:rPr>
              <w:t>“数字肺”肺疾病精准诊疗系统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眼健康眼智能管理系统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restart"/>
            <w:vAlign w:val="center"/>
          </w:tcPr>
          <w:p>
            <w:pPr>
              <w:rPr>
                <w:rFonts w:ascii="宋体" w:hAnsi="宋体"/>
                <w:color w:val="auto"/>
                <w:sz w:val="24"/>
                <w:highlight w:val="none"/>
              </w:rPr>
            </w:pPr>
            <w:r>
              <w:rPr>
                <w:rFonts w:hint="eastAsia" w:ascii="宋体" w:hAnsi="宋体"/>
                <w:color w:val="auto"/>
                <w:sz w:val="24"/>
                <w:highlight w:val="none"/>
              </w:rPr>
              <w:t>特色专科专病中心</w:t>
            </w:r>
          </w:p>
        </w:tc>
        <w:tc>
          <w:tcPr>
            <w:tcW w:w="5670" w:type="dxa"/>
            <w:vAlign w:val="center"/>
          </w:tcPr>
          <w:p>
            <w:pPr>
              <w:rPr>
                <w:rFonts w:ascii="宋体" w:hAnsi="宋体"/>
                <w:color w:val="auto"/>
                <w:sz w:val="24"/>
                <w:highlight w:val="none"/>
              </w:rPr>
            </w:pPr>
            <w:r>
              <w:rPr>
                <w:rFonts w:hint="eastAsia" w:ascii="宋体" w:hAnsi="宋体"/>
                <w:color w:val="auto"/>
                <w:sz w:val="24"/>
                <w:highlight w:val="none"/>
              </w:rPr>
              <w:t>呼吸科专科数据中心</w:t>
            </w:r>
          </w:p>
        </w:tc>
        <w:tc>
          <w:tcPr>
            <w:tcW w:w="1342" w:type="dxa"/>
          </w:tcPr>
          <w:p>
            <w:pPr>
              <w:jc w:val="center"/>
              <w:rPr>
                <w:color w:val="auto"/>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肿瘤科专科数据中心</w:t>
            </w:r>
          </w:p>
        </w:tc>
        <w:tc>
          <w:tcPr>
            <w:tcW w:w="1342" w:type="dxa"/>
          </w:tcPr>
          <w:p>
            <w:pPr>
              <w:jc w:val="center"/>
              <w:rPr>
                <w:color w:val="auto"/>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心内科专科数据中心</w:t>
            </w:r>
          </w:p>
        </w:tc>
        <w:tc>
          <w:tcPr>
            <w:tcW w:w="1342" w:type="dxa"/>
          </w:tcPr>
          <w:p>
            <w:pPr>
              <w:jc w:val="center"/>
              <w:rPr>
                <w:color w:val="auto"/>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感染科专科数据中心</w:t>
            </w:r>
          </w:p>
        </w:tc>
        <w:tc>
          <w:tcPr>
            <w:tcW w:w="1342" w:type="dxa"/>
          </w:tcPr>
          <w:p>
            <w:pPr>
              <w:jc w:val="center"/>
              <w:rPr>
                <w:color w:val="auto"/>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骨科专科数据中心</w:t>
            </w:r>
          </w:p>
        </w:tc>
        <w:tc>
          <w:tcPr>
            <w:tcW w:w="1342" w:type="dxa"/>
          </w:tcPr>
          <w:p>
            <w:pPr>
              <w:jc w:val="center"/>
              <w:rPr>
                <w:color w:val="auto"/>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眼科专科数据中心</w:t>
            </w:r>
          </w:p>
        </w:tc>
        <w:tc>
          <w:tcPr>
            <w:tcW w:w="1342" w:type="dxa"/>
          </w:tcPr>
          <w:p>
            <w:pPr>
              <w:jc w:val="center"/>
              <w:rPr>
                <w:color w:val="auto"/>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restart"/>
            <w:vAlign w:val="center"/>
          </w:tcPr>
          <w:p>
            <w:pPr>
              <w:rPr>
                <w:rFonts w:ascii="宋体" w:hAnsi="宋体"/>
                <w:color w:val="auto"/>
                <w:sz w:val="24"/>
                <w:highlight w:val="none"/>
              </w:rPr>
            </w:pPr>
            <w:r>
              <w:rPr>
                <w:rFonts w:hint="eastAsia" w:ascii="宋体" w:hAnsi="宋体"/>
                <w:color w:val="auto"/>
                <w:sz w:val="24"/>
                <w:highlight w:val="none"/>
              </w:rPr>
              <w:t>“五大中心”建设</w:t>
            </w:r>
          </w:p>
        </w:tc>
        <w:tc>
          <w:tcPr>
            <w:tcW w:w="5670" w:type="dxa"/>
            <w:vAlign w:val="center"/>
          </w:tcPr>
          <w:p>
            <w:pPr>
              <w:rPr>
                <w:rFonts w:ascii="宋体" w:hAnsi="宋体"/>
                <w:color w:val="auto"/>
                <w:sz w:val="24"/>
                <w:highlight w:val="none"/>
              </w:rPr>
            </w:pPr>
            <w:r>
              <w:rPr>
                <w:rFonts w:hint="eastAsia" w:ascii="宋体" w:hAnsi="宋体"/>
                <w:color w:val="auto"/>
                <w:sz w:val="24"/>
                <w:highlight w:val="none"/>
              </w:rPr>
              <w:t>胸痛中心</w:t>
            </w:r>
          </w:p>
        </w:tc>
        <w:tc>
          <w:tcPr>
            <w:tcW w:w="1342" w:type="dxa"/>
          </w:tcPr>
          <w:p>
            <w:pPr>
              <w:jc w:val="center"/>
              <w:rPr>
                <w:color w:val="auto"/>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卒中中心</w:t>
            </w:r>
          </w:p>
        </w:tc>
        <w:tc>
          <w:tcPr>
            <w:tcW w:w="1342" w:type="dxa"/>
          </w:tcPr>
          <w:p>
            <w:pPr>
              <w:jc w:val="center"/>
              <w:rPr>
                <w:color w:val="auto"/>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创伤中心</w:t>
            </w:r>
          </w:p>
        </w:tc>
        <w:tc>
          <w:tcPr>
            <w:tcW w:w="1342" w:type="dxa"/>
          </w:tcPr>
          <w:p>
            <w:pPr>
              <w:jc w:val="center"/>
              <w:rPr>
                <w:color w:val="auto"/>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危重症孕产妇救治中心</w:t>
            </w:r>
          </w:p>
        </w:tc>
        <w:tc>
          <w:tcPr>
            <w:tcW w:w="1342" w:type="dxa"/>
          </w:tcPr>
          <w:p>
            <w:pPr>
              <w:jc w:val="center"/>
              <w:rPr>
                <w:color w:val="auto"/>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危重幼儿和新生儿救治中心</w:t>
            </w:r>
          </w:p>
        </w:tc>
        <w:tc>
          <w:tcPr>
            <w:tcW w:w="1342" w:type="dxa"/>
          </w:tcPr>
          <w:p>
            <w:pPr>
              <w:jc w:val="center"/>
              <w:rPr>
                <w:color w:val="auto"/>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4252" w:type="dxa"/>
            <w:gridSpan w:val="3"/>
            <w:vMerge w:val="restart"/>
            <w:vAlign w:val="center"/>
          </w:tcPr>
          <w:p>
            <w:pPr>
              <w:rPr>
                <w:rFonts w:ascii="宋体" w:hAnsi="宋体"/>
                <w:color w:val="auto"/>
                <w:sz w:val="24"/>
                <w:highlight w:val="none"/>
              </w:rPr>
            </w:pPr>
            <w:r>
              <w:rPr>
                <w:rFonts w:hint="eastAsia" w:ascii="宋体" w:hAnsi="宋体"/>
                <w:color w:val="auto"/>
                <w:sz w:val="24"/>
                <w:highlight w:val="none"/>
              </w:rPr>
              <w:t>区域科研中心</w:t>
            </w:r>
          </w:p>
        </w:tc>
        <w:tc>
          <w:tcPr>
            <w:tcW w:w="5670" w:type="dxa"/>
            <w:noWrap/>
            <w:vAlign w:val="center"/>
          </w:tcPr>
          <w:p>
            <w:pPr>
              <w:rPr>
                <w:rFonts w:ascii="宋体" w:hAnsi="宋体"/>
                <w:color w:val="auto"/>
                <w:sz w:val="24"/>
                <w:highlight w:val="none"/>
              </w:rPr>
            </w:pPr>
            <w:r>
              <w:rPr>
                <w:rFonts w:hint="eastAsia" w:ascii="宋体" w:hAnsi="宋体"/>
                <w:color w:val="auto"/>
                <w:sz w:val="24"/>
                <w:highlight w:val="none"/>
              </w:rPr>
              <w:t>区域专科科研随访管理系统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4252" w:type="dxa"/>
            <w:gridSpan w:val="3"/>
            <w:vMerge w:val="continue"/>
            <w:vAlign w:val="center"/>
          </w:tcPr>
          <w:p>
            <w:pPr>
              <w:rPr>
                <w:rFonts w:ascii="宋体" w:hAnsi="宋体"/>
                <w:color w:val="auto"/>
                <w:sz w:val="24"/>
                <w:highlight w:val="none"/>
              </w:rPr>
            </w:pPr>
          </w:p>
        </w:tc>
        <w:tc>
          <w:tcPr>
            <w:tcW w:w="5670" w:type="dxa"/>
            <w:noWrap/>
            <w:vAlign w:val="center"/>
          </w:tcPr>
          <w:p>
            <w:pPr>
              <w:rPr>
                <w:rFonts w:ascii="宋体" w:hAnsi="宋体"/>
                <w:color w:val="auto"/>
                <w:sz w:val="24"/>
                <w:highlight w:val="none"/>
              </w:rPr>
            </w:pPr>
            <w:r>
              <w:rPr>
                <w:rFonts w:hint="eastAsia" w:ascii="宋体" w:hAnsi="宋体"/>
                <w:color w:val="auto"/>
                <w:sz w:val="24"/>
                <w:highlight w:val="none"/>
              </w:rPr>
              <w:t>区域专科科研大数据搜索系统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4252" w:type="dxa"/>
            <w:gridSpan w:val="3"/>
            <w:vMerge w:val="continue"/>
            <w:vAlign w:val="center"/>
          </w:tcPr>
          <w:p>
            <w:pPr>
              <w:rPr>
                <w:rFonts w:ascii="宋体" w:hAnsi="宋体"/>
                <w:color w:val="auto"/>
                <w:sz w:val="24"/>
                <w:highlight w:val="none"/>
              </w:rPr>
            </w:pPr>
          </w:p>
        </w:tc>
        <w:tc>
          <w:tcPr>
            <w:tcW w:w="5670" w:type="dxa"/>
            <w:noWrap/>
            <w:vAlign w:val="center"/>
          </w:tcPr>
          <w:p>
            <w:pPr>
              <w:rPr>
                <w:rFonts w:ascii="宋体" w:hAnsi="宋体"/>
                <w:color w:val="auto"/>
                <w:sz w:val="24"/>
                <w:highlight w:val="none"/>
              </w:rPr>
            </w:pPr>
            <w:r>
              <w:rPr>
                <w:rFonts w:hint="eastAsia" w:ascii="宋体" w:hAnsi="宋体"/>
                <w:color w:val="auto"/>
                <w:sz w:val="24"/>
                <w:highlight w:val="none"/>
              </w:rPr>
              <w:t>区域临床数据分析平台</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4252" w:type="dxa"/>
            <w:gridSpan w:val="3"/>
            <w:vMerge w:val="continue"/>
            <w:vAlign w:val="center"/>
          </w:tcPr>
          <w:p>
            <w:pPr>
              <w:rPr>
                <w:rFonts w:ascii="宋体" w:hAnsi="宋体"/>
                <w:color w:val="auto"/>
                <w:sz w:val="24"/>
                <w:highlight w:val="none"/>
              </w:rPr>
            </w:pPr>
          </w:p>
        </w:tc>
        <w:tc>
          <w:tcPr>
            <w:tcW w:w="5670" w:type="dxa"/>
            <w:noWrap/>
            <w:vAlign w:val="center"/>
          </w:tcPr>
          <w:p>
            <w:pPr>
              <w:rPr>
                <w:rFonts w:ascii="宋体" w:hAnsi="宋体"/>
                <w:color w:val="auto"/>
                <w:sz w:val="24"/>
                <w:highlight w:val="none"/>
              </w:rPr>
            </w:pPr>
            <w:r>
              <w:rPr>
                <w:rFonts w:hint="eastAsia" w:ascii="宋体" w:hAnsi="宋体"/>
                <w:color w:val="auto"/>
                <w:sz w:val="24"/>
                <w:highlight w:val="none"/>
              </w:rPr>
              <w:t>区域多中心临床科研管理系统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4252" w:type="dxa"/>
            <w:gridSpan w:val="3"/>
            <w:vMerge w:val="restart"/>
            <w:vAlign w:val="center"/>
          </w:tcPr>
          <w:p>
            <w:pPr>
              <w:rPr>
                <w:rFonts w:ascii="宋体" w:hAnsi="宋体"/>
                <w:color w:val="auto"/>
                <w:sz w:val="24"/>
                <w:highlight w:val="none"/>
              </w:rPr>
            </w:pPr>
            <w:r>
              <w:rPr>
                <w:rFonts w:hint="eastAsia" w:ascii="宋体" w:hAnsi="宋体"/>
                <w:color w:val="auto"/>
                <w:sz w:val="24"/>
                <w:highlight w:val="none"/>
              </w:rPr>
              <w:t>远程医疗服务管理平台</w:t>
            </w:r>
          </w:p>
        </w:tc>
        <w:tc>
          <w:tcPr>
            <w:tcW w:w="5670" w:type="dxa"/>
            <w:vAlign w:val="center"/>
          </w:tcPr>
          <w:p>
            <w:pPr>
              <w:rPr>
                <w:rFonts w:ascii="宋体" w:hAnsi="宋体"/>
                <w:color w:val="auto"/>
                <w:sz w:val="24"/>
                <w:highlight w:val="none"/>
              </w:rPr>
            </w:pPr>
            <w:r>
              <w:rPr>
                <w:rFonts w:hint="eastAsia" w:ascii="宋体" w:hAnsi="宋体"/>
                <w:color w:val="auto"/>
                <w:sz w:val="24"/>
                <w:highlight w:val="none"/>
              </w:rPr>
              <w:t>多学科协作平台（MDT）</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4252" w:type="dxa"/>
            <w:gridSpan w:val="3"/>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专科医联体</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4252" w:type="dxa"/>
            <w:gridSpan w:val="3"/>
            <w:vMerge w:val="continue"/>
            <w:vAlign w:val="center"/>
          </w:tcPr>
          <w:p>
            <w:pPr>
              <w:rPr>
                <w:rFonts w:ascii="宋体" w:hAnsi="宋体"/>
                <w:color w:val="auto"/>
                <w:sz w:val="24"/>
                <w:highlight w:val="none"/>
              </w:rPr>
            </w:pPr>
          </w:p>
        </w:tc>
        <w:tc>
          <w:tcPr>
            <w:tcW w:w="5670" w:type="dxa"/>
            <w:noWrap/>
            <w:vAlign w:val="center"/>
          </w:tcPr>
          <w:p>
            <w:pPr>
              <w:rPr>
                <w:rFonts w:ascii="宋体" w:hAnsi="宋体"/>
                <w:color w:val="auto"/>
                <w:sz w:val="24"/>
                <w:highlight w:val="none"/>
              </w:rPr>
            </w:pPr>
            <w:r>
              <w:rPr>
                <w:rFonts w:hint="eastAsia" w:ascii="宋体" w:hAnsi="宋体"/>
                <w:color w:val="auto"/>
                <w:sz w:val="24"/>
                <w:highlight w:val="none"/>
              </w:rPr>
              <w:t>远程医疗</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4252" w:type="dxa"/>
            <w:gridSpan w:val="3"/>
            <w:vMerge w:val="continue"/>
            <w:vAlign w:val="center"/>
          </w:tcPr>
          <w:p>
            <w:pPr>
              <w:rPr>
                <w:rFonts w:ascii="宋体" w:hAnsi="宋体"/>
                <w:color w:val="auto"/>
                <w:sz w:val="24"/>
                <w:highlight w:val="none"/>
              </w:rPr>
            </w:pPr>
          </w:p>
        </w:tc>
        <w:tc>
          <w:tcPr>
            <w:tcW w:w="5670" w:type="dxa"/>
            <w:noWrap/>
            <w:vAlign w:val="center"/>
          </w:tcPr>
          <w:p>
            <w:pPr>
              <w:rPr>
                <w:rFonts w:ascii="宋体" w:hAnsi="宋体"/>
                <w:color w:val="auto"/>
                <w:sz w:val="24"/>
                <w:highlight w:val="none"/>
              </w:rPr>
            </w:pPr>
            <w:r>
              <w:rPr>
                <w:rFonts w:hint="eastAsia" w:ascii="宋体" w:hAnsi="宋体"/>
                <w:color w:val="auto"/>
                <w:sz w:val="24"/>
                <w:highlight w:val="none"/>
              </w:rPr>
              <w:t>远程影像协作系统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4252" w:type="dxa"/>
            <w:gridSpan w:val="3"/>
            <w:vMerge w:val="continue"/>
            <w:vAlign w:val="center"/>
          </w:tcPr>
          <w:p>
            <w:pPr>
              <w:rPr>
                <w:rFonts w:ascii="宋体" w:hAnsi="宋体"/>
                <w:color w:val="auto"/>
                <w:sz w:val="24"/>
                <w:highlight w:val="none"/>
              </w:rPr>
            </w:pPr>
          </w:p>
        </w:tc>
        <w:tc>
          <w:tcPr>
            <w:tcW w:w="5670" w:type="dxa"/>
            <w:noWrap/>
            <w:vAlign w:val="center"/>
          </w:tcPr>
          <w:p>
            <w:pPr>
              <w:rPr>
                <w:rFonts w:ascii="宋体" w:hAnsi="宋体"/>
                <w:color w:val="auto"/>
                <w:sz w:val="24"/>
                <w:highlight w:val="none"/>
              </w:rPr>
            </w:pPr>
            <w:r>
              <w:rPr>
                <w:rFonts w:hint="eastAsia" w:ascii="宋体" w:hAnsi="宋体"/>
                <w:color w:val="auto"/>
                <w:sz w:val="24"/>
                <w:highlight w:val="none"/>
              </w:rPr>
              <w:t>远程质控中心</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4252" w:type="dxa"/>
            <w:gridSpan w:val="3"/>
            <w:vMerge w:val="continue"/>
            <w:vAlign w:val="center"/>
          </w:tcPr>
          <w:p>
            <w:pPr>
              <w:rPr>
                <w:rFonts w:ascii="宋体" w:hAnsi="宋体"/>
                <w:color w:val="auto"/>
                <w:sz w:val="24"/>
                <w:highlight w:val="none"/>
              </w:rPr>
            </w:pPr>
          </w:p>
        </w:tc>
        <w:tc>
          <w:tcPr>
            <w:tcW w:w="5670" w:type="dxa"/>
            <w:noWrap/>
            <w:vAlign w:val="center"/>
          </w:tcPr>
          <w:p>
            <w:pPr>
              <w:rPr>
                <w:rFonts w:ascii="宋体" w:hAnsi="宋体"/>
                <w:color w:val="auto"/>
                <w:sz w:val="24"/>
                <w:highlight w:val="none"/>
              </w:rPr>
            </w:pPr>
            <w:r>
              <w:rPr>
                <w:rFonts w:hint="eastAsia" w:ascii="宋体" w:hAnsi="宋体"/>
                <w:color w:val="auto"/>
                <w:sz w:val="24"/>
                <w:highlight w:val="none"/>
              </w:rPr>
              <w:t>远程病历管理系统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restart"/>
            <w:vAlign w:val="center"/>
          </w:tcPr>
          <w:p>
            <w:pPr>
              <w:jc w:val="center"/>
              <w:rPr>
                <w:rFonts w:ascii="宋体" w:hAnsi="宋体"/>
                <w:b/>
                <w:bCs/>
                <w:color w:val="auto"/>
                <w:sz w:val="24"/>
                <w:highlight w:val="none"/>
              </w:rPr>
            </w:pPr>
            <w:r>
              <w:rPr>
                <w:rFonts w:hint="eastAsia" w:ascii="宋体" w:hAnsi="宋体"/>
                <w:b/>
                <w:bCs/>
                <w:color w:val="auto"/>
                <w:sz w:val="24"/>
                <w:highlight w:val="none"/>
              </w:rPr>
              <w:t>三、公共卫生及传染病平台</w:t>
            </w:r>
          </w:p>
        </w:tc>
        <w:tc>
          <w:tcPr>
            <w:tcW w:w="1853" w:type="dxa"/>
            <w:gridSpan w:val="2"/>
            <w:vMerge w:val="restart"/>
            <w:vAlign w:val="center"/>
          </w:tcPr>
          <w:p>
            <w:pPr>
              <w:rPr>
                <w:rFonts w:ascii="宋体" w:hAnsi="宋体"/>
                <w:color w:val="auto"/>
                <w:sz w:val="24"/>
                <w:highlight w:val="none"/>
              </w:rPr>
            </w:pPr>
            <w:r>
              <w:rPr>
                <w:rFonts w:hint="eastAsia" w:ascii="宋体" w:hAnsi="宋体"/>
                <w:color w:val="auto"/>
                <w:sz w:val="24"/>
                <w:highlight w:val="none"/>
              </w:rPr>
              <w:t>公共卫生及传染病平台</w:t>
            </w:r>
          </w:p>
        </w:tc>
        <w:tc>
          <w:tcPr>
            <w:tcW w:w="2399" w:type="dxa"/>
            <w:vMerge w:val="restart"/>
            <w:vAlign w:val="center"/>
          </w:tcPr>
          <w:p>
            <w:pPr>
              <w:rPr>
                <w:rFonts w:ascii="宋体" w:hAnsi="宋体"/>
                <w:color w:val="auto"/>
                <w:sz w:val="24"/>
                <w:highlight w:val="none"/>
              </w:rPr>
            </w:pPr>
            <w:r>
              <w:rPr>
                <w:rFonts w:hint="eastAsia" w:ascii="宋体" w:hAnsi="宋体"/>
                <w:color w:val="auto"/>
                <w:sz w:val="24"/>
                <w:highlight w:val="none"/>
              </w:rPr>
              <w:t>公共卫生核心业务系统</w:t>
            </w:r>
          </w:p>
        </w:tc>
        <w:tc>
          <w:tcPr>
            <w:tcW w:w="5670" w:type="dxa"/>
          </w:tcPr>
          <w:p>
            <w:pPr>
              <w:rPr>
                <w:rFonts w:ascii="宋体" w:hAnsi="宋体"/>
                <w:color w:val="auto"/>
                <w:sz w:val="24"/>
                <w:highlight w:val="none"/>
              </w:rPr>
            </w:pPr>
            <w:r>
              <w:rPr>
                <w:rFonts w:hint="eastAsia" w:ascii="宋体" w:hAnsi="宋体"/>
                <w:color w:val="auto"/>
                <w:sz w:val="24"/>
                <w:highlight w:val="none"/>
              </w:rPr>
              <w:t>传染病动态监测与管理</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tcPr>
          <w:p>
            <w:pPr>
              <w:rPr>
                <w:rFonts w:ascii="宋体" w:hAnsi="宋体"/>
                <w:color w:val="auto"/>
                <w:sz w:val="24"/>
                <w:highlight w:val="none"/>
              </w:rPr>
            </w:pPr>
            <w:r>
              <w:rPr>
                <w:rFonts w:hint="eastAsia" w:ascii="宋体" w:hAnsi="宋体"/>
                <w:color w:val="auto"/>
                <w:sz w:val="24"/>
                <w:highlight w:val="none"/>
              </w:rPr>
              <w:t>慢性病监测与管理</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tcPr>
          <w:p>
            <w:pPr>
              <w:rPr>
                <w:rFonts w:ascii="宋体" w:hAnsi="宋体"/>
                <w:color w:val="auto"/>
                <w:sz w:val="24"/>
                <w:highlight w:val="none"/>
              </w:rPr>
            </w:pPr>
            <w:r>
              <w:rPr>
                <w:rFonts w:hint="eastAsia" w:ascii="宋体" w:hAnsi="宋体"/>
                <w:color w:val="auto"/>
                <w:sz w:val="24"/>
                <w:highlight w:val="none"/>
              </w:rPr>
              <w:t>精神卫生疾病管理</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tcPr>
          <w:p>
            <w:pPr>
              <w:rPr>
                <w:rFonts w:ascii="宋体" w:hAnsi="宋体"/>
                <w:color w:val="auto"/>
                <w:sz w:val="24"/>
                <w:highlight w:val="none"/>
              </w:rPr>
            </w:pPr>
            <w:r>
              <w:rPr>
                <w:rFonts w:hint="eastAsia" w:ascii="宋体" w:hAnsi="宋体"/>
                <w:color w:val="auto"/>
                <w:sz w:val="24"/>
                <w:highlight w:val="none"/>
              </w:rPr>
              <w:t>儿童健康管理</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tcPr>
          <w:p>
            <w:pPr>
              <w:rPr>
                <w:rFonts w:ascii="宋体" w:hAnsi="宋体"/>
                <w:color w:val="auto"/>
                <w:sz w:val="24"/>
                <w:highlight w:val="none"/>
              </w:rPr>
            </w:pPr>
            <w:r>
              <w:rPr>
                <w:rFonts w:hint="eastAsia" w:ascii="宋体" w:hAnsi="宋体"/>
                <w:color w:val="auto"/>
                <w:sz w:val="24"/>
                <w:highlight w:val="none"/>
              </w:rPr>
              <w:t>老年人中医药健康管理</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tcPr>
          <w:p>
            <w:pPr>
              <w:rPr>
                <w:rFonts w:ascii="宋体" w:hAnsi="宋体"/>
                <w:color w:val="auto"/>
                <w:sz w:val="24"/>
                <w:highlight w:val="none"/>
              </w:rPr>
            </w:pPr>
            <w:r>
              <w:rPr>
                <w:rFonts w:hint="eastAsia" w:ascii="宋体" w:hAnsi="宋体"/>
                <w:color w:val="auto"/>
                <w:sz w:val="24"/>
                <w:highlight w:val="none"/>
              </w:rPr>
              <w:t>职业卫生监测管理</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tcPr>
          <w:p>
            <w:pPr>
              <w:rPr>
                <w:rFonts w:ascii="宋体" w:hAnsi="宋体"/>
                <w:color w:val="auto"/>
                <w:sz w:val="24"/>
                <w:highlight w:val="none"/>
              </w:rPr>
            </w:pPr>
            <w:r>
              <w:rPr>
                <w:rFonts w:hint="eastAsia" w:ascii="宋体" w:hAnsi="宋体"/>
                <w:color w:val="auto"/>
                <w:sz w:val="24"/>
                <w:highlight w:val="none"/>
              </w:rPr>
              <w:t>伤害防控管理</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tcPr>
          <w:p>
            <w:pPr>
              <w:rPr>
                <w:rFonts w:ascii="宋体" w:hAnsi="宋体"/>
                <w:color w:val="auto"/>
                <w:sz w:val="24"/>
                <w:highlight w:val="none"/>
              </w:rPr>
            </w:pPr>
            <w:r>
              <w:rPr>
                <w:rFonts w:hint="eastAsia" w:ascii="宋体" w:hAnsi="宋体"/>
                <w:color w:val="auto"/>
                <w:sz w:val="24"/>
                <w:highlight w:val="none"/>
              </w:rPr>
              <w:t>地方病监测管理</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tcPr>
          <w:p>
            <w:pPr>
              <w:rPr>
                <w:rFonts w:ascii="宋体" w:hAnsi="宋体"/>
                <w:color w:val="auto"/>
                <w:sz w:val="24"/>
                <w:highlight w:val="none"/>
              </w:rPr>
            </w:pPr>
            <w:r>
              <w:rPr>
                <w:rFonts w:hint="eastAsia" w:ascii="宋体" w:hAnsi="宋体"/>
                <w:color w:val="auto"/>
                <w:sz w:val="24"/>
                <w:highlight w:val="none"/>
              </w:rPr>
              <w:t>死亡监测管理</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tcPr>
          <w:p>
            <w:pPr>
              <w:rPr>
                <w:rFonts w:ascii="宋体" w:hAnsi="宋体"/>
                <w:color w:val="auto"/>
                <w:sz w:val="24"/>
                <w:highlight w:val="none"/>
              </w:rPr>
            </w:pPr>
            <w:r>
              <w:rPr>
                <w:rFonts w:hint="eastAsia" w:ascii="宋体" w:hAnsi="宋体"/>
                <w:color w:val="auto"/>
                <w:sz w:val="24"/>
                <w:highlight w:val="none"/>
              </w:rPr>
              <w:t>突发公共卫生事件管理</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tcPr>
          <w:p>
            <w:pPr>
              <w:rPr>
                <w:rFonts w:ascii="宋体" w:hAnsi="宋体"/>
                <w:color w:val="auto"/>
                <w:sz w:val="24"/>
                <w:highlight w:val="none"/>
              </w:rPr>
            </w:pPr>
            <w:r>
              <w:rPr>
                <w:rFonts w:hint="eastAsia" w:ascii="宋体" w:hAnsi="宋体"/>
                <w:color w:val="auto"/>
                <w:sz w:val="24"/>
                <w:highlight w:val="none"/>
              </w:rPr>
              <w:t>健康教育管理</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restart"/>
            <w:vAlign w:val="center"/>
          </w:tcPr>
          <w:p>
            <w:pPr>
              <w:rPr>
                <w:rFonts w:ascii="宋体" w:hAnsi="宋体"/>
                <w:color w:val="auto"/>
                <w:sz w:val="24"/>
                <w:highlight w:val="none"/>
              </w:rPr>
            </w:pPr>
            <w:r>
              <w:rPr>
                <w:rFonts w:hint="eastAsia" w:ascii="宋体" w:hAnsi="宋体"/>
                <w:color w:val="auto"/>
                <w:sz w:val="24"/>
                <w:highlight w:val="none"/>
              </w:rPr>
              <w:t>公共卫生管理服务平台</w:t>
            </w:r>
          </w:p>
        </w:tc>
        <w:tc>
          <w:tcPr>
            <w:tcW w:w="5670" w:type="dxa"/>
          </w:tcPr>
          <w:p>
            <w:pPr>
              <w:rPr>
                <w:rFonts w:ascii="宋体" w:hAnsi="宋体"/>
                <w:color w:val="auto"/>
                <w:sz w:val="24"/>
                <w:highlight w:val="none"/>
              </w:rPr>
            </w:pPr>
            <w:r>
              <w:rPr>
                <w:rFonts w:hint="eastAsia" w:ascii="宋体" w:hAnsi="宋体"/>
                <w:color w:val="auto"/>
                <w:sz w:val="24"/>
                <w:highlight w:val="none"/>
              </w:rPr>
              <w:t>数据资源服务中心</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tcPr>
          <w:p>
            <w:pPr>
              <w:rPr>
                <w:rFonts w:ascii="宋体" w:hAnsi="宋体"/>
                <w:color w:val="auto"/>
                <w:sz w:val="24"/>
                <w:highlight w:val="none"/>
              </w:rPr>
            </w:pPr>
            <w:r>
              <w:rPr>
                <w:rFonts w:hint="eastAsia" w:ascii="宋体" w:hAnsi="宋体"/>
                <w:color w:val="auto"/>
                <w:sz w:val="24"/>
                <w:highlight w:val="none"/>
              </w:rPr>
              <w:t>数据采集交换服务</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tcPr>
          <w:p>
            <w:pPr>
              <w:rPr>
                <w:rFonts w:ascii="宋体" w:hAnsi="宋体"/>
                <w:color w:val="auto"/>
                <w:sz w:val="24"/>
                <w:highlight w:val="none"/>
              </w:rPr>
            </w:pPr>
            <w:r>
              <w:rPr>
                <w:rFonts w:hint="eastAsia" w:ascii="宋体" w:hAnsi="宋体"/>
                <w:color w:val="auto"/>
                <w:sz w:val="24"/>
                <w:highlight w:val="none"/>
              </w:rPr>
              <w:t>公共卫生基础平台</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tcPr>
          <w:p>
            <w:pPr>
              <w:rPr>
                <w:rFonts w:ascii="宋体" w:hAnsi="宋体"/>
                <w:color w:val="auto"/>
                <w:sz w:val="24"/>
                <w:highlight w:val="none"/>
              </w:rPr>
            </w:pPr>
            <w:r>
              <w:rPr>
                <w:rFonts w:hint="eastAsia" w:ascii="宋体" w:hAnsi="宋体"/>
                <w:color w:val="auto"/>
                <w:sz w:val="24"/>
                <w:highlight w:val="none"/>
              </w:rPr>
              <w:t>平台外部接口</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tcPr>
          <w:p>
            <w:pPr>
              <w:rPr>
                <w:rFonts w:ascii="宋体" w:hAnsi="宋体"/>
                <w:color w:val="auto"/>
                <w:sz w:val="24"/>
                <w:highlight w:val="none"/>
              </w:rPr>
            </w:pPr>
            <w:r>
              <w:rPr>
                <w:rFonts w:hint="eastAsia" w:ascii="宋体" w:hAnsi="宋体"/>
                <w:color w:val="auto"/>
                <w:sz w:val="24"/>
                <w:highlight w:val="none"/>
              </w:rPr>
              <w:t>消毒机器人</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restart"/>
            <w:vAlign w:val="center"/>
          </w:tcPr>
          <w:p>
            <w:pPr>
              <w:jc w:val="center"/>
              <w:rPr>
                <w:rFonts w:ascii="宋体" w:hAnsi="宋体"/>
                <w:b/>
                <w:bCs/>
                <w:color w:val="auto"/>
                <w:sz w:val="24"/>
                <w:highlight w:val="none"/>
              </w:rPr>
            </w:pPr>
            <w:r>
              <w:rPr>
                <w:rFonts w:hint="eastAsia" w:ascii="宋体" w:hAnsi="宋体"/>
                <w:b/>
                <w:bCs/>
                <w:color w:val="auto"/>
                <w:sz w:val="24"/>
                <w:highlight w:val="none"/>
              </w:rPr>
              <w:t>四、区域监管中心</w:t>
            </w:r>
          </w:p>
        </w:tc>
        <w:tc>
          <w:tcPr>
            <w:tcW w:w="1853" w:type="dxa"/>
            <w:gridSpan w:val="2"/>
            <w:vMerge w:val="restart"/>
            <w:vAlign w:val="center"/>
          </w:tcPr>
          <w:p>
            <w:pPr>
              <w:rPr>
                <w:rFonts w:ascii="宋体" w:hAnsi="宋体"/>
                <w:color w:val="auto"/>
                <w:sz w:val="24"/>
                <w:highlight w:val="none"/>
              </w:rPr>
            </w:pPr>
            <w:r>
              <w:rPr>
                <w:rFonts w:hint="eastAsia" w:ascii="宋体" w:hAnsi="宋体"/>
                <w:color w:val="auto"/>
                <w:sz w:val="24"/>
                <w:highlight w:val="none"/>
              </w:rPr>
              <w:t>区域监管平台</w:t>
            </w:r>
          </w:p>
        </w:tc>
        <w:tc>
          <w:tcPr>
            <w:tcW w:w="2399" w:type="dxa"/>
            <w:vAlign w:val="center"/>
          </w:tcPr>
          <w:p>
            <w:pPr>
              <w:rPr>
                <w:rFonts w:ascii="宋体" w:hAnsi="宋体"/>
                <w:color w:val="auto"/>
                <w:sz w:val="24"/>
                <w:highlight w:val="none"/>
              </w:rPr>
            </w:pPr>
            <w:r>
              <w:rPr>
                <w:rFonts w:hint="eastAsia" w:hAnsi="宋体"/>
                <w:color w:val="auto"/>
                <w:highlight w:val="none"/>
              </w:rPr>
              <w:t>区域监管数据治理平台</w:t>
            </w:r>
          </w:p>
        </w:tc>
        <w:tc>
          <w:tcPr>
            <w:tcW w:w="5670" w:type="dxa"/>
            <w:vAlign w:val="center"/>
          </w:tcPr>
          <w:p>
            <w:pPr>
              <w:rPr>
                <w:rFonts w:ascii="宋体" w:hAnsi="宋体"/>
                <w:color w:val="auto"/>
                <w:sz w:val="24"/>
                <w:highlight w:val="none"/>
              </w:rPr>
            </w:pPr>
            <w:r>
              <w:rPr>
                <w:rFonts w:hint="eastAsia" w:hAnsi="宋体"/>
                <w:color w:val="auto"/>
                <w:highlight w:val="none"/>
              </w:rPr>
              <w:t>区域监管数据治理平台</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restart"/>
            <w:vAlign w:val="center"/>
          </w:tcPr>
          <w:p>
            <w:pPr>
              <w:rPr>
                <w:rFonts w:ascii="宋体" w:hAnsi="宋体"/>
                <w:color w:val="auto"/>
                <w:sz w:val="24"/>
                <w:highlight w:val="none"/>
              </w:rPr>
            </w:pPr>
            <w:r>
              <w:rPr>
                <w:rFonts w:hint="eastAsia" w:hAnsi="宋体"/>
                <w:color w:val="auto"/>
                <w:highlight w:val="none"/>
              </w:rPr>
              <w:t>三级医院区域疾病数据分析平台</w:t>
            </w:r>
          </w:p>
        </w:tc>
        <w:tc>
          <w:tcPr>
            <w:tcW w:w="5670" w:type="dxa"/>
            <w:vAlign w:val="center"/>
          </w:tcPr>
          <w:p>
            <w:pPr>
              <w:rPr>
                <w:rFonts w:ascii="宋体" w:hAnsi="宋体"/>
                <w:color w:val="auto"/>
                <w:sz w:val="24"/>
                <w:highlight w:val="none"/>
              </w:rPr>
            </w:pPr>
            <w:r>
              <w:rPr>
                <w:rFonts w:hint="eastAsia" w:ascii="宋体" w:hAnsi="宋体"/>
                <w:color w:val="auto"/>
                <w:sz w:val="24"/>
                <w:highlight w:val="none"/>
              </w:rPr>
              <w:t>三级医院区域疾病数据汇聚中心</w:t>
            </w:r>
          </w:p>
        </w:tc>
        <w:tc>
          <w:tcPr>
            <w:tcW w:w="1342" w:type="dxa"/>
          </w:tcPr>
          <w:p>
            <w:pPr>
              <w:jc w:val="center"/>
              <w:rPr>
                <w:color w:val="auto"/>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三级医院区域专病数据质控中心</w:t>
            </w:r>
          </w:p>
        </w:tc>
        <w:tc>
          <w:tcPr>
            <w:tcW w:w="1342" w:type="dxa"/>
          </w:tcPr>
          <w:p>
            <w:pPr>
              <w:jc w:val="center"/>
              <w:rPr>
                <w:color w:val="auto"/>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三级医院区域疾病数据管控中心</w:t>
            </w:r>
          </w:p>
        </w:tc>
        <w:tc>
          <w:tcPr>
            <w:tcW w:w="1342" w:type="dxa"/>
          </w:tcPr>
          <w:p>
            <w:pPr>
              <w:jc w:val="center"/>
              <w:rPr>
                <w:color w:val="auto"/>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restart"/>
            <w:vAlign w:val="center"/>
          </w:tcPr>
          <w:p>
            <w:pPr>
              <w:rPr>
                <w:rFonts w:ascii="宋体" w:hAnsi="宋体"/>
                <w:color w:val="auto"/>
                <w:sz w:val="24"/>
                <w:highlight w:val="none"/>
              </w:rPr>
            </w:pPr>
            <w:r>
              <w:rPr>
                <w:rFonts w:hint="eastAsia" w:hAnsi="宋体"/>
                <w:color w:val="auto"/>
                <w:sz w:val="24"/>
                <w:highlight w:val="none"/>
              </w:rPr>
              <w:t>二</w:t>
            </w:r>
            <w:r>
              <w:rPr>
                <w:rFonts w:hint="eastAsia" w:ascii="宋体" w:hAnsi="宋体"/>
                <w:color w:val="auto"/>
                <w:sz w:val="24"/>
                <w:highlight w:val="none"/>
              </w:rPr>
              <w:t>级医院</w:t>
            </w:r>
            <w:r>
              <w:rPr>
                <w:rFonts w:hint="eastAsia" w:hAnsi="宋体"/>
                <w:color w:val="auto"/>
                <w:highlight w:val="none"/>
              </w:rPr>
              <w:t>区域疾病数据分析平台</w:t>
            </w:r>
          </w:p>
        </w:tc>
        <w:tc>
          <w:tcPr>
            <w:tcW w:w="5670" w:type="dxa"/>
            <w:vAlign w:val="center"/>
          </w:tcPr>
          <w:p>
            <w:pPr>
              <w:rPr>
                <w:rFonts w:ascii="宋体" w:hAnsi="宋体"/>
                <w:color w:val="auto"/>
                <w:sz w:val="24"/>
                <w:highlight w:val="none"/>
              </w:rPr>
            </w:pPr>
            <w:r>
              <w:rPr>
                <w:rFonts w:hint="eastAsia" w:hAnsi="宋体"/>
                <w:color w:val="auto"/>
                <w:sz w:val="24"/>
                <w:highlight w:val="none"/>
              </w:rPr>
              <w:t>二</w:t>
            </w:r>
            <w:r>
              <w:rPr>
                <w:rFonts w:hint="eastAsia" w:ascii="宋体" w:hAnsi="宋体"/>
                <w:color w:val="auto"/>
                <w:sz w:val="24"/>
                <w:highlight w:val="none"/>
              </w:rPr>
              <w:t>级医院区域疾病数据汇聚中心</w:t>
            </w:r>
          </w:p>
        </w:tc>
        <w:tc>
          <w:tcPr>
            <w:tcW w:w="1342" w:type="dxa"/>
          </w:tcPr>
          <w:p>
            <w:pPr>
              <w:jc w:val="center"/>
              <w:rPr>
                <w:color w:val="auto"/>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hAnsi="宋体"/>
                <w:color w:val="auto"/>
                <w:sz w:val="24"/>
                <w:highlight w:val="none"/>
              </w:rPr>
              <w:t>二</w:t>
            </w:r>
            <w:r>
              <w:rPr>
                <w:rFonts w:hint="eastAsia" w:ascii="宋体" w:hAnsi="宋体"/>
                <w:color w:val="auto"/>
                <w:sz w:val="24"/>
                <w:highlight w:val="none"/>
              </w:rPr>
              <w:t>级医院区域专病数据质控中心</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hAnsi="宋体"/>
                <w:color w:val="auto"/>
                <w:sz w:val="24"/>
                <w:highlight w:val="none"/>
              </w:rPr>
              <w:t>二</w:t>
            </w:r>
            <w:r>
              <w:rPr>
                <w:rFonts w:hint="eastAsia" w:ascii="宋体" w:hAnsi="宋体"/>
                <w:color w:val="auto"/>
                <w:sz w:val="24"/>
                <w:highlight w:val="none"/>
              </w:rPr>
              <w:t>级医院区域疾病数据管控中心</w:t>
            </w:r>
          </w:p>
        </w:tc>
        <w:tc>
          <w:tcPr>
            <w:tcW w:w="1342" w:type="dxa"/>
          </w:tcPr>
          <w:p>
            <w:pPr>
              <w:jc w:val="center"/>
              <w:rPr>
                <w:color w:val="auto"/>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restart"/>
            <w:vAlign w:val="center"/>
          </w:tcPr>
          <w:p>
            <w:pPr>
              <w:rPr>
                <w:rFonts w:ascii="宋体" w:hAnsi="宋体"/>
                <w:color w:val="auto"/>
                <w:sz w:val="24"/>
                <w:highlight w:val="none"/>
              </w:rPr>
            </w:pPr>
            <w:r>
              <w:rPr>
                <w:rFonts w:hint="eastAsia" w:ascii="宋体" w:hAnsi="宋体"/>
                <w:color w:val="auto"/>
                <w:sz w:val="24"/>
                <w:highlight w:val="none"/>
              </w:rPr>
              <w:t>三级医院</w:t>
            </w:r>
            <w:r>
              <w:rPr>
                <w:rFonts w:hint="eastAsia" w:hAnsi="宋体"/>
                <w:color w:val="auto"/>
                <w:highlight w:val="none"/>
              </w:rPr>
              <w:t>区域医疗质量数据监管平台</w:t>
            </w:r>
          </w:p>
        </w:tc>
        <w:tc>
          <w:tcPr>
            <w:tcW w:w="5670" w:type="dxa"/>
            <w:vAlign w:val="center"/>
          </w:tcPr>
          <w:p>
            <w:pPr>
              <w:rPr>
                <w:rFonts w:ascii="宋体" w:hAnsi="宋体"/>
                <w:color w:val="auto"/>
                <w:sz w:val="24"/>
                <w:highlight w:val="none"/>
              </w:rPr>
            </w:pPr>
            <w:r>
              <w:rPr>
                <w:rFonts w:hint="eastAsia" w:ascii="宋体" w:hAnsi="宋体"/>
                <w:color w:val="auto"/>
                <w:sz w:val="24"/>
                <w:highlight w:val="none"/>
              </w:rPr>
              <w:t>三级医院区域医疗质量数据汇聚中心</w:t>
            </w:r>
          </w:p>
        </w:tc>
        <w:tc>
          <w:tcPr>
            <w:tcW w:w="1342" w:type="dxa"/>
          </w:tcPr>
          <w:p>
            <w:pPr>
              <w:jc w:val="center"/>
              <w:rPr>
                <w:color w:val="auto"/>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三级医院区域医疗质量数据质控中心</w:t>
            </w:r>
          </w:p>
        </w:tc>
        <w:tc>
          <w:tcPr>
            <w:tcW w:w="1342" w:type="dxa"/>
          </w:tcPr>
          <w:p>
            <w:pPr>
              <w:jc w:val="center"/>
              <w:rPr>
                <w:color w:val="auto"/>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ascii="宋体" w:hAnsi="宋体"/>
                <w:color w:val="auto"/>
                <w:sz w:val="24"/>
                <w:highlight w:val="none"/>
              </w:rPr>
              <w:t>三级医院区域医疗机构运营管控中心</w:t>
            </w:r>
          </w:p>
        </w:tc>
        <w:tc>
          <w:tcPr>
            <w:tcW w:w="1342" w:type="dxa"/>
          </w:tcPr>
          <w:p>
            <w:pPr>
              <w:jc w:val="center"/>
              <w:rPr>
                <w:color w:val="auto"/>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restart"/>
            <w:vAlign w:val="center"/>
          </w:tcPr>
          <w:p>
            <w:pPr>
              <w:rPr>
                <w:rFonts w:ascii="宋体" w:hAnsi="宋体"/>
                <w:color w:val="auto"/>
                <w:sz w:val="24"/>
                <w:highlight w:val="none"/>
              </w:rPr>
            </w:pPr>
            <w:r>
              <w:rPr>
                <w:rFonts w:hint="eastAsia" w:hAnsi="宋体"/>
                <w:color w:val="auto"/>
                <w:sz w:val="24"/>
                <w:highlight w:val="none"/>
              </w:rPr>
              <w:t>二</w:t>
            </w:r>
            <w:r>
              <w:rPr>
                <w:rFonts w:hint="eastAsia" w:ascii="宋体" w:hAnsi="宋体"/>
                <w:color w:val="auto"/>
                <w:sz w:val="24"/>
                <w:highlight w:val="none"/>
              </w:rPr>
              <w:t>级医院</w:t>
            </w:r>
            <w:r>
              <w:rPr>
                <w:rFonts w:hint="eastAsia" w:hAnsi="宋体"/>
                <w:color w:val="auto"/>
                <w:highlight w:val="none"/>
              </w:rPr>
              <w:t>区域医疗质量数据监管平台</w:t>
            </w:r>
          </w:p>
        </w:tc>
        <w:tc>
          <w:tcPr>
            <w:tcW w:w="5670" w:type="dxa"/>
            <w:vAlign w:val="center"/>
          </w:tcPr>
          <w:p>
            <w:pPr>
              <w:rPr>
                <w:rFonts w:ascii="宋体" w:hAnsi="宋体"/>
                <w:color w:val="auto"/>
                <w:sz w:val="24"/>
                <w:highlight w:val="none"/>
              </w:rPr>
            </w:pPr>
            <w:r>
              <w:rPr>
                <w:rFonts w:hint="eastAsia" w:hAnsi="宋体"/>
                <w:color w:val="auto"/>
                <w:sz w:val="24"/>
                <w:highlight w:val="none"/>
              </w:rPr>
              <w:t>二</w:t>
            </w:r>
            <w:r>
              <w:rPr>
                <w:rFonts w:hint="eastAsia" w:ascii="宋体" w:hAnsi="宋体"/>
                <w:color w:val="auto"/>
                <w:sz w:val="24"/>
                <w:highlight w:val="none"/>
              </w:rPr>
              <w:t>级医院区域医疗质量数据汇聚中心</w:t>
            </w:r>
          </w:p>
        </w:tc>
        <w:tc>
          <w:tcPr>
            <w:tcW w:w="1342" w:type="dxa"/>
          </w:tcPr>
          <w:p>
            <w:pPr>
              <w:jc w:val="center"/>
              <w:rPr>
                <w:color w:val="auto"/>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hAnsi="宋体"/>
                <w:color w:val="auto"/>
                <w:sz w:val="24"/>
                <w:highlight w:val="none"/>
              </w:rPr>
              <w:t>二</w:t>
            </w:r>
            <w:r>
              <w:rPr>
                <w:rFonts w:hint="eastAsia" w:ascii="宋体" w:hAnsi="宋体"/>
                <w:color w:val="auto"/>
                <w:sz w:val="24"/>
                <w:highlight w:val="none"/>
              </w:rPr>
              <w:t>级医院区域医疗质量数据质控中心</w:t>
            </w:r>
          </w:p>
        </w:tc>
        <w:tc>
          <w:tcPr>
            <w:tcW w:w="1342" w:type="dxa"/>
          </w:tcPr>
          <w:p>
            <w:pPr>
              <w:jc w:val="center"/>
              <w:rPr>
                <w:color w:val="auto"/>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hAnsi="宋体"/>
                <w:color w:val="auto"/>
                <w:sz w:val="24"/>
                <w:highlight w:val="none"/>
              </w:rPr>
              <w:t>二</w:t>
            </w:r>
            <w:r>
              <w:rPr>
                <w:rFonts w:hint="eastAsia" w:ascii="宋体" w:hAnsi="宋体"/>
                <w:color w:val="auto"/>
                <w:sz w:val="24"/>
                <w:highlight w:val="none"/>
              </w:rPr>
              <w:t>级医院区域医疗机构运营管控中心</w:t>
            </w:r>
          </w:p>
        </w:tc>
        <w:tc>
          <w:tcPr>
            <w:tcW w:w="1342" w:type="dxa"/>
          </w:tcPr>
          <w:p>
            <w:pPr>
              <w:jc w:val="center"/>
              <w:rPr>
                <w:color w:val="auto"/>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restart"/>
            <w:vAlign w:val="center"/>
          </w:tcPr>
          <w:p>
            <w:pPr>
              <w:rPr>
                <w:rFonts w:ascii="宋体" w:hAnsi="宋体"/>
                <w:color w:val="auto"/>
                <w:sz w:val="24"/>
                <w:highlight w:val="none"/>
              </w:rPr>
            </w:pPr>
            <w:r>
              <w:rPr>
                <w:rFonts w:hint="eastAsia" w:hAnsi="宋体"/>
                <w:color w:val="auto"/>
                <w:highlight w:val="none"/>
              </w:rPr>
              <w:t>区域决策支持系统</w:t>
            </w:r>
          </w:p>
        </w:tc>
        <w:tc>
          <w:tcPr>
            <w:tcW w:w="5670" w:type="dxa"/>
            <w:vAlign w:val="center"/>
          </w:tcPr>
          <w:p>
            <w:pPr>
              <w:rPr>
                <w:rFonts w:ascii="宋体" w:hAnsi="宋体"/>
                <w:color w:val="auto"/>
                <w:sz w:val="24"/>
                <w:highlight w:val="none"/>
              </w:rPr>
            </w:pPr>
            <w:r>
              <w:rPr>
                <w:rFonts w:hint="eastAsia" w:hAnsi="宋体"/>
                <w:color w:val="auto"/>
                <w:sz w:val="24"/>
                <w:highlight w:val="none"/>
              </w:rPr>
              <w:t>区域综合运营决策</w:t>
            </w:r>
          </w:p>
        </w:tc>
        <w:tc>
          <w:tcPr>
            <w:tcW w:w="1342" w:type="dxa"/>
          </w:tcPr>
          <w:p>
            <w:pPr>
              <w:jc w:val="center"/>
              <w:rPr>
                <w:color w:val="auto"/>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hAnsi="宋体"/>
                <w:color w:val="auto"/>
                <w:sz w:val="24"/>
                <w:highlight w:val="none"/>
              </w:rPr>
              <w:t>区域专题运营分析</w:t>
            </w:r>
          </w:p>
        </w:tc>
        <w:tc>
          <w:tcPr>
            <w:tcW w:w="1342" w:type="dxa"/>
          </w:tcPr>
          <w:p>
            <w:pPr>
              <w:jc w:val="center"/>
              <w:rPr>
                <w:color w:val="auto"/>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rPr>
                <w:rFonts w:ascii="宋体" w:hAnsi="宋体"/>
                <w:color w:val="auto"/>
                <w:sz w:val="24"/>
                <w:highlight w:val="none"/>
              </w:rPr>
            </w:pPr>
            <w:r>
              <w:rPr>
                <w:rFonts w:hint="eastAsia" w:hAnsi="宋体"/>
                <w:color w:val="auto"/>
                <w:sz w:val="24"/>
                <w:highlight w:val="none"/>
              </w:rPr>
              <w:t>区域资源监控分析</w:t>
            </w:r>
          </w:p>
        </w:tc>
        <w:tc>
          <w:tcPr>
            <w:tcW w:w="1342" w:type="dxa"/>
          </w:tcPr>
          <w:p>
            <w:pPr>
              <w:jc w:val="center"/>
              <w:rPr>
                <w:color w:val="auto"/>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restart"/>
            <w:vAlign w:val="center"/>
          </w:tcPr>
          <w:p>
            <w:pPr>
              <w:jc w:val="center"/>
              <w:rPr>
                <w:rFonts w:ascii="宋体" w:hAnsi="宋体"/>
                <w:b/>
                <w:bCs/>
                <w:color w:val="auto"/>
                <w:sz w:val="24"/>
                <w:highlight w:val="none"/>
              </w:rPr>
            </w:pPr>
            <w:r>
              <w:rPr>
                <w:rFonts w:hint="eastAsia" w:ascii="宋体" w:hAnsi="宋体"/>
                <w:b/>
                <w:bCs/>
                <w:color w:val="auto"/>
                <w:sz w:val="24"/>
                <w:highlight w:val="none"/>
              </w:rPr>
              <w:t>五、接口服务</w:t>
            </w:r>
          </w:p>
        </w:tc>
        <w:tc>
          <w:tcPr>
            <w:tcW w:w="1853" w:type="dxa"/>
            <w:gridSpan w:val="2"/>
            <w:vMerge w:val="restart"/>
            <w:vAlign w:val="center"/>
          </w:tcPr>
          <w:p>
            <w:pPr>
              <w:rPr>
                <w:rFonts w:ascii="宋体" w:hAnsi="宋体"/>
                <w:color w:val="auto"/>
                <w:sz w:val="24"/>
                <w:highlight w:val="none"/>
              </w:rPr>
            </w:pPr>
            <w:r>
              <w:rPr>
                <w:rFonts w:hint="eastAsia" w:ascii="宋体" w:hAnsi="宋体"/>
                <w:color w:val="auto"/>
                <w:sz w:val="24"/>
                <w:highlight w:val="none"/>
              </w:rPr>
              <w:t>接口服务</w:t>
            </w:r>
          </w:p>
        </w:tc>
        <w:tc>
          <w:tcPr>
            <w:tcW w:w="2399" w:type="dxa"/>
            <w:vMerge w:val="restart"/>
            <w:vAlign w:val="center"/>
          </w:tcPr>
          <w:p>
            <w:pPr>
              <w:rPr>
                <w:rFonts w:ascii="宋体" w:hAnsi="宋体"/>
                <w:color w:val="auto"/>
                <w:sz w:val="24"/>
                <w:highlight w:val="none"/>
              </w:rPr>
            </w:pPr>
            <w:r>
              <w:rPr>
                <w:rFonts w:hint="eastAsia" w:ascii="宋体" w:hAnsi="宋体"/>
                <w:color w:val="auto"/>
                <w:sz w:val="24"/>
                <w:highlight w:val="none"/>
              </w:rPr>
              <w:t>与院内原有系统对接</w:t>
            </w: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急诊预检分诊系统</w:t>
            </w:r>
          </w:p>
        </w:tc>
        <w:tc>
          <w:tcPr>
            <w:tcW w:w="1342" w:type="dxa"/>
            <w:vAlign w:val="center"/>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急诊医护一体化工作站</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急诊科电子病历</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急诊护理系统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急诊科室管理系统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发热门诊预检分诊系统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合理用药监控系统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处方点评系统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移动护理系统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实验室信息系统（LIS）</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检验科耐药菌系统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检验科大生化系统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放射影像PACS/RIS系统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心电信息管理系统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核医学信息系统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超声信息管理系统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病理科信息管理系统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内镜信息系统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手术麻醉系统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血库管理系统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重症监护室信息系统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消毒供应管理系统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健康体检管理</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放射治疗系统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肝包虫系统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慢阻肺肺功能系统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博士医生慢病管理系统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血糖管理系统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AI放疗靶区勾画系统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肿瘤放疗</w:t>
            </w:r>
            <w:r>
              <w:rPr>
                <w:rFonts w:hint="eastAsia" w:ascii="宋体" w:hAnsi="宋体" w:cs="宋体"/>
                <w:color w:val="auto"/>
                <w:kern w:val="0"/>
                <w:sz w:val="24"/>
                <w:highlight w:val="none"/>
                <w:lang w:eastAsia="zh-CN" w:bidi="ug-CN"/>
              </w:rPr>
              <w:t>伊诺</w:t>
            </w:r>
            <w:r>
              <w:rPr>
                <w:rFonts w:hint="eastAsia" w:ascii="宋体" w:hAnsi="宋体" w:cs="宋体"/>
                <w:color w:val="auto"/>
                <w:kern w:val="0"/>
                <w:sz w:val="24"/>
                <w:highlight w:val="none"/>
                <w:lang w:bidi="ug-CN"/>
              </w:rPr>
              <w:t>信息管理系统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辅助生殖管理系统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脑卒中系统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BMJ临床实践系统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住院护理病历</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护理管理系统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医院感染管理系统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感染性疾病大数据平台</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抗菌药物管理系统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药品配液中心</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防统方系统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病案管理系统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病案翻拍系统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双中心直报系统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全民健康信息平台</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教学管理系统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移动电子签章</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中国医院药物警戒系统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人事管理</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绩效考核系统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高值耗材管理系统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后勤一站式服务系统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协同办公系统（OA）</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科研项目管理</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结核病科研项目系统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自助服务系统（报告打印）</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病案微信预约系统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门诊发药大屏</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门急诊药房签到系统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restart"/>
            <w:vAlign w:val="center"/>
          </w:tcPr>
          <w:p>
            <w:pPr>
              <w:rPr>
                <w:rFonts w:ascii="宋体" w:hAnsi="宋体"/>
                <w:color w:val="auto"/>
                <w:sz w:val="24"/>
                <w:highlight w:val="none"/>
              </w:rPr>
            </w:pPr>
            <w:r>
              <w:rPr>
                <w:rFonts w:hint="eastAsia" w:ascii="宋体" w:hAnsi="宋体"/>
                <w:color w:val="auto"/>
                <w:sz w:val="24"/>
                <w:highlight w:val="none"/>
              </w:rPr>
              <w:t>其他接口对接</w:t>
            </w:r>
          </w:p>
        </w:tc>
        <w:tc>
          <w:tcPr>
            <w:tcW w:w="5670" w:type="dxa"/>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大数据局结核病上报平台系统（接口）</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tcPr>
          <w:p>
            <w:pPr>
              <w:pStyle w:val="8"/>
              <w:ind w:firstLine="0" w:firstLineChars="0"/>
              <w:rPr>
                <w:rFonts w:ascii="宋体" w:hAnsi="宋体"/>
                <w:color w:val="auto"/>
                <w:szCs w:val="24"/>
                <w:highlight w:val="none"/>
              </w:rPr>
            </w:pPr>
            <w:r>
              <w:rPr>
                <w:rFonts w:hint="eastAsia" w:ascii="宋体" w:hAnsi="宋体"/>
                <w:color w:val="auto"/>
                <w:szCs w:val="24"/>
                <w:highlight w:val="none"/>
              </w:rPr>
              <w:t>新疆医院质量管理与绩效评价（DRGs）平台接口</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全民电子健康卡系统接口</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口服包药机接口</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食源性上报接口</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第三方药品配送接口</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虚拟就诊卡接口</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医保电子凭证接口</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SPD系统对接</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银行</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医保及新农合</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保险</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急救中心</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CDC（疾控中心）</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血液中心</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第三方挂号平台</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非银行支付机构</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外部数据上报平台或监管平台</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居民健康卡管理/电子健康码管理</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上级机构（省、市、医联体平台）</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与国家医疗中心/实验室对接</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与第三方平台对接</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与其他医疗机构内系统对接</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restart"/>
            <w:vAlign w:val="center"/>
          </w:tcPr>
          <w:p>
            <w:pPr>
              <w:jc w:val="center"/>
              <w:rPr>
                <w:rFonts w:ascii="宋体" w:hAnsi="宋体"/>
                <w:b/>
                <w:bCs/>
                <w:color w:val="auto"/>
                <w:sz w:val="24"/>
                <w:highlight w:val="none"/>
              </w:rPr>
            </w:pPr>
            <w:r>
              <w:rPr>
                <w:rFonts w:hint="eastAsia" w:ascii="宋体" w:hAnsi="宋体"/>
                <w:b/>
                <w:bCs/>
                <w:color w:val="auto"/>
                <w:sz w:val="24"/>
                <w:highlight w:val="none"/>
              </w:rPr>
              <w:t>基础系统软件</w:t>
            </w:r>
          </w:p>
        </w:tc>
        <w:tc>
          <w:tcPr>
            <w:tcW w:w="1853" w:type="dxa"/>
            <w:gridSpan w:val="2"/>
            <w:vMerge w:val="restart"/>
            <w:vAlign w:val="center"/>
          </w:tcPr>
          <w:p>
            <w:pPr>
              <w:rPr>
                <w:rFonts w:ascii="宋体" w:hAnsi="宋体"/>
                <w:color w:val="auto"/>
                <w:sz w:val="24"/>
                <w:highlight w:val="none"/>
              </w:rPr>
            </w:pPr>
            <w:r>
              <w:rPr>
                <w:rFonts w:hint="eastAsia" w:ascii="宋体" w:hAnsi="宋体"/>
                <w:color w:val="auto"/>
                <w:sz w:val="24"/>
                <w:highlight w:val="none"/>
              </w:rPr>
              <w:t>基础系统软件</w:t>
            </w:r>
          </w:p>
        </w:tc>
        <w:tc>
          <w:tcPr>
            <w:tcW w:w="2399" w:type="dxa"/>
            <w:vMerge w:val="restart"/>
            <w:vAlign w:val="center"/>
          </w:tcPr>
          <w:p>
            <w:pPr>
              <w:rPr>
                <w:rFonts w:ascii="宋体" w:hAnsi="宋体"/>
                <w:color w:val="auto"/>
                <w:sz w:val="24"/>
                <w:highlight w:val="none"/>
              </w:rPr>
            </w:pPr>
            <w:r>
              <w:rPr>
                <w:rFonts w:hint="eastAsia" w:ascii="宋体" w:hAnsi="宋体"/>
                <w:color w:val="auto"/>
                <w:sz w:val="24"/>
                <w:highlight w:val="none"/>
              </w:rPr>
              <w:t>基础系统软件</w:t>
            </w:r>
          </w:p>
        </w:tc>
        <w:tc>
          <w:tcPr>
            <w:tcW w:w="5670" w:type="dxa"/>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数据库系统（1</w:t>
            </w:r>
            <w:r>
              <w:rPr>
                <w:rFonts w:ascii="宋体" w:hAnsi="宋体" w:cs="宋体"/>
                <w:color w:val="auto"/>
                <w:kern w:val="0"/>
                <w:sz w:val="24"/>
                <w:highlight w:val="none"/>
                <w:lang w:bidi="ug-CN"/>
              </w:rPr>
              <w:t>0</w:t>
            </w:r>
            <w:r>
              <w:rPr>
                <w:rFonts w:hint="eastAsia" w:ascii="宋体" w:hAnsi="宋体" w:cs="宋体"/>
                <w:color w:val="auto"/>
                <w:kern w:val="0"/>
                <w:sz w:val="24"/>
                <w:highlight w:val="none"/>
                <w:lang w:bidi="ug-CN"/>
              </w:rPr>
              <w:t>套）</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01" w:type="dxa"/>
            <w:vAlign w:val="center"/>
          </w:tcPr>
          <w:p>
            <w:pPr>
              <w:numPr>
                <w:ilvl w:val="0"/>
                <w:numId w:val="10"/>
              </w:numPr>
              <w:jc w:val="center"/>
              <w:rPr>
                <w:color w:val="auto"/>
                <w:sz w:val="22"/>
                <w:szCs w:val="22"/>
                <w:highlight w:val="none"/>
              </w:rPr>
            </w:pPr>
          </w:p>
        </w:tc>
        <w:tc>
          <w:tcPr>
            <w:tcW w:w="1572" w:type="dxa"/>
            <w:vMerge w:val="continue"/>
            <w:vAlign w:val="center"/>
          </w:tcPr>
          <w:p>
            <w:pPr>
              <w:jc w:val="center"/>
              <w:rPr>
                <w:rFonts w:ascii="宋体" w:hAnsi="宋体"/>
                <w:b/>
                <w:bCs/>
                <w:color w:val="auto"/>
                <w:sz w:val="24"/>
                <w:highlight w:val="none"/>
              </w:rPr>
            </w:pPr>
          </w:p>
        </w:tc>
        <w:tc>
          <w:tcPr>
            <w:tcW w:w="1853" w:type="dxa"/>
            <w:gridSpan w:val="2"/>
            <w:vMerge w:val="continue"/>
            <w:vAlign w:val="center"/>
          </w:tcPr>
          <w:p>
            <w:pPr>
              <w:rPr>
                <w:rFonts w:ascii="宋体" w:hAnsi="宋体"/>
                <w:color w:val="auto"/>
                <w:sz w:val="24"/>
                <w:highlight w:val="none"/>
              </w:rPr>
            </w:pPr>
          </w:p>
        </w:tc>
        <w:tc>
          <w:tcPr>
            <w:tcW w:w="2399" w:type="dxa"/>
            <w:vMerge w:val="continue"/>
            <w:vAlign w:val="center"/>
          </w:tcPr>
          <w:p>
            <w:pPr>
              <w:rPr>
                <w:rFonts w:ascii="宋体" w:hAnsi="宋体"/>
                <w:color w:val="auto"/>
                <w:sz w:val="24"/>
                <w:highlight w:val="none"/>
              </w:rPr>
            </w:pPr>
          </w:p>
        </w:tc>
        <w:tc>
          <w:tcPr>
            <w:tcW w:w="5670" w:type="dxa"/>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I</w:t>
            </w:r>
            <w:r>
              <w:rPr>
                <w:rFonts w:ascii="宋体" w:hAnsi="宋体" w:cs="宋体"/>
                <w:color w:val="auto"/>
                <w:kern w:val="0"/>
                <w:sz w:val="24"/>
                <w:highlight w:val="none"/>
                <w:lang w:bidi="ug-CN"/>
              </w:rPr>
              <w:t>T</w:t>
            </w:r>
            <w:r>
              <w:rPr>
                <w:rFonts w:hint="eastAsia" w:ascii="宋体" w:hAnsi="宋体" w:cs="宋体"/>
                <w:color w:val="auto"/>
                <w:kern w:val="0"/>
                <w:sz w:val="24"/>
                <w:highlight w:val="none"/>
                <w:lang w:bidi="ug-CN"/>
              </w:rPr>
              <w:t>运维管理系统</w:t>
            </w:r>
          </w:p>
        </w:tc>
        <w:tc>
          <w:tcPr>
            <w:tcW w:w="1342" w:type="dxa"/>
          </w:tcPr>
          <w:p>
            <w:pPr>
              <w:jc w:val="center"/>
              <w:rPr>
                <w:rFonts w:ascii="宋体" w:hAnsi="宋体"/>
                <w:color w:val="auto"/>
                <w:sz w:val="24"/>
                <w:highlight w:val="none"/>
              </w:rPr>
            </w:pPr>
            <w:r>
              <w:rPr>
                <w:rFonts w:hint="eastAsia" w:ascii="宋体" w:hAnsi="宋体"/>
                <w:color w:val="auto"/>
                <w:sz w:val="24"/>
                <w:highlight w:val="none"/>
              </w:rPr>
              <w:t>新建</w:t>
            </w:r>
          </w:p>
        </w:tc>
      </w:tr>
    </w:tbl>
    <w:p>
      <w:pPr>
        <w:pStyle w:val="8"/>
        <w:spacing w:line="360" w:lineRule="auto"/>
        <w:ind w:firstLine="0" w:firstLineChars="0"/>
        <w:rPr>
          <w:rFonts w:ascii="宋体" w:hAnsi="宋体"/>
          <w:color w:val="auto"/>
          <w:szCs w:val="24"/>
          <w:highlight w:val="none"/>
        </w:rPr>
        <w:sectPr>
          <w:pgSz w:w="16838" w:h="11906" w:orient="landscape"/>
          <w:pgMar w:top="1797" w:right="1440" w:bottom="1797" w:left="1440" w:header="851" w:footer="992" w:gutter="0"/>
          <w:cols w:space="720" w:num="1"/>
          <w:docGrid w:type="linesAndChars" w:linePitch="312" w:charSpace="0"/>
        </w:sectPr>
      </w:pPr>
    </w:p>
    <w:bookmarkEnd w:id="537"/>
    <w:bookmarkEnd w:id="538"/>
    <w:p>
      <w:pPr>
        <w:pStyle w:val="4"/>
        <w:keepNext w:val="0"/>
        <w:keepLines w:val="0"/>
        <w:numPr>
          <w:ilvl w:val="1"/>
          <w:numId w:val="8"/>
        </w:numPr>
        <w:tabs>
          <w:tab w:val="left" w:pos="720"/>
        </w:tabs>
        <w:autoSpaceDE/>
        <w:autoSpaceDN/>
        <w:adjustRightInd/>
        <w:spacing w:before="0" w:line="240" w:lineRule="auto"/>
        <w:jc w:val="both"/>
        <w:rPr>
          <w:rFonts w:ascii="宋体" w:hAnsi="宋体"/>
          <w:color w:val="auto"/>
          <w:sz w:val="24"/>
          <w:highlight w:val="none"/>
        </w:rPr>
      </w:pPr>
      <w:bookmarkStart w:id="539" w:name="_Toc17163"/>
      <w:bookmarkStart w:id="540" w:name="_Toc1839121499"/>
      <w:bookmarkStart w:id="541" w:name="_Toc138247811"/>
      <w:r>
        <w:rPr>
          <w:rFonts w:hint="eastAsia" w:ascii="宋体" w:hAnsi="宋体"/>
          <w:color w:val="auto"/>
          <w:sz w:val="24"/>
          <w:highlight w:val="none"/>
        </w:rPr>
        <w:t>智慧医院一体化平台</w:t>
      </w:r>
      <w:bookmarkEnd w:id="539"/>
      <w:bookmarkEnd w:id="540"/>
      <w:bookmarkEnd w:id="541"/>
    </w:p>
    <w:p>
      <w:pPr>
        <w:pStyle w:val="5"/>
        <w:numPr>
          <w:ilvl w:val="2"/>
          <w:numId w:val="8"/>
        </w:numPr>
        <w:autoSpaceDE/>
        <w:autoSpaceDN/>
        <w:adjustRightInd/>
        <w:spacing w:before="260" w:after="260" w:line="416" w:lineRule="auto"/>
        <w:jc w:val="both"/>
        <w:rPr>
          <w:rFonts w:hAnsi="宋体"/>
          <w:color w:val="auto"/>
          <w:szCs w:val="24"/>
          <w:highlight w:val="none"/>
        </w:rPr>
      </w:pPr>
      <w:bookmarkStart w:id="542" w:name="_Toc14010"/>
      <w:bookmarkStart w:id="543" w:name="_Toc1382902422"/>
      <w:bookmarkStart w:id="544" w:name="_Toc138247812"/>
      <w:r>
        <w:rPr>
          <w:rFonts w:hint="eastAsia" w:hAnsi="宋体"/>
          <w:color w:val="auto"/>
          <w:szCs w:val="24"/>
          <w:highlight w:val="none"/>
        </w:rPr>
        <w:t>平台基础建设</w:t>
      </w:r>
      <w:bookmarkEnd w:id="542"/>
      <w:bookmarkEnd w:id="543"/>
      <w:bookmarkEnd w:id="544"/>
    </w:p>
    <w:p>
      <w:pPr>
        <w:pStyle w:val="6"/>
        <w:numPr>
          <w:ilvl w:val="3"/>
          <w:numId w:val="8"/>
        </w:numPr>
        <w:spacing w:before="280" w:after="290" w:line="376" w:lineRule="auto"/>
        <w:rPr>
          <w:rFonts w:ascii="宋体" w:hAnsi="宋体"/>
          <w:color w:val="auto"/>
          <w:sz w:val="24"/>
          <w:szCs w:val="24"/>
          <w:highlight w:val="none"/>
        </w:rPr>
      </w:pPr>
      <w:bookmarkStart w:id="545" w:name="_Toc30023"/>
      <w:r>
        <w:rPr>
          <w:rFonts w:hint="eastAsia" w:ascii="宋体" w:hAnsi="宋体"/>
          <w:color w:val="auto"/>
          <w:sz w:val="24"/>
          <w:szCs w:val="24"/>
          <w:highlight w:val="none"/>
        </w:rPr>
        <w:t>信息集成平台</w:t>
      </w:r>
      <w:bookmarkEnd w:id="545"/>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医院的信息集成平台需要能够融合支持临床医疗、患者服务、运营管理等多个领域信息，支持各业务系统跨院区之间能够通过信息平台的集成和对接，使得各院区系统信息能够及时互通共享。</w:t>
      </w:r>
    </w:p>
    <w:p>
      <w:pPr>
        <w:pStyle w:val="7"/>
        <w:numPr>
          <w:ilvl w:val="4"/>
          <w:numId w:val="8"/>
        </w:numPr>
        <w:rPr>
          <w:rFonts w:ascii="宋体" w:hAnsi="宋体"/>
          <w:color w:val="auto"/>
          <w:szCs w:val="24"/>
          <w:highlight w:val="none"/>
        </w:rPr>
      </w:pPr>
      <w:bookmarkStart w:id="546" w:name="_Toc28415"/>
      <w:r>
        <w:rPr>
          <w:rFonts w:hint="eastAsia" w:ascii="宋体" w:hAnsi="宋体"/>
          <w:color w:val="auto"/>
          <w:szCs w:val="24"/>
          <w:highlight w:val="none"/>
        </w:rPr>
        <w:t>医疗集成引擎</w:t>
      </w:r>
      <w:bookmarkEnd w:id="546"/>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本项目要在医院范围内建设信息平台，要求采用B/S架构设计，依据HL7 V3 RIM模型，实现业务系统之间的业务流交互与数据交互，降低系统耦合程度，保证信息交互标准化，临床数据得到充分利用。医疗集成引擎应符合如下招标要求：</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支持提供全院级集成应用的企业服务总线，实现消息转换与数据传输，基于内容的智能路由，提供基于事件驱动机制的系统集成，完成各业务系统之间的解耦连接；</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支持提供集成的几大引擎机制：执行引擎：提供HIE引擎的服务创建与管理，内部数据交换，消息映射，消息路由；整合IDE：提供IDE环境，流程定义，流程维护；数据库连接配置，数据映射与转换的自动化；</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集成平台架构设计要支持基于事件驱动的消息传输机制，支持服务的发布和订阅。</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支持基于平台的数据交换标准化，集成平台技术基于HL7 V3标准规范设计，提供基于HL7 V3标准的消息模型列表；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支持提供基于HL7 V3 CDA-Section消息的CDA模板列表；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支持集成平台业务流程设计，能提供具有符合医院业务流程的业务活动交互图设计；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集成平台方案设计支持国际上认可的标准与外部系统集成，能够实现各类异构外部系统快速的接入，提供完善的医院信息资源目录。</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集成平台支持提供对集团化医院的支持能力，设计支持集团化医院的集成互联。消息数据支持可以跨医院、院区传输，支持多家医院的集成。</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r>
        <w:rPr>
          <w:rFonts w:ascii="宋体" w:hAnsi="宋体"/>
          <w:color w:val="auto"/>
          <w:sz w:val="24"/>
          <w:highlight w:val="none"/>
        </w:rPr>
        <w:t xml:space="preserve"> </w:t>
      </w:r>
    </w:p>
    <w:tbl>
      <w:tblPr>
        <w:tblStyle w:val="43"/>
        <w:tblW w:w="8460" w:type="dxa"/>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701"/>
        <w:gridCol w:w="6759"/>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01" w:type="dxa"/>
            <w:tcBorders>
              <w:top w:val="single" w:color="auto" w:sz="4" w:space="0"/>
              <w:left w:val="single" w:color="auto" w:sz="4" w:space="0"/>
              <w:bottom w:val="single" w:color="auto" w:sz="4" w:space="0"/>
              <w:right w:val="single" w:color="auto" w:sz="4" w:space="0"/>
            </w:tcBorders>
            <w:shd w:val="clear" w:color="auto" w:fill="4472C4"/>
            <w:vAlign w:val="center"/>
          </w:tcPr>
          <w:p>
            <w:pPr>
              <w:widowControl/>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功能列表</w:t>
            </w:r>
          </w:p>
        </w:tc>
        <w:tc>
          <w:tcPr>
            <w:tcW w:w="6759" w:type="dxa"/>
            <w:tcBorders>
              <w:top w:val="single" w:color="auto" w:sz="4" w:space="0"/>
              <w:left w:val="single" w:color="auto" w:sz="4" w:space="0"/>
              <w:bottom w:val="single" w:color="auto" w:sz="4" w:space="0"/>
              <w:right w:val="single" w:color="auto" w:sz="6" w:space="0"/>
            </w:tcBorders>
            <w:shd w:val="clear" w:color="auto" w:fill="4472C4"/>
            <w:vAlign w:val="center"/>
          </w:tcPr>
          <w:p>
            <w:pPr>
              <w:widowControl/>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指标要求</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开发包支持</w:t>
            </w:r>
          </w:p>
        </w:tc>
        <w:tc>
          <w:tcPr>
            <w:tcW w:w="6759" w:type="dxa"/>
            <w:tcBorders>
              <w:top w:val="single" w:color="auto" w:sz="4" w:space="0"/>
              <w:left w:val="single" w:color="auto" w:sz="4" w:space="0"/>
              <w:bottom w:val="single" w:color="auto" w:sz="4" w:space="0"/>
              <w:right w:val="single" w:color="auto" w:sz="6" w:space="0"/>
            </w:tcBorders>
            <w:vAlign w:val="center"/>
          </w:tcPr>
          <w:p>
            <w:pPr>
              <w:pStyle w:val="201"/>
              <w:numPr>
                <w:ilvl w:val="0"/>
                <w:numId w:val="9"/>
              </w:numPr>
              <w:spacing w:before="6" w:line="360" w:lineRule="auto"/>
              <w:ind w:left="367"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支持提供java、C#等开发包支持，实现快速高效的开发接入程序。</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适配器</w:t>
            </w:r>
          </w:p>
        </w:tc>
        <w:tc>
          <w:tcPr>
            <w:tcW w:w="6759" w:type="dxa"/>
            <w:tcBorders>
              <w:top w:val="single" w:color="auto" w:sz="4" w:space="0"/>
              <w:left w:val="single" w:color="auto" w:sz="4" w:space="0"/>
              <w:bottom w:val="single" w:color="auto" w:sz="4" w:space="0"/>
              <w:right w:val="single" w:color="auto" w:sz="6" w:space="0"/>
            </w:tcBorders>
            <w:vAlign w:val="center"/>
          </w:tcPr>
          <w:p>
            <w:pPr>
              <w:pStyle w:val="201"/>
              <w:numPr>
                <w:ilvl w:val="0"/>
                <w:numId w:val="9"/>
              </w:numPr>
              <w:spacing w:before="6" w:line="360" w:lineRule="auto"/>
              <w:ind w:left="367"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rPr>
              <w:t>支持</w:t>
            </w:r>
            <w:r>
              <w:rPr>
                <w:rFonts w:hint="eastAsia" w:ascii="宋体" w:hAnsi="宋体" w:eastAsia="宋体"/>
                <w:color w:val="auto"/>
                <w:sz w:val="24"/>
                <w:highlight w:val="none"/>
                <w:lang w:eastAsia="zh-CN"/>
              </w:rPr>
              <w:t>具备内置异构系统连接常用的适配器，如MQ、JMS、HTTP、Web</w:t>
            </w:r>
            <w:r>
              <w:rPr>
                <w:rFonts w:ascii="宋体" w:hAnsi="宋体" w:eastAsia="宋体"/>
                <w:color w:val="auto"/>
                <w:sz w:val="24"/>
                <w:highlight w:val="none"/>
                <w:lang w:eastAsia="zh-CN"/>
              </w:rPr>
              <w:t xml:space="preserve"> </w:t>
            </w:r>
            <w:r>
              <w:rPr>
                <w:rFonts w:hint="eastAsia" w:ascii="宋体" w:hAnsi="宋体" w:eastAsia="宋体"/>
                <w:color w:val="auto"/>
                <w:sz w:val="24"/>
                <w:highlight w:val="none"/>
                <w:lang w:eastAsia="zh-CN"/>
              </w:rPr>
              <w:t>Services、.NET、</w:t>
            </w:r>
            <w:r>
              <w:rPr>
                <w:rFonts w:ascii="宋体" w:hAnsi="宋体" w:eastAsia="宋体"/>
                <w:color w:val="auto"/>
                <w:sz w:val="24"/>
                <w:highlight w:val="none"/>
                <w:lang w:eastAsia="zh-CN"/>
              </w:rPr>
              <w:t>Database</w:t>
            </w:r>
            <w:r>
              <w:rPr>
                <w:rFonts w:hint="eastAsia" w:ascii="宋体" w:hAnsi="宋体" w:eastAsia="宋体"/>
                <w:color w:val="auto"/>
                <w:sz w:val="24"/>
                <w:highlight w:val="none"/>
                <w:lang w:eastAsia="zh-CN"/>
              </w:rPr>
              <w:t>、</w:t>
            </w:r>
            <w:r>
              <w:rPr>
                <w:rFonts w:ascii="宋体" w:hAnsi="宋体" w:eastAsia="宋体"/>
                <w:color w:val="auto"/>
                <w:sz w:val="24"/>
                <w:highlight w:val="none"/>
                <w:lang w:eastAsia="zh-CN"/>
              </w:rPr>
              <w:t>File</w:t>
            </w:r>
            <w:r>
              <w:rPr>
                <w:rFonts w:hint="eastAsia" w:ascii="宋体" w:hAnsi="宋体" w:eastAsia="宋体"/>
                <w:color w:val="auto"/>
                <w:sz w:val="24"/>
                <w:highlight w:val="none"/>
                <w:lang w:eastAsia="zh-CN"/>
              </w:rPr>
              <w:t>、</w:t>
            </w:r>
            <w:r>
              <w:rPr>
                <w:rFonts w:ascii="宋体" w:hAnsi="宋体" w:eastAsia="宋体"/>
                <w:color w:val="auto"/>
                <w:sz w:val="24"/>
                <w:highlight w:val="none"/>
                <w:lang w:eastAsia="zh-CN"/>
              </w:rPr>
              <w:t>Email</w:t>
            </w:r>
            <w:r>
              <w:rPr>
                <w:rFonts w:hint="eastAsia" w:ascii="宋体" w:hAnsi="宋体" w:eastAsia="宋体"/>
                <w:color w:val="auto"/>
                <w:sz w:val="24"/>
                <w:highlight w:val="none"/>
                <w:lang w:eastAsia="zh-CN"/>
              </w:rPr>
              <w:t>、</w:t>
            </w:r>
            <w:r>
              <w:rPr>
                <w:rFonts w:ascii="宋体" w:hAnsi="宋体" w:eastAsia="宋体"/>
                <w:color w:val="auto"/>
                <w:sz w:val="24"/>
                <w:highlight w:val="none"/>
                <w:lang w:eastAsia="zh-CN"/>
              </w:rPr>
              <w:t>TCP</w:t>
            </w:r>
            <w:r>
              <w:rPr>
                <w:rFonts w:hint="eastAsia" w:ascii="宋体" w:hAnsi="宋体" w:eastAsia="宋体"/>
                <w:color w:val="auto"/>
                <w:sz w:val="24"/>
                <w:highlight w:val="none"/>
                <w:lang w:eastAsia="zh-CN"/>
              </w:rPr>
              <w:t>、</w:t>
            </w:r>
            <w:r>
              <w:rPr>
                <w:rFonts w:ascii="宋体" w:hAnsi="宋体" w:eastAsia="宋体"/>
                <w:color w:val="auto"/>
                <w:sz w:val="24"/>
                <w:highlight w:val="none"/>
                <w:lang w:eastAsia="zh-CN"/>
              </w:rPr>
              <w:t>kafka等常用适配器组件配置连接</w:t>
            </w:r>
            <w:r>
              <w:rPr>
                <w:rFonts w:hint="eastAsia" w:ascii="宋体" w:hAnsi="宋体" w:eastAsia="宋体"/>
                <w:color w:val="auto"/>
                <w:sz w:val="24"/>
                <w:highlight w:val="none"/>
                <w:lang w:eastAsia="zh-CN"/>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协议转换</w:t>
            </w:r>
          </w:p>
        </w:tc>
        <w:tc>
          <w:tcPr>
            <w:tcW w:w="6759" w:type="dxa"/>
            <w:tcBorders>
              <w:top w:val="single" w:color="auto" w:sz="4" w:space="0"/>
              <w:left w:val="single" w:color="auto" w:sz="4" w:space="0"/>
              <w:bottom w:val="single" w:color="auto" w:sz="4" w:space="0"/>
              <w:right w:val="single" w:color="auto" w:sz="6" w:space="0"/>
            </w:tcBorders>
            <w:vAlign w:val="center"/>
          </w:tcPr>
          <w:p>
            <w:pPr>
              <w:pStyle w:val="201"/>
              <w:numPr>
                <w:ilvl w:val="0"/>
                <w:numId w:val="9"/>
              </w:numPr>
              <w:spacing w:before="6" w:line="360" w:lineRule="auto"/>
              <w:ind w:left="367"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rPr>
              <w:t>支持</w:t>
            </w:r>
            <w:r>
              <w:rPr>
                <w:rFonts w:hint="eastAsia" w:ascii="宋体" w:hAnsi="宋体" w:eastAsia="宋体"/>
                <w:color w:val="auto"/>
                <w:sz w:val="24"/>
                <w:highlight w:val="none"/>
                <w:lang w:eastAsia="zh-CN"/>
              </w:rPr>
              <w:t>具备Socket、WebService、JMS(MQ)、MQTT、FTP、HTTP协议连接能力。</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数据库访问</w:t>
            </w:r>
          </w:p>
        </w:tc>
        <w:tc>
          <w:tcPr>
            <w:tcW w:w="6759" w:type="dxa"/>
            <w:tcBorders>
              <w:top w:val="single" w:color="auto" w:sz="4" w:space="0"/>
              <w:left w:val="single" w:color="auto" w:sz="4" w:space="0"/>
              <w:bottom w:val="single" w:color="auto" w:sz="4" w:space="0"/>
              <w:right w:val="single" w:color="auto" w:sz="6" w:space="0"/>
            </w:tcBorders>
            <w:vAlign w:val="center"/>
          </w:tcPr>
          <w:p>
            <w:pPr>
              <w:pStyle w:val="201"/>
              <w:numPr>
                <w:ilvl w:val="0"/>
                <w:numId w:val="9"/>
              </w:numPr>
              <w:spacing w:before="6" w:line="360" w:lineRule="auto"/>
              <w:ind w:left="367"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rPr>
              <w:t>支持</w:t>
            </w:r>
            <w:r>
              <w:rPr>
                <w:rFonts w:hint="eastAsia" w:ascii="宋体" w:hAnsi="宋体" w:eastAsia="宋体"/>
                <w:color w:val="auto"/>
                <w:sz w:val="24"/>
                <w:highlight w:val="none"/>
                <w:lang w:eastAsia="zh-CN"/>
              </w:rPr>
              <w:t>具备Database的连接能力,同时支持JDBC和ODBC连接方式。</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动态路由</w:t>
            </w:r>
          </w:p>
        </w:tc>
        <w:tc>
          <w:tcPr>
            <w:tcW w:w="6759" w:type="dxa"/>
            <w:tcBorders>
              <w:top w:val="single" w:color="auto" w:sz="4" w:space="0"/>
              <w:left w:val="single" w:color="auto" w:sz="4" w:space="0"/>
              <w:bottom w:val="single" w:color="auto" w:sz="4" w:space="0"/>
              <w:right w:val="single" w:color="auto" w:sz="6" w:space="0"/>
            </w:tcBorders>
            <w:vAlign w:val="center"/>
          </w:tcPr>
          <w:p>
            <w:pPr>
              <w:pStyle w:val="201"/>
              <w:numPr>
                <w:ilvl w:val="0"/>
                <w:numId w:val="9"/>
              </w:numPr>
              <w:spacing w:before="6" w:line="360" w:lineRule="auto"/>
              <w:ind w:left="367"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支持实现不同协议的动态路由和筛选过滤，且路由规则通过配置方式实现。</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发布订阅</w:t>
            </w:r>
          </w:p>
        </w:tc>
        <w:tc>
          <w:tcPr>
            <w:tcW w:w="6759" w:type="dxa"/>
            <w:tcBorders>
              <w:top w:val="single" w:color="auto" w:sz="4" w:space="0"/>
              <w:left w:val="single" w:color="auto" w:sz="4" w:space="0"/>
              <w:bottom w:val="single" w:color="auto" w:sz="4" w:space="0"/>
              <w:right w:val="single" w:color="auto" w:sz="6" w:space="0"/>
            </w:tcBorders>
            <w:vAlign w:val="center"/>
          </w:tcPr>
          <w:p>
            <w:pPr>
              <w:pStyle w:val="201"/>
              <w:numPr>
                <w:ilvl w:val="0"/>
                <w:numId w:val="9"/>
              </w:numPr>
              <w:spacing w:before="6" w:line="360" w:lineRule="auto"/>
              <w:ind w:left="367"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w:t>
            </w:r>
            <w:r>
              <w:rPr>
                <w:rFonts w:ascii="宋体" w:hAnsi="宋体" w:eastAsia="宋体"/>
                <w:color w:val="auto"/>
                <w:sz w:val="24"/>
                <w:highlight w:val="none"/>
                <w:lang w:eastAsia="zh-CN"/>
              </w:rPr>
              <w:t>通过可视化界面定义消息路由分发规则以及系统订阅关系</w:t>
            </w:r>
            <w:r>
              <w:rPr>
                <w:rFonts w:hint="eastAsia" w:ascii="宋体" w:hAnsi="宋体" w:eastAsia="宋体"/>
                <w:color w:val="auto"/>
                <w:sz w:val="24"/>
                <w:highlight w:val="none"/>
                <w:lang w:eastAsia="zh-CN"/>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开发与运行效率</w:t>
            </w:r>
          </w:p>
        </w:tc>
        <w:tc>
          <w:tcPr>
            <w:tcW w:w="6759" w:type="dxa"/>
            <w:tcBorders>
              <w:top w:val="single" w:color="auto" w:sz="4" w:space="0"/>
              <w:left w:val="single" w:color="auto" w:sz="4" w:space="0"/>
              <w:bottom w:val="single" w:color="auto" w:sz="4" w:space="0"/>
              <w:right w:val="single" w:color="auto" w:sz="6" w:space="0"/>
            </w:tcBorders>
            <w:vAlign w:val="center"/>
          </w:tcPr>
          <w:p>
            <w:pPr>
              <w:pStyle w:val="201"/>
              <w:numPr>
                <w:ilvl w:val="0"/>
                <w:numId w:val="9"/>
              </w:numPr>
              <w:spacing w:before="6" w:line="360" w:lineRule="auto"/>
              <w:ind w:left="367"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支持开发和运行支持图形化处理。</w:t>
            </w:r>
          </w:p>
          <w:p>
            <w:pPr>
              <w:pStyle w:val="201"/>
              <w:numPr>
                <w:ilvl w:val="0"/>
                <w:numId w:val="9"/>
              </w:numPr>
              <w:spacing w:before="6" w:line="360" w:lineRule="auto"/>
              <w:ind w:left="367"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支持内置消息中间件,数据持久确保消息不丢失。</w:t>
            </w:r>
          </w:p>
          <w:p>
            <w:pPr>
              <w:pStyle w:val="201"/>
              <w:numPr>
                <w:ilvl w:val="0"/>
                <w:numId w:val="9"/>
              </w:numPr>
              <w:spacing w:before="6" w:line="360" w:lineRule="auto"/>
              <w:ind w:left="367"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支持提供简单易用</w:t>
            </w:r>
            <w:r>
              <w:rPr>
                <w:rFonts w:ascii="宋体" w:hAnsi="宋体" w:eastAsia="宋体"/>
                <w:color w:val="auto"/>
                <w:sz w:val="24"/>
                <w:highlight w:val="none"/>
                <w:lang w:eastAsia="zh-CN"/>
              </w:rPr>
              <w:t>的</w:t>
            </w:r>
            <w:r>
              <w:rPr>
                <w:rFonts w:hint="eastAsia" w:ascii="宋体" w:hAnsi="宋体" w:eastAsia="宋体"/>
                <w:color w:val="auto"/>
                <w:sz w:val="24"/>
                <w:highlight w:val="none"/>
                <w:lang w:eastAsia="zh-CN"/>
              </w:rPr>
              <w:t>测试和调试功能，可以在节点连线和配置脚本上设置断点，在友好的图形界面展示消息的变化调试应用。</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服务注册和查找</w:t>
            </w:r>
          </w:p>
        </w:tc>
        <w:tc>
          <w:tcPr>
            <w:tcW w:w="6759" w:type="dxa"/>
            <w:tcBorders>
              <w:top w:val="single" w:color="auto" w:sz="4" w:space="0"/>
              <w:left w:val="single" w:color="auto" w:sz="4" w:space="0"/>
              <w:bottom w:val="single" w:color="auto" w:sz="4" w:space="0"/>
              <w:right w:val="single" w:color="auto" w:sz="6" w:space="0"/>
            </w:tcBorders>
            <w:vAlign w:val="center"/>
          </w:tcPr>
          <w:p>
            <w:pPr>
              <w:pStyle w:val="201"/>
              <w:numPr>
                <w:ilvl w:val="0"/>
                <w:numId w:val="9"/>
              </w:numPr>
              <w:spacing w:before="6" w:line="360" w:lineRule="auto"/>
              <w:ind w:left="367"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支持在服务的注册和查找的配置能力和易用性。</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兼容性</w:t>
            </w:r>
          </w:p>
        </w:tc>
        <w:tc>
          <w:tcPr>
            <w:tcW w:w="6759" w:type="dxa"/>
            <w:tcBorders>
              <w:top w:val="single" w:color="auto" w:sz="4" w:space="0"/>
              <w:left w:val="single" w:color="auto" w:sz="4" w:space="0"/>
              <w:bottom w:val="single" w:color="auto" w:sz="4" w:space="0"/>
              <w:right w:val="single" w:color="auto" w:sz="6" w:space="0"/>
            </w:tcBorders>
            <w:vAlign w:val="center"/>
          </w:tcPr>
          <w:p>
            <w:pPr>
              <w:pStyle w:val="201"/>
              <w:numPr>
                <w:ilvl w:val="0"/>
                <w:numId w:val="9"/>
              </w:numPr>
              <w:spacing w:before="6" w:line="360" w:lineRule="auto"/>
              <w:ind w:left="367"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支持多种部署方式，支持云平台部署。</w:t>
            </w:r>
          </w:p>
          <w:p>
            <w:pPr>
              <w:pStyle w:val="201"/>
              <w:numPr>
                <w:ilvl w:val="0"/>
                <w:numId w:val="9"/>
              </w:numPr>
              <w:spacing w:before="6" w:line="360" w:lineRule="auto"/>
              <w:ind w:left="367"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支持本地、虚拟机部署，支持基于Docker、PaaS云平台部署。</w:t>
            </w:r>
          </w:p>
          <w:p>
            <w:pPr>
              <w:pStyle w:val="201"/>
              <w:numPr>
                <w:ilvl w:val="0"/>
                <w:numId w:val="9"/>
              </w:numPr>
              <w:spacing w:before="6" w:line="360" w:lineRule="auto"/>
              <w:ind w:left="367"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支持Web方式管理</w:t>
            </w:r>
            <w:r>
              <w:rPr>
                <w:rFonts w:hint="eastAsia" w:ascii="宋体" w:hAnsi="宋体" w:eastAsia="宋体"/>
                <w:color w:val="auto"/>
                <w:sz w:val="24"/>
                <w:highlight w:val="none"/>
                <w:lang w:eastAsia="zh-CN"/>
              </w:rPr>
              <w:t>、</w:t>
            </w:r>
            <w:r>
              <w:rPr>
                <w:rFonts w:ascii="宋体" w:hAnsi="宋体" w:eastAsia="宋体"/>
                <w:color w:val="auto"/>
                <w:sz w:val="24"/>
                <w:highlight w:val="none"/>
                <w:lang w:eastAsia="zh-CN"/>
              </w:rPr>
              <w:t>配置ESB中间件</w:t>
            </w:r>
            <w:r>
              <w:rPr>
                <w:rFonts w:hint="eastAsia" w:ascii="宋体" w:hAnsi="宋体" w:eastAsia="宋体"/>
                <w:color w:val="auto"/>
                <w:sz w:val="24"/>
                <w:highlight w:val="none"/>
                <w:lang w:eastAsia="zh-CN"/>
              </w:rPr>
              <w:t>。</w:t>
            </w:r>
          </w:p>
          <w:p>
            <w:pPr>
              <w:pStyle w:val="201"/>
              <w:numPr>
                <w:ilvl w:val="0"/>
                <w:numId w:val="9"/>
              </w:numPr>
              <w:spacing w:before="6" w:line="360" w:lineRule="auto"/>
              <w:ind w:left="367"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支持程序热部署</w:t>
            </w:r>
            <w:r>
              <w:rPr>
                <w:rFonts w:hint="eastAsia" w:ascii="宋体" w:hAnsi="宋体" w:eastAsia="宋体"/>
                <w:color w:val="auto"/>
                <w:sz w:val="24"/>
                <w:highlight w:val="none"/>
                <w:lang w:eastAsia="zh-CN"/>
              </w:rPr>
              <w:t>，</w:t>
            </w:r>
            <w:r>
              <w:rPr>
                <w:rFonts w:ascii="宋体" w:hAnsi="宋体" w:eastAsia="宋体"/>
                <w:color w:val="auto"/>
                <w:sz w:val="24"/>
                <w:highlight w:val="none"/>
                <w:lang w:eastAsia="zh-CN"/>
              </w:rPr>
              <w:t>不影响在线服务运行</w:t>
            </w:r>
            <w:r>
              <w:rPr>
                <w:rFonts w:hint="eastAsia" w:ascii="宋体" w:hAnsi="宋体" w:eastAsia="宋体"/>
                <w:color w:val="auto"/>
                <w:sz w:val="24"/>
                <w:highlight w:val="none"/>
                <w:lang w:eastAsia="zh-CN"/>
              </w:rPr>
              <w:t>。</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可扩展性及性能</w:t>
            </w:r>
          </w:p>
        </w:tc>
        <w:tc>
          <w:tcPr>
            <w:tcW w:w="6759" w:type="dxa"/>
            <w:tcBorders>
              <w:top w:val="single" w:color="auto" w:sz="4" w:space="0"/>
              <w:left w:val="single" w:color="auto" w:sz="4" w:space="0"/>
              <w:bottom w:val="single" w:color="auto" w:sz="4" w:space="0"/>
              <w:right w:val="single" w:color="auto" w:sz="6" w:space="0"/>
            </w:tcBorders>
            <w:vAlign w:val="center"/>
          </w:tcPr>
          <w:p>
            <w:pPr>
              <w:pStyle w:val="201"/>
              <w:numPr>
                <w:ilvl w:val="0"/>
                <w:numId w:val="9"/>
              </w:numPr>
              <w:spacing w:before="6" w:line="360" w:lineRule="auto"/>
              <w:ind w:left="367"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支持采用C++或Java实现内核，具备并发处理性能；</w:t>
            </w:r>
          </w:p>
          <w:p>
            <w:pPr>
              <w:pStyle w:val="201"/>
              <w:numPr>
                <w:ilvl w:val="0"/>
                <w:numId w:val="9"/>
              </w:numPr>
              <w:spacing w:before="6" w:line="360" w:lineRule="auto"/>
              <w:ind w:left="367"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支持开放组织OGF（OpenGridForum)定义的DFDL（DataFormatDescriptionLanguage）标准规范，简单快捷地定义文本、二进制、XML等数据格式。</w:t>
            </w:r>
          </w:p>
          <w:p>
            <w:pPr>
              <w:pStyle w:val="201"/>
              <w:numPr>
                <w:ilvl w:val="0"/>
                <w:numId w:val="9"/>
              </w:numPr>
              <w:spacing w:before="6" w:line="360" w:lineRule="auto"/>
              <w:ind w:left="367"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支持通过Java，C进行自定义扩展,用户可以为ESB 开发自定义扩展的计算节点,同时支持php,ESQL,.net,java开发后台服务。</w:t>
            </w:r>
          </w:p>
          <w:p>
            <w:pPr>
              <w:pStyle w:val="201"/>
              <w:numPr>
                <w:ilvl w:val="0"/>
                <w:numId w:val="9"/>
              </w:numPr>
              <w:spacing w:before="6" w:line="360" w:lineRule="auto"/>
              <w:ind w:left="367"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支持通过数据建模定制符合自己需求的消息类型；</w:t>
            </w:r>
          </w:p>
          <w:p>
            <w:pPr>
              <w:pStyle w:val="201"/>
              <w:numPr>
                <w:ilvl w:val="0"/>
                <w:numId w:val="9"/>
              </w:numPr>
              <w:spacing w:before="6" w:line="360" w:lineRule="auto"/>
              <w:ind w:left="367"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支持各种各样的服务质量等级和通信模式：同步(例如SOAP)和异步(例如MQ)两种通信模式，请求/响应、队列、点到点以及发布/订阅模式，各种交付保证，集群支持、HA和故障隔离，各种保障和交易策略等；</w:t>
            </w:r>
            <w:r>
              <w:rPr>
                <w:rFonts w:ascii="宋体" w:hAnsi="宋体" w:eastAsia="宋体"/>
                <w:color w:val="auto"/>
                <w:sz w:val="24"/>
                <w:highlight w:val="none"/>
                <w:lang w:eastAsia="zh-CN"/>
              </w:rPr>
              <w:t xml:space="preserve"> </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HTTPS支持</w:t>
            </w:r>
          </w:p>
        </w:tc>
        <w:tc>
          <w:tcPr>
            <w:tcW w:w="6759" w:type="dxa"/>
            <w:tcBorders>
              <w:top w:val="single" w:color="auto" w:sz="4" w:space="0"/>
              <w:left w:val="single" w:color="auto" w:sz="4" w:space="0"/>
              <w:bottom w:val="single" w:color="auto" w:sz="4" w:space="0"/>
              <w:right w:val="single" w:color="auto" w:sz="6" w:space="0"/>
            </w:tcBorders>
            <w:vAlign w:val="center"/>
          </w:tcPr>
          <w:p>
            <w:pPr>
              <w:pStyle w:val="201"/>
              <w:numPr>
                <w:ilvl w:val="0"/>
                <w:numId w:val="9"/>
              </w:numPr>
              <w:spacing w:before="6" w:line="360" w:lineRule="auto"/>
              <w:ind w:left="367"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支持在HTTPS的表现情况，体现ESB总线的安全性能力</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行业标准支持</w:t>
            </w:r>
          </w:p>
        </w:tc>
        <w:tc>
          <w:tcPr>
            <w:tcW w:w="6759" w:type="dxa"/>
            <w:tcBorders>
              <w:top w:val="single" w:color="auto" w:sz="4" w:space="0"/>
              <w:left w:val="single" w:color="auto" w:sz="4" w:space="0"/>
              <w:bottom w:val="single" w:color="auto" w:sz="4" w:space="0"/>
              <w:right w:val="single" w:color="auto" w:sz="6" w:space="0"/>
            </w:tcBorders>
            <w:vAlign w:val="center"/>
          </w:tcPr>
          <w:p>
            <w:pPr>
              <w:pStyle w:val="201"/>
              <w:numPr>
                <w:ilvl w:val="0"/>
                <w:numId w:val="9"/>
              </w:numPr>
              <w:spacing w:before="6" w:line="360" w:lineRule="auto"/>
              <w:ind w:left="367"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支持国际和中国医疗数据标准，如 HL7 （Health Level Seven）v2.x、v3.0、FHIR等版本和DICOM标准等相关医疗标准。</w:t>
            </w:r>
          </w:p>
          <w:p>
            <w:pPr>
              <w:pStyle w:val="201"/>
              <w:numPr>
                <w:ilvl w:val="0"/>
                <w:numId w:val="9"/>
              </w:numPr>
              <w:spacing w:before="6" w:line="360" w:lineRule="auto"/>
              <w:ind w:left="367"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支持例如Minimal Lower Layer Protocol (MLLP) 传输协议等相关协议，实现各类医疗设备与系统的连接。</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7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IP访问控制</w:t>
            </w:r>
          </w:p>
        </w:tc>
        <w:tc>
          <w:tcPr>
            <w:tcW w:w="6759" w:type="dxa"/>
            <w:tcBorders>
              <w:top w:val="single" w:color="auto" w:sz="4" w:space="0"/>
              <w:left w:val="single" w:color="auto" w:sz="4" w:space="0"/>
              <w:bottom w:val="single" w:color="auto" w:sz="4" w:space="0"/>
              <w:right w:val="single" w:color="auto" w:sz="6" w:space="0"/>
            </w:tcBorders>
            <w:vAlign w:val="center"/>
          </w:tcPr>
          <w:p>
            <w:pPr>
              <w:pStyle w:val="201"/>
              <w:numPr>
                <w:ilvl w:val="0"/>
                <w:numId w:val="9"/>
              </w:numPr>
              <w:spacing w:before="6" w:line="360" w:lineRule="auto"/>
              <w:ind w:left="367"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支持在IP访问控制的表现情况，体现ESB总线的安全性能力</w:t>
            </w:r>
          </w:p>
        </w:tc>
      </w:tr>
    </w:tbl>
    <w:p>
      <w:pPr>
        <w:pStyle w:val="7"/>
        <w:numPr>
          <w:ilvl w:val="4"/>
          <w:numId w:val="8"/>
        </w:numPr>
        <w:rPr>
          <w:rFonts w:ascii="宋体" w:hAnsi="宋体"/>
          <w:color w:val="auto"/>
          <w:szCs w:val="24"/>
          <w:highlight w:val="none"/>
        </w:rPr>
      </w:pPr>
      <w:bookmarkStart w:id="547" w:name="_Toc6953"/>
      <w:r>
        <w:rPr>
          <w:rFonts w:hint="eastAsia" w:ascii="宋体" w:hAnsi="宋体"/>
          <w:color w:val="auto"/>
          <w:szCs w:val="24"/>
          <w:highlight w:val="none"/>
        </w:rPr>
        <w:t>集成平台管理</w:t>
      </w:r>
      <w:bookmarkEnd w:id="547"/>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在信息集成平台的建设整体方案中，要能够提供集成平台管理系统实现对信息平台集成的标准在线管理、自定义数据集管理、标准数据元管理、OID在线管理、服务在线管理、服务在线升级管理、服务设计书在线管理、应用系统管理、系统集成在线自测、SDK、ETL平台集成方式定义与管理，并支持平台交互消息质量校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72" w:type="dxa"/>
        <w:jc w:val="center"/>
        <w:tblLayout w:type="fixed"/>
        <w:tblCellMar>
          <w:top w:w="0" w:type="dxa"/>
          <w:left w:w="108" w:type="dxa"/>
          <w:bottom w:w="0" w:type="dxa"/>
          <w:right w:w="108" w:type="dxa"/>
        </w:tblCellMar>
      </w:tblPr>
      <w:tblGrid>
        <w:gridCol w:w="2200"/>
        <w:gridCol w:w="6872"/>
      </w:tblGrid>
      <w:tr>
        <w:tblPrEx>
          <w:tblCellMar>
            <w:top w:w="0" w:type="dxa"/>
            <w:left w:w="108" w:type="dxa"/>
            <w:bottom w:w="0" w:type="dxa"/>
            <w:right w:w="108" w:type="dxa"/>
          </w:tblCellMar>
        </w:tblPrEx>
        <w:trPr>
          <w:trHeight w:val="510" w:hRule="atLeast"/>
          <w:tblHeader/>
          <w:jc w:val="center"/>
        </w:trPr>
        <w:tc>
          <w:tcPr>
            <w:tcW w:w="2200" w:type="dxa"/>
            <w:tcBorders>
              <w:top w:val="single" w:color="auto" w:sz="4" w:space="0"/>
              <w:left w:val="single" w:color="auto" w:sz="4" w:space="0"/>
              <w:bottom w:val="single" w:color="auto" w:sz="4" w:space="0"/>
              <w:right w:val="single" w:color="auto" w:sz="4" w:space="0"/>
            </w:tcBorders>
            <w:shd w:val="clear" w:color="auto" w:fill="0070C0"/>
            <w:noWrap/>
            <w:vAlign w:val="center"/>
          </w:tcPr>
          <w:p>
            <w:pPr>
              <w:widowControl/>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功能</w:t>
            </w:r>
          </w:p>
        </w:tc>
        <w:tc>
          <w:tcPr>
            <w:tcW w:w="6872" w:type="dxa"/>
            <w:tcBorders>
              <w:top w:val="single" w:color="auto" w:sz="4" w:space="0"/>
              <w:left w:val="nil"/>
              <w:bottom w:val="single" w:color="auto" w:sz="4" w:space="0"/>
              <w:right w:val="single" w:color="auto" w:sz="4" w:space="0"/>
            </w:tcBorders>
            <w:shd w:val="clear" w:color="auto" w:fill="0070C0"/>
            <w:noWrap/>
            <w:vAlign w:val="center"/>
          </w:tcPr>
          <w:p>
            <w:pPr>
              <w:widowControl/>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功能要求</w:t>
            </w:r>
          </w:p>
        </w:tc>
      </w:tr>
      <w:tr>
        <w:tblPrEx>
          <w:tblCellMar>
            <w:top w:w="0" w:type="dxa"/>
            <w:left w:w="108" w:type="dxa"/>
            <w:bottom w:w="0" w:type="dxa"/>
            <w:right w:w="108" w:type="dxa"/>
          </w:tblCellMar>
        </w:tblPrEx>
        <w:trPr>
          <w:trHeight w:val="570" w:hRule="atLeast"/>
          <w:jc w:val="center"/>
        </w:trPr>
        <w:tc>
          <w:tcPr>
            <w:tcW w:w="2200" w:type="dxa"/>
            <w:tcBorders>
              <w:top w:val="nil"/>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标准在线管理</w:t>
            </w:r>
          </w:p>
        </w:tc>
        <w:tc>
          <w:tcPr>
            <w:tcW w:w="6872" w:type="dxa"/>
            <w:tcBorders>
              <w:top w:val="nil"/>
              <w:left w:val="nil"/>
              <w:bottom w:val="single" w:color="auto" w:sz="4" w:space="0"/>
              <w:right w:val="single" w:color="auto" w:sz="4" w:space="0"/>
            </w:tcBorders>
            <w:vAlign w:val="bottom"/>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支持标准编辑、导入导出功能，支持不同类型标准转换；提供标准历史版本管理机制，对标版的历史版本有追踪记录及明细展示。</w:t>
            </w:r>
          </w:p>
        </w:tc>
      </w:tr>
      <w:tr>
        <w:tblPrEx>
          <w:tblCellMar>
            <w:top w:w="0" w:type="dxa"/>
            <w:left w:w="108" w:type="dxa"/>
            <w:bottom w:w="0" w:type="dxa"/>
            <w:right w:w="108" w:type="dxa"/>
          </w:tblCellMar>
        </w:tblPrEx>
        <w:trPr>
          <w:trHeight w:val="570" w:hRule="atLeast"/>
          <w:jc w:val="center"/>
        </w:trPr>
        <w:tc>
          <w:tcPr>
            <w:tcW w:w="2200" w:type="dxa"/>
            <w:tcBorders>
              <w:top w:val="nil"/>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自定义数据集管理</w:t>
            </w:r>
          </w:p>
        </w:tc>
        <w:tc>
          <w:tcPr>
            <w:tcW w:w="6872" w:type="dxa"/>
            <w:tcBorders>
              <w:top w:val="nil"/>
              <w:left w:val="nil"/>
              <w:bottom w:val="single" w:color="auto" w:sz="4" w:space="0"/>
              <w:right w:val="single" w:color="auto" w:sz="4" w:space="0"/>
            </w:tcBorders>
            <w:vAlign w:val="bottom"/>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支持对数据集进行统一管理，可新增自定义数据集，也可对已有数据集进行编辑修改。标准定义中可引用定义好的自定义数据集节点。</w:t>
            </w:r>
          </w:p>
        </w:tc>
      </w:tr>
      <w:tr>
        <w:tblPrEx>
          <w:tblCellMar>
            <w:top w:w="0" w:type="dxa"/>
            <w:left w:w="108" w:type="dxa"/>
            <w:bottom w:w="0" w:type="dxa"/>
            <w:right w:w="108" w:type="dxa"/>
          </w:tblCellMar>
        </w:tblPrEx>
        <w:trPr>
          <w:trHeight w:val="540" w:hRule="atLeast"/>
          <w:jc w:val="center"/>
        </w:trPr>
        <w:tc>
          <w:tcPr>
            <w:tcW w:w="2200" w:type="dxa"/>
            <w:tcBorders>
              <w:top w:val="nil"/>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标准数据元管理</w:t>
            </w:r>
          </w:p>
        </w:tc>
        <w:tc>
          <w:tcPr>
            <w:tcW w:w="6872" w:type="dxa"/>
            <w:tcBorders>
              <w:top w:val="nil"/>
              <w:left w:val="nil"/>
              <w:bottom w:val="single" w:color="auto" w:sz="4" w:space="0"/>
              <w:right w:val="single" w:color="auto" w:sz="4" w:space="0"/>
            </w:tcBorders>
            <w:vAlign w:val="bottom"/>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支持对互联互通共享文档引用到的标准数据元进行统一管理。</w:t>
            </w:r>
          </w:p>
        </w:tc>
      </w:tr>
      <w:tr>
        <w:tblPrEx>
          <w:tblCellMar>
            <w:top w:w="0" w:type="dxa"/>
            <w:left w:w="108" w:type="dxa"/>
            <w:bottom w:w="0" w:type="dxa"/>
            <w:right w:w="108" w:type="dxa"/>
          </w:tblCellMar>
        </w:tblPrEx>
        <w:trPr>
          <w:trHeight w:val="570" w:hRule="atLeast"/>
          <w:jc w:val="center"/>
        </w:trPr>
        <w:tc>
          <w:tcPr>
            <w:tcW w:w="2200" w:type="dxa"/>
            <w:tcBorders>
              <w:top w:val="nil"/>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OID在线管理</w:t>
            </w:r>
          </w:p>
        </w:tc>
        <w:tc>
          <w:tcPr>
            <w:tcW w:w="6872" w:type="dxa"/>
            <w:tcBorders>
              <w:top w:val="nil"/>
              <w:left w:val="nil"/>
              <w:bottom w:val="single" w:color="auto" w:sz="4" w:space="0"/>
              <w:right w:val="single" w:color="auto" w:sz="4" w:space="0"/>
            </w:tcBorders>
            <w:vAlign w:val="bottom"/>
          </w:tcPr>
          <w:p>
            <w:pPr>
              <w:widowControl/>
              <w:spacing w:line="360" w:lineRule="auto"/>
              <w:ind w:right="265" w:rightChars="126"/>
              <w:jc w:val="left"/>
              <w:rPr>
                <w:rFonts w:ascii="宋体" w:hAnsi="宋体" w:cs="宋体"/>
                <w:color w:val="auto"/>
                <w:kern w:val="0"/>
                <w:sz w:val="24"/>
                <w:highlight w:val="none"/>
              </w:rPr>
            </w:pPr>
            <w:r>
              <w:rPr>
                <w:rFonts w:hint="eastAsia" w:ascii="宋体" w:hAnsi="宋体" w:cs="宋体"/>
                <w:color w:val="auto"/>
                <w:kern w:val="0"/>
                <w:sz w:val="24"/>
                <w:highlight w:val="none"/>
              </w:rPr>
              <w:t>支持对医院OID进行统一管理，具有导出、导入OID的功能，OID的修改能够自动的应用到服务设计书中。</w:t>
            </w:r>
          </w:p>
        </w:tc>
      </w:tr>
      <w:tr>
        <w:tblPrEx>
          <w:tblCellMar>
            <w:top w:w="0" w:type="dxa"/>
            <w:left w:w="108" w:type="dxa"/>
            <w:bottom w:w="0" w:type="dxa"/>
            <w:right w:w="108" w:type="dxa"/>
          </w:tblCellMar>
        </w:tblPrEx>
        <w:trPr>
          <w:trHeight w:val="570" w:hRule="atLeast"/>
          <w:jc w:val="center"/>
        </w:trPr>
        <w:tc>
          <w:tcPr>
            <w:tcW w:w="2200" w:type="dxa"/>
            <w:tcBorders>
              <w:top w:val="nil"/>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服务在线管理</w:t>
            </w:r>
          </w:p>
        </w:tc>
        <w:tc>
          <w:tcPr>
            <w:tcW w:w="6872" w:type="dxa"/>
            <w:tcBorders>
              <w:top w:val="nil"/>
              <w:left w:val="nil"/>
              <w:bottom w:val="single" w:color="auto" w:sz="4" w:space="0"/>
              <w:right w:val="single" w:color="auto" w:sz="4" w:space="0"/>
            </w:tcBorders>
            <w:vAlign w:val="bottom"/>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对于接入平台的服务进行统一管理，支持子服务定义及服务在线升级管理，并能够在线管理服务订阅关系。具备服务设计书下载功能。</w:t>
            </w:r>
          </w:p>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支持</w:t>
            </w:r>
            <w:r>
              <w:rPr>
                <w:rFonts w:ascii="宋体" w:hAnsi="宋体" w:cs="宋体"/>
                <w:color w:val="auto"/>
                <w:kern w:val="0"/>
                <w:sz w:val="24"/>
                <w:highlight w:val="none"/>
              </w:rPr>
              <w:t>对平台注册发布的WS</w:t>
            </w:r>
            <w:r>
              <w:rPr>
                <w:rFonts w:hint="eastAsia" w:ascii="宋体" w:hAnsi="宋体" w:cs="宋体"/>
                <w:color w:val="auto"/>
                <w:kern w:val="0"/>
                <w:sz w:val="24"/>
                <w:highlight w:val="none"/>
              </w:rPr>
              <w:t>、</w:t>
            </w:r>
            <w:r>
              <w:rPr>
                <w:rFonts w:ascii="宋体" w:hAnsi="宋体" w:cs="宋体"/>
                <w:color w:val="auto"/>
                <w:kern w:val="0"/>
                <w:sz w:val="24"/>
                <w:highlight w:val="none"/>
              </w:rPr>
              <w:t>Http服务进行脱敏可视化配置管理</w:t>
            </w:r>
            <w:r>
              <w:rPr>
                <w:rFonts w:hint="eastAsia" w:ascii="宋体" w:hAnsi="宋体" w:cs="宋体"/>
                <w:color w:val="auto"/>
                <w:kern w:val="0"/>
                <w:sz w:val="24"/>
                <w:highlight w:val="none"/>
              </w:rPr>
              <w:t>，</w:t>
            </w:r>
            <w:r>
              <w:rPr>
                <w:rFonts w:ascii="宋体" w:hAnsi="宋体" w:cs="宋体"/>
                <w:color w:val="auto"/>
                <w:kern w:val="0"/>
                <w:sz w:val="24"/>
                <w:highlight w:val="none"/>
              </w:rPr>
              <w:t>脱敏规则包含替换</w:t>
            </w:r>
            <w:r>
              <w:rPr>
                <w:rFonts w:hint="eastAsia" w:ascii="宋体" w:hAnsi="宋体" w:cs="宋体"/>
                <w:color w:val="auto"/>
                <w:kern w:val="0"/>
                <w:sz w:val="24"/>
                <w:highlight w:val="none"/>
              </w:rPr>
              <w:t>、</w:t>
            </w:r>
            <w:r>
              <w:rPr>
                <w:rFonts w:ascii="宋体" w:hAnsi="宋体" w:cs="宋体"/>
                <w:color w:val="auto"/>
                <w:kern w:val="0"/>
                <w:sz w:val="24"/>
                <w:highlight w:val="none"/>
              </w:rPr>
              <w:t>日期截取</w:t>
            </w:r>
            <w:r>
              <w:rPr>
                <w:rFonts w:hint="eastAsia" w:ascii="宋体" w:hAnsi="宋体" w:cs="宋体"/>
                <w:color w:val="auto"/>
                <w:kern w:val="0"/>
                <w:sz w:val="24"/>
                <w:highlight w:val="none"/>
              </w:rPr>
              <w:t>、</w:t>
            </w:r>
            <w:r>
              <w:rPr>
                <w:rFonts w:ascii="宋体" w:hAnsi="宋体" w:cs="宋体"/>
                <w:color w:val="auto"/>
                <w:kern w:val="0"/>
                <w:sz w:val="24"/>
                <w:highlight w:val="none"/>
              </w:rPr>
              <w:t>日期便宜</w:t>
            </w:r>
            <w:r>
              <w:rPr>
                <w:rFonts w:hint="eastAsia" w:ascii="宋体" w:hAnsi="宋体" w:cs="宋体"/>
                <w:color w:val="auto"/>
                <w:kern w:val="0"/>
                <w:sz w:val="24"/>
                <w:highlight w:val="none"/>
              </w:rPr>
              <w:t>、</w:t>
            </w:r>
            <w:r>
              <w:rPr>
                <w:rFonts w:ascii="宋体" w:hAnsi="宋体" w:cs="宋体"/>
                <w:color w:val="auto"/>
                <w:kern w:val="0"/>
                <w:sz w:val="24"/>
                <w:highlight w:val="none"/>
              </w:rPr>
              <w:t>遮罩</w:t>
            </w:r>
            <w:r>
              <w:rPr>
                <w:rFonts w:hint="eastAsia" w:ascii="宋体" w:hAnsi="宋体" w:cs="宋体"/>
                <w:color w:val="auto"/>
                <w:kern w:val="0"/>
                <w:sz w:val="24"/>
                <w:highlight w:val="none"/>
              </w:rPr>
              <w:t>、</w:t>
            </w:r>
            <w:r>
              <w:rPr>
                <w:rFonts w:ascii="宋体" w:hAnsi="宋体" w:cs="宋体"/>
                <w:color w:val="auto"/>
                <w:kern w:val="0"/>
                <w:sz w:val="24"/>
                <w:highlight w:val="none"/>
              </w:rPr>
              <w:t>身份证</w:t>
            </w:r>
            <w:r>
              <w:rPr>
                <w:rFonts w:hint="eastAsia" w:ascii="宋体" w:hAnsi="宋体" w:cs="宋体"/>
                <w:color w:val="auto"/>
                <w:kern w:val="0"/>
                <w:sz w:val="24"/>
                <w:highlight w:val="none"/>
              </w:rPr>
              <w:t>、</w:t>
            </w:r>
            <w:r>
              <w:rPr>
                <w:rFonts w:ascii="宋体" w:hAnsi="宋体" w:cs="宋体"/>
                <w:color w:val="auto"/>
                <w:kern w:val="0"/>
                <w:sz w:val="24"/>
                <w:highlight w:val="none"/>
              </w:rPr>
              <w:t>电话</w:t>
            </w:r>
            <w:r>
              <w:rPr>
                <w:rFonts w:hint="eastAsia" w:ascii="宋体" w:hAnsi="宋体" w:cs="宋体"/>
                <w:color w:val="auto"/>
                <w:kern w:val="0"/>
                <w:sz w:val="24"/>
                <w:highlight w:val="none"/>
              </w:rPr>
              <w:t>、</w:t>
            </w:r>
            <w:r>
              <w:rPr>
                <w:rFonts w:ascii="宋体" w:hAnsi="宋体" w:cs="宋体"/>
                <w:color w:val="auto"/>
                <w:kern w:val="0"/>
                <w:sz w:val="24"/>
                <w:highlight w:val="none"/>
              </w:rPr>
              <w:t>地址截取</w:t>
            </w:r>
            <w:r>
              <w:rPr>
                <w:rFonts w:hint="eastAsia" w:ascii="宋体" w:hAnsi="宋体" w:cs="宋体"/>
                <w:color w:val="auto"/>
                <w:kern w:val="0"/>
                <w:sz w:val="24"/>
                <w:highlight w:val="none"/>
              </w:rPr>
              <w:t>、</w:t>
            </w:r>
            <w:r>
              <w:rPr>
                <w:rFonts w:ascii="宋体" w:hAnsi="宋体" w:cs="宋体"/>
                <w:color w:val="auto"/>
                <w:kern w:val="0"/>
                <w:sz w:val="24"/>
                <w:highlight w:val="none"/>
              </w:rPr>
              <w:t>日期取整等</w:t>
            </w:r>
            <w:r>
              <w:rPr>
                <w:rFonts w:hint="eastAsia" w:ascii="宋体" w:hAnsi="宋体" w:cs="宋体"/>
                <w:color w:val="auto"/>
                <w:kern w:val="0"/>
                <w:sz w:val="24"/>
                <w:highlight w:val="none"/>
              </w:rPr>
              <w:t>。</w:t>
            </w:r>
          </w:p>
        </w:tc>
      </w:tr>
      <w:tr>
        <w:tblPrEx>
          <w:tblCellMar>
            <w:top w:w="0" w:type="dxa"/>
            <w:left w:w="108" w:type="dxa"/>
            <w:bottom w:w="0" w:type="dxa"/>
            <w:right w:w="108" w:type="dxa"/>
          </w:tblCellMar>
        </w:tblPrEx>
        <w:trPr>
          <w:trHeight w:val="570" w:hRule="atLeast"/>
          <w:jc w:val="center"/>
        </w:trPr>
        <w:tc>
          <w:tcPr>
            <w:tcW w:w="2200" w:type="dxa"/>
            <w:tcBorders>
              <w:top w:val="nil"/>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应用系统管理</w:t>
            </w:r>
          </w:p>
        </w:tc>
        <w:tc>
          <w:tcPr>
            <w:tcW w:w="6872" w:type="dxa"/>
            <w:tcBorders>
              <w:top w:val="nil"/>
              <w:left w:val="nil"/>
              <w:bottom w:val="single" w:color="auto" w:sz="4" w:space="0"/>
              <w:right w:val="single" w:color="auto" w:sz="4" w:space="0"/>
            </w:tcBorders>
            <w:vAlign w:val="bottom"/>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支持平台接入系统的注册管理，支持接入平台的应用系统白名单功能，通过可视化界面对接入系统服务的提供和消费关系进行维护。</w:t>
            </w:r>
          </w:p>
        </w:tc>
      </w:tr>
      <w:tr>
        <w:tblPrEx>
          <w:tblCellMar>
            <w:top w:w="0" w:type="dxa"/>
            <w:left w:w="108" w:type="dxa"/>
            <w:bottom w:w="0" w:type="dxa"/>
            <w:right w:w="108" w:type="dxa"/>
          </w:tblCellMar>
        </w:tblPrEx>
        <w:trPr>
          <w:trHeight w:val="555" w:hRule="atLeast"/>
          <w:jc w:val="center"/>
        </w:trPr>
        <w:tc>
          <w:tcPr>
            <w:tcW w:w="2200" w:type="dxa"/>
            <w:tcBorders>
              <w:top w:val="nil"/>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在线测试工具</w:t>
            </w:r>
          </w:p>
        </w:tc>
        <w:tc>
          <w:tcPr>
            <w:tcW w:w="6872" w:type="dxa"/>
            <w:tcBorders>
              <w:top w:val="nil"/>
              <w:left w:val="nil"/>
              <w:bottom w:val="single" w:color="auto" w:sz="4" w:space="0"/>
              <w:right w:val="single" w:color="auto" w:sz="4" w:space="0"/>
            </w:tcBorders>
            <w:vAlign w:val="bottom"/>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支持平台消息在线收发测试工具，并支持批量处理。</w:t>
            </w:r>
          </w:p>
        </w:tc>
      </w:tr>
      <w:tr>
        <w:tblPrEx>
          <w:tblCellMar>
            <w:top w:w="0" w:type="dxa"/>
            <w:left w:w="108" w:type="dxa"/>
            <w:bottom w:w="0" w:type="dxa"/>
            <w:right w:w="108" w:type="dxa"/>
          </w:tblCellMar>
        </w:tblPrEx>
        <w:trPr>
          <w:trHeight w:val="465" w:hRule="atLeast"/>
          <w:jc w:val="center"/>
        </w:trPr>
        <w:tc>
          <w:tcPr>
            <w:tcW w:w="2200" w:type="dxa"/>
            <w:tcBorders>
              <w:top w:val="nil"/>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多种方式接入支持</w:t>
            </w:r>
          </w:p>
        </w:tc>
        <w:tc>
          <w:tcPr>
            <w:tcW w:w="6872" w:type="dxa"/>
            <w:tcBorders>
              <w:top w:val="nil"/>
              <w:left w:val="nil"/>
              <w:bottom w:val="single" w:color="auto" w:sz="4" w:space="0"/>
              <w:right w:val="single" w:color="auto" w:sz="4" w:space="0"/>
            </w:tcBorders>
            <w:vAlign w:val="bottom"/>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支持提供SDK或ETL方式进行数据集成接入。</w:t>
            </w:r>
          </w:p>
        </w:tc>
      </w:tr>
      <w:tr>
        <w:tblPrEx>
          <w:tblCellMar>
            <w:top w:w="0" w:type="dxa"/>
            <w:left w:w="108" w:type="dxa"/>
            <w:bottom w:w="0" w:type="dxa"/>
            <w:right w:w="108" w:type="dxa"/>
          </w:tblCellMar>
        </w:tblPrEx>
        <w:trPr>
          <w:trHeight w:val="645" w:hRule="atLeast"/>
          <w:jc w:val="center"/>
        </w:trPr>
        <w:tc>
          <w:tcPr>
            <w:tcW w:w="2200" w:type="dxa"/>
            <w:tcBorders>
              <w:top w:val="nil"/>
              <w:left w:val="single" w:color="auto" w:sz="4" w:space="0"/>
              <w:bottom w:val="single" w:color="auto" w:sz="4" w:space="0"/>
              <w:right w:val="single" w:color="auto" w:sz="4" w:space="0"/>
            </w:tcBorders>
            <w:noWrap/>
            <w:vAlign w:val="center"/>
          </w:tcPr>
          <w:p>
            <w:pPr>
              <w:widowControl/>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平台消息校验</w:t>
            </w:r>
          </w:p>
        </w:tc>
        <w:tc>
          <w:tcPr>
            <w:tcW w:w="6872" w:type="dxa"/>
            <w:tcBorders>
              <w:top w:val="nil"/>
              <w:left w:val="nil"/>
              <w:bottom w:val="single" w:color="auto" w:sz="4" w:space="0"/>
              <w:right w:val="single" w:color="auto" w:sz="4" w:space="0"/>
            </w:tcBorders>
            <w:vAlign w:val="bottom"/>
          </w:tcPr>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支持通过可视化页面配置消息校验内容，提供校验结果的查看及统计。</w:t>
            </w:r>
          </w:p>
        </w:tc>
      </w:tr>
    </w:tbl>
    <w:p>
      <w:pPr>
        <w:pStyle w:val="7"/>
        <w:numPr>
          <w:ilvl w:val="4"/>
          <w:numId w:val="8"/>
        </w:numPr>
        <w:rPr>
          <w:rFonts w:ascii="宋体" w:hAnsi="宋体"/>
          <w:color w:val="auto"/>
          <w:szCs w:val="24"/>
          <w:highlight w:val="none"/>
        </w:rPr>
      </w:pPr>
      <w:bookmarkStart w:id="548" w:name="_Toc24169"/>
      <w:r>
        <w:rPr>
          <w:rFonts w:hint="eastAsia" w:ascii="宋体" w:hAnsi="宋体"/>
          <w:color w:val="auto"/>
          <w:szCs w:val="24"/>
          <w:highlight w:val="none"/>
        </w:rPr>
        <w:t>平台服务监控</w:t>
      </w:r>
      <w:bookmarkEnd w:id="548"/>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平台服务综合监控系统需要实现针对信息交换平台中的业务消息交互的实时监控功能，对业务消息交互的状态及服务器资源使用状况进行实时监控和统计分析，对不良状况设定告警，并提供监控设置的动态加载功能，以了解整个信息集成平台的运行状况。</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73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trPr>
        <w:tc>
          <w:tcPr>
            <w:tcW w:w="1696" w:type="dxa"/>
            <w:shd w:val="clear" w:color="auto" w:fill="4472C4"/>
            <w:vAlign w:val="center"/>
          </w:tcPr>
          <w:p>
            <w:pPr>
              <w:autoSpaceDE w:val="0"/>
              <w:autoSpaceDN w:val="0"/>
              <w:spacing w:before="13" w:line="360" w:lineRule="auto"/>
              <w:ind w:left="105" w:leftChars="50" w:right="105" w:rightChars="50"/>
              <w:jc w:val="center"/>
              <w:rPr>
                <w:rFonts w:ascii="宋体" w:hAnsi="宋体" w:cs="仿宋"/>
                <w:b/>
                <w:color w:val="auto"/>
                <w:w w:val="105"/>
                <w:sz w:val="24"/>
                <w:highlight w:val="none"/>
                <w:lang w:eastAsia="en-US"/>
              </w:rPr>
            </w:pPr>
            <w:r>
              <w:rPr>
                <w:rFonts w:ascii="宋体" w:hAnsi="宋体" w:cs="仿宋"/>
                <w:b/>
                <w:color w:val="auto"/>
                <w:w w:val="105"/>
                <w:sz w:val="24"/>
                <w:highlight w:val="none"/>
                <w:lang w:eastAsia="en-US"/>
              </w:rPr>
              <w:t>模块</w:t>
            </w:r>
          </w:p>
        </w:tc>
        <w:tc>
          <w:tcPr>
            <w:tcW w:w="7371" w:type="dxa"/>
            <w:shd w:val="clear" w:color="auto" w:fill="4472C4"/>
            <w:vAlign w:val="center"/>
          </w:tcPr>
          <w:p>
            <w:pPr>
              <w:autoSpaceDE w:val="0"/>
              <w:autoSpaceDN w:val="0"/>
              <w:spacing w:before="13" w:line="360" w:lineRule="auto"/>
              <w:ind w:left="105" w:leftChars="50" w:right="105" w:rightChars="50"/>
              <w:jc w:val="center"/>
              <w:rPr>
                <w:rFonts w:ascii="宋体" w:hAnsi="宋体" w:cs="仿宋"/>
                <w:b/>
                <w:color w:val="auto"/>
                <w:w w:val="105"/>
                <w:sz w:val="24"/>
                <w:highlight w:val="none"/>
                <w:lang w:eastAsia="en-US"/>
              </w:rPr>
            </w:pPr>
            <w:r>
              <w:rPr>
                <w:rFonts w:ascii="宋体" w:hAnsi="宋体" w:cs="仿宋"/>
                <w:b/>
                <w:color w:val="auto"/>
                <w:w w:val="105"/>
                <w:sz w:val="24"/>
                <w:highlight w:val="none"/>
              </w:rPr>
              <w:t>功能</w:t>
            </w:r>
            <w:r>
              <w:rPr>
                <w:rFonts w:hint="eastAsia" w:ascii="宋体" w:hAnsi="宋体" w:cs="仿宋"/>
                <w:b/>
                <w:color w:val="auto"/>
                <w:w w:val="105"/>
                <w:sz w:val="24"/>
                <w:highlight w:val="none"/>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1696"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平台服务监控</w:t>
            </w:r>
          </w:p>
        </w:tc>
        <w:tc>
          <w:tcPr>
            <w:tcW w:w="7371"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实时监控消息发送相关信息，实时刷新各个业务消息的流动状态，更新监控结果；实时监控消息发送失败相关信息；提供基于业务条件的监控查询；实时地显示集成平台的服务器资源监控结果，包括监控概况、队列积压情况、服务器资源监控；</w:t>
            </w:r>
          </w:p>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提供基于医疗业务的精准搜索能力：可以提供基于业务数据的的分类条件搜索，支持对医嘱号、申请单号等信息的精准查询。通过业务查询结构直接浏览消息：从业务角度跟踪消息，并能够直接浏览消息体内容；</w:t>
            </w:r>
          </w:p>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支持各类统计功能：包括消息统计，消息交互量，术语变更量，实时交互量，服务交互量，错误消息量，服务消费分析，系统接收消息量，队列消息堆积量等条件的统计分析功能；</w:t>
            </w:r>
          </w:p>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支持检索设定日期内特定名称和类别的告警信息，配置告警项，对告警条件的增、改、删及启用、停用等操作。</w:t>
            </w:r>
          </w:p>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支持提供平台全局一览数据展示，包括信息平台交互的服务消息数量、平均耗时、订阅数据；实时交互数据方式及数据量趋势展示；平台数据积压量Top</w:t>
            </w:r>
            <w:r>
              <w:rPr>
                <w:rFonts w:ascii="宋体" w:hAnsi="宋体" w:eastAsia="宋体"/>
                <w:color w:val="auto"/>
                <w:spacing w:val="-4"/>
                <w:sz w:val="24"/>
                <w:highlight w:val="none"/>
                <w:lang w:eastAsia="zh-CN"/>
              </w:rPr>
              <w:t>10统计</w:t>
            </w:r>
            <w:r>
              <w:rPr>
                <w:rFonts w:hint="eastAsia" w:ascii="宋体" w:hAnsi="宋体" w:eastAsia="宋体"/>
                <w:color w:val="auto"/>
                <w:spacing w:val="-4"/>
                <w:sz w:val="24"/>
                <w:highlight w:val="none"/>
                <w:lang w:eastAsia="zh-CN"/>
              </w:rPr>
              <w:t>；</w:t>
            </w:r>
            <w:r>
              <w:rPr>
                <w:rFonts w:ascii="宋体" w:hAnsi="宋体" w:eastAsia="宋体"/>
                <w:color w:val="auto"/>
                <w:spacing w:val="-4"/>
                <w:sz w:val="24"/>
                <w:highlight w:val="none"/>
                <w:lang w:eastAsia="zh-CN"/>
              </w:rPr>
              <w:t>每个服务的交互量</w:t>
            </w:r>
            <w:r>
              <w:rPr>
                <w:rFonts w:hint="eastAsia" w:ascii="宋体" w:hAnsi="宋体" w:eastAsia="宋体"/>
                <w:color w:val="auto"/>
                <w:spacing w:val="-4"/>
                <w:sz w:val="24"/>
                <w:highlight w:val="none"/>
                <w:lang w:eastAsia="zh-CN"/>
              </w:rPr>
              <w:t>；</w:t>
            </w:r>
          </w:p>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w:t>
            </w:r>
            <w:r>
              <w:rPr>
                <w:rFonts w:ascii="宋体" w:hAnsi="宋体" w:eastAsia="宋体"/>
                <w:color w:val="auto"/>
                <w:spacing w:val="-4"/>
                <w:sz w:val="24"/>
                <w:highlight w:val="none"/>
                <w:lang w:eastAsia="zh-CN"/>
              </w:rPr>
              <w:t>平台服务器的状态监控</w:t>
            </w:r>
            <w:r>
              <w:rPr>
                <w:rFonts w:hint="eastAsia" w:ascii="宋体" w:hAnsi="宋体" w:eastAsia="宋体"/>
                <w:color w:val="auto"/>
                <w:spacing w:val="-4"/>
                <w:sz w:val="24"/>
                <w:highlight w:val="none"/>
                <w:lang w:eastAsia="zh-CN"/>
              </w:rPr>
              <w:t>，</w:t>
            </w:r>
            <w:r>
              <w:rPr>
                <w:rFonts w:ascii="宋体" w:hAnsi="宋体" w:eastAsia="宋体"/>
                <w:color w:val="auto"/>
                <w:spacing w:val="-4"/>
                <w:sz w:val="24"/>
                <w:highlight w:val="none"/>
                <w:lang w:eastAsia="zh-CN"/>
              </w:rPr>
              <w:t>进程监控等自动化巡检预警支持</w:t>
            </w:r>
            <w:r>
              <w:rPr>
                <w:rFonts w:hint="eastAsia" w:ascii="宋体" w:hAnsi="宋体" w:eastAsia="宋体"/>
                <w:color w:val="auto"/>
                <w:spacing w:val="-4"/>
                <w:sz w:val="24"/>
                <w:highlight w:val="none"/>
                <w:lang w:eastAsia="zh-CN"/>
              </w:rPr>
              <w:t>。</w:t>
            </w:r>
          </w:p>
        </w:tc>
      </w:tr>
    </w:tbl>
    <w:p>
      <w:pPr>
        <w:pStyle w:val="6"/>
        <w:numPr>
          <w:ilvl w:val="3"/>
          <w:numId w:val="8"/>
        </w:numPr>
        <w:spacing w:before="280" w:after="290" w:line="376" w:lineRule="auto"/>
        <w:rPr>
          <w:rFonts w:ascii="宋体" w:hAnsi="宋体"/>
          <w:color w:val="auto"/>
          <w:sz w:val="24"/>
          <w:szCs w:val="24"/>
          <w:highlight w:val="none"/>
        </w:rPr>
      </w:pPr>
      <w:bookmarkStart w:id="549" w:name="_Toc15989"/>
      <w:r>
        <w:rPr>
          <w:rFonts w:hint="eastAsia" w:ascii="宋体" w:hAnsi="宋体"/>
          <w:color w:val="auto"/>
          <w:sz w:val="24"/>
          <w:szCs w:val="24"/>
          <w:highlight w:val="none"/>
        </w:rPr>
        <w:t>平台基础应用</w:t>
      </w:r>
      <w:bookmarkEnd w:id="549"/>
    </w:p>
    <w:p>
      <w:pPr>
        <w:pStyle w:val="7"/>
        <w:numPr>
          <w:ilvl w:val="4"/>
          <w:numId w:val="8"/>
        </w:numPr>
        <w:rPr>
          <w:rFonts w:ascii="宋体" w:hAnsi="宋体"/>
          <w:color w:val="auto"/>
          <w:szCs w:val="24"/>
          <w:highlight w:val="none"/>
        </w:rPr>
      </w:pPr>
      <w:bookmarkStart w:id="550" w:name="_Toc32429"/>
      <w:r>
        <w:rPr>
          <w:rFonts w:hint="eastAsia" w:ascii="宋体" w:hAnsi="宋体"/>
          <w:color w:val="auto"/>
          <w:szCs w:val="24"/>
          <w:highlight w:val="none"/>
        </w:rPr>
        <w:t>患者主索引</w:t>
      </w:r>
      <w:bookmarkEnd w:id="550"/>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患者主索引管理系统目的是指通过对全院病人基本信息进行查重、归并，形成全院共享的全局患者基本信息数据库。统一全院患者信息，维护患者数据及同步更新。</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73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trPr>
        <w:tc>
          <w:tcPr>
            <w:tcW w:w="1696" w:type="dxa"/>
            <w:shd w:val="clear" w:color="auto" w:fill="4472C4"/>
            <w:vAlign w:val="center"/>
          </w:tcPr>
          <w:p>
            <w:pPr>
              <w:autoSpaceDE w:val="0"/>
              <w:autoSpaceDN w:val="0"/>
              <w:spacing w:before="13" w:line="360" w:lineRule="auto"/>
              <w:ind w:left="105" w:leftChars="50" w:right="105" w:rightChars="50"/>
              <w:jc w:val="center"/>
              <w:rPr>
                <w:rFonts w:ascii="宋体" w:hAnsi="宋体" w:cs="仿宋"/>
                <w:b/>
                <w:color w:val="auto"/>
                <w:w w:val="105"/>
                <w:sz w:val="24"/>
                <w:highlight w:val="none"/>
                <w:lang w:eastAsia="en-US"/>
              </w:rPr>
            </w:pPr>
            <w:r>
              <w:rPr>
                <w:rFonts w:ascii="宋体" w:hAnsi="宋体" w:cs="仿宋"/>
                <w:b/>
                <w:color w:val="auto"/>
                <w:w w:val="105"/>
                <w:sz w:val="24"/>
                <w:highlight w:val="none"/>
                <w:lang w:eastAsia="en-US"/>
              </w:rPr>
              <w:t>模块</w:t>
            </w:r>
          </w:p>
        </w:tc>
        <w:tc>
          <w:tcPr>
            <w:tcW w:w="7371" w:type="dxa"/>
            <w:shd w:val="clear" w:color="auto" w:fill="4472C4"/>
            <w:vAlign w:val="center"/>
          </w:tcPr>
          <w:p>
            <w:pPr>
              <w:autoSpaceDE w:val="0"/>
              <w:autoSpaceDN w:val="0"/>
              <w:spacing w:before="13" w:line="360" w:lineRule="auto"/>
              <w:ind w:left="105" w:leftChars="50" w:right="105" w:rightChars="50"/>
              <w:jc w:val="center"/>
              <w:rPr>
                <w:rFonts w:ascii="宋体" w:hAnsi="宋体" w:cs="仿宋"/>
                <w:b/>
                <w:color w:val="auto"/>
                <w:w w:val="105"/>
                <w:sz w:val="24"/>
                <w:highlight w:val="none"/>
                <w:lang w:eastAsia="en-US"/>
              </w:rPr>
            </w:pPr>
            <w:r>
              <w:rPr>
                <w:rFonts w:ascii="宋体" w:hAnsi="宋体" w:cs="仿宋"/>
                <w:b/>
                <w:color w:val="auto"/>
                <w:w w:val="105"/>
                <w:sz w:val="24"/>
                <w:highlight w:val="none"/>
              </w:rPr>
              <w:t>功能</w:t>
            </w:r>
            <w:r>
              <w:rPr>
                <w:rFonts w:hint="eastAsia" w:ascii="宋体" w:hAnsi="宋体" w:cs="仿宋"/>
                <w:b/>
                <w:color w:val="auto"/>
                <w:w w:val="105"/>
                <w:sz w:val="24"/>
                <w:highlight w:val="none"/>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1696"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信息维护</w:t>
            </w:r>
          </w:p>
        </w:tc>
        <w:tc>
          <w:tcPr>
            <w:tcW w:w="7371"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支持患者信息模型维护，对系统患者模型进行配置调整，以满足医院患者数据现状。提供高效的匹配算法引擎，可根据医院数据质量对于匹配模型/匹配阈值进行可视化调整。</w:t>
            </w:r>
          </w:p>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支持患者信息维护的拆分、合并、更新通知功能。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1696"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批量数据导入</w:t>
            </w:r>
          </w:p>
        </w:tc>
        <w:tc>
          <w:tcPr>
            <w:tcW w:w="7371"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支持批量数据导入功能，用于预防突发事故，导致域系统无法访问EMPI系统，这段时间操作的患者信息，可以通过该功能将患者信息同步到EMPI系统中。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1696"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疑似数据管理</w:t>
            </w:r>
          </w:p>
        </w:tc>
        <w:tc>
          <w:tcPr>
            <w:tcW w:w="7371"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支持疑似数据的管理，对疑似数据进行查询、合并疑似数据、拆分疑似数据、比较疑似数据等维护操作。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1696"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分析功能</w:t>
            </w:r>
          </w:p>
        </w:tc>
        <w:tc>
          <w:tcPr>
            <w:tcW w:w="7371"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支持合并正确率的抽样分析功能，对系统内被合并患者数据进行抽样分析，判断合并正确率。</w:t>
            </w:r>
          </w:p>
        </w:tc>
      </w:tr>
    </w:tbl>
    <w:p>
      <w:pPr>
        <w:pStyle w:val="7"/>
        <w:numPr>
          <w:ilvl w:val="4"/>
          <w:numId w:val="8"/>
        </w:numPr>
        <w:rPr>
          <w:rFonts w:ascii="宋体" w:hAnsi="宋体"/>
          <w:color w:val="auto"/>
          <w:szCs w:val="24"/>
          <w:highlight w:val="none"/>
        </w:rPr>
      </w:pPr>
      <w:bookmarkStart w:id="551" w:name="_Toc23402"/>
      <w:r>
        <w:rPr>
          <w:rFonts w:hint="eastAsia" w:ascii="宋体" w:hAnsi="宋体"/>
          <w:color w:val="auto"/>
          <w:szCs w:val="24"/>
          <w:highlight w:val="none"/>
        </w:rPr>
        <w:t>统一身份认证</w:t>
      </w:r>
      <w:bookmarkEnd w:id="551"/>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统一用户认证系统要求实现用户一次登录，网内通用，避免多次登录应用的情况，同时此系统必须支持账号生命周期管理，统一入口，灵活同步到应用系统的管理。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73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trPr>
        <w:tc>
          <w:tcPr>
            <w:tcW w:w="1696" w:type="dxa"/>
            <w:shd w:val="clear" w:color="auto" w:fill="4472C4"/>
            <w:vAlign w:val="center"/>
          </w:tcPr>
          <w:p>
            <w:pPr>
              <w:autoSpaceDE w:val="0"/>
              <w:autoSpaceDN w:val="0"/>
              <w:spacing w:before="13" w:line="360" w:lineRule="auto"/>
              <w:ind w:left="105" w:leftChars="50" w:right="105" w:rightChars="50"/>
              <w:jc w:val="center"/>
              <w:rPr>
                <w:rFonts w:ascii="宋体" w:hAnsi="宋体" w:cs="仿宋"/>
                <w:b/>
                <w:color w:val="auto"/>
                <w:w w:val="105"/>
                <w:sz w:val="24"/>
                <w:highlight w:val="none"/>
                <w:lang w:eastAsia="en-US"/>
              </w:rPr>
            </w:pPr>
            <w:r>
              <w:rPr>
                <w:rFonts w:hint="eastAsia" w:ascii="宋体" w:hAnsi="宋体" w:cs="仿宋"/>
                <w:b/>
                <w:color w:val="auto"/>
                <w:w w:val="105"/>
                <w:sz w:val="24"/>
                <w:highlight w:val="none"/>
                <w:lang w:eastAsia="en-US"/>
              </w:rPr>
              <w:t>模块</w:t>
            </w:r>
          </w:p>
        </w:tc>
        <w:tc>
          <w:tcPr>
            <w:tcW w:w="7371" w:type="dxa"/>
            <w:shd w:val="clear" w:color="auto" w:fill="4472C4"/>
            <w:vAlign w:val="center"/>
          </w:tcPr>
          <w:p>
            <w:pPr>
              <w:autoSpaceDE w:val="0"/>
              <w:autoSpaceDN w:val="0"/>
              <w:spacing w:before="13" w:line="360" w:lineRule="auto"/>
              <w:ind w:left="105" w:leftChars="50" w:right="105" w:rightChars="50"/>
              <w:jc w:val="center"/>
              <w:rPr>
                <w:rFonts w:ascii="宋体" w:hAnsi="宋体" w:cs="仿宋"/>
                <w:b/>
                <w:color w:val="auto"/>
                <w:w w:val="105"/>
                <w:sz w:val="24"/>
                <w:highlight w:val="none"/>
                <w:lang w:eastAsia="en-US"/>
              </w:rPr>
            </w:pPr>
            <w:r>
              <w:rPr>
                <w:rFonts w:ascii="宋体" w:hAnsi="宋体" w:cs="仿宋"/>
                <w:b/>
                <w:color w:val="auto"/>
                <w:w w:val="105"/>
                <w:sz w:val="24"/>
                <w:highlight w:val="none"/>
                <w:lang w:eastAsia="en-US"/>
              </w:rPr>
              <w:t>功能</w:t>
            </w:r>
            <w:r>
              <w:rPr>
                <w:rFonts w:hint="eastAsia" w:ascii="宋体" w:hAnsi="宋体" w:cs="仿宋"/>
                <w:b/>
                <w:color w:val="auto"/>
                <w:w w:val="105"/>
                <w:sz w:val="24"/>
                <w:highlight w:val="none"/>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1696"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统一账户管理</w:t>
            </w:r>
          </w:p>
        </w:tc>
        <w:tc>
          <w:tcPr>
            <w:tcW w:w="7371"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要能将医院内机构、人员、账户对应信息按逻辑关联，与医院的人事字典相统一，主要包括：</w:t>
            </w:r>
          </w:p>
          <w:p>
            <w:pPr>
              <w:pStyle w:val="201"/>
              <w:numPr>
                <w:ilvl w:val="1"/>
                <w:numId w:val="9"/>
              </w:numPr>
              <w:spacing w:before="6" w:line="360" w:lineRule="auto"/>
              <w:ind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支持人员信息管理：精确定义院内医护人员的基本信息，包括姓名、身份证号、所属科室、联系电话、邮箱信息等。</w:t>
            </w:r>
          </w:p>
          <w:p>
            <w:pPr>
              <w:pStyle w:val="201"/>
              <w:numPr>
                <w:ilvl w:val="1"/>
                <w:numId w:val="9"/>
              </w:numPr>
              <w:spacing w:before="6" w:line="360" w:lineRule="auto"/>
              <w:ind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支持账户信息管理：管理医护人员在统一用户认证系统内的账户名、密码等信息。</w:t>
            </w:r>
          </w:p>
          <w:p>
            <w:pPr>
              <w:pStyle w:val="201"/>
              <w:numPr>
                <w:ilvl w:val="1"/>
                <w:numId w:val="9"/>
              </w:numPr>
              <w:spacing w:before="6" w:line="360" w:lineRule="auto"/>
              <w:ind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支持组织机构管理：按照医院组织机构架构，分类管理。方便人员确定机构归属，提供设定机构角色共性时能够对用户批量授权的功能。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1696"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统一应用服务</w:t>
            </w:r>
          </w:p>
        </w:tc>
        <w:tc>
          <w:tcPr>
            <w:tcW w:w="7371"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支持接入统一用户认证系统的业务系统和应用都管理起来。将系统进行注册、集成的接口进行注册以及管理用户的信息同步。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696"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统一集成服务</w:t>
            </w:r>
          </w:p>
        </w:tc>
        <w:tc>
          <w:tcPr>
            <w:tcW w:w="7371"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支持从不同层面提供集成管理，包括用户集成、权限集成、认证集成及单点登录集成。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1" w:hRule="atLeast"/>
        </w:trPr>
        <w:tc>
          <w:tcPr>
            <w:tcW w:w="1696"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身份认证</w:t>
            </w:r>
          </w:p>
        </w:tc>
        <w:tc>
          <w:tcPr>
            <w:tcW w:w="7371"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提供统一身份认证服务。提供专用的认证模块对访问平台系统的用户和系统进行身份鉴别，并对鉴别数据进行保密性和完整性保护，不得采用代填或链接传递用户名、密码等不安全的方式进行业务系统的登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2" w:hRule="atLeast"/>
        </w:trPr>
        <w:tc>
          <w:tcPr>
            <w:tcW w:w="1696"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统一门户管理</w:t>
            </w:r>
          </w:p>
        </w:tc>
        <w:tc>
          <w:tcPr>
            <w:tcW w:w="7371"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应用统一用户认证系统后，医护人员面对的业务系统都由统一门户展现，不需反复输入用户名密码重复登录不同系统。</w:t>
            </w:r>
          </w:p>
          <w:p>
            <w:pPr>
              <w:pStyle w:val="201"/>
              <w:numPr>
                <w:ilvl w:val="1"/>
                <w:numId w:val="9"/>
              </w:numPr>
              <w:spacing w:before="6" w:line="360" w:lineRule="auto"/>
              <w:ind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支持统一门户针对每个角色的不同，为领导、医生、护士等不同角色定制不同的门户模板，用户可以根据自己的需求，对门户中的模块进行自定义。</w:t>
            </w:r>
          </w:p>
          <w:p>
            <w:pPr>
              <w:pStyle w:val="201"/>
              <w:numPr>
                <w:ilvl w:val="1"/>
                <w:numId w:val="9"/>
              </w:numPr>
              <w:spacing w:before="6" w:line="360" w:lineRule="auto"/>
              <w:ind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支持自定链接管理：供医护人员提供个人常用应用及自定义网站链接的门户桌面快捷浏览方式。</w:t>
            </w:r>
          </w:p>
          <w:p>
            <w:pPr>
              <w:pStyle w:val="201"/>
              <w:numPr>
                <w:ilvl w:val="1"/>
                <w:numId w:val="9"/>
              </w:numPr>
              <w:spacing w:before="6" w:line="360" w:lineRule="auto"/>
              <w:ind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通过单点登录，使用同一用户名与密码可根据不同权限登录住院医生工作站、门诊医生工作站、护士工作站、门诊管理、住院管理、药品管理、医技管理等应用系统，界面风格一致并支持自由配置工作界面，支持第三方系统集成嵌入，如DRGs系统、邮箱等。系统支持分屏显示，打开一次系统在一个屏幕中同时显示多个业务窗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1696"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统一身份认证逃生机制</w:t>
            </w:r>
          </w:p>
        </w:tc>
        <w:tc>
          <w:tcPr>
            <w:tcW w:w="7371"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支持逃生访问的功能：系统提供逃生访问的功能。</w:t>
            </w:r>
          </w:p>
        </w:tc>
      </w:tr>
    </w:tbl>
    <w:p>
      <w:pPr>
        <w:pStyle w:val="7"/>
        <w:numPr>
          <w:ilvl w:val="4"/>
          <w:numId w:val="8"/>
        </w:numPr>
        <w:rPr>
          <w:rFonts w:ascii="宋体" w:hAnsi="宋体"/>
          <w:color w:val="auto"/>
          <w:szCs w:val="24"/>
          <w:highlight w:val="none"/>
        </w:rPr>
      </w:pPr>
      <w:bookmarkStart w:id="552" w:name="_Toc31991"/>
      <w:r>
        <w:rPr>
          <w:rFonts w:hint="eastAsia" w:ascii="宋体" w:hAnsi="宋体"/>
          <w:color w:val="auto"/>
          <w:szCs w:val="24"/>
          <w:highlight w:val="none"/>
        </w:rPr>
        <w:t>统一通讯服务</w:t>
      </w:r>
      <w:bookmarkEnd w:id="552"/>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为了便于院内系统快速实现短信、微信、邮件等方式的通信服务，需要统一提供公共通信管理平台。</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2"/>
        <w:gridCol w:w="6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trPr>
        <w:tc>
          <w:tcPr>
            <w:tcW w:w="2122" w:type="dxa"/>
            <w:shd w:val="clear" w:color="auto" w:fill="4472C4"/>
            <w:vAlign w:val="center"/>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6945" w:type="dxa"/>
            <w:shd w:val="clear" w:color="auto" w:fill="4472C4"/>
            <w:vAlign w:val="center"/>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ascii="宋体" w:hAnsi="宋体" w:cs="仿宋"/>
                <w:b/>
                <w:color w:val="auto"/>
                <w:w w:val="105"/>
                <w:sz w:val="24"/>
                <w:highlight w:val="none"/>
              </w:rPr>
              <w:t>功能</w:t>
            </w:r>
            <w:r>
              <w:rPr>
                <w:rFonts w:hint="eastAsia" w:ascii="宋体" w:hAnsi="宋体" w:cs="仿宋"/>
                <w:b/>
                <w:color w:val="auto"/>
                <w:w w:val="105"/>
                <w:sz w:val="24"/>
                <w:highlight w:val="none"/>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3" w:hRule="atLeast"/>
        </w:trPr>
        <w:tc>
          <w:tcPr>
            <w:tcW w:w="2122"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通讯服务</w:t>
            </w:r>
          </w:p>
        </w:tc>
        <w:tc>
          <w:tcPr>
            <w:tcW w:w="6945"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支持短信、企业微信、钉钉、邮件的统一管理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2122" w:type="dxa"/>
            <w:vAlign w:val="center"/>
          </w:tcPr>
          <w:p>
            <w:pPr>
              <w:autoSpaceDE w:val="0"/>
              <w:autoSpaceDN w:val="0"/>
              <w:spacing w:before="6" w:line="360" w:lineRule="auto"/>
              <w:ind w:left="105" w:leftChars="50" w:right="105" w:rightChars="50"/>
              <w:jc w:val="center"/>
              <w:rPr>
                <w:rFonts w:ascii="宋体" w:hAnsi="宋体" w:cs="仿宋"/>
                <w:color w:val="auto"/>
                <w:spacing w:val="-4"/>
                <w:sz w:val="24"/>
                <w:highlight w:val="none"/>
              </w:rPr>
            </w:pPr>
            <w:r>
              <w:rPr>
                <w:rFonts w:hint="eastAsia" w:ascii="宋体" w:hAnsi="宋体" w:cs="仿宋"/>
                <w:b/>
                <w:bCs/>
                <w:color w:val="auto"/>
                <w:sz w:val="24"/>
                <w:highlight w:val="none"/>
              </w:rPr>
              <w:t>通讯管理</w:t>
            </w:r>
          </w:p>
        </w:tc>
        <w:tc>
          <w:tcPr>
            <w:tcW w:w="6945"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支持提供按照场景进行配置消息服务，包括所属系统、所用模板、通知方式、消息每日发送量上限、每分钟发送上限、以及发送时间段</w:t>
            </w:r>
          </w:p>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支持提供消息模板的管理功能，实现消息发送内容的格式统一</w:t>
            </w:r>
          </w:p>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支持提供全院范围内发送公告类消息，并支持配置消息的接收人员，并记录公告发送日志</w:t>
            </w:r>
          </w:p>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支持提供对外统一的webservice、http-post方式的调用接口，并记录接口调用日志和消息发送日志。</w:t>
            </w:r>
          </w:p>
        </w:tc>
      </w:tr>
    </w:tbl>
    <w:p>
      <w:pPr>
        <w:pStyle w:val="7"/>
        <w:numPr>
          <w:ilvl w:val="4"/>
          <w:numId w:val="8"/>
        </w:numPr>
        <w:rPr>
          <w:rFonts w:ascii="宋体" w:hAnsi="宋体"/>
          <w:color w:val="auto"/>
          <w:szCs w:val="24"/>
          <w:highlight w:val="none"/>
        </w:rPr>
      </w:pPr>
      <w:bookmarkStart w:id="553" w:name="_Toc302"/>
      <w:r>
        <w:rPr>
          <w:rFonts w:hint="eastAsia" w:ascii="宋体" w:hAnsi="宋体"/>
          <w:color w:val="auto"/>
          <w:szCs w:val="24"/>
          <w:highlight w:val="none"/>
          <w:lang w:eastAsia="zh-CN"/>
        </w:rPr>
        <w:t>文档共享管理</w:t>
      </w:r>
      <w:bookmarkEnd w:id="553"/>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依据互联互通共享文档规范建立独立的电子病历共享文档库，支持共享文档模板管理和映射配置管理，能够生成共享文档，并支持共享文档调阅和检索。</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6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 w:hRule="atLeast"/>
          <w:tblHeader/>
        </w:trPr>
        <w:tc>
          <w:tcPr>
            <w:tcW w:w="2153"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6914"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文档配置管理</w:t>
            </w:r>
          </w:p>
        </w:tc>
        <w:tc>
          <w:tcPr>
            <w:tcW w:w="6914"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支持能够对共享文档模板进行统一管理，支持配置数据的导入导出。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共享文档格式管理</w:t>
            </w:r>
          </w:p>
        </w:tc>
        <w:tc>
          <w:tcPr>
            <w:tcW w:w="6914" w:type="dxa"/>
            <w:vAlign w:val="center"/>
          </w:tcPr>
          <w:p>
            <w:pPr>
              <w:pStyle w:val="201"/>
              <w:numPr>
                <w:ilvl w:val="0"/>
                <w:numId w:val="9"/>
              </w:numPr>
              <w:spacing w:before="6" w:line="360" w:lineRule="auto"/>
              <w:ind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支持一个或多个XML转成共享文档。</w:t>
            </w:r>
          </w:p>
          <w:p>
            <w:pPr>
              <w:pStyle w:val="201"/>
              <w:numPr>
                <w:ilvl w:val="0"/>
                <w:numId w:val="9"/>
              </w:numPr>
              <w:spacing w:before="6" w:line="360" w:lineRule="auto"/>
              <w:ind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支持SQL语句查询数据集生成共享文档。</w:t>
            </w:r>
          </w:p>
          <w:p>
            <w:pPr>
              <w:pStyle w:val="201"/>
              <w:numPr>
                <w:ilvl w:val="0"/>
                <w:numId w:val="9"/>
              </w:numPr>
              <w:spacing w:before="6" w:line="360" w:lineRule="auto"/>
              <w:ind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支持XML格式CDA文档和SQL语句相结合的混合模式生成共享文档。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共享文档生成管理</w:t>
            </w:r>
          </w:p>
        </w:tc>
        <w:tc>
          <w:tcPr>
            <w:tcW w:w="6914"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支持根据条件参数生成特定患者的共享文档，也支持根据时间参数批量生成特定时间段共享文档。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值域映射管理</w:t>
            </w:r>
          </w:p>
        </w:tc>
        <w:tc>
          <w:tcPr>
            <w:tcW w:w="6914" w:type="dxa"/>
            <w:vAlign w:val="center"/>
          </w:tcPr>
          <w:p>
            <w:pPr>
              <w:numPr>
                <w:ilvl w:val="0"/>
                <w:numId w:val="9"/>
              </w:numPr>
              <w:rPr>
                <w:rFonts w:ascii="宋体" w:hAnsi="宋体" w:cs="仿宋"/>
                <w:color w:val="auto"/>
                <w:spacing w:val="-4"/>
                <w:sz w:val="24"/>
                <w:highlight w:val="none"/>
              </w:rPr>
            </w:pPr>
            <w:r>
              <w:rPr>
                <w:rFonts w:hint="eastAsia" w:ascii="宋体" w:hAnsi="宋体" w:cs="仿宋"/>
                <w:color w:val="auto"/>
                <w:spacing w:val="-4"/>
                <w:sz w:val="24"/>
                <w:highlight w:val="none"/>
              </w:rPr>
              <w:t>支持对数据元值域进行映射管理。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交互消息生成与测评</w:t>
            </w:r>
          </w:p>
        </w:tc>
        <w:tc>
          <w:tcPr>
            <w:tcW w:w="6914" w:type="dxa"/>
            <w:vAlign w:val="center"/>
          </w:tcPr>
          <w:p>
            <w:pPr>
              <w:numPr>
                <w:ilvl w:val="0"/>
                <w:numId w:val="9"/>
              </w:numPr>
              <w:rPr>
                <w:rFonts w:ascii="宋体" w:hAnsi="宋体" w:cs="仿宋"/>
                <w:color w:val="auto"/>
                <w:spacing w:val="-4"/>
                <w:sz w:val="24"/>
                <w:highlight w:val="none"/>
              </w:rPr>
            </w:pPr>
            <w:r>
              <w:rPr>
                <w:rFonts w:hint="eastAsia" w:ascii="宋体" w:hAnsi="宋体" w:cs="仿宋"/>
                <w:color w:val="auto"/>
                <w:spacing w:val="-4"/>
                <w:sz w:val="24"/>
                <w:highlight w:val="none"/>
              </w:rPr>
              <w:t>支持生成交互请求消息并与测评系统进行测试。</w:t>
            </w:r>
          </w:p>
        </w:tc>
      </w:tr>
    </w:tbl>
    <w:p>
      <w:pPr>
        <w:pStyle w:val="7"/>
        <w:numPr>
          <w:ilvl w:val="4"/>
          <w:numId w:val="8"/>
        </w:numPr>
        <w:rPr>
          <w:rFonts w:ascii="宋体" w:hAnsi="宋体"/>
          <w:color w:val="auto"/>
          <w:szCs w:val="24"/>
          <w:highlight w:val="none"/>
        </w:rPr>
      </w:pPr>
      <w:bookmarkStart w:id="554" w:name="_Toc18788"/>
      <w:r>
        <w:rPr>
          <w:rFonts w:hint="eastAsia" w:ascii="宋体" w:hAnsi="宋体"/>
          <w:color w:val="auto"/>
          <w:szCs w:val="24"/>
          <w:highlight w:val="none"/>
        </w:rPr>
        <w:t>数据统一上报</w:t>
      </w:r>
      <w:bookmarkEnd w:id="554"/>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数据上报平台系统要求能够实现根据不同数据上报机构对采集数据范围、数据类型、值域范围、数据上报格式、上报时间等不同要求完成上报工作。同时能够对上报时涉及到的值域进行维护和映射配置。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2"/>
        <w:gridCol w:w="6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trPr>
        <w:tc>
          <w:tcPr>
            <w:tcW w:w="2122" w:type="dxa"/>
            <w:shd w:val="clear" w:color="auto" w:fill="4472C4"/>
            <w:vAlign w:val="center"/>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6945" w:type="dxa"/>
            <w:shd w:val="clear" w:color="auto" w:fill="4472C4"/>
            <w:vAlign w:val="center"/>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ascii="宋体" w:hAnsi="宋体" w:cs="仿宋"/>
                <w:b/>
                <w:color w:val="auto"/>
                <w:w w:val="105"/>
                <w:sz w:val="24"/>
                <w:highlight w:val="none"/>
              </w:rPr>
              <w:t>功能</w:t>
            </w:r>
            <w:r>
              <w:rPr>
                <w:rFonts w:hint="eastAsia" w:ascii="宋体" w:hAnsi="宋体" w:cs="仿宋"/>
                <w:b/>
                <w:color w:val="auto"/>
                <w:w w:val="105"/>
                <w:sz w:val="24"/>
                <w:highlight w:val="none"/>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 w:hRule="atLeast"/>
        </w:trPr>
        <w:tc>
          <w:tcPr>
            <w:tcW w:w="2122"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上报管理</w:t>
            </w:r>
          </w:p>
        </w:tc>
        <w:tc>
          <w:tcPr>
            <w:tcW w:w="6945"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对不同上报项目进行维护和管理。支持上报项目基本信息定义及发布，支持上报项目数据采集定义。其中项目数据采集定义，主要包括数据集的启用、停用、采集方式、采集频率、上报方式、接口类型、上报频率等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3" w:hRule="atLeast"/>
        </w:trPr>
        <w:tc>
          <w:tcPr>
            <w:tcW w:w="2122"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数据上报</w:t>
            </w:r>
          </w:p>
        </w:tc>
        <w:tc>
          <w:tcPr>
            <w:tcW w:w="6945"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支持显示当前项目的所有数据集信息、最近采集信息情况、最近上报信息情况及待上报数据集信息。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3" w:hRule="atLeast"/>
        </w:trPr>
        <w:tc>
          <w:tcPr>
            <w:tcW w:w="2122"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映射管理</w:t>
            </w:r>
          </w:p>
        </w:tc>
        <w:tc>
          <w:tcPr>
            <w:tcW w:w="6945"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支持完成对于不同映射类型的数据值域映射。包括原字段数据与目标字段的映射关系编辑、映射关系维护以及映射关系导出等功能。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2122"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模型内置</w:t>
            </w:r>
          </w:p>
        </w:tc>
        <w:tc>
          <w:tcPr>
            <w:tcW w:w="6945"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支持数据上报平台内置国家卫健委监管平台数据模型。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2122"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连接管理</w:t>
            </w:r>
          </w:p>
        </w:tc>
        <w:tc>
          <w:tcPr>
            <w:tcW w:w="6945"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支持维护数据采集、数据上报的各个数据源、连接等信息。</w:t>
            </w:r>
          </w:p>
        </w:tc>
      </w:tr>
    </w:tbl>
    <w:p>
      <w:pPr>
        <w:keepNext/>
        <w:keepLines/>
        <w:numPr>
          <w:ilvl w:val="3"/>
          <w:numId w:val="8"/>
        </w:numPr>
        <w:spacing w:before="280" w:after="290" w:line="376" w:lineRule="auto"/>
        <w:outlineLvl w:val="3"/>
        <w:rPr>
          <w:rFonts w:ascii="宋体" w:hAnsi="宋体"/>
          <w:b/>
          <w:bCs/>
          <w:color w:val="auto"/>
          <w:sz w:val="24"/>
          <w:highlight w:val="none"/>
        </w:rPr>
      </w:pPr>
      <w:bookmarkStart w:id="555" w:name="_Toc999"/>
      <w:r>
        <w:rPr>
          <w:rFonts w:hint="eastAsia" w:ascii="宋体" w:hAnsi="宋体"/>
          <w:b/>
          <w:bCs/>
          <w:color w:val="auto"/>
          <w:sz w:val="24"/>
          <w:highlight w:val="none"/>
        </w:rPr>
        <w:t>数据治理平台</w:t>
      </w:r>
      <w:bookmarkEnd w:id="555"/>
    </w:p>
    <w:p>
      <w:pPr>
        <w:pStyle w:val="7"/>
        <w:numPr>
          <w:ilvl w:val="4"/>
          <w:numId w:val="8"/>
        </w:numPr>
        <w:rPr>
          <w:rFonts w:ascii="宋体" w:hAnsi="宋体"/>
          <w:color w:val="auto"/>
          <w:szCs w:val="24"/>
          <w:highlight w:val="none"/>
        </w:rPr>
      </w:pPr>
      <w:bookmarkStart w:id="556" w:name="_Toc9691"/>
      <w:r>
        <w:rPr>
          <w:rFonts w:hint="eastAsia" w:ascii="宋体" w:hAnsi="宋体"/>
          <w:color w:val="auto"/>
          <w:szCs w:val="24"/>
          <w:highlight w:val="none"/>
        </w:rPr>
        <w:t>数据获取管理</w:t>
      </w:r>
      <w:bookmarkEnd w:id="556"/>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ODS库是医院医疗信息原始业务数据库的镜像库，定时与医疗信息业务数据库进行同步，为后面的数据转换、数据仓库建立提供稳定、可靠的数据源。</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6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blHeader/>
        </w:trPr>
        <w:tc>
          <w:tcPr>
            <w:tcW w:w="2153"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6914"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数据源支持</w:t>
            </w:r>
          </w:p>
        </w:tc>
        <w:tc>
          <w:tcPr>
            <w:tcW w:w="6914"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支持Oracle、MySQL、SQLserver等关系型数据库</w:t>
            </w:r>
            <w:r>
              <w:rPr>
                <w:rFonts w:ascii="宋体" w:hAnsi="宋体" w:eastAsia="宋体"/>
                <w:color w:val="auto"/>
                <w:spacing w:val="-4"/>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实时性要求</w:t>
            </w:r>
          </w:p>
        </w:tc>
        <w:tc>
          <w:tcPr>
            <w:tcW w:w="6914"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支持数据实现准实时同步，延时不超过5s。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建设方法</w:t>
            </w:r>
          </w:p>
        </w:tc>
        <w:tc>
          <w:tcPr>
            <w:tcW w:w="6914"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支持通过医疗数据共享和交换组件实现，具备ETL工具的装载转换、映射和清洗的功能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数据应用</w:t>
            </w:r>
          </w:p>
        </w:tc>
        <w:tc>
          <w:tcPr>
            <w:tcW w:w="6914" w:type="dxa"/>
            <w:vAlign w:val="center"/>
          </w:tcPr>
          <w:p>
            <w:pPr>
              <w:numPr>
                <w:ilvl w:val="0"/>
                <w:numId w:val="9"/>
              </w:numPr>
              <w:rPr>
                <w:rFonts w:ascii="宋体" w:hAnsi="宋体" w:cs="仿宋"/>
                <w:color w:val="auto"/>
                <w:spacing w:val="-4"/>
                <w:sz w:val="24"/>
                <w:highlight w:val="none"/>
              </w:rPr>
            </w:pPr>
            <w:r>
              <w:rPr>
                <w:rFonts w:hint="eastAsia" w:ascii="宋体" w:hAnsi="宋体" w:cs="仿宋"/>
                <w:color w:val="auto"/>
                <w:spacing w:val="-4"/>
                <w:sz w:val="24"/>
                <w:highlight w:val="none"/>
              </w:rPr>
              <w:t>支持集成到ODS库中的数据可以通过jdbc、ODBC方式实现数据访问。</w:t>
            </w:r>
          </w:p>
        </w:tc>
      </w:tr>
    </w:tbl>
    <w:p>
      <w:pPr>
        <w:spacing w:line="360" w:lineRule="auto"/>
        <w:ind w:firstLine="480" w:firstLineChars="200"/>
        <w:rPr>
          <w:rFonts w:ascii="宋体" w:hAnsi="宋体"/>
          <w:color w:val="auto"/>
          <w:sz w:val="24"/>
          <w:highlight w:val="none"/>
        </w:rPr>
      </w:pPr>
    </w:p>
    <w:p>
      <w:pPr>
        <w:pStyle w:val="7"/>
        <w:numPr>
          <w:ilvl w:val="4"/>
          <w:numId w:val="8"/>
        </w:numPr>
        <w:rPr>
          <w:rFonts w:ascii="宋体" w:hAnsi="宋体"/>
          <w:color w:val="auto"/>
          <w:szCs w:val="24"/>
          <w:highlight w:val="none"/>
        </w:rPr>
      </w:pPr>
      <w:bookmarkStart w:id="557" w:name="_Toc27317"/>
      <w:r>
        <w:rPr>
          <w:rFonts w:hint="eastAsia" w:ascii="宋体" w:hAnsi="宋体"/>
          <w:color w:val="auto"/>
          <w:szCs w:val="24"/>
          <w:highlight w:val="none"/>
        </w:rPr>
        <w:t>元数据管理</w:t>
      </w:r>
      <w:bookmarkEnd w:id="557"/>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元数据是用来描述数据的数据。它可理解为比</w:t>
      </w:r>
      <w:r>
        <w:rPr>
          <w:rFonts w:hint="eastAsia" w:ascii="微软雅黑" w:hAnsi="微软雅黑" w:eastAsia="微软雅黑" w:cs="微软雅黑"/>
          <w:color w:val="auto"/>
          <w:sz w:val="24"/>
          <w:highlight w:val="none"/>
        </w:rPr>
        <w:t>⼀</w:t>
      </w:r>
      <w:r>
        <w:rPr>
          <w:rFonts w:hint="eastAsia" w:ascii="宋体" w:hAnsi="宋体" w:cs="宋体"/>
          <w:color w:val="auto"/>
          <w:sz w:val="24"/>
          <w:highlight w:val="none"/>
        </w:rPr>
        <w:t>般意义的数据范畴更加广泛的数据，不再仅仅表示数据的类型、名称、值等信息，它可以进一步提供数据的上下文描述信息，比如</w:t>
      </w:r>
      <w:r>
        <w:rPr>
          <w:rFonts w:hint="eastAsia" w:ascii="宋体" w:hAnsi="宋体"/>
          <w:color w:val="auto"/>
          <w:sz w:val="24"/>
          <w:highlight w:val="none"/>
        </w:rPr>
        <w:t>数据的所属域、取值范围、数据间的关系、业务规则，甚至是数据的来源。在数据分析中，元数据可以帮助数据中心管理员和数据中心开发人员非常方便地找到他们所关心的数据。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6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blHeader/>
        </w:trPr>
        <w:tc>
          <w:tcPr>
            <w:tcW w:w="2153"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6914"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元数据采集</w:t>
            </w:r>
          </w:p>
        </w:tc>
        <w:tc>
          <w:tcPr>
            <w:tcW w:w="6914"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支持从传统关系型数据库和大数据平台中采集从数据产生系统到数据加工处理系统到数据应用系统的全量元数据，包括过程中的数据实体（系统、库、表、字段的描述）以及数据实体加工处理过程中的逻辑。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元数据展示</w:t>
            </w:r>
          </w:p>
        </w:tc>
        <w:tc>
          <w:tcPr>
            <w:tcW w:w="6914"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支持根据类别、类型等信息展示各个数据实体的信息及其分布情况，展示数据实体间的组合、依赖关系，以及数据实体加工处理上下游的逻辑关系。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元数据应用</w:t>
            </w:r>
          </w:p>
        </w:tc>
        <w:tc>
          <w:tcPr>
            <w:tcW w:w="6914"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提供数据地图、数据血缘、影响分析和全链分析等功能。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元数据搜索</w:t>
            </w:r>
          </w:p>
        </w:tc>
        <w:tc>
          <w:tcPr>
            <w:tcW w:w="6914"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支持根据数据库、类型等搜索元数据信息。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元数据浏览及管理</w:t>
            </w:r>
          </w:p>
        </w:tc>
        <w:tc>
          <w:tcPr>
            <w:tcW w:w="6914"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支持查看数据结构及主外键、是否必填、是否唯一和值域字典等数据标准定义。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数据字典管理</w:t>
            </w:r>
          </w:p>
        </w:tc>
        <w:tc>
          <w:tcPr>
            <w:tcW w:w="6914"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支持在已形成的医疗卫生数据标准化模型基础上，完善并统一相关的分类与代码。</w:t>
            </w:r>
          </w:p>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支持数据字典包括药品目录、手术编码、耗材目录、疾病代码、收费编码、科室等相关标准和字典。</w:t>
            </w:r>
          </w:p>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支持提供数据治理过程中所需的各项数据归一化字典，用以支撑数据治理过程中数据采集、数据汇聚、清洗过程中的标准化约束，实现数据标准统一化，保证接入平台的数据规范、标准。</w:t>
            </w:r>
          </w:p>
        </w:tc>
      </w:tr>
    </w:tbl>
    <w:p>
      <w:pPr>
        <w:pStyle w:val="7"/>
        <w:numPr>
          <w:ilvl w:val="4"/>
          <w:numId w:val="8"/>
        </w:numPr>
        <w:rPr>
          <w:rFonts w:ascii="宋体" w:hAnsi="宋体"/>
          <w:color w:val="auto"/>
          <w:szCs w:val="24"/>
          <w:highlight w:val="none"/>
        </w:rPr>
      </w:pPr>
      <w:bookmarkStart w:id="558" w:name="_Toc32375"/>
      <w:r>
        <w:rPr>
          <w:rFonts w:hint="eastAsia" w:ascii="宋体" w:hAnsi="宋体"/>
          <w:color w:val="auto"/>
          <w:szCs w:val="24"/>
          <w:highlight w:val="none"/>
        </w:rPr>
        <w:t>主数据管理</w:t>
      </w:r>
      <w:bookmarkEnd w:id="558"/>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为解决院内术语字典各系统不统一的现状，采购主数据管理系统，要求规范全院的术语编码体系，统一人员、科室主数据，统一术语编码服务，统一字典维护。</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6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blHeader/>
          <w:jc w:val="center"/>
        </w:trPr>
        <w:tc>
          <w:tcPr>
            <w:tcW w:w="2153"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6914"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jc w:val="center"/>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主数据管理</w:t>
            </w:r>
          </w:p>
        </w:tc>
        <w:tc>
          <w:tcPr>
            <w:tcW w:w="6914"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支持人员、科室、临床术语字典的主数据管理维护，要能提供动态添加字典管理功能，并提供基于集成引擎的更新发布机制。</w:t>
            </w:r>
          </w:p>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支持提供基于主数据管理系统的主数据更新审批发布流程。</w:t>
            </w:r>
          </w:p>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支持主数据管理系统的术语更新源系统，提供两种更新模式：一为提供从更新源系统中，主动抓取术语的变更信息；二是提供从更新源系统中，主动推送更新信息给主数据管理系统。</w:t>
            </w:r>
          </w:p>
        </w:tc>
      </w:tr>
    </w:tbl>
    <w:p>
      <w:pPr>
        <w:pStyle w:val="7"/>
        <w:numPr>
          <w:ilvl w:val="4"/>
          <w:numId w:val="8"/>
        </w:numPr>
        <w:rPr>
          <w:rFonts w:ascii="宋体" w:hAnsi="宋体"/>
          <w:color w:val="auto"/>
          <w:szCs w:val="24"/>
          <w:highlight w:val="none"/>
        </w:rPr>
      </w:pPr>
      <w:bookmarkStart w:id="559" w:name="_Toc13558"/>
      <w:r>
        <w:rPr>
          <w:rFonts w:hint="eastAsia" w:ascii="宋体" w:hAnsi="宋体"/>
          <w:color w:val="auto"/>
          <w:szCs w:val="24"/>
          <w:highlight w:val="none"/>
        </w:rPr>
        <w:t>数据质量管理</w:t>
      </w:r>
      <w:bookmarkEnd w:id="559"/>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数据质量管理系统用于医院的医疗数据质量治理，通过规则设置及校验、报告生成及工单处理的闭环管理机制，提升各医疗信息系统的数据质量和规范性。能够辅助医疗机构参与电子病历系统功能应用水平分级评价测评，可根据定义的相应规则自测电子病历系统功能应用水平达到等级，有目的、有针对性的进行整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68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blHeader/>
        </w:trPr>
        <w:tc>
          <w:tcPr>
            <w:tcW w:w="2153"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6857"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数据溯源管理</w:t>
            </w:r>
          </w:p>
        </w:tc>
        <w:tc>
          <w:tcPr>
            <w:tcW w:w="6857" w:type="dxa"/>
            <w:vAlign w:val="center"/>
          </w:tcPr>
          <w:p>
            <w:pPr>
              <w:numPr>
                <w:ilvl w:val="0"/>
                <w:numId w:val="9"/>
              </w:numPr>
              <w:rPr>
                <w:rFonts w:ascii="宋体" w:hAnsi="宋体" w:cs="仿宋"/>
                <w:color w:val="auto"/>
                <w:spacing w:val="-4"/>
                <w:sz w:val="24"/>
                <w:highlight w:val="none"/>
              </w:rPr>
            </w:pPr>
            <w:r>
              <w:rPr>
                <w:rFonts w:hint="eastAsia" w:ascii="宋体" w:hAnsi="宋体" w:cs="仿宋"/>
                <w:color w:val="auto"/>
                <w:spacing w:val="-4"/>
                <w:sz w:val="24"/>
                <w:highlight w:val="none"/>
              </w:rPr>
              <w:t>支持记录各数据的来源业务系统，出现数据质量的数据可溯源。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数据源支持</w:t>
            </w:r>
          </w:p>
        </w:tc>
        <w:tc>
          <w:tcPr>
            <w:tcW w:w="6857"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支持Oracle、MySQL、SQLserver等数据库的数据源管理。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数据质量一览</w:t>
            </w:r>
          </w:p>
        </w:tc>
        <w:tc>
          <w:tcPr>
            <w:tcW w:w="6857"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支持定向评级显示数据质量级别，数据质量总览，数据质量规则，数据来源系统，以及质量问题的指标明细和溯源查看。</w:t>
            </w:r>
          </w:p>
          <w:p>
            <w:pPr>
              <w:pStyle w:val="201"/>
              <w:numPr>
                <w:ilvl w:val="0"/>
                <w:numId w:val="9"/>
              </w:numPr>
              <w:spacing w:before="6" w:line="360" w:lineRule="auto"/>
              <w:ind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支持提供日常核查显示数据质量总览、规则通过率、未通过规则数、异常规则数，质量问题的规则明细。</w:t>
            </w:r>
          </w:p>
          <w:p>
            <w:pPr>
              <w:pStyle w:val="201"/>
              <w:numPr>
                <w:ilvl w:val="0"/>
                <w:numId w:val="9"/>
              </w:numPr>
              <w:spacing w:before="6" w:line="360" w:lineRule="auto"/>
              <w:ind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支持提供数据量差异、数据表质量、CDA质量、闭环质量分析四类规则运行结果的概览统计。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bookmarkStart w:id="560" w:name="_Toc97813574"/>
            <w:bookmarkStart w:id="561" w:name="_Toc7620"/>
            <w:r>
              <w:rPr>
                <w:rFonts w:hint="eastAsia" w:ascii="宋体" w:hAnsi="宋体" w:cs="仿宋"/>
                <w:b/>
                <w:bCs/>
                <w:color w:val="auto"/>
                <w:sz w:val="24"/>
                <w:highlight w:val="none"/>
              </w:rPr>
              <w:t>规则管理</w:t>
            </w:r>
            <w:bookmarkEnd w:id="560"/>
            <w:bookmarkEnd w:id="561"/>
          </w:p>
        </w:tc>
        <w:tc>
          <w:tcPr>
            <w:tcW w:w="6857"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包括日常规则配置和定向规则配置两部分</w:t>
            </w:r>
          </w:p>
          <w:p>
            <w:pPr>
              <w:pStyle w:val="201"/>
              <w:numPr>
                <w:ilvl w:val="0"/>
                <w:numId w:val="11"/>
              </w:numPr>
              <w:spacing w:before="6" w:line="360" w:lineRule="auto"/>
              <w:ind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定向核查规则：支持电子病历评级默认规则设置，包括数据质量规则、医疗服务规则、提取数据规则，支持规则版本管理。</w:t>
            </w:r>
          </w:p>
          <w:p>
            <w:pPr>
              <w:pStyle w:val="201"/>
              <w:numPr>
                <w:ilvl w:val="0"/>
                <w:numId w:val="11"/>
              </w:numPr>
              <w:spacing w:before="6" w:line="360" w:lineRule="auto"/>
              <w:ind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日常核查规则：支持医院自定义数据质量规则设置，包括数据差异规则、数据表质量规则、CDA质量规则、闭环质量规则。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数据质量报告</w:t>
            </w:r>
          </w:p>
        </w:tc>
        <w:tc>
          <w:tcPr>
            <w:tcW w:w="6857"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支持提供日常核查及定向核查数据质量报告</w:t>
            </w:r>
          </w:p>
          <w:p>
            <w:pPr>
              <w:pStyle w:val="201"/>
              <w:numPr>
                <w:ilvl w:val="0"/>
                <w:numId w:val="12"/>
              </w:numPr>
              <w:spacing w:before="6" w:line="360" w:lineRule="auto"/>
              <w:ind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定向评级报告支持自定义时间区间生成质量核查报告，能够选择指标范围、时间范围生成质量核查报告，支持对问题指标改进后的复核功能，数据质量报告可查看数据质量报告、医疗服务信息报告、提取数据信息报告，及报告中项目明细、项目得分、项目规则设定等，支持报告的导出，支持在线生成《电子病历系统分级评价平台数据质量评估实证材料》。</w:t>
            </w:r>
          </w:p>
          <w:p>
            <w:pPr>
              <w:pStyle w:val="201"/>
              <w:numPr>
                <w:ilvl w:val="0"/>
                <w:numId w:val="12"/>
              </w:numPr>
              <w:spacing w:before="6" w:line="360" w:lineRule="auto"/>
              <w:ind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日常核查报告支持手动设置核查日期范围生成质量报告，支持查看数据差异、数据表质量、CDA质量、闭环质量四个维度的报告详情。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评级辅助</w:t>
            </w:r>
          </w:p>
        </w:tc>
        <w:tc>
          <w:tcPr>
            <w:tcW w:w="6857" w:type="dxa"/>
            <w:vAlign w:val="center"/>
          </w:tcPr>
          <w:p>
            <w:pPr>
              <w:pStyle w:val="201"/>
              <w:numPr>
                <w:ilvl w:val="0"/>
                <w:numId w:val="9"/>
              </w:numPr>
              <w:spacing w:before="6" w:line="360" w:lineRule="auto"/>
              <w:ind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支持电子病历评级等级选择，不同级别一致性、完整性、整合性和及时性的校验规则选择，提供电子病历评级分值计算功能。</w:t>
            </w:r>
          </w:p>
        </w:tc>
      </w:tr>
    </w:tbl>
    <w:p>
      <w:pPr>
        <w:pStyle w:val="7"/>
        <w:numPr>
          <w:ilvl w:val="4"/>
          <w:numId w:val="8"/>
        </w:numPr>
        <w:rPr>
          <w:rFonts w:ascii="宋体" w:hAnsi="宋体"/>
          <w:color w:val="auto"/>
          <w:szCs w:val="24"/>
          <w:highlight w:val="none"/>
        </w:rPr>
      </w:pPr>
      <w:bookmarkStart w:id="562" w:name="_Toc12826"/>
      <w:r>
        <w:rPr>
          <w:rFonts w:hint="eastAsia" w:ascii="宋体" w:hAnsi="宋体"/>
          <w:color w:val="auto"/>
          <w:szCs w:val="24"/>
          <w:highlight w:val="none"/>
        </w:rPr>
        <w:t>A</w:t>
      </w:r>
      <w:r>
        <w:rPr>
          <w:rFonts w:ascii="宋体" w:hAnsi="宋体"/>
          <w:color w:val="auto"/>
          <w:szCs w:val="24"/>
          <w:highlight w:val="none"/>
        </w:rPr>
        <w:t>PI</w:t>
      </w:r>
      <w:r>
        <w:rPr>
          <w:rFonts w:hint="eastAsia" w:ascii="宋体" w:hAnsi="宋体"/>
          <w:color w:val="auto"/>
          <w:szCs w:val="24"/>
          <w:highlight w:val="none"/>
        </w:rPr>
        <w:t>管理平台</w:t>
      </w:r>
      <w:bookmarkEnd w:id="562"/>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快速提供高性能高安全的服务，提供便利的数据聚合功能，将ODS、数据仓库、临床数据中心等多源数据快速、便捷的发布、聚合为统一的数据服务。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p>
      <w:pPr>
        <w:spacing w:line="360" w:lineRule="auto"/>
        <w:ind w:firstLine="480" w:firstLineChars="200"/>
        <w:rPr>
          <w:rFonts w:ascii="宋体" w:hAnsi="宋体"/>
          <w:color w:val="auto"/>
          <w:sz w:val="24"/>
          <w:highlight w:val="none"/>
        </w:rPr>
      </w:pPr>
    </w:p>
    <w:tbl>
      <w:tblPr>
        <w:tblStyle w:val="43"/>
        <w:tblW w:w="90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68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blHeader/>
        </w:trPr>
        <w:tc>
          <w:tcPr>
            <w:tcW w:w="2153"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6857"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olor w:val="auto"/>
                <w:sz w:val="24"/>
                <w:highlight w:val="none"/>
              </w:rPr>
              <w:t>A</w:t>
            </w:r>
            <w:r>
              <w:rPr>
                <w:rFonts w:ascii="宋体" w:hAnsi="宋体"/>
                <w:color w:val="auto"/>
                <w:sz w:val="24"/>
                <w:highlight w:val="none"/>
              </w:rPr>
              <w:t>PI</w:t>
            </w:r>
            <w:r>
              <w:rPr>
                <w:rFonts w:hint="eastAsia" w:ascii="宋体" w:hAnsi="宋体"/>
                <w:color w:val="auto"/>
                <w:sz w:val="24"/>
                <w:highlight w:val="none"/>
              </w:rPr>
              <w:t>管理平台</w:t>
            </w:r>
          </w:p>
        </w:tc>
        <w:tc>
          <w:tcPr>
            <w:tcW w:w="6857" w:type="dxa"/>
            <w:vAlign w:val="center"/>
          </w:tcPr>
          <w:p>
            <w:pPr>
              <w:pStyle w:val="64"/>
              <w:widowControl w:val="0"/>
              <w:numPr>
                <w:ilvl w:val="0"/>
                <w:numId w:val="9"/>
              </w:numPr>
              <w:spacing w:line="360" w:lineRule="auto"/>
              <w:ind w:firstLineChars="0"/>
              <w:jc w:val="both"/>
              <w:rPr>
                <w:rFonts w:ascii="宋体" w:hAnsi="宋体"/>
                <w:color w:val="auto"/>
                <w:highlight w:val="none"/>
              </w:rPr>
            </w:pPr>
            <w:r>
              <w:rPr>
                <w:rFonts w:hint="eastAsia" w:ascii="宋体" w:hAnsi="宋体"/>
                <w:color w:val="auto"/>
                <w:highlight w:val="none"/>
              </w:rPr>
              <w:t>支持外部API的注册发布，包含Rest、WebServices接口注册发布。</w:t>
            </w:r>
          </w:p>
          <w:p>
            <w:pPr>
              <w:pStyle w:val="64"/>
              <w:widowControl w:val="0"/>
              <w:numPr>
                <w:ilvl w:val="0"/>
                <w:numId w:val="9"/>
              </w:numPr>
              <w:spacing w:line="360" w:lineRule="auto"/>
              <w:ind w:firstLineChars="0"/>
              <w:jc w:val="both"/>
              <w:rPr>
                <w:rFonts w:ascii="宋体" w:hAnsi="宋体"/>
                <w:color w:val="auto"/>
                <w:highlight w:val="none"/>
              </w:rPr>
            </w:pPr>
            <w:r>
              <w:rPr>
                <w:rFonts w:hint="eastAsia" w:ascii="宋体" w:hAnsi="宋体"/>
                <w:color w:val="auto"/>
                <w:highlight w:val="none"/>
              </w:rPr>
              <w:t>支持服务聚合编排，支持API+API、API+SQL、SQL+SQL等编排方式。</w:t>
            </w:r>
          </w:p>
          <w:p>
            <w:pPr>
              <w:pStyle w:val="64"/>
              <w:widowControl w:val="0"/>
              <w:numPr>
                <w:ilvl w:val="0"/>
                <w:numId w:val="9"/>
              </w:numPr>
              <w:spacing w:line="360" w:lineRule="auto"/>
              <w:ind w:firstLineChars="0"/>
              <w:jc w:val="both"/>
              <w:rPr>
                <w:rFonts w:ascii="宋体" w:hAnsi="宋体"/>
                <w:color w:val="auto"/>
                <w:highlight w:val="none"/>
              </w:rPr>
            </w:pPr>
            <w:r>
              <w:rPr>
                <w:rFonts w:hint="eastAsia" w:ascii="宋体" w:hAnsi="宋体"/>
                <w:color w:val="auto"/>
                <w:highlight w:val="none"/>
              </w:rPr>
              <w:t>支持对XML、JSON数据文件中取值，支持调整API返回字段，支持对SQL校验和优化执行。</w:t>
            </w:r>
          </w:p>
          <w:p>
            <w:pPr>
              <w:pStyle w:val="64"/>
              <w:widowControl w:val="0"/>
              <w:numPr>
                <w:ilvl w:val="0"/>
                <w:numId w:val="9"/>
              </w:numPr>
              <w:spacing w:line="360" w:lineRule="auto"/>
              <w:ind w:firstLineChars="0"/>
              <w:jc w:val="both"/>
              <w:rPr>
                <w:rFonts w:ascii="宋体" w:hAnsi="宋体"/>
                <w:color w:val="auto"/>
                <w:highlight w:val="none"/>
              </w:rPr>
            </w:pPr>
            <w:r>
              <w:rPr>
                <w:rFonts w:hint="eastAsia" w:ascii="宋体" w:hAnsi="宋体"/>
                <w:color w:val="auto"/>
                <w:highlight w:val="none"/>
              </w:rPr>
              <w:t>API平台处理时间支持平均在50ms以内；支持水平扩展以提升API平台性能。</w:t>
            </w:r>
          </w:p>
          <w:p>
            <w:pPr>
              <w:pStyle w:val="64"/>
              <w:widowControl w:val="0"/>
              <w:numPr>
                <w:ilvl w:val="0"/>
                <w:numId w:val="9"/>
              </w:numPr>
              <w:spacing w:line="360" w:lineRule="auto"/>
              <w:ind w:firstLineChars="0"/>
              <w:jc w:val="both"/>
              <w:rPr>
                <w:rFonts w:ascii="宋体" w:hAnsi="宋体"/>
                <w:color w:val="auto"/>
                <w:highlight w:val="none"/>
              </w:rPr>
            </w:pPr>
            <w:r>
              <w:rPr>
                <w:rFonts w:hint="eastAsia" w:ascii="宋体" w:hAnsi="宋体"/>
                <w:color w:val="auto"/>
                <w:highlight w:val="none"/>
              </w:rPr>
              <w:t>支持提供负载均衡策略支持。</w:t>
            </w:r>
          </w:p>
          <w:p>
            <w:pPr>
              <w:pStyle w:val="64"/>
              <w:widowControl w:val="0"/>
              <w:numPr>
                <w:ilvl w:val="0"/>
                <w:numId w:val="9"/>
              </w:numPr>
              <w:spacing w:line="360" w:lineRule="auto"/>
              <w:ind w:firstLineChars="0"/>
              <w:jc w:val="both"/>
              <w:rPr>
                <w:rFonts w:ascii="宋体" w:hAnsi="宋体"/>
                <w:color w:val="auto"/>
                <w:highlight w:val="none"/>
              </w:rPr>
            </w:pPr>
            <w:r>
              <w:rPr>
                <w:rFonts w:hint="eastAsia" w:ascii="宋体" w:hAnsi="宋体"/>
                <w:color w:val="auto"/>
                <w:highlight w:val="none"/>
              </w:rPr>
              <w:t>支持提供API版本管理，支持灰度发布，应用对API的访问控制授权管理。</w:t>
            </w:r>
          </w:p>
          <w:p>
            <w:pPr>
              <w:pStyle w:val="64"/>
              <w:widowControl w:val="0"/>
              <w:numPr>
                <w:ilvl w:val="0"/>
                <w:numId w:val="9"/>
              </w:numPr>
              <w:spacing w:line="360" w:lineRule="auto"/>
              <w:ind w:firstLineChars="0"/>
              <w:jc w:val="both"/>
              <w:rPr>
                <w:rFonts w:ascii="宋体" w:hAnsi="宋体"/>
                <w:color w:val="auto"/>
                <w:highlight w:val="none"/>
              </w:rPr>
            </w:pPr>
            <w:r>
              <w:rPr>
                <w:rFonts w:hint="eastAsia" w:ascii="宋体" w:hAnsi="宋体"/>
                <w:color w:val="auto"/>
                <w:highlight w:val="none"/>
              </w:rPr>
              <w:t>支持API配置变更实时生效，无须重启服务。</w:t>
            </w:r>
          </w:p>
          <w:p>
            <w:pPr>
              <w:pStyle w:val="64"/>
              <w:widowControl w:val="0"/>
              <w:numPr>
                <w:ilvl w:val="0"/>
                <w:numId w:val="9"/>
              </w:numPr>
              <w:spacing w:line="360" w:lineRule="auto"/>
              <w:ind w:firstLineChars="0"/>
              <w:jc w:val="both"/>
              <w:rPr>
                <w:rFonts w:ascii="宋体" w:hAnsi="宋体"/>
                <w:color w:val="auto"/>
                <w:highlight w:val="none"/>
              </w:rPr>
            </w:pPr>
            <w:r>
              <w:rPr>
                <w:rFonts w:hint="eastAsia" w:ascii="宋体" w:hAnsi="宋体"/>
                <w:color w:val="auto"/>
                <w:highlight w:val="none"/>
              </w:rPr>
              <w:t>支持提供API Portal，支持按角色授权用户访问不同的API。</w:t>
            </w:r>
          </w:p>
          <w:p>
            <w:pPr>
              <w:pStyle w:val="64"/>
              <w:widowControl w:val="0"/>
              <w:numPr>
                <w:ilvl w:val="0"/>
                <w:numId w:val="9"/>
              </w:numPr>
              <w:spacing w:line="360" w:lineRule="auto"/>
              <w:ind w:firstLineChars="0"/>
              <w:jc w:val="both"/>
              <w:rPr>
                <w:rFonts w:ascii="宋体" w:hAnsi="宋体"/>
                <w:color w:val="auto"/>
                <w:highlight w:val="none"/>
              </w:rPr>
            </w:pPr>
            <w:r>
              <w:rPr>
                <w:rFonts w:hint="eastAsia" w:ascii="宋体" w:hAnsi="宋体"/>
                <w:color w:val="auto"/>
                <w:highlight w:val="none"/>
              </w:rPr>
              <w:t>支持服务在线模拟（服务提供、服务消费）测试。</w:t>
            </w:r>
          </w:p>
          <w:p>
            <w:pPr>
              <w:pStyle w:val="64"/>
              <w:widowControl w:val="0"/>
              <w:numPr>
                <w:ilvl w:val="0"/>
                <w:numId w:val="9"/>
              </w:numPr>
              <w:spacing w:line="360" w:lineRule="auto"/>
              <w:ind w:firstLineChars="0"/>
              <w:jc w:val="both"/>
              <w:rPr>
                <w:rFonts w:ascii="宋体" w:hAnsi="宋体"/>
                <w:color w:val="auto"/>
                <w:highlight w:val="none"/>
              </w:rPr>
            </w:pPr>
            <w:r>
              <w:rPr>
                <w:rFonts w:hint="eastAsia" w:ascii="宋体" w:hAnsi="宋体"/>
                <w:color w:val="auto"/>
                <w:highlight w:val="none"/>
              </w:rPr>
              <w:t>支持OpenAPI/ Swagger标准，导入导出API定义。</w:t>
            </w:r>
          </w:p>
          <w:p>
            <w:pPr>
              <w:pStyle w:val="64"/>
              <w:widowControl w:val="0"/>
              <w:numPr>
                <w:ilvl w:val="0"/>
                <w:numId w:val="9"/>
              </w:numPr>
              <w:spacing w:line="360" w:lineRule="auto"/>
              <w:ind w:firstLineChars="0"/>
              <w:jc w:val="both"/>
              <w:rPr>
                <w:rFonts w:ascii="宋体" w:hAnsi="宋体"/>
                <w:color w:val="auto"/>
                <w:highlight w:val="none"/>
              </w:rPr>
            </w:pPr>
            <w:r>
              <w:rPr>
                <w:rFonts w:hint="eastAsia" w:ascii="宋体" w:hAnsi="宋体"/>
                <w:color w:val="auto"/>
                <w:highlight w:val="none"/>
              </w:rPr>
              <w:t>支持提供多种安全管理措施，支持证书的发布/吊销，Oauth2.0认证，IP黑白名单控制并记录认证记录。</w:t>
            </w:r>
          </w:p>
          <w:p>
            <w:pPr>
              <w:pStyle w:val="64"/>
              <w:widowControl w:val="0"/>
              <w:numPr>
                <w:ilvl w:val="0"/>
                <w:numId w:val="9"/>
              </w:numPr>
              <w:spacing w:line="360" w:lineRule="auto"/>
              <w:ind w:firstLineChars="0"/>
              <w:jc w:val="both"/>
              <w:rPr>
                <w:rFonts w:ascii="宋体" w:hAnsi="宋体"/>
                <w:color w:val="auto"/>
                <w:highlight w:val="none"/>
              </w:rPr>
            </w:pPr>
            <w:r>
              <w:rPr>
                <w:rFonts w:hint="eastAsia" w:ascii="宋体" w:hAnsi="宋体"/>
                <w:color w:val="auto"/>
                <w:highlight w:val="none"/>
              </w:rPr>
              <w:t>支持双向认证安全策略。</w:t>
            </w:r>
          </w:p>
          <w:p>
            <w:pPr>
              <w:pStyle w:val="64"/>
              <w:widowControl w:val="0"/>
              <w:numPr>
                <w:ilvl w:val="0"/>
                <w:numId w:val="9"/>
              </w:numPr>
              <w:spacing w:line="360" w:lineRule="auto"/>
              <w:ind w:firstLineChars="0"/>
              <w:jc w:val="both"/>
              <w:rPr>
                <w:rFonts w:ascii="宋体" w:hAnsi="宋体"/>
                <w:color w:val="auto"/>
                <w:highlight w:val="none"/>
              </w:rPr>
            </w:pPr>
            <w:r>
              <w:rPr>
                <w:rFonts w:hint="eastAsia" w:ascii="宋体" w:hAnsi="宋体"/>
                <w:color w:val="auto"/>
                <w:highlight w:val="none"/>
              </w:rPr>
              <w:t>支持提供API的限流、熔断、降级等能力。</w:t>
            </w:r>
          </w:p>
          <w:p>
            <w:pPr>
              <w:pStyle w:val="64"/>
              <w:widowControl w:val="0"/>
              <w:numPr>
                <w:ilvl w:val="0"/>
                <w:numId w:val="9"/>
              </w:numPr>
              <w:spacing w:line="360" w:lineRule="auto"/>
              <w:ind w:firstLineChars="0"/>
              <w:jc w:val="both"/>
              <w:rPr>
                <w:rFonts w:ascii="宋体" w:hAnsi="宋体"/>
                <w:color w:val="auto"/>
                <w:highlight w:val="none"/>
              </w:rPr>
            </w:pPr>
            <w:r>
              <w:rPr>
                <w:rFonts w:hint="eastAsia" w:ascii="宋体" w:hAnsi="宋体"/>
                <w:color w:val="auto"/>
                <w:highlight w:val="none"/>
              </w:rPr>
              <w:t>支持API预警配置，达到阈值后自动预警等处理。</w:t>
            </w:r>
          </w:p>
          <w:p>
            <w:pPr>
              <w:pStyle w:val="64"/>
              <w:widowControl w:val="0"/>
              <w:numPr>
                <w:ilvl w:val="0"/>
                <w:numId w:val="9"/>
              </w:numPr>
              <w:spacing w:line="360" w:lineRule="auto"/>
              <w:ind w:firstLineChars="0"/>
              <w:jc w:val="both"/>
              <w:rPr>
                <w:rFonts w:ascii="宋体" w:hAnsi="宋体"/>
                <w:color w:val="auto"/>
                <w:highlight w:val="none"/>
              </w:rPr>
            </w:pPr>
            <w:r>
              <w:rPr>
                <w:rFonts w:hint="eastAsia" w:ascii="宋体" w:hAnsi="宋体"/>
                <w:color w:val="auto"/>
                <w:highlight w:val="none"/>
              </w:rPr>
              <w:t>支持提供服务健康检查机制，监控服务的可用状态。</w:t>
            </w:r>
          </w:p>
          <w:p>
            <w:pPr>
              <w:pStyle w:val="64"/>
              <w:widowControl w:val="0"/>
              <w:numPr>
                <w:ilvl w:val="0"/>
                <w:numId w:val="9"/>
              </w:numPr>
              <w:spacing w:line="360" w:lineRule="auto"/>
              <w:ind w:firstLineChars="0"/>
              <w:jc w:val="both"/>
              <w:rPr>
                <w:rFonts w:ascii="宋体" w:hAnsi="宋体"/>
                <w:color w:val="auto"/>
                <w:highlight w:val="none"/>
              </w:rPr>
            </w:pPr>
            <w:r>
              <w:rPr>
                <w:rFonts w:hint="eastAsia" w:ascii="宋体" w:hAnsi="宋体"/>
                <w:color w:val="auto"/>
                <w:highlight w:val="none"/>
              </w:rPr>
              <w:t>支持服务调用提供重试机制，服务调用达到一定次数后响应调用结果。</w:t>
            </w:r>
          </w:p>
          <w:p>
            <w:pPr>
              <w:pStyle w:val="64"/>
              <w:widowControl w:val="0"/>
              <w:numPr>
                <w:ilvl w:val="0"/>
                <w:numId w:val="9"/>
              </w:numPr>
              <w:spacing w:line="360" w:lineRule="auto"/>
              <w:ind w:firstLineChars="0"/>
              <w:jc w:val="both"/>
              <w:rPr>
                <w:rFonts w:ascii="宋体" w:hAnsi="宋体"/>
                <w:color w:val="auto"/>
                <w:highlight w:val="none"/>
              </w:rPr>
            </w:pPr>
            <w:r>
              <w:rPr>
                <w:rFonts w:hint="eastAsia" w:ascii="宋体" w:hAnsi="宋体"/>
                <w:color w:val="auto"/>
                <w:highlight w:val="none"/>
              </w:rPr>
              <w:t>支持提供API Dashboard，整体查看API注册、发布、异常、网关集群等API平台的运行情况。</w:t>
            </w:r>
          </w:p>
          <w:p>
            <w:pPr>
              <w:numPr>
                <w:ilvl w:val="0"/>
                <w:numId w:val="9"/>
              </w:numPr>
              <w:rPr>
                <w:rFonts w:ascii="宋体" w:hAnsi="宋体" w:cs="仿宋"/>
                <w:color w:val="auto"/>
                <w:spacing w:val="-4"/>
                <w:sz w:val="24"/>
                <w:highlight w:val="none"/>
              </w:rPr>
            </w:pPr>
            <w:r>
              <w:rPr>
                <w:rFonts w:hint="eastAsia" w:ascii="宋体" w:hAnsi="宋体"/>
                <w:color w:val="auto"/>
                <w:sz w:val="24"/>
                <w:highlight w:val="none"/>
              </w:rPr>
              <w:t>支持提供审计日志，可以追查系统中的配置变更和服务调用记录。</w:t>
            </w:r>
          </w:p>
        </w:tc>
      </w:tr>
    </w:tbl>
    <w:p>
      <w:pPr>
        <w:pStyle w:val="7"/>
        <w:numPr>
          <w:ilvl w:val="4"/>
          <w:numId w:val="8"/>
        </w:numPr>
        <w:rPr>
          <w:rFonts w:ascii="宋体" w:hAnsi="宋体"/>
          <w:color w:val="auto"/>
          <w:szCs w:val="24"/>
          <w:highlight w:val="none"/>
        </w:rPr>
      </w:pPr>
      <w:bookmarkStart w:id="563" w:name="_Toc14072"/>
      <w:r>
        <w:rPr>
          <w:rFonts w:hint="eastAsia" w:ascii="宋体" w:hAnsi="宋体"/>
          <w:color w:val="auto"/>
          <w:szCs w:val="24"/>
          <w:highlight w:val="none"/>
        </w:rPr>
        <w:t>数据资产</w:t>
      </w:r>
      <w:r>
        <w:rPr>
          <w:rFonts w:hint="eastAsia" w:ascii="宋体" w:hAnsi="宋体"/>
          <w:color w:val="auto"/>
          <w:szCs w:val="24"/>
          <w:highlight w:val="none"/>
          <w:lang w:eastAsia="zh-CN"/>
        </w:rPr>
        <w:t>管理</w:t>
      </w:r>
      <w:bookmarkEnd w:id="563"/>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以数据为核心,贯穿数据全生命周期的管理平台。通过对数据、应用、系统综合管理，构建标准化、流程化、自动化、一体化的数据管理体系，确保数据架构合理，条理清晰，过程可控，知识积累传承；建立数据目录以及对目录里的数据对象进行管理为主线，贯穿数据采集、加工、应用等过程的规范化和质量控制。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6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blHeader/>
        </w:trPr>
        <w:tc>
          <w:tcPr>
            <w:tcW w:w="2153"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6914"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数据采集</w:t>
            </w:r>
          </w:p>
        </w:tc>
        <w:tc>
          <w:tcPr>
            <w:tcW w:w="6914"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支持与</w:t>
            </w:r>
            <w:r>
              <w:rPr>
                <w:rFonts w:ascii="宋体" w:hAnsi="宋体" w:eastAsia="宋体"/>
                <w:color w:val="auto"/>
                <w:spacing w:val="-4"/>
                <w:sz w:val="24"/>
                <w:highlight w:val="none"/>
                <w:lang w:eastAsia="zh-CN"/>
              </w:rPr>
              <w:t>基础平台对接，满足原有系统的在数据接入、数据处理、数据使用方面数据需求，支持数据互通、拉通、共享。</w:t>
            </w:r>
          </w:p>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支持通过数据采集工具实现医院相关系统数据接口采集，支持实时传输、数据抽取、文件接口、H</w:t>
            </w:r>
            <w:r>
              <w:rPr>
                <w:rFonts w:ascii="宋体" w:hAnsi="宋体" w:eastAsia="宋体"/>
                <w:color w:val="auto"/>
                <w:spacing w:val="-4"/>
                <w:sz w:val="24"/>
                <w:highlight w:val="none"/>
                <w:lang w:eastAsia="zh-CN"/>
              </w:rPr>
              <w:t>TTP</w:t>
            </w:r>
            <w:r>
              <w:rPr>
                <w:rFonts w:hint="eastAsia" w:ascii="宋体" w:hAnsi="宋体" w:eastAsia="宋体"/>
                <w:color w:val="auto"/>
                <w:spacing w:val="-4"/>
                <w:sz w:val="24"/>
                <w:highlight w:val="none"/>
                <w:lang w:eastAsia="zh-CN"/>
              </w:rPr>
              <w:t>等采集方式，实现数据统一采集、统一存储，实现部门信息整合与共享，保证数据的准确性、及时性和开放性。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数据治理</w:t>
            </w:r>
          </w:p>
        </w:tc>
        <w:tc>
          <w:tcPr>
            <w:tcW w:w="6914"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通过对数据、应用、系统综合管理，构建标准化、流程化、自动化、一体化的数据管理体系，确保数据架构合理，条理清晰，过程可控，知识积累传承；建立数据目录以及对目录里的数据对象进行管理为主线，贯穿数据采集、加工、应用等过程的规范化和质量控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数据开发</w:t>
            </w:r>
          </w:p>
        </w:tc>
        <w:tc>
          <w:tcPr>
            <w:tcW w:w="6914"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支持对开发者进行数据开发的全流程进行支撑，包括：查看数据目录、申请数据授权、数据模型开发、程序开发、模型及程序上下线管理等功能。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数据服务</w:t>
            </w:r>
          </w:p>
        </w:tc>
        <w:tc>
          <w:tcPr>
            <w:tcW w:w="6914"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支持为内外部系统提供灵活的、可定制的服务开发和数据共享能力，包括数据服务的注册、服务开发编排、服务授权、服务调用优化、数据服务安全管理等功能。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数据安全</w:t>
            </w:r>
          </w:p>
        </w:tc>
        <w:tc>
          <w:tcPr>
            <w:tcW w:w="6914"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支持负责数据使用过程中的数据安全控制，包括：敏感策略管理、敏感算法管理、密钥服务接口、动态脱敏查询以及密钥平台操作审计等功能。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数据运营</w:t>
            </w:r>
          </w:p>
        </w:tc>
        <w:tc>
          <w:tcPr>
            <w:tcW w:w="6914"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提供从数据运维到数据运营端到端的支撑能力，提升数据资产管理水准。通过聚焦作业调度、数据质量稽核、数据场景化服务、应用效能与数据资产评估等运营环节，实现数据能力的跨专业传导与数据资产价值的公允评价。</w:t>
            </w:r>
          </w:p>
        </w:tc>
      </w:tr>
    </w:tbl>
    <w:p>
      <w:pPr>
        <w:pStyle w:val="7"/>
        <w:numPr>
          <w:ilvl w:val="4"/>
          <w:numId w:val="8"/>
        </w:numPr>
        <w:rPr>
          <w:rFonts w:ascii="宋体" w:hAnsi="宋体"/>
          <w:color w:val="auto"/>
          <w:szCs w:val="24"/>
          <w:highlight w:val="none"/>
        </w:rPr>
      </w:pPr>
      <w:bookmarkStart w:id="564" w:name="_Toc22765"/>
      <w:r>
        <w:rPr>
          <w:rFonts w:hint="eastAsia" w:ascii="宋体" w:hAnsi="宋体"/>
          <w:color w:val="auto"/>
          <w:szCs w:val="24"/>
          <w:highlight w:val="none"/>
        </w:rPr>
        <w:t>医学文本分析</w:t>
      </w:r>
      <w:bookmarkEnd w:id="564"/>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医学文本分析系统的目的在于实现基于人工智能算法的医学文本类数据的结构化。</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9"/>
        <w:gridCol w:w="73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trPr>
        <w:tc>
          <w:tcPr>
            <w:tcW w:w="1669" w:type="dxa"/>
            <w:shd w:val="clear" w:color="auto" w:fill="4472C4"/>
            <w:vAlign w:val="center"/>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7398" w:type="dxa"/>
            <w:shd w:val="clear" w:color="auto" w:fill="4472C4"/>
            <w:vAlign w:val="center"/>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ascii="宋体" w:hAnsi="宋体" w:cs="仿宋"/>
                <w:b/>
                <w:color w:val="auto"/>
                <w:w w:val="105"/>
                <w:sz w:val="24"/>
                <w:highlight w:val="none"/>
              </w:rPr>
              <w:t>功能</w:t>
            </w:r>
            <w:r>
              <w:rPr>
                <w:rFonts w:hint="eastAsia" w:ascii="宋体" w:hAnsi="宋体" w:cs="仿宋"/>
                <w:b/>
                <w:color w:val="auto"/>
                <w:w w:val="105"/>
                <w:sz w:val="24"/>
                <w:highlight w:val="none"/>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1669"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结构化分词功能</w:t>
            </w:r>
          </w:p>
        </w:tc>
        <w:tc>
          <w:tcPr>
            <w:tcW w:w="7398" w:type="dxa"/>
            <w:vAlign w:val="center"/>
          </w:tcPr>
          <w:p>
            <w:pPr>
              <w:pStyle w:val="201"/>
              <w:numPr>
                <w:ilvl w:val="0"/>
                <w:numId w:val="9"/>
              </w:numPr>
              <w:spacing w:before="6" w:line="360" w:lineRule="auto"/>
              <w:ind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支持从入院记录等文本中提取结构化信息，如疾病、症状、时间、药品信息。</w:t>
            </w:r>
          </w:p>
          <w:p>
            <w:pPr>
              <w:pStyle w:val="201"/>
              <w:numPr>
                <w:ilvl w:val="0"/>
                <w:numId w:val="9"/>
              </w:numPr>
              <w:spacing w:before="6" w:line="360" w:lineRule="auto"/>
              <w:ind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支持对阴性症状和阳性症状进行区分。</w:t>
            </w:r>
          </w:p>
          <w:p>
            <w:pPr>
              <w:pStyle w:val="201"/>
              <w:numPr>
                <w:ilvl w:val="0"/>
                <w:numId w:val="9"/>
              </w:numPr>
              <w:spacing w:before="6" w:line="360" w:lineRule="auto"/>
              <w:ind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支持对否定词情况进行处理。</w:t>
            </w:r>
          </w:p>
          <w:p>
            <w:pPr>
              <w:pStyle w:val="201"/>
              <w:numPr>
                <w:ilvl w:val="0"/>
                <w:numId w:val="9"/>
              </w:numPr>
              <w:spacing w:before="6" w:line="360" w:lineRule="auto"/>
              <w:ind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支持提取特定的信息并返回，如子女个数的具体数值。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1669"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结构化抽取</w:t>
            </w:r>
          </w:p>
        </w:tc>
        <w:tc>
          <w:tcPr>
            <w:tcW w:w="7398" w:type="dxa"/>
            <w:vAlign w:val="center"/>
          </w:tcPr>
          <w:p>
            <w:pPr>
              <w:pStyle w:val="201"/>
              <w:numPr>
                <w:ilvl w:val="0"/>
                <w:numId w:val="9"/>
              </w:numPr>
              <w:spacing w:before="6" w:line="360" w:lineRule="auto"/>
              <w:ind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支持既往史后结构化：支持判断是否有如：高血压、卒中、心梗、糖尿病、肿瘤。</w:t>
            </w:r>
          </w:p>
          <w:p>
            <w:pPr>
              <w:pStyle w:val="201"/>
              <w:numPr>
                <w:ilvl w:val="0"/>
                <w:numId w:val="9"/>
              </w:numPr>
              <w:spacing w:before="6" w:line="360" w:lineRule="auto"/>
              <w:ind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支持家族史后结构化：支持判断是否有高血压家族史、糖尿病家族史、肿瘤家族史。</w:t>
            </w:r>
          </w:p>
          <w:p>
            <w:pPr>
              <w:pStyle w:val="201"/>
              <w:numPr>
                <w:ilvl w:val="0"/>
                <w:numId w:val="9"/>
              </w:numPr>
              <w:spacing w:before="6" w:line="360" w:lineRule="auto"/>
              <w:ind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支持个人史后结构化：支持判断是否吸烟/饮酒，及抽取吸烟/饮酒年限、数量等信息。</w:t>
            </w:r>
          </w:p>
          <w:p>
            <w:pPr>
              <w:pStyle w:val="201"/>
              <w:numPr>
                <w:ilvl w:val="0"/>
                <w:numId w:val="9"/>
              </w:numPr>
              <w:spacing w:before="6" w:line="360" w:lineRule="auto"/>
              <w:ind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支持婚育史后结构化：支持判断婚姻状态、子女个数、是否有流产史等信息。</w:t>
            </w:r>
          </w:p>
          <w:p>
            <w:pPr>
              <w:pStyle w:val="201"/>
              <w:numPr>
                <w:ilvl w:val="0"/>
                <w:numId w:val="9"/>
              </w:numPr>
              <w:spacing w:before="6" w:line="360" w:lineRule="auto"/>
              <w:ind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支持专科类后结构化：支持肾内科、心内科等科室近100项后结构化内容，包括心功能分级、肿瘤分期、射血分数、尿量等内容。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1669"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规则配置工具</w:t>
            </w:r>
          </w:p>
        </w:tc>
        <w:tc>
          <w:tcPr>
            <w:tcW w:w="7398" w:type="dxa"/>
            <w:vAlign w:val="center"/>
          </w:tcPr>
          <w:p>
            <w:pPr>
              <w:pStyle w:val="201"/>
              <w:numPr>
                <w:ilvl w:val="0"/>
                <w:numId w:val="9"/>
              </w:numPr>
              <w:spacing w:before="6" w:line="360" w:lineRule="auto"/>
              <w:ind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支持对于已有算法不满足的需求，可以通过简单的规则配置工具进行配置。</w:t>
            </w:r>
          </w:p>
          <w:p>
            <w:pPr>
              <w:pStyle w:val="201"/>
              <w:numPr>
                <w:ilvl w:val="0"/>
                <w:numId w:val="9"/>
              </w:numPr>
              <w:spacing w:before="6" w:line="360" w:lineRule="auto"/>
              <w:ind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支持对配置的规则进行测试。</w:t>
            </w:r>
          </w:p>
        </w:tc>
      </w:tr>
    </w:tbl>
    <w:p>
      <w:pPr>
        <w:keepNext/>
        <w:keepLines/>
        <w:numPr>
          <w:ilvl w:val="3"/>
          <w:numId w:val="8"/>
        </w:numPr>
        <w:spacing w:before="280" w:after="290" w:line="376" w:lineRule="auto"/>
        <w:outlineLvl w:val="3"/>
        <w:rPr>
          <w:rFonts w:ascii="宋体" w:hAnsi="宋体"/>
          <w:b/>
          <w:bCs/>
          <w:color w:val="auto"/>
          <w:sz w:val="24"/>
          <w:highlight w:val="none"/>
        </w:rPr>
      </w:pPr>
      <w:bookmarkStart w:id="565" w:name="_Toc12560"/>
      <w:r>
        <w:rPr>
          <w:rFonts w:hint="eastAsia" w:ascii="宋体" w:hAnsi="宋体"/>
          <w:b/>
          <w:bCs/>
          <w:color w:val="auto"/>
          <w:sz w:val="24"/>
          <w:highlight w:val="none"/>
        </w:rPr>
        <w:t>数据中心</w:t>
      </w:r>
      <w:r>
        <w:rPr>
          <w:rFonts w:ascii="宋体" w:hAnsi="宋体"/>
          <w:b/>
          <w:bCs/>
          <w:color w:val="auto"/>
          <w:sz w:val="24"/>
          <w:highlight w:val="none"/>
        </w:rPr>
        <w:t>平台</w:t>
      </w:r>
      <w:bookmarkEnd w:id="565"/>
    </w:p>
    <w:p>
      <w:pPr>
        <w:pStyle w:val="7"/>
        <w:numPr>
          <w:ilvl w:val="4"/>
          <w:numId w:val="8"/>
        </w:numPr>
        <w:rPr>
          <w:rFonts w:ascii="宋体" w:hAnsi="宋体"/>
          <w:color w:val="auto"/>
          <w:szCs w:val="24"/>
          <w:highlight w:val="none"/>
        </w:rPr>
      </w:pPr>
      <w:bookmarkStart w:id="566" w:name="_Toc16280"/>
      <w:r>
        <w:rPr>
          <w:rFonts w:hint="eastAsia" w:ascii="宋体" w:hAnsi="宋体"/>
          <w:color w:val="auto"/>
          <w:szCs w:val="24"/>
          <w:highlight w:val="none"/>
        </w:rPr>
        <w:t>临床数据中心</w:t>
      </w:r>
      <w:bookmarkEnd w:id="566"/>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数据中心是将分散在各个业务领域的孤岛数据以患者为主线将院内患者临床数据进行统一存储与管理；解决了数据基础标准统一和数据孤岛问题，更好的为医院开展医教研提供数据支撑。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6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blHeader/>
        </w:trPr>
        <w:tc>
          <w:tcPr>
            <w:tcW w:w="2153"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6914"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数据接入</w:t>
            </w:r>
          </w:p>
        </w:tc>
        <w:tc>
          <w:tcPr>
            <w:tcW w:w="6914"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支持提供规范化、标准化的数据接入方式，根据各业务系统差异和实际业务情况，选择合适的数据接入方式采集临床数据，包括主动抽取和被动接收。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数据存储</w:t>
            </w:r>
          </w:p>
        </w:tc>
        <w:tc>
          <w:tcPr>
            <w:tcW w:w="6914"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支持将患者在医疗机构内发生的所有临床活动所产生的临床数据进行整合，规范化、标准化集中存储在一个物理存储内进行统一管理。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数据分析</w:t>
            </w:r>
          </w:p>
        </w:tc>
        <w:tc>
          <w:tcPr>
            <w:tcW w:w="6914"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支持对从各业务系统获取的患者诊疗数据进行分析。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数据展示</w:t>
            </w:r>
          </w:p>
        </w:tc>
        <w:tc>
          <w:tcPr>
            <w:tcW w:w="6914"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支持按主题整合患者基本信息、电子病历、医嘱、处方、药品、检验、检查、医学影像、手术、其他诊疗等各方面临床数据，提供完整、统一的数据展现，以及强大的数据检索、数据导出等工具。</w:t>
            </w:r>
          </w:p>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支持能够展示脱敏后的数据表现形式，患者全息视图展示临床信息时，展示脱敏配置后的患者信息。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3"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数据共享</w:t>
            </w:r>
          </w:p>
        </w:tc>
        <w:tc>
          <w:tcPr>
            <w:tcW w:w="6914"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支持提供各系统从临床数据中心获取为完成业务需要的各种实时的业务数据。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患者全息视图</w:t>
            </w:r>
          </w:p>
        </w:tc>
        <w:tc>
          <w:tcPr>
            <w:tcW w:w="6914" w:type="dxa"/>
            <w:vAlign w:val="center"/>
          </w:tcPr>
          <w:p>
            <w:pPr>
              <w:pStyle w:val="201"/>
              <w:numPr>
                <w:ilvl w:val="0"/>
                <w:numId w:val="9"/>
              </w:numPr>
              <w:spacing w:before="6" w:line="360" w:lineRule="auto"/>
              <w:ind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支持提供形式多样的主题视图，展示内容包括：门诊视图、住院视图、就诊索引视图、时间轴视图、综合视图等。</w:t>
            </w:r>
          </w:p>
          <w:p>
            <w:pPr>
              <w:pStyle w:val="201"/>
              <w:numPr>
                <w:ilvl w:val="0"/>
                <w:numId w:val="9"/>
              </w:numPr>
              <w:spacing w:before="6" w:line="360" w:lineRule="auto"/>
              <w:ind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支持通过患者综合视图可以查看就诊、过敏/不良反应、诊断、医嘱、检查、检验、手术、用血、病历文书、会诊相关信息，能够查看相关医嘱跟踪信息。</w:t>
            </w:r>
          </w:p>
          <w:p>
            <w:pPr>
              <w:pStyle w:val="201"/>
              <w:numPr>
                <w:ilvl w:val="0"/>
                <w:numId w:val="9"/>
              </w:numPr>
              <w:spacing w:before="6" w:line="360" w:lineRule="auto"/>
              <w:ind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支持能够通过患者索引视图、综合视图、门诊视图、住院视图、时间轴视图五个维度查看患者的诊疗信息。</w:t>
            </w:r>
          </w:p>
          <w:p>
            <w:pPr>
              <w:pStyle w:val="201"/>
              <w:numPr>
                <w:ilvl w:val="0"/>
                <w:numId w:val="9"/>
              </w:numPr>
              <w:spacing w:before="6" w:line="360" w:lineRule="auto"/>
              <w:ind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可提供检验报告信息、历次检验曲线对比。历次检验曲线对比可对患者某一类检验指标历次检验数据通过曲线图展示，可以让查看者更直观的检验结果数据的变化趋势。通过点击不同的指标，展示不同的指标曲线图。</w:t>
            </w:r>
          </w:p>
          <w:p>
            <w:pPr>
              <w:pStyle w:val="201"/>
              <w:numPr>
                <w:ilvl w:val="0"/>
                <w:numId w:val="9"/>
              </w:numPr>
              <w:spacing w:before="6" w:line="360" w:lineRule="auto"/>
              <w:ind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支持根据每个临床医生关注的重点患者需求，数据中心系统要能提供我的患者收藏夹功能。用于将发现典型病例加载至收藏夹。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临床文档库</w:t>
            </w:r>
          </w:p>
        </w:tc>
        <w:tc>
          <w:tcPr>
            <w:tcW w:w="6914"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以CDR数据源为基础，通过文档库集中存储临床诊疗过程中形成的电子文档，并对这些电子文档资源按XDS规范要求进行共享交换和规范化管理，提供文档注册、文档存储、文档索引、文档获取、文档管理等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6"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数据中心后台管理</w:t>
            </w:r>
          </w:p>
        </w:tc>
        <w:tc>
          <w:tcPr>
            <w:tcW w:w="6914" w:type="dxa"/>
            <w:vAlign w:val="center"/>
          </w:tcPr>
          <w:p>
            <w:pPr>
              <w:pStyle w:val="64"/>
              <w:widowControl w:val="0"/>
              <w:numPr>
                <w:ilvl w:val="0"/>
                <w:numId w:val="9"/>
              </w:numPr>
              <w:spacing w:line="360" w:lineRule="auto"/>
              <w:ind w:firstLineChars="0"/>
              <w:jc w:val="both"/>
              <w:rPr>
                <w:rFonts w:ascii="宋体" w:hAnsi="宋体"/>
                <w:color w:val="auto"/>
                <w:highlight w:val="none"/>
              </w:rPr>
            </w:pPr>
            <w:r>
              <w:rPr>
                <w:rFonts w:hint="eastAsia" w:ascii="宋体" w:hAnsi="宋体"/>
                <w:color w:val="auto"/>
                <w:highlight w:val="none"/>
              </w:rPr>
              <w:t>支持访问控制管理，用户、角色、权限设定，记录系统访问日志数据</w:t>
            </w:r>
          </w:p>
          <w:p>
            <w:pPr>
              <w:pStyle w:val="64"/>
              <w:widowControl w:val="0"/>
              <w:numPr>
                <w:ilvl w:val="0"/>
                <w:numId w:val="9"/>
              </w:numPr>
              <w:spacing w:line="360" w:lineRule="auto"/>
              <w:ind w:firstLineChars="0"/>
              <w:jc w:val="both"/>
              <w:rPr>
                <w:rFonts w:ascii="宋体" w:hAnsi="宋体"/>
                <w:color w:val="auto"/>
                <w:highlight w:val="none"/>
              </w:rPr>
            </w:pPr>
            <w:r>
              <w:rPr>
                <w:rFonts w:hint="eastAsia" w:ascii="宋体" w:hAnsi="宋体"/>
                <w:color w:val="auto"/>
                <w:highlight w:val="none"/>
              </w:rPr>
              <w:t>支持</w:t>
            </w:r>
            <w:r>
              <w:rPr>
                <w:rFonts w:ascii="宋体" w:hAnsi="宋体"/>
                <w:color w:val="auto"/>
                <w:highlight w:val="none"/>
              </w:rPr>
              <w:t>数据监控</w:t>
            </w:r>
            <w:r>
              <w:rPr>
                <w:rFonts w:hint="eastAsia" w:ascii="宋体" w:hAnsi="宋体"/>
                <w:color w:val="auto"/>
                <w:highlight w:val="none"/>
              </w:rPr>
              <w:t>，</w:t>
            </w:r>
            <w:r>
              <w:rPr>
                <w:rFonts w:ascii="宋体" w:hAnsi="宋体"/>
                <w:color w:val="auto"/>
                <w:highlight w:val="none"/>
              </w:rPr>
              <w:t>数据中心数据接入分类统计和接入消息查询</w:t>
            </w:r>
          </w:p>
          <w:p>
            <w:pPr>
              <w:pStyle w:val="64"/>
              <w:widowControl w:val="0"/>
              <w:numPr>
                <w:ilvl w:val="0"/>
                <w:numId w:val="9"/>
              </w:numPr>
              <w:spacing w:line="360" w:lineRule="auto"/>
              <w:ind w:firstLineChars="0"/>
              <w:jc w:val="both"/>
              <w:rPr>
                <w:rFonts w:ascii="宋体" w:hAnsi="宋体"/>
                <w:color w:val="auto"/>
                <w:highlight w:val="none"/>
              </w:rPr>
            </w:pPr>
            <w:r>
              <w:rPr>
                <w:rFonts w:hint="eastAsia" w:ascii="宋体" w:hAnsi="宋体"/>
                <w:color w:val="auto"/>
                <w:highlight w:val="none"/>
              </w:rPr>
              <w:t>支持</w:t>
            </w:r>
            <w:r>
              <w:rPr>
                <w:rFonts w:ascii="宋体" w:hAnsi="宋体"/>
                <w:color w:val="auto"/>
                <w:highlight w:val="none"/>
              </w:rPr>
              <w:t>数据统计</w:t>
            </w:r>
            <w:r>
              <w:rPr>
                <w:rFonts w:hint="eastAsia" w:ascii="宋体" w:hAnsi="宋体"/>
                <w:color w:val="auto"/>
                <w:highlight w:val="none"/>
              </w:rPr>
              <w:t>，</w:t>
            </w:r>
            <w:r>
              <w:rPr>
                <w:rFonts w:ascii="宋体" w:hAnsi="宋体"/>
                <w:color w:val="auto"/>
                <w:highlight w:val="none"/>
              </w:rPr>
              <w:t>数据中心中数据统计分析包含但不限于每日建卡患者数量统计</w:t>
            </w:r>
            <w:r>
              <w:rPr>
                <w:rFonts w:hint="eastAsia" w:ascii="宋体" w:hAnsi="宋体"/>
                <w:color w:val="auto"/>
                <w:highlight w:val="none"/>
              </w:rPr>
              <w:t>、</w:t>
            </w:r>
            <w:r>
              <w:rPr>
                <w:rFonts w:ascii="宋体" w:hAnsi="宋体"/>
                <w:color w:val="auto"/>
                <w:highlight w:val="none"/>
              </w:rPr>
              <w:t>检查</w:t>
            </w:r>
            <w:r>
              <w:rPr>
                <w:rFonts w:hint="eastAsia" w:ascii="宋体" w:hAnsi="宋体"/>
                <w:color w:val="auto"/>
                <w:highlight w:val="none"/>
              </w:rPr>
              <w:t>、</w:t>
            </w:r>
            <w:r>
              <w:rPr>
                <w:rFonts w:ascii="宋体" w:hAnsi="宋体"/>
                <w:color w:val="auto"/>
                <w:highlight w:val="none"/>
              </w:rPr>
              <w:t>检验报告统计以及各类病历文书的统计情况</w:t>
            </w:r>
          </w:p>
          <w:p>
            <w:pPr>
              <w:pStyle w:val="64"/>
              <w:widowControl w:val="0"/>
              <w:numPr>
                <w:ilvl w:val="0"/>
                <w:numId w:val="9"/>
              </w:numPr>
              <w:spacing w:line="360" w:lineRule="auto"/>
              <w:ind w:firstLineChars="0"/>
              <w:jc w:val="both"/>
              <w:rPr>
                <w:rFonts w:ascii="宋体" w:hAnsi="宋体"/>
                <w:color w:val="auto"/>
                <w:highlight w:val="none"/>
              </w:rPr>
            </w:pPr>
            <w:r>
              <w:rPr>
                <w:rFonts w:hint="eastAsia" w:ascii="宋体" w:hAnsi="宋体"/>
                <w:color w:val="auto"/>
                <w:highlight w:val="none"/>
              </w:rPr>
              <w:t>支持</w:t>
            </w:r>
            <w:r>
              <w:rPr>
                <w:rFonts w:ascii="宋体" w:hAnsi="宋体"/>
                <w:color w:val="auto"/>
                <w:highlight w:val="none"/>
              </w:rPr>
              <w:t>图表首页</w:t>
            </w:r>
            <w:r>
              <w:rPr>
                <w:rFonts w:hint="eastAsia" w:ascii="宋体" w:hAnsi="宋体"/>
                <w:color w:val="auto"/>
                <w:highlight w:val="none"/>
              </w:rPr>
              <w:t>，</w:t>
            </w:r>
            <w:r>
              <w:rPr>
                <w:rFonts w:ascii="宋体" w:hAnsi="宋体"/>
                <w:color w:val="auto"/>
                <w:highlight w:val="none"/>
              </w:rPr>
              <w:t>提供大屏展示数据中心的整体数据情况包含共享文档数量</w:t>
            </w:r>
          </w:p>
        </w:tc>
      </w:tr>
    </w:tbl>
    <w:p>
      <w:pPr>
        <w:pStyle w:val="7"/>
        <w:numPr>
          <w:ilvl w:val="4"/>
          <w:numId w:val="8"/>
        </w:numPr>
        <w:rPr>
          <w:rFonts w:ascii="宋体" w:hAnsi="宋体"/>
          <w:color w:val="auto"/>
          <w:szCs w:val="24"/>
          <w:highlight w:val="none"/>
        </w:rPr>
      </w:pPr>
      <w:bookmarkStart w:id="567" w:name="_Toc17777"/>
      <w:r>
        <w:rPr>
          <w:rFonts w:hint="eastAsia" w:ascii="宋体" w:hAnsi="宋体"/>
          <w:color w:val="auto"/>
          <w:szCs w:val="24"/>
          <w:highlight w:val="none"/>
        </w:rPr>
        <w:t>运营数据中心</w:t>
      </w:r>
      <w:bookmarkEnd w:id="567"/>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运营数据中心可以为院级、科室领导提供及时的全院业务状况监控情况，以完成各种管理需求。对于各科室管理者来说，能够为各科室绩效考核提供合理的指标依据。此外，还能够生成各类工作报表，解决数据分散且不一致的问题。</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6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blHeader/>
        </w:trPr>
        <w:tc>
          <w:tcPr>
            <w:tcW w:w="2153"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模块</w:t>
            </w:r>
          </w:p>
        </w:tc>
        <w:tc>
          <w:tcPr>
            <w:tcW w:w="6914"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数据采集</w:t>
            </w:r>
          </w:p>
        </w:tc>
        <w:tc>
          <w:tcPr>
            <w:tcW w:w="6914"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支持基于运营数据中心建立即时查询、报表和数据统计等应用，为医院管理者提供及时准确的数据。</w:t>
            </w:r>
          </w:p>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数据来源支持包括临床、财务、物资、人力等相关系统。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分析决策</w:t>
            </w:r>
          </w:p>
        </w:tc>
        <w:tc>
          <w:tcPr>
            <w:tcW w:w="6914"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支持基于运营数据中心进行的主题分析、预警分析和专题分析结果，为医院各级管理人员的决策提供了实时、准确的信息支持和预测参考，进一步提高了相关管理者的工作效能和决策能力。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监测预警</w:t>
            </w:r>
          </w:p>
        </w:tc>
        <w:tc>
          <w:tcPr>
            <w:tcW w:w="6914"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基于运营数据中心对抗菌药和毒麻药的监测与预警、处方和医嘱中的合理用药监察、床位/医护/设备等医疗资源的使用率分析，实现对医院等级评审和监察指标的自主评估、监测和预警分析，为医院医疗管理提供参考。</w:t>
            </w:r>
          </w:p>
        </w:tc>
      </w:tr>
    </w:tbl>
    <w:p>
      <w:pPr>
        <w:pStyle w:val="7"/>
        <w:numPr>
          <w:ilvl w:val="4"/>
          <w:numId w:val="8"/>
        </w:numPr>
        <w:rPr>
          <w:rFonts w:ascii="宋体" w:hAnsi="宋体"/>
          <w:color w:val="auto"/>
          <w:szCs w:val="24"/>
          <w:highlight w:val="none"/>
        </w:rPr>
      </w:pPr>
      <w:bookmarkStart w:id="568" w:name="_Toc17092"/>
      <w:r>
        <w:rPr>
          <w:rFonts w:hint="eastAsia" w:ascii="宋体" w:hAnsi="宋体"/>
          <w:color w:val="auto"/>
          <w:szCs w:val="24"/>
          <w:highlight w:val="none"/>
        </w:rPr>
        <w:t>影像数据中心</w:t>
      </w:r>
      <w:bookmarkEnd w:id="568"/>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影像数据中心支持各科室、各个影像系统的各种类型医学影像集中归档、管理、调阅。实现从影像数据中心调阅相关数据（影像和诊断报告）方便地获取检查诊断结果和状态，辅助临床诊断。</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6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blHeader/>
        </w:trPr>
        <w:tc>
          <w:tcPr>
            <w:tcW w:w="2153"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模块</w:t>
            </w:r>
          </w:p>
        </w:tc>
        <w:tc>
          <w:tcPr>
            <w:tcW w:w="6914"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影像数据中心</w:t>
            </w:r>
          </w:p>
        </w:tc>
        <w:tc>
          <w:tcPr>
            <w:tcW w:w="6914" w:type="dxa"/>
            <w:vAlign w:val="center"/>
          </w:tcPr>
          <w:p>
            <w:pPr>
              <w:pStyle w:val="64"/>
              <w:numPr>
                <w:ilvl w:val="0"/>
                <w:numId w:val="13"/>
              </w:numPr>
              <w:spacing w:line="360" w:lineRule="auto"/>
              <w:ind w:firstLineChars="0"/>
              <w:jc w:val="both"/>
              <w:rPr>
                <w:rFonts w:ascii="宋体" w:hAnsi="宋体"/>
                <w:b/>
                <w:color w:val="auto"/>
                <w:highlight w:val="none"/>
              </w:rPr>
            </w:pPr>
            <w:r>
              <w:rPr>
                <w:rFonts w:hint="eastAsia" w:ascii="宋体" w:hAnsi="宋体"/>
                <w:b/>
                <w:color w:val="auto"/>
                <w:highlight w:val="none"/>
              </w:rPr>
              <w:t>文档注册/维护</w:t>
            </w:r>
          </w:p>
          <w:p>
            <w:pPr>
              <w:spacing w:line="360" w:lineRule="auto"/>
              <w:rPr>
                <w:rFonts w:ascii="宋体" w:hAnsi="宋体"/>
                <w:color w:val="auto"/>
                <w:sz w:val="24"/>
                <w:highlight w:val="none"/>
              </w:rPr>
            </w:pPr>
            <w:r>
              <w:rPr>
                <w:rFonts w:hint="eastAsia" w:ascii="宋体" w:hAnsi="宋体"/>
                <w:color w:val="auto"/>
                <w:sz w:val="24"/>
                <w:highlight w:val="none"/>
              </w:rPr>
              <w:t>支持接收院内放射、超声、内镜等医技系统发送过来的报告文档，在影像平台进行注册并集中存储，将原来是多个系统中的报告集中存储到影像平台，为临床系统查看报告提供服务。</w:t>
            </w:r>
          </w:p>
          <w:p>
            <w:pPr>
              <w:pStyle w:val="64"/>
              <w:numPr>
                <w:ilvl w:val="0"/>
                <w:numId w:val="13"/>
              </w:numPr>
              <w:spacing w:line="360" w:lineRule="auto"/>
              <w:ind w:firstLineChars="0"/>
              <w:jc w:val="both"/>
              <w:rPr>
                <w:rFonts w:ascii="宋体" w:hAnsi="宋体"/>
                <w:b/>
                <w:color w:val="auto"/>
                <w:highlight w:val="none"/>
              </w:rPr>
            </w:pPr>
            <w:r>
              <w:rPr>
                <w:rFonts w:hint="eastAsia" w:ascii="宋体" w:hAnsi="宋体"/>
                <w:b/>
                <w:color w:val="auto"/>
                <w:highlight w:val="none"/>
              </w:rPr>
              <w:t>信息检索</w:t>
            </w:r>
          </w:p>
          <w:p>
            <w:pPr>
              <w:spacing w:line="360" w:lineRule="auto"/>
              <w:rPr>
                <w:rFonts w:ascii="宋体" w:hAnsi="宋体"/>
                <w:color w:val="auto"/>
                <w:sz w:val="24"/>
                <w:highlight w:val="none"/>
              </w:rPr>
            </w:pPr>
            <w:r>
              <w:rPr>
                <w:rFonts w:hint="eastAsia" w:ascii="宋体" w:hAnsi="宋体"/>
                <w:color w:val="auto"/>
                <w:sz w:val="24"/>
                <w:highlight w:val="none"/>
              </w:rPr>
              <w:t>支持通过患者姓名、门诊号、住院号等查询条件检索患者，同一患者在不同医技科室做过检查，在查询时会自动识别为同一患者进行显示，同时会显示该患者在本院做过的检查数量和最后一次检查时间。</w:t>
            </w:r>
          </w:p>
          <w:p>
            <w:pPr>
              <w:pStyle w:val="64"/>
              <w:numPr>
                <w:ilvl w:val="0"/>
                <w:numId w:val="13"/>
              </w:numPr>
              <w:spacing w:line="360" w:lineRule="auto"/>
              <w:ind w:firstLineChars="0"/>
              <w:jc w:val="both"/>
              <w:rPr>
                <w:rFonts w:ascii="宋体" w:hAnsi="宋体"/>
                <w:b/>
                <w:color w:val="auto"/>
                <w:highlight w:val="none"/>
              </w:rPr>
            </w:pPr>
            <w:r>
              <w:rPr>
                <w:rFonts w:hint="eastAsia" w:ascii="宋体" w:hAnsi="宋体"/>
                <w:b/>
                <w:color w:val="auto"/>
                <w:highlight w:val="none"/>
              </w:rPr>
              <w:t>信息展示</w:t>
            </w:r>
          </w:p>
          <w:p>
            <w:pPr>
              <w:spacing w:line="360" w:lineRule="auto"/>
              <w:rPr>
                <w:rFonts w:ascii="宋体" w:hAnsi="宋体"/>
                <w:color w:val="auto"/>
                <w:sz w:val="24"/>
                <w:highlight w:val="none"/>
              </w:rPr>
            </w:pPr>
            <w:r>
              <w:rPr>
                <w:rFonts w:hint="eastAsia" w:ascii="宋体" w:hAnsi="宋体"/>
                <w:color w:val="auto"/>
                <w:sz w:val="24"/>
                <w:highlight w:val="none"/>
              </w:rPr>
              <w:t>支持</w:t>
            </w:r>
            <w:r>
              <w:rPr>
                <w:rFonts w:ascii="宋体" w:hAnsi="宋体"/>
                <w:color w:val="auto"/>
                <w:sz w:val="24"/>
                <w:highlight w:val="none"/>
              </w:rPr>
              <w:t>按照患者为单位显示患者在本院做过的全部检查，例如CT、B超、内镜等，可以按照列表和时间轴两种方式显示患者检查。通过检查能够展现该检查对应的报告和影像。</w:t>
            </w:r>
          </w:p>
          <w:p>
            <w:pPr>
              <w:spacing w:line="360" w:lineRule="auto"/>
              <w:rPr>
                <w:rFonts w:ascii="宋体" w:hAnsi="宋体"/>
                <w:color w:val="auto"/>
                <w:sz w:val="24"/>
                <w:highlight w:val="none"/>
              </w:rPr>
            </w:pPr>
            <w:r>
              <w:rPr>
                <w:rFonts w:hint="eastAsia" w:ascii="宋体" w:hAnsi="宋体"/>
                <w:color w:val="auto"/>
                <w:sz w:val="24"/>
                <w:highlight w:val="none"/>
              </w:rPr>
              <w:t>支持患者检查可以按照时间轴形式进行展现，按照患者就诊时间展现出检查，检查顺序一目了然。</w:t>
            </w:r>
          </w:p>
          <w:p>
            <w:pPr>
              <w:pStyle w:val="64"/>
              <w:numPr>
                <w:ilvl w:val="0"/>
                <w:numId w:val="13"/>
              </w:numPr>
              <w:spacing w:line="360" w:lineRule="auto"/>
              <w:ind w:firstLineChars="0"/>
              <w:jc w:val="both"/>
              <w:rPr>
                <w:rFonts w:ascii="宋体" w:hAnsi="宋体"/>
                <w:b/>
                <w:color w:val="auto"/>
                <w:highlight w:val="none"/>
              </w:rPr>
            </w:pPr>
            <w:r>
              <w:rPr>
                <w:rFonts w:hint="eastAsia" w:ascii="宋体" w:hAnsi="宋体"/>
                <w:b/>
                <w:color w:val="auto"/>
                <w:highlight w:val="none"/>
              </w:rPr>
              <w:t>档阅览</w:t>
            </w:r>
          </w:p>
          <w:p>
            <w:pPr>
              <w:spacing w:line="360" w:lineRule="auto"/>
              <w:rPr>
                <w:rFonts w:ascii="宋体" w:hAnsi="宋体"/>
                <w:color w:val="auto"/>
                <w:sz w:val="24"/>
                <w:highlight w:val="none"/>
              </w:rPr>
            </w:pPr>
            <w:r>
              <w:rPr>
                <w:rFonts w:hint="eastAsia" w:ascii="宋体" w:hAnsi="宋体"/>
                <w:color w:val="auto"/>
                <w:sz w:val="24"/>
                <w:highlight w:val="none"/>
              </w:rPr>
              <w:t>支持针对不同类型报告定制不同显示格式，可以根据不同科室，不同检查类型定制不同的显示模板。可以通过检查显示关联报告。</w:t>
            </w:r>
          </w:p>
          <w:p>
            <w:pPr>
              <w:pStyle w:val="64"/>
              <w:spacing w:line="360" w:lineRule="auto"/>
              <w:ind w:firstLine="0" w:firstLineChars="0"/>
              <w:rPr>
                <w:rFonts w:ascii="宋体" w:hAnsi="宋体"/>
                <w:b/>
                <w:color w:val="auto"/>
                <w:highlight w:val="none"/>
              </w:rPr>
            </w:pPr>
            <w:r>
              <w:rPr>
                <w:rFonts w:hint="eastAsia" w:ascii="宋体" w:hAnsi="宋体"/>
                <w:b/>
                <w:color w:val="auto"/>
                <w:highlight w:val="none"/>
              </w:rPr>
              <w:t>5、访问权限管理</w:t>
            </w:r>
          </w:p>
          <w:p>
            <w:pPr>
              <w:spacing w:line="360" w:lineRule="auto"/>
              <w:rPr>
                <w:rFonts w:ascii="宋体" w:hAnsi="宋体"/>
                <w:color w:val="auto"/>
                <w:sz w:val="24"/>
                <w:highlight w:val="none"/>
              </w:rPr>
            </w:pPr>
            <w:r>
              <w:rPr>
                <w:rFonts w:hint="eastAsia" w:ascii="宋体" w:hAnsi="宋体"/>
                <w:color w:val="auto"/>
                <w:sz w:val="24"/>
                <w:highlight w:val="none"/>
              </w:rPr>
              <w:t>支持对系统用户的新建、编辑等操作。同时可以赋予用户是否能够调阅影像等权限。</w:t>
            </w:r>
          </w:p>
        </w:tc>
      </w:tr>
    </w:tbl>
    <w:p>
      <w:pPr>
        <w:pStyle w:val="5"/>
        <w:numPr>
          <w:ilvl w:val="2"/>
          <w:numId w:val="8"/>
        </w:numPr>
        <w:autoSpaceDE/>
        <w:autoSpaceDN/>
        <w:adjustRightInd/>
        <w:spacing w:before="260" w:after="260" w:line="416" w:lineRule="auto"/>
        <w:jc w:val="both"/>
        <w:rPr>
          <w:rFonts w:hAnsi="宋体"/>
          <w:color w:val="auto"/>
          <w:szCs w:val="24"/>
          <w:highlight w:val="none"/>
        </w:rPr>
      </w:pPr>
      <w:bookmarkStart w:id="569" w:name="_Toc138247813"/>
      <w:bookmarkStart w:id="570" w:name="_Toc225495073"/>
      <w:bookmarkStart w:id="571" w:name="_Toc31992"/>
      <w:r>
        <w:rPr>
          <w:rFonts w:hint="eastAsia" w:hAnsi="宋体"/>
          <w:color w:val="auto"/>
          <w:szCs w:val="24"/>
          <w:highlight w:val="none"/>
        </w:rPr>
        <w:t>决策支持建设</w:t>
      </w:r>
      <w:bookmarkEnd w:id="569"/>
      <w:bookmarkEnd w:id="570"/>
      <w:bookmarkEnd w:id="571"/>
    </w:p>
    <w:p>
      <w:pPr>
        <w:keepNext/>
        <w:keepLines/>
        <w:numPr>
          <w:ilvl w:val="3"/>
          <w:numId w:val="8"/>
        </w:numPr>
        <w:spacing w:before="280" w:after="290" w:line="376" w:lineRule="auto"/>
        <w:outlineLvl w:val="3"/>
        <w:rPr>
          <w:rFonts w:ascii="宋体" w:hAnsi="宋体"/>
          <w:b/>
          <w:bCs/>
          <w:color w:val="auto"/>
          <w:sz w:val="24"/>
          <w:highlight w:val="none"/>
        </w:rPr>
      </w:pPr>
      <w:bookmarkStart w:id="572" w:name="_Toc9221"/>
      <w:r>
        <w:rPr>
          <w:rFonts w:hint="eastAsia" w:ascii="宋体" w:hAnsi="宋体"/>
          <w:b/>
          <w:bCs/>
          <w:color w:val="auto"/>
          <w:sz w:val="24"/>
          <w:highlight w:val="none"/>
        </w:rPr>
        <w:t>临床决策系统</w:t>
      </w:r>
      <w:bookmarkEnd w:id="572"/>
    </w:p>
    <w:p>
      <w:pPr>
        <w:pStyle w:val="7"/>
        <w:numPr>
          <w:ilvl w:val="4"/>
          <w:numId w:val="8"/>
        </w:numPr>
        <w:rPr>
          <w:rFonts w:ascii="宋体" w:hAnsi="宋体"/>
          <w:color w:val="auto"/>
          <w:szCs w:val="24"/>
          <w:highlight w:val="none"/>
        </w:rPr>
      </w:pPr>
      <w:bookmarkStart w:id="573" w:name="_Toc10581"/>
      <w:r>
        <w:rPr>
          <w:rFonts w:hint="eastAsia" w:ascii="宋体" w:hAnsi="宋体"/>
          <w:color w:val="auto"/>
          <w:szCs w:val="24"/>
          <w:highlight w:val="none"/>
        </w:rPr>
        <w:t>智能决策引擎</w:t>
      </w:r>
      <w:bookmarkEnd w:id="573"/>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智能决策引擎提供集中规则定义和管理，快速实现临床决策支持应用，将医院各临床业务规则进行抽象处理，统一在系统内进行规则的部署与管理，提供可视化的规则操作交互界面。</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6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7" w:hRule="atLeast"/>
          <w:tblHeader/>
        </w:trPr>
        <w:tc>
          <w:tcPr>
            <w:tcW w:w="2153"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模块</w:t>
            </w:r>
          </w:p>
        </w:tc>
        <w:tc>
          <w:tcPr>
            <w:tcW w:w="6914"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olor w:val="auto"/>
                <w:sz w:val="24"/>
                <w:highlight w:val="none"/>
              </w:rPr>
              <w:t>智能决策引擎</w:t>
            </w:r>
          </w:p>
        </w:tc>
        <w:tc>
          <w:tcPr>
            <w:tcW w:w="6914" w:type="dxa"/>
            <w:vAlign w:val="center"/>
          </w:tcPr>
          <w:p>
            <w:pPr>
              <w:pStyle w:val="64"/>
              <w:widowControl w:val="0"/>
              <w:numPr>
                <w:ilvl w:val="0"/>
                <w:numId w:val="14"/>
              </w:numPr>
              <w:spacing w:line="360" w:lineRule="auto"/>
              <w:ind w:firstLineChars="0"/>
              <w:jc w:val="both"/>
              <w:rPr>
                <w:rFonts w:ascii="宋体" w:hAnsi="宋体"/>
                <w:color w:val="auto"/>
                <w:highlight w:val="none"/>
              </w:rPr>
            </w:pPr>
            <w:r>
              <w:rPr>
                <w:rFonts w:hint="eastAsia" w:ascii="宋体" w:hAnsi="宋体"/>
                <w:color w:val="auto"/>
                <w:highlight w:val="none"/>
              </w:rPr>
              <w:t>支持提供智能化规则引擎，面向用户有可视化的智能规则配置界面，灵活契合医院多变的业务规则，便于维护；</w:t>
            </w:r>
          </w:p>
          <w:p>
            <w:pPr>
              <w:pStyle w:val="64"/>
              <w:widowControl w:val="0"/>
              <w:numPr>
                <w:ilvl w:val="0"/>
                <w:numId w:val="14"/>
              </w:numPr>
              <w:spacing w:line="360" w:lineRule="auto"/>
              <w:ind w:firstLineChars="0"/>
              <w:jc w:val="both"/>
              <w:rPr>
                <w:rFonts w:ascii="宋体" w:hAnsi="宋体"/>
                <w:color w:val="auto"/>
                <w:highlight w:val="none"/>
              </w:rPr>
            </w:pPr>
            <w:r>
              <w:rPr>
                <w:rFonts w:hint="eastAsia" w:ascii="宋体" w:hAnsi="宋体"/>
                <w:color w:val="auto"/>
                <w:highlight w:val="none"/>
              </w:rPr>
              <w:t>支持实时热部署，让业务更改不再影响生产，后台不停止运行，前台无感觉。</w:t>
            </w:r>
          </w:p>
          <w:p>
            <w:pPr>
              <w:pStyle w:val="64"/>
              <w:widowControl w:val="0"/>
              <w:numPr>
                <w:ilvl w:val="0"/>
                <w:numId w:val="14"/>
              </w:numPr>
              <w:spacing w:line="360" w:lineRule="auto"/>
              <w:ind w:firstLineChars="0"/>
              <w:jc w:val="both"/>
              <w:rPr>
                <w:rFonts w:ascii="宋体" w:hAnsi="宋体"/>
                <w:color w:val="auto"/>
                <w:highlight w:val="none"/>
              </w:rPr>
            </w:pPr>
            <w:r>
              <w:rPr>
                <w:rFonts w:hint="eastAsia" w:ascii="宋体" w:hAnsi="宋体"/>
                <w:color w:val="auto"/>
                <w:highlight w:val="none"/>
              </w:rPr>
              <w:t>支持集成化的规则配置和管理，系统配置上要能够拆分业务流程为逻辑规则</w:t>
            </w:r>
          </w:p>
          <w:p>
            <w:pPr>
              <w:pStyle w:val="64"/>
              <w:widowControl w:val="0"/>
              <w:numPr>
                <w:ilvl w:val="0"/>
                <w:numId w:val="15"/>
              </w:numPr>
              <w:spacing w:line="360" w:lineRule="auto"/>
              <w:ind w:firstLineChars="0"/>
              <w:jc w:val="both"/>
              <w:rPr>
                <w:rFonts w:ascii="宋体" w:hAnsi="宋体"/>
                <w:color w:val="auto"/>
                <w:highlight w:val="none"/>
              </w:rPr>
            </w:pPr>
            <w:r>
              <w:rPr>
                <w:rFonts w:hint="eastAsia" w:ascii="宋体" w:hAnsi="宋体"/>
                <w:color w:val="auto"/>
                <w:highlight w:val="none"/>
              </w:rPr>
              <w:t>支持在同一个管理界面下，对全院的不同业务规则进行集中管控，实现安全、可控、易维护。这个规则管理页面可进行规则的增加，修改，删除，以及监控页面显示的自定义配置。</w:t>
            </w:r>
          </w:p>
          <w:p>
            <w:pPr>
              <w:pStyle w:val="64"/>
              <w:widowControl w:val="0"/>
              <w:numPr>
                <w:ilvl w:val="0"/>
                <w:numId w:val="15"/>
              </w:numPr>
              <w:spacing w:line="360" w:lineRule="auto"/>
              <w:ind w:firstLineChars="0"/>
              <w:jc w:val="both"/>
              <w:rPr>
                <w:rFonts w:ascii="宋体" w:hAnsi="宋体"/>
                <w:color w:val="auto"/>
                <w:highlight w:val="none"/>
              </w:rPr>
            </w:pPr>
            <w:r>
              <w:rPr>
                <w:rFonts w:hint="eastAsia" w:ascii="宋体" w:hAnsi="宋体"/>
                <w:color w:val="auto"/>
                <w:highlight w:val="none"/>
              </w:rPr>
              <w:t>支持规则的细分，将规则进行拆分变量，管理规则需要运算的参数，以及参数的来源，格式等。</w:t>
            </w:r>
          </w:p>
          <w:p>
            <w:pPr>
              <w:pStyle w:val="64"/>
              <w:widowControl w:val="0"/>
              <w:numPr>
                <w:ilvl w:val="0"/>
                <w:numId w:val="15"/>
              </w:numPr>
              <w:spacing w:line="360" w:lineRule="auto"/>
              <w:ind w:firstLineChars="0"/>
              <w:jc w:val="both"/>
              <w:rPr>
                <w:rFonts w:ascii="宋体" w:hAnsi="宋体"/>
                <w:color w:val="auto"/>
                <w:highlight w:val="none"/>
              </w:rPr>
            </w:pPr>
            <w:r>
              <w:rPr>
                <w:rFonts w:hint="eastAsia" w:ascii="宋体" w:hAnsi="宋体"/>
                <w:color w:val="auto"/>
                <w:highlight w:val="none"/>
              </w:rPr>
              <w:t>支持提供管理规则变量的数据来源功能。</w:t>
            </w:r>
          </w:p>
          <w:p>
            <w:pPr>
              <w:pStyle w:val="64"/>
              <w:widowControl w:val="0"/>
              <w:numPr>
                <w:ilvl w:val="0"/>
                <w:numId w:val="15"/>
              </w:numPr>
              <w:spacing w:line="360" w:lineRule="auto"/>
              <w:ind w:firstLineChars="0"/>
              <w:jc w:val="both"/>
              <w:rPr>
                <w:rFonts w:ascii="宋体" w:hAnsi="宋体"/>
                <w:color w:val="auto"/>
                <w:highlight w:val="none"/>
              </w:rPr>
            </w:pPr>
            <w:r>
              <w:rPr>
                <w:rFonts w:hint="eastAsia" w:ascii="宋体" w:hAnsi="宋体"/>
                <w:color w:val="auto"/>
                <w:highlight w:val="none"/>
              </w:rPr>
              <w:t>支持对同一种规则模式的大批量规则，可提供规则决策表支持，可以导入外部的规则表格，快速配置与维护规则。</w:t>
            </w:r>
          </w:p>
          <w:p>
            <w:pPr>
              <w:pStyle w:val="64"/>
              <w:widowControl w:val="0"/>
              <w:numPr>
                <w:ilvl w:val="0"/>
                <w:numId w:val="15"/>
              </w:numPr>
              <w:spacing w:line="360" w:lineRule="auto"/>
              <w:ind w:firstLineChars="0"/>
              <w:jc w:val="both"/>
              <w:rPr>
                <w:rFonts w:ascii="宋体" w:hAnsi="宋体"/>
                <w:color w:val="auto"/>
                <w:highlight w:val="none"/>
              </w:rPr>
            </w:pPr>
            <w:r>
              <w:rPr>
                <w:rFonts w:hint="eastAsia" w:ascii="宋体" w:hAnsi="宋体"/>
                <w:b/>
                <w:color w:val="auto"/>
                <w:highlight w:val="none"/>
              </w:rPr>
              <w:t> </w:t>
            </w:r>
            <w:r>
              <w:rPr>
                <w:rFonts w:hint="eastAsia" w:ascii="宋体" w:hAnsi="宋体"/>
                <w:color w:val="auto"/>
                <w:highlight w:val="none"/>
              </w:rPr>
              <w:t>支持对于流程复杂的规则，能够提供可视化界面进行逻辑规则编辑的管理功能。</w:t>
            </w:r>
          </w:p>
          <w:p>
            <w:pPr>
              <w:pStyle w:val="64"/>
              <w:widowControl w:val="0"/>
              <w:numPr>
                <w:ilvl w:val="0"/>
                <w:numId w:val="15"/>
              </w:numPr>
              <w:spacing w:line="360" w:lineRule="auto"/>
              <w:ind w:firstLineChars="0"/>
              <w:jc w:val="both"/>
              <w:rPr>
                <w:rFonts w:ascii="宋体" w:hAnsi="宋体"/>
                <w:color w:val="auto"/>
                <w:highlight w:val="none"/>
              </w:rPr>
            </w:pPr>
            <w:r>
              <w:rPr>
                <w:rFonts w:hint="eastAsia" w:ascii="宋体" w:hAnsi="宋体"/>
                <w:color w:val="auto"/>
                <w:highlight w:val="none"/>
              </w:rPr>
              <w:t>支持对于系统内已形成的规则，可以导出规则的工程文件，以供其他环境中导入复用该规则。</w:t>
            </w:r>
          </w:p>
          <w:p>
            <w:pPr>
              <w:pStyle w:val="64"/>
              <w:widowControl w:val="0"/>
              <w:numPr>
                <w:ilvl w:val="0"/>
                <w:numId w:val="15"/>
              </w:numPr>
              <w:spacing w:line="360" w:lineRule="auto"/>
              <w:ind w:firstLineChars="0"/>
              <w:jc w:val="both"/>
              <w:rPr>
                <w:rFonts w:ascii="宋体" w:hAnsi="宋体"/>
                <w:color w:val="auto"/>
                <w:highlight w:val="none"/>
              </w:rPr>
            </w:pPr>
            <w:r>
              <w:rPr>
                <w:rFonts w:hint="eastAsia" w:ascii="宋体" w:hAnsi="宋体"/>
                <w:color w:val="auto"/>
                <w:highlight w:val="none"/>
              </w:rPr>
              <w:t>支持完成规则的配置和编辑后，通过实时的热部署机制，把规则发布到服务器。</w:t>
            </w:r>
          </w:p>
          <w:p>
            <w:pPr>
              <w:pStyle w:val="64"/>
              <w:widowControl w:val="0"/>
              <w:numPr>
                <w:ilvl w:val="0"/>
                <w:numId w:val="15"/>
              </w:numPr>
              <w:spacing w:line="360" w:lineRule="auto"/>
              <w:ind w:firstLineChars="0"/>
              <w:jc w:val="both"/>
              <w:rPr>
                <w:rFonts w:ascii="宋体" w:hAnsi="宋体"/>
                <w:color w:val="auto"/>
                <w:highlight w:val="none"/>
              </w:rPr>
            </w:pPr>
            <w:r>
              <w:rPr>
                <w:rFonts w:hint="eastAsia" w:ascii="宋体" w:hAnsi="宋体"/>
                <w:color w:val="auto"/>
                <w:highlight w:val="none"/>
              </w:rPr>
              <w:t>支持规则的版本管理功能，可以对任意两个版本规则进行比较。</w:t>
            </w:r>
          </w:p>
          <w:p>
            <w:pPr>
              <w:pStyle w:val="64"/>
              <w:widowControl w:val="0"/>
              <w:numPr>
                <w:ilvl w:val="0"/>
                <w:numId w:val="15"/>
              </w:numPr>
              <w:spacing w:line="360" w:lineRule="auto"/>
              <w:ind w:firstLineChars="0"/>
              <w:jc w:val="both"/>
              <w:rPr>
                <w:rFonts w:ascii="宋体" w:hAnsi="宋体"/>
                <w:color w:val="auto"/>
                <w:highlight w:val="none"/>
              </w:rPr>
            </w:pPr>
            <w:r>
              <w:rPr>
                <w:rFonts w:hint="eastAsia" w:ascii="宋体" w:hAnsi="宋体"/>
                <w:color w:val="auto"/>
                <w:highlight w:val="none"/>
              </w:rPr>
              <w:t>支持定义预警规则和医疗质量指标映射关系。</w:t>
            </w:r>
          </w:p>
          <w:p>
            <w:pPr>
              <w:pStyle w:val="64"/>
              <w:widowControl w:val="0"/>
              <w:numPr>
                <w:ilvl w:val="0"/>
                <w:numId w:val="15"/>
              </w:numPr>
              <w:spacing w:line="360" w:lineRule="auto"/>
              <w:ind w:firstLineChars="0"/>
              <w:jc w:val="both"/>
              <w:rPr>
                <w:rFonts w:ascii="宋体" w:hAnsi="宋体"/>
                <w:color w:val="auto"/>
                <w:highlight w:val="none"/>
              </w:rPr>
            </w:pPr>
            <w:r>
              <w:rPr>
                <w:rFonts w:hint="eastAsia" w:ascii="宋体" w:hAnsi="宋体"/>
                <w:color w:val="auto"/>
                <w:highlight w:val="none"/>
              </w:rPr>
              <w:t>支持提供规则调用接口，并返回规则执行结果。</w:t>
            </w:r>
          </w:p>
          <w:p>
            <w:pPr>
              <w:pStyle w:val="64"/>
              <w:widowControl w:val="0"/>
              <w:numPr>
                <w:ilvl w:val="0"/>
                <w:numId w:val="15"/>
              </w:numPr>
              <w:spacing w:line="360" w:lineRule="auto"/>
              <w:ind w:firstLineChars="0"/>
              <w:jc w:val="both"/>
              <w:rPr>
                <w:rFonts w:ascii="宋体" w:hAnsi="宋体"/>
                <w:color w:val="auto"/>
                <w:highlight w:val="none"/>
              </w:rPr>
            </w:pPr>
            <w:r>
              <w:rPr>
                <w:rFonts w:hint="eastAsia" w:ascii="宋体" w:hAnsi="宋体"/>
                <w:color w:val="auto"/>
                <w:highlight w:val="none"/>
              </w:rPr>
              <w:t>支持提供获取规则执行结果的接口，业务系统、工具可通过该接口获取规则执行结果。</w:t>
            </w:r>
          </w:p>
          <w:p>
            <w:pPr>
              <w:pStyle w:val="64"/>
              <w:widowControl w:val="0"/>
              <w:numPr>
                <w:ilvl w:val="0"/>
                <w:numId w:val="15"/>
              </w:numPr>
              <w:spacing w:line="360" w:lineRule="auto"/>
              <w:ind w:firstLineChars="0"/>
              <w:jc w:val="both"/>
              <w:rPr>
                <w:rFonts w:ascii="宋体" w:hAnsi="宋体"/>
                <w:color w:val="auto"/>
                <w:highlight w:val="none"/>
              </w:rPr>
            </w:pPr>
            <w:r>
              <w:rPr>
                <w:rFonts w:hint="eastAsia" w:ascii="宋体" w:hAnsi="宋体"/>
                <w:color w:val="auto"/>
                <w:highlight w:val="none"/>
              </w:rPr>
              <w:t>支持根据配置读取多层级XML数据源的管理</w:t>
            </w:r>
          </w:p>
          <w:p>
            <w:pPr>
              <w:pStyle w:val="64"/>
              <w:widowControl w:val="0"/>
              <w:numPr>
                <w:ilvl w:val="0"/>
                <w:numId w:val="15"/>
              </w:numPr>
              <w:spacing w:line="360" w:lineRule="auto"/>
              <w:ind w:firstLineChars="0"/>
              <w:jc w:val="both"/>
              <w:rPr>
                <w:rFonts w:ascii="宋体" w:hAnsi="宋体"/>
                <w:color w:val="auto"/>
                <w:highlight w:val="none"/>
              </w:rPr>
            </w:pPr>
            <w:r>
              <w:rPr>
                <w:rFonts w:hint="eastAsia" w:ascii="宋体" w:hAnsi="宋体"/>
                <w:color w:val="auto"/>
                <w:highlight w:val="none"/>
              </w:rPr>
              <w:t>支持规则参数按业务规则读取不同数据源</w:t>
            </w:r>
          </w:p>
        </w:tc>
      </w:tr>
    </w:tbl>
    <w:p>
      <w:pPr>
        <w:pStyle w:val="7"/>
        <w:numPr>
          <w:ilvl w:val="4"/>
          <w:numId w:val="8"/>
        </w:numPr>
        <w:rPr>
          <w:rFonts w:ascii="宋体" w:hAnsi="宋体"/>
          <w:color w:val="auto"/>
          <w:szCs w:val="24"/>
          <w:highlight w:val="none"/>
        </w:rPr>
      </w:pPr>
      <w:bookmarkStart w:id="574" w:name="_Toc30636"/>
      <w:r>
        <w:rPr>
          <w:rFonts w:hint="eastAsia" w:ascii="宋体" w:hAnsi="宋体"/>
          <w:color w:val="auto"/>
          <w:szCs w:val="24"/>
          <w:highlight w:val="none"/>
        </w:rPr>
        <w:t>临床助手</w:t>
      </w:r>
      <w:bookmarkEnd w:id="574"/>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为了在医生站、护士站等系统中实现系统间消息的快速、准确交互，满足临床决策支持业务应用场景，及医护及管理者关注的临床及运营数据查询展示。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系统应具备如下功能：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6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blHeader/>
        </w:trPr>
        <w:tc>
          <w:tcPr>
            <w:tcW w:w="2153"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模块</w:t>
            </w:r>
          </w:p>
        </w:tc>
        <w:tc>
          <w:tcPr>
            <w:tcW w:w="6914"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olor w:val="auto"/>
                <w:sz w:val="24"/>
                <w:highlight w:val="none"/>
              </w:rPr>
              <w:t>临床助手</w:t>
            </w:r>
          </w:p>
        </w:tc>
        <w:tc>
          <w:tcPr>
            <w:tcW w:w="6914" w:type="dxa"/>
            <w:vAlign w:val="center"/>
          </w:tcPr>
          <w:p>
            <w:pPr>
              <w:numPr>
                <w:ilvl w:val="0"/>
                <w:numId w:val="16"/>
              </w:numPr>
              <w:spacing w:line="360" w:lineRule="auto"/>
              <w:rPr>
                <w:rFonts w:ascii="宋体" w:hAnsi="宋体"/>
                <w:color w:val="auto"/>
                <w:sz w:val="24"/>
                <w:highlight w:val="none"/>
              </w:rPr>
            </w:pPr>
            <w:r>
              <w:rPr>
                <w:rFonts w:hint="eastAsia" w:ascii="宋体" w:hAnsi="宋体"/>
                <w:color w:val="auto"/>
                <w:sz w:val="24"/>
                <w:highlight w:val="none"/>
              </w:rPr>
              <w:t>支持嵌入业务系统，方便医疗人员在工作场景中收到提醒消息</w:t>
            </w:r>
          </w:p>
          <w:p>
            <w:pPr>
              <w:numPr>
                <w:ilvl w:val="0"/>
                <w:numId w:val="16"/>
              </w:numPr>
              <w:spacing w:line="360" w:lineRule="auto"/>
              <w:rPr>
                <w:rFonts w:ascii="宋体" w:hAnsi="宋体"/>
                <w:color w:val="auto"/>
                <w:sz w:val="24"/>
                <w:highlight w:val="none"/>
              </w:rPr>
            </w:pPr>
            <w:r>
              <w:rPr>
                <w:rFonts w:hint="eastAsia" w:ascii="宋体" w:hAnsi="宋体"/>
                <w:color w:val="auto"/>
                <w:sz w:val="24"/>
                <w:highlight w:val="none"/>
              </w:rPr>
              <w:t>支持医护</w:t>
            </w:r>
            <w:r>
              <w:rPr>
                <w:rFonts w:ascii="宋体" w:hAnsi="宋体"/>
                <w:color w:val="auto"/>
                <w:sz w:val="24"/>
                <w:highlight w:val="none"/>
              </w:rPr>
              <w:t>/</w:t>
            </w:r>
            <w:r>
              <w:rPr>
                <w:rFonts w:hint="eastAsia" w:ascii="宋体" w:hAnsi="宋体"/>
                <w:color w:val="auto"/>
                <w:sz w:val="24"/>
                <w:highlight w:val="none"/>
              </w:rPr>
              <w:t>管理者在业务工作流程中调取临床及运营管理的信息，可集成展示临床数据中心及运营数据中心的数据</w:t>
            </w:r>
          </w:p>
          <w:p>
            <w:pPr>
              <w:numPr>
                <w:ilvl w:val="0"/>
                <w:numId w:val="16"/>
              </w:numPr>
              <w:spacing w:line="360" w:lineRule="auto"/>
              <w:rPr>
                <w:rFonts w:ascii="宋体" w:hAnsi="宋体"/>
                <w:color w:val="auto"/>
                <w:sz w:val="24"/>
                <w:highlight w:val="none"/>
              </w:rPr>
            </w:pPr>
            <w:r>
              <w:rPr>
                <w:rFonts w:hint="eastAsia" w:ascii="宋体" w:hAnsi="宋体"/>
                <w:color w:val="auto"/>
                <w:sz w:val="24"/>
                <w:highlight w:val="none"/>
              </w:rPr>
              <w:t xml:space="preserve">支持临床决策支持系统业务场景应用，支持智能提醒、医疗知识的查询、展示功能 </w:t>
            </w:r>
          </w:p>
          <w:p>
            <w:pPr>
              <w:numPr>
                <w:ilvl w:val="0"/>
                <w:numId w:val="16"/>
              </w:numPr>
              <w:spacing w:line="360" w:lineRule="auto"/>
              <w:rPr>
                <w:rFonts w:ascii="宋体" w:hAnsi="宋体"/>
                <w:color w:val="auto"/>
                <w:sz w:val="24"/>
                <w:highlight w:val="none"/>
              </w:rPr>
            </w:pPr>
            <w:r>
              <w:rPr>
                <w:rFonts w:hint="eastAsia" w:ascii="宋体" w:hAnsi="宋体"/>
                <w:color w:val="auto"/>
                <w:sz w:val="24"/>
                <w:highlight w:val="none"/>
              </w:rPr>
              <w:t>支持与各业务系统做集成，实现与业务系统的同步登录和退出功能</w:t>
            </w:r>
          </w:p>
          <w:p>
            <w:pPr>
              <w:numPr>
                <w:ilvl w:val="0"/>
                <w:numId w:val="16"/>
              </w:numPr>
              <w:spacing w:line="360" w:lineRule="auto"/>
              <w:rPr>
                <w:rFonts w:ascii="宋体" w:hAnsi="宋体"/>
                <w:color w:val="auto"/>
                <w:sz w:val="24"/>
                <w:highlight w:val="none"/>
              </w:rPr>
            </w:pPr>
            <w:r>
              <w:rPr>
                <w:rFonts w:hint="eastAsia" w:ascii="宋体" w:hAnsi="宋体"/>
                <w:color w:val="auto"/>
                <w:sz w:val="24"/>
                <w:highlight w:val="none"/>
              </w:rPr>
              <w:t>支持灵活配置各业务系统推送的信息模板，可以按各业务系统需求进行各种不同模板的设置，包含字体大小、边框颜色、字体颜色等信息</w:t>
            </w:r>
          </w:p>
          <w:p>
            <w:pPr>
              <w:numPr>
                <w:ilvl w:val="0"/>
                <w:numId w:val="16"/>
              </w:numPr>
              <w:spacing w:line="360" w:lineRule="auto"/>
              <w:rPr>
                <w:rFonts w:ascii="宋体" w:hAnsi="宋体"/>
                <w:color w:val="auto"/>
                <w:sz w:val="24"/>
                <w:highlight w:val="none"/>
              </w:rPr>
            </w:pPr>
            <w:r>
              <w:rPr>
                <w:rFonts w:hint="eastAsia" w:ascii="宋体" w:hAnsi="宋体"/>
                <w:color w:val="auto"/>
                <w:sz w:val="24"/>
                <w:highlight w:val="none"/>
              </w:rPr>
              <w:t>支持将各业务系统推送的信息汇集在同一画面展示</w:t>
            </w:r>
          </w:p>
          <w:p>
            <w:pPr>
              <w:numPr>
                <w:ilvl w:val="0"/>
                <w:numId w:val="16"/>
              </w:numPr>
              <w:spacing w:line="360" w:lineRule="auto"/>
              <w:rPr>
                <w:rFonts w:ascii="宋体" w:hAnsi="宋体"/>
                <w:color w:val="auto"/>
                <w:sz w:val="24"/>
                <w:highlight w:val="none"/>
              </w:rPr>
            </w:pPr>
            <w:r>
              <w:rPr>
                <w:rFonts w:hint="eastAsia" w:ascii="宋体" w:hAnsi="宋体"/>
                <w:color w:val="auto"/>
                <w:sz w:val="24"/>
                <w:highlight w:val="none"/>
              </w:rPr>
              <w:t>支持客户端版本的自动升级功能</w:t>
            </w:r>
          </w:p>
          <w:p>
            <w:pPr>
              <w:numPr>
                <w:ilvl w:val="0"/>
                <w:numId w:val="16"/>
              </w:numPr>
              <w:spacing w:line="360" w:lineRule="auto"/>
              <w:rPr>
                <w:rFonts w:ascii="宋体" w:hAnsi="宋体"/>
                <w:color w:val="auto"/>
                <w:sz w:val="24"/>
                <w:highlight w:val="none"/>
              </w:rPr>
            </w:pPr>
            <w:r>
              <w:rPr>
                <w:rFonts w:hint="eastAsia" w:ascii="宋体" w:hAnsi="宋体"/>
                <w:color w:val="auto"/>
                <w:sz w:val="24"/>
                <w:highlight w:val="none"/>
              </w:rPr>
              <w:t>支持消息的精准定向推送，实现正确的时间、正确的地方推送正确的信息给正确的人员</w:t>
            </w:r>
          </w:p>
        </w:tc>
      </w:tr>
    </w:tbl>
    <w:p>
      <w:pPr>
        <w:pStyle w:val="7"/>
        <w:numPr>
          <w:ilvl w:val="4"/>
          <w:numId w:val="8"/>
        </w:numPr>
        <w:rPr>
          <w:rFonts w:ascii="宋体" w:hAnsi="宋体"/>
          <w:color w:val="auto"/>
          <w:szCs w:val="24"/>
          <w:highlight w:val="none"/>
        </w:rPr>
      </w:pPr>
      <w:bookmarkStart w:id="575" w:name="_Toc18620"/>
      <w:r>
        <w:rPr>
          <w:rFonts w:hint="eastAsia" w:ascii="宋体" w:hAnsi="宋体"/>
          <w:color w:val="auto"/>
          <w:szCs w:val="24"/>
          <w:highlight w:val="none"/>
        </w:rPr>
        <w:t>医学知识库</w:t>
      </w:r>
      <w:bookmarkEnd w:id="575"/>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基于权威知识库，并结合院内临床实践，构建疾病知识、典型病例、医疗损害规范、医患沟通、法律法规、临床路径、医疗标准的多维决策知识框架，同时汇聚药品、检查、检验、手术、治疗、护理、用血、重症、病历质控、管理十大分类医疗知识内容，并同时结合医院自身临床及管理经验，实现自主知识的管理。通过理论知识与实践经验结合，为临床提供多维度，全方位的临床知识展示与智能提醒服务体系。</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6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blHeader/>
        </w:trPr>
        <w:tc>
          <w:tcPr>
            <w:tcW w:w="2153"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模块</w:t>
            </w:r>
          </w:p>
        </w:tc>
        <w:tc>
          <w:tcPr>
            <w:tcW w:w="6914"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olor w:val="auto"/>
                <w:sz w:val="24"/>
                <w:highlight w:val="none"/>
              </w:rPr>
              <w:t>医学知识库</w:t>
            </w:r>
          </w:p>
        </w:tc>
        <w:tc>
          <w:tcPr>
            <w:tcW w:w="6914" w:type="dxa"/>
            <w:vAlign w:val="center"/>
          </w:tcPr>
          <w:p>
            <w:pPr>
              <w:pStyle w:val="201"/>
              <w:numPr>
                <w:ilvl w:val="0"/>
                <w:numId w:val="17"/>
              </w:numPr>
              <w:spacing w:before="6" w:line="360" w:lineRule="auto"/>
              <w:ind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构建疾病知识、典型病例、医疗损害规范、医患沟通、法律法规、临床路径、医疗标准的多维决策知识框架，同时汇聚药品、检查、检验、手术、治疗、护理、用血、重症八大分类医疗知识内容，并结合医院自身临床及管理经验，实现自主知识的管理。通过理论知识与实践经验结合，为临床提供多维度，全方位的临床知识展示与智能提醒服务体系。</w:t>
            </w:r>
          </w:p>
          <w:p>
            <w:pPr>
              <w:pStyle w:val="64"/>
              <w:widowControl w:val="0"/>
              <w:numPr>
                <w:ilvl w:val="0"/>
                <w:numId w:val="17"/>
              </w:numPr>
              <w:spacing w:line="360" w:lineRule="auto"/>
              <w:ind w:firstLineChars="0"/>
              <w:jc w:val="both"/>
              <w:rPr>
                <w:rFonts w:ascii="宋体" w:hAnsi="宋体"/>
                <w:bCs/>
                <w:color w:val="auto"/>
                <w:highlight w:val="none"/>
              </w:rPr>
            </w:pPr>
            <w:r>
              <w:rPr>
                <w:rFonts w:hint="eastAsia" w:ascii="宋体" w:hAnsi="宋体"/>
                <w:color w:val="auto"/>
                <w:spacing w:val="-4"/>
                <w:highlight w:val="none"/>
              </w:rPr>
              <w:t>支持</w:t>
            </w:r>
            <w:r>
              <w:rPr>
                <w:rFonts w:hint="eastAsia" w:ascii="宋体" w:hAnsi="宋体"/>
                <w:bCs/>
                <w:color w:val="auto"/>
                <w:highlight w:val="none"/>
              </w:rPr>
              <w:t>根据标准术语字典，结合患者性别、诊断、过敏、病生理、用药特征，关联知识库内容进行规则的管理。规则分类覆盖药品、检查、检验、手术、治疗、护理、用血、重症8大分类。</w:t>
            </w:r>
          </w:p>
          <w:p>
            <w:pPr>
              <w:pStyle w:val="64"/>
              <w:widowControl w:val="0"/>
              <w:numPr>
                <w:ilvl w:val="0"/>
                <w:numId w:val="17"/>
              </w:numPr>
              <w:spacing w:line="360" w:lineRule="auto"/>
              <w:ind w:firstLineChars="0"/>
              <w:jc w:val="both"/>
              <w:rPr>
                <w:rFonts w:ascii="宋体" w:hAnsi="宋体"/>
                <w:bCs/>
                <w:color w:val="auto"/>
                <w:highlight w:val="none"/>
              </w:rPr>
            </w:pPr>
            <w:r>
              <w:rPr>
                <w:rFonts w:hint="eastAsia" w:ascii="宋体" w:hAnsi="宋体"/>
                <w:bCs/>
                <w:color w:val="auto"/>
                <w:highlight w:val="none"/>
              </w:rPr>
              <w:t>支持内部知识的维护，并可根据医院自身、临床专科的特点对知识库进行补充、完善。包括政策法规、临床指南、行业标准、临床路径、疾病、检验、检查、药品知识库。</w:t>
            </w:r>
          </w:p>
          <w:p>
            <w:pPr>
              <w:pStyle w:val="64"/>
              <w:widowControl w:val="0"/>
              <w:numPr>
                <w:ilvl w:val="0"/>
                <w:numId w:val="17"/>
              </w:numPr>
              <w:spacing w:line="360" w:lineRule="auto"/>
              <w:ind w:firstLineChars="0"/>
              <w:jc w:val="both"/>
              <w:rPr>
                <w:rFonts w:ascii="宋体" w:hAnsi="宋体"/>
                <w:bCs/>
                <w:color w:val="auto"/>
                <w:highlight w:val="none"/>
              </w:rPr>
            </w:pPr>
            <w:r>
              <w:rPr>
                <w:rFonts w:hint="eastAsia" w:ascii="宋体" w:hAnsi="宋体"/>
                <w:bCs/>
                <w:color w:val="auto"/>
                <w:highlight w:val="none"/>
              </w:rPr>
              <w:t>支持医院已采购外部知识库的管理与查询集成</w:t>
            </w:r>
          </w:p>
          <w:p>
            <w:pPr>
              <w:pStyle w:val="64"/>
              <w:widowControl w:val="0"/>
              <w:numPr>
                <w:ilvl w:val="0"/>
                <w:numId w:val="17"/>
              </w:numPr>
              <w:spacing w:line="360" w:lineRule="auto"/>
              <w:ind w:firstLineChars="0"/>
              <w:jc w:val="both"/>
              <w:rPr>
                <w:rFonts w:ascii="宋体" w:hAnsi="宋体"/>
                <w:bCs/>
                <w:color w:val="auto"/>
                <w:highlight w:val="none"/>
              </w:rPr>
            </w:pPr>
            <w:r>
              <w:rPr>
                <w:rFonts w:hint="eastAsia" w:ascii="宋体" w:hAnsi="宋体"/>
                <w:bCs/>
                <w:color w:val="auto"/>
                <w:highlight w:val="none"/>
              </w:rPr>
              <w:t>支持内容的配置，提供与应用系统对接，并支持提醒、警示、查询功能</w:t>
            </w:r>
          </w:p>
          <w:p>
            <w:pPr>
              <w:pStyle w:val="64"/>
              <w:widowControl w:val="0"/>
              <w:numPr>
                <w:ilvl w:val="0"/>
                <w:numId w:val="17"/>
              </w:numPr>
              <w:spacing w:line="360" w:lineRule="auto"/>
              <w:ind w:firstLineChars="0"/>
              <w:jc w:val="both"/>
              <w:rPr>
                <w:rFonts w:ascii="宋体" w:hAnsi="宋体"/>
                <w:bCs/>
                <w:color w:val="auto"/>
                <w:highlight w:val="none"/>
              </w:rPr>
            </w:pPr>
            <w:r>
              <w:rPr>
                <w:rFonts w:hint="eastAsia" w:ascii="宋体" w:hAnsi="宋体"/>
                <w:color w:val="auto"/>
                <w:highlight w:val="none"/>
              </w:rPr>
              <w:t>支持</w:t>
            </w:r>
            <w:r>
              <w:rPr>
                <w:rFonts w:hint="eastAsia" w:ascii="宋体" w:hAnsi="宋体"/>
                <w:bCs/>
                <w:color w:val="auto"/>
                <w:highlight w:val="none"/>
              </w:rPr>
              <w:t>对规则的调用次数及预警次数进行图表展示，辅助管理人员直观了解知识库调用情况并进行分析改进</w:t>
            </w:r>
          </w:p>
          <w:p>
            <w:pPr>
              <w:pStyle w:val="64"/>
              <w:widowControl w:val="0"/>
              <w:numPr>
                <w:ilvl w:val="0"/>
                <w:numId w:val="17"/>
              </w:numPr>
              <w:spacing w:line="360" w:lineRule="auto"/>
              <w:ind w:firstLineChars="0"/>
              <w:jc w:val="both"/>
              <w:rPr>
                <w:rFonts w:ascii="宋体" w:hAnsi="宋体"/>
                <w:bCs/>
                <w:color w:val="auto"/>
                <w:highlight w:val="none"/>
              </w:rPr>
            </w:pPr>
            <w:r>
              <w:rPr>
                <w:rFonts w:hint="eastAsia" w:ascii="宋体" w:hAnsi="宋体"/>
                <w:bCs/>
                <w:color w:val="auto"/>
                <w:highlight w:val="none"/>
              </w:rPr>
              <w:t>支持标准术语与院内术语的自动映射，完成标准知识库的快速本地化</w:t>
            </w:r>
          </w:p>
          <w:p>
            <w:pPr>
              <w:pStyle w:val="64"/>
              <w:widowControl w:val="0"/>
              <w:numPr>
                <w:ilvl w:val="0"/>
                <w:numId w:val="17"/>
              </w:numPr>
              <w:spacing w:line="360" w:lineRule="auto"/>
              <w:ind w:firstLineChars="0"/>
              <w:jc w:val="both"/>
              <w:rPr>
                <w:rFonts w:ascii="宋体" w:hAnsi="宋体"/>
                <w:bCs/>
                <w:color w:val="auto"/>
                <w:highlight w:val="none"/>
              </w:rPr>
            </w:pPr>
            <w:r>
              <w:rPr>
                <w:rFonts w:hint="eastAsia" w:ascii="宋体" w:hAnsi="宋体"/>
                <w:color w:val="auto"/>
                <w:highlight w:val="none"/>
              </w:rPr>
              <w:t>支持</w:t>
            </w:r>
            <w:r>
              <w:rPr>
                <w:rFonts w:hint="eastAsia" w:ascii="宋体" w:hAnsi="宋体"/>
                <w:bCs/>
                <w:color w:val="auto"/>
                <w:highlight w:val="none"/>
              </w:rPr>
              <w:t>内置知识库数量要求超过：疾病知识库【9</w:t>
            </w:r>
            <w:r>
              <w:rPr>
                <w:rFonts w:ascii="宋体" w:hAnsi="宋体"/>
                <w:bCs/>
                <w:color w:val="auto"/>
                <w:highlight w:val="none"/>
              </w:rPr>
              <w:t>0</w:t>
            </w:r>
            <w:r>
              <w:rPr>
                <w:rFonts w:hint="eastAsia" w:ascii="宋体" w:hAnsi="宋体"/>
                <w:bCs/>
                <w:color w:val="auto"/>
                <w:highlight w:val="none"/>
              </w:rPr>
              <w:t>00+】、药品知识库【4万】、检验知识库【3</w:t>
            </w:r>
            <w:r>
              <w:rPr>
                <w:rFonts w:ascii="宋体" w:hAnsi="宋体"/>
                <w:bCs/>
                <w:color w:val="auto"/>
                <w:highlight w:val="none"/>
              </w:rPr>
              <w:t>0</w:t>
            </w:r>
            <w:r>
              <w:rPr>
                <w:rFonts w:hint="eastAsia" w:ascii="宋体" w:hAnsi="宋体"/>
                <w:bCs/>
                <w:color w:val="auto"/>
                <w:highlight w:val="none"/>
              </w:rPr>
              <w:t>0+】、政策法规类【2</w:t>
            </w:r>
            <w:r>
              <w:rPr>
                <w:rFonts w:ascii="宋体" w:hAnsi="宋体"/>
                <w:bCs/>
                <w:color w:val="auto"/>
                <w:highlight w:val="none"/>
              </w:rPr>
              <w:t>0</w:t>
            </w:r>
            <w:r>
              <w:rPr>
                <w:rFonts w:hint="eastAsia" w:ascii="宋体" w:hAnsi="宋体"/>
                <w:bCs/>
                <w:color w:val="auto"/>
                <w:highlight w:val="none"/>
              </w:rPr>
              <w:t>00+】、临床路径【1</w:t>
            </w:r>
            <w:r>
              <w:rPr>
                <w:rFonts w:ascii="宋体" w:hAnsi="宋体"/>
                <w:bCs/>
                <w:color w:val="auto"/>
                <w:highlight w:val="none"/>
              </w:rPr>
              <w:t>0</w:t>
            </w:r>
            <w:r>
              <w:rPr>
                <w:rFonts w:hint="eastAsia" w:ascii="宋体" w:hAnsi="宋体"/>
                <w:bCs/>
                <w:color w:val="auto"/>
                <w:highlight w:val="none"/>
              </w:rPr>
              <w:t>00+】</w:t>
            </w:r>
          </w:p>
          <w:p>
            <w:pPr>
              <w:pStyle w:val="64"/>
              <w:widowControl w:val="0"/>
              <w:numPr>
                <w:ilvl w:val="0"/>
                <w:numId w:val="17"/>
              </w:numPr>
              <w:spacing w:line="360" w:lineRule="auto"/>
              <w:ind w:firstLineChars="0"/>
              <w:jc w:val="both"/>
              <w:rPr>
                <w:rFonts w:ascii="宋体" w:hAnsi="宋体"/>
                <w:bCs/>
                <w:color w:val="auto"/>
                <w:highlight w:val="none"/>
              </w:rPr>
            </w:pPr>
            <w:r>
              <w:rPr>
                <w:rFonts w:hint="eastAsia" w:ascii="宋体" w:hAnsi="宋体"/>
                <w:color w:val="auto"/>
                <w:highlight w:val="none"/>
              </w:rPr>
              <w:t>支持</w:t>
            </w:r>
            <w:r>
              <w:rPr>
                <w:rFonts w:hint="eastAsia" w:ascii="宋体" w:hAnsi="宋体"/>
                <w:bCs/>
                <w:color w:val="auto"/>
                <w:highlight w:val="none"/>
              </w:rPr>
              <w:t>内置规则库数据量要求超过：药品规则库【9</w:t>
            </w:r>
            <w:r>
              <w:rPr>
                <w:rFonts w:ascii="宋体" w:hAnsi="宋体"/>
                <w:bCs/>
                <w:color w:val="auto"/>
                <w:highlight w:val="none"/>
              </w:rPr>
              <w:t>0</w:t>
            </w:r>
            <w:r>
              <w:rPr>
                <w:rFonts w:hint="eastAsia" w:ascii="宋体" w:hAnsi="宋体"/>
                <w:bCs/>
                <w:color w:val="auto"/>
                <w:highlight w:val="none"/>
              </w:rPr>
              <w:t>00+】、检验规则库【600+】、检查规则库【40</w:t>
            </w:r>
            <w:r>
              <w:rPr>
                <w:rFonts w:ascii="宋体" w:hAnsi="宋体"/>
                <w:bCs/>
                <w:color w:val="auto"/>
                <w:highlight w:val="none"/>
              </w:rPr>
              <w:t>0</w:t>
            </w:r>
            <w:r>
              <w:rPr>
                <w:rFonts w:hint="eastAsia" w:ascii="宋体" w:hAnsi="宋体"/>
                <w:bCs/>
                <w:color w:val="auto"/>
                <w:highlight w:val="none"/>
              </w:rPr>
              <w:t>00+】、护理规则库【800</w:t>
            </w:r>
            <w:r>
              <w:rPr>
                <w:rFonts w:ascii="宋体" w:hAnsi="宋体"/>
                <w:bCs/>
                <w:color w:val="auto"/>
                <w:highlight w:val="none"/>
              </w:rPr>
              <w:t>+</w:t>
            </w:r>
            <w:r>
              <w:rPr>
                <w:rFonts w:hint="eastAsia" w:ascii="宋体" w:hAnsi="宋体"/>
                <w:bCs/>
                <w:color w:val="auto"/>
                <w:highlight w:val="none"/>
              </w:rPr>
              <w:t>】、手麻规则库【800</w:t>
            </w:r>
            <w:r>
              <w:rPr>
                <w:rFonts w:ascii="宋体" w:hAnsi="宋体"/>
                <w:bCs/>
                <w:color w:val="auto"/>
                <w:highlight w:val="none"/>
              </w:rPr>
              <w:t>+</w:t>
            </w:r>
            <w:r>
              <w:rPr>
                <w:rFonts w:hint="eastAsia" w:ascii="宋体" w:hAnsi="宋体"/>
                <w:bCs/>
                <w:color w:val="auto"/>
                <w:highlight w:val="none"/>
              </w:rPr>
              <w:t>】、治疗规则库【2</w:t>
            </w:r>
            <w:r>
              <w:rPr>
                <w:rFonts w:ascii="宋体" w:hAnsi="宋体"/>
                <w:bCs/>
                <w:color w:val="auto"/>
                <w:highlight w:val="none"/>
              </w:rPr>
              <w:t>0</w:t>
            </w:r>
            <w:r>
              <w:rPr>
                <w:rFonts w:hint="eastAsia" w:ascii="宋体" w:hAnsi="宋体"/>
                <w:bCs/>
                <w:color w:val="auto"/>
                <w:highlight w:val="none"/>
              </w:rPr>
              <w:t>0</w:t>
            </w:r>
            <w:r>
              <w:rPr>
                <w:rFonts w:ascii="宋体" w:hAnsi="宋体"/>
                <w:bCs/>
                <w:color w:val="auto"/>
                <w:highlight w:val="none"/>
              </w:rPr>
              <w:t>+</w:t>
            </w:r>
            <w:r>
              <w:rPr>
                <w:rFonts w:hint="eastAsia" w:ascii="宋体" w:hAnsi="宋体"/>
                <w:bCs/>
                <w:color w:val="auto"/>
                <w:highlight w:val="none"/>
              </w:rPr>
              <w:t>】、输血规则库【50</w:t>
            </w:r>
            <w:r>
              <w:rPr>
                <w:rFonts w:ascii="宋体" w:hAnsi="宋体"/>
                <w:bCs/>
                <w:color w:val="auto"/>
                <w:highlight w:val="none"/>
              </w:rPr>
              <w:t>+</w:t>
            </w:r>
            <w:r>
              <w:rPr>
                <w:rFonts w:hint="eastAsia" w:ascii="宋体" w:hAnsi="宋体"/>
                <w:bCs/>
                <w:color w:val="auto"/>
                <w:highlight w:val="none"/>
              </w:rPr>
              <w:t>】、重症监测规则库【5</w:t>
            </w:r>
            <w:r>
              <w:rPr>
                <w:rFonts w:ascii="宋体" w:hAnsi="宋体"/>
                <w:bCs/>
                <w:color w:val="auto"/>
                <w:highlight w:val="none"/>
              </w:rPr>
              <w:t>0+</w:t>
            </w:r>
            <w:r>
              <w:rPr>
                <w:rFonts w:hint="eastAsia" w:ascii="宋体" w:hAnsi="宋体"/>
                <w:bCs/>
                <w:color w:val="auto"/>
                <w:highlight w:val="none"/>
              </w:rPr>
              <w:t>】</w:t>
            </w:r>
          </w:p>
          <w:p>
            <w:pPr>
              <w:pStyle w:val="64"/>
              <w:widowControl w:val="0"/>
              <w:numPr>
                <w:ilvl w:val="0"/>
                <w:numId w:val="17"/>
              </w:numPr>
              <w:spacing w:line="360" w:lineRule="auto"/>
              <w:ind w:firstLineChars="0"/>
              <w:jc w:val="both"/>
              <w:rPr>
                <w:rFonts w:ascii="宋体" w:hAnsi="宋体"/>
                <w:bCs/>
                <w:color w:val="auto"/>
                <w:highlight w:val="none"/>
              </w:rPr>
            </w:pPr>
            <w:r>
              <w:rPr>
                <w:rFonts w:hint="eastAsia" w:ascii="宋体" w:hAnsi="宋体"/>
                <w:bCs/>
                <w:color w:val="auto"/>
                <w:highlight w:val="none"/>
              </w:rPr>
              <w:t>支持临床知识库伴随展示、智能提醒的应用</w:t>
            </w:r>
          </w:p>
          <w:p>
            <w:pPr>
              <w:pStyle w:val="64"/>
              <w:widowControl w:val="0"/>
              <w:numPr>
                <w:ilvl w:val="0"/>
                <w:numId w:val="17"/>
              </w:numPr>
              <w:spacing w:line="360" w:lineRule="auto"/>
              <w:ind w:firstLineChars="0"/>
              <w:jc w:val="both"/>
              <w:rPr>
                <w:rFonts w:ascii="宋体" w:hAnsi="宋体"/>
                <w:bCs/>
                <w:color w:val="auto"/>
                <w:highlight w:val="none"/>
              </w:rPr>
            </w:pPr>
            <w:r>
              <w:rPr>
                <w:rFonts w:hint="eastAsia" w:ascii="宋体" w:hAnsi="宋体"/>
                <w:bCs/>
                <w:color w:val="auto"/>
                <w:highlight w:val="none"/>
              </w:rPr>
              <w:t>支持基于主诉、病史中提到的症状（包括症状诱因、持续时间、部位、性质、程度、加重缓解因素）、疾病，以及体格检查、检验结果计算推荐最相关的疾病（包括概率、相关症状、相关诱因）</w:t>
            </w:r>
          </w:p>
          <w:p>
            <w:pPr>
              <w:pStyle w:val="64"/>
              <w:widowControl w:val="0"/>
              <w:numPr>
                <w:ilvl w:val="0"/>
                <w:numId w:val="17"/>
              </w:numPr>
              <w:spacing w:line="360" w:lineRule="auto"/>
              <w:ind w:firstLineChars="0"/>
              <w:jc w:val="both"/>
              <w:rPr>
                <w:rFonts w:ascii="宋体" w:hAnsi="宋体"/>
                <w:bCs/>
                <w:color w:val="auto"/>
                <w:highlight w:val="none"/>
              </w:rPr>
            </w:pPr>
            <w:r>
              <w:rPr>
                <w:rFonts w:hint="eastAsia" w:ascii="宋体" w:hAnsi="宋体"/>
                <w:color w:val="auto"/>
                <w:highlight w:val="none"/>
              </w:rPr>
              <w:t>支持</w:t>
            </w:r>
            <w:r>
              <w:rPr>
                <w:rFonts w:hint="eastAsia" w:ascii="宋体" w:hAnsi="宋体"/>
                <w:bCs/>
                <w:color w:val="auto"/>
                <w:highlight w:val="none"/>
              </w:rPr>
              <w:t>辅助诊断结果可根据病历系统传输的信息智能推荐出初诊诊断结果，并展示相关症状、体征信息，标注蓝色信息为与推荐疾病相吻合信息，灰色颜色信息为不吻合信息，未标注颜色为引导诊断方向</w:t>
            </w:r>
          </w:p>
          <w:p>
            <w:pPr>
              <w:pStyle w:val="64"/>
              <w:widowControl w:val="0"/>
              <w:numPr>
                <w:ilvl w:val="0"/>
                <w:numId w:val="17"/>
              </w:numPr>
              <w:spacing w:line="360" w:lineRule="auto"/>
              <w:ind w:firstLineChars="0"/>
              <w:jc w:val="both"/>
              <w:rPr>
                <w:rFonts w:ascii="宋体" w:hAnsi="宋体"/>
                <w:bCs/>
                <w:color w:val="auto"/>
                <w:highlight w:val="none"/>
              </w:rPr>
            </w:pPr>
            <w:r>
              <w:rPr>
                <w:rFonts w:hint="eastAsia" w:ascii="宋体" w:hAnsi="宋体"/>
                <w:bCs/>
                <w:color w:val="auto"/>
                <w:highlight w:val="none"/>
              </w:rPr>
              <w:t>支持症状、体征、检查结果、检验结果的同义词识别与处理</w:t>
            </w:r>
          </w:p>
          <w:p>
            <w:pPr>
              <w:pStyle w:val="64"/>
              <w:widowControl w:val="0"/>
              <w:numPr>
                <w:ilvl w:val="0"/>
                <w:numId w:val="17"/>
              </w:numPr>
              <w:spacing w:line="360" w:lineRule="auto"/>
              <w:ind w:firstLineChars="0"/>
              <w:jc w:val="both"/>
              <w:rPr>
                <w:rFonts w:ascii="宋体" w:hAnsi="宋体"/>
                <w:color w:val="auto"/>
                <w:highlight w:val="none"/>
              </w:rPr>
            </w:pPr>
            <w:r>
              <w:rPr>
                <w:rFonts w:hint="eastAsia" w:ascii="宋体" w:hAnsi="宋体"/>
                <w:bCs/>
                <w:color w:val="auto"/>
                <w:highlight w:val="none"/>
              </w:rPr>
              <w:t>支持从症状、诊断、治疗三个维度，推荐与当前描述情况相似的病例，为医生提供诊断、治疗的佐证。</w:t>
            </w:r>
          </w:p>
        </w:tc>
      </w:tr>
    </w:tbl>
    <w:p>
      <w:pPr>
        <w:pStyle w:val="7"/>
        <w:numPr>
          <w:ilvl w:val="4"/>
          <w:numId w:val="8"/>
        </w:numPr>
        <w:rPr>
          <w:rFonts w:ascii="宋体" w:hAnsi="宋体"/>
          <w:color w:val="auto"/>
          <w:szCs w:val="24"/>
          <w:highlight w:val="none"/>
        </w:rPr>
      </w:pPr>
      <w:bookmarkStart w:id="576" w:name="_Toc23677"/>
      <w:r>
        <w:rPr>
          <w:rFonts w:hint="eastAsia" w:ascii="宋体" w:hAnsi="宋体"/>
          <w:color w:val="auto"/>
          <w:szCs w:val="24"/>
          <w:highlight w:val="none"/>
        </w:rPr>
        <w:t>流程闭环决策支持系统</w:t>
      </w:r>
      <w:bookmarkEnd w:id="576"/>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闭环管理是指通过信息技术对整个医疗过程进行实时监控和反馈。通过信息化的控制对医嘱从下达、核对、再到执行、确立执行结果的整个流程进行监控，使医嘱管理过程形成闭环。</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要求系统能够实现8个医疗闭环的管理，包括口服药闭环、静脉药闭环、检验标本闭环、检查执行状态、临床用血闭环、医学会诊闭环、手术麻醉环、危急值闭环。</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6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blHeader/>
        </w:trPr>
        <w:tc>
          <w:tcPr>
            <w:tcW w:w="2153"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6914"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口服药闭环</w:t>
            </w:r>
          </w:p>
        </w:tc>
        <w:tc>
          <w:tcPr>
            <w:tcW w:w="6914" w:type="dxa"/>
            <w:vAlign w:val="center"/>
          </w:tcPr>
          <w:p>
            <w:pPr>
              <w:pStyle w:val="201"/>
              <w:numPr>
                <w:ilvl w:val="0"/>
                <w:numId w:val="9"/>
              </w:numPr>
              <w:spacing w:before="6" w:line="360" w:lineRule="auto"/>
              <w:ind w:left="367" w:right="120" w:rightChars="57"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支持从医嘱下达、护士确嘱、领药申请、摆药（人工、自动包药）、药师复核、发药配送、病区接收、用药执行，形成一个完整的口服药用药闭环流程。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静脉注射闭环</w:t>
            </w:r>
          </w:p>
        </w:tc>
        <w:tc>
          <w:tcPr>
            <w:tcW w:w="6914" w:type="dxa"/>
            <w:vAlign w:val="center"/>
          </w:tcPr>
          <w:p>
            <w:pPr>
              <w:pStyle w:val="201"/>
              <w:numPr>
                <w:ilvl w:val="0"/>
                <w:numId w:val="9"/>
              </w:numPr>
              <w:spacing w:before="6" w:line="360" w:lineRule="auto"/>
              <w:ind w:left="367" w:right="120" w:rightChars="57"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支持临床各业务系统在执行操作时将相应的状态、时间和操作人发送进行整个，包括医嘱下达、护士确嘱、摆药复核、药品配置、出仓复核、发药配送、病区接收、用药执行。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检验标本闭环</w:t>
            </w:r>
          </w:p>
        </w:tc>
        <w:tc>
          <w:tcPr>
            <w:tcW w:w="6914" w:type="dxa"/>
            <w:vAlign w:val="center"/>
          </w:tcPr>
          <w:p>
            <w:pPr>
              <w:pStyle w:val="201"/>
              <w:numPr>
                <w:ilvl w:val="0"/>
                <w:numId w:val="9"/>
              </w:numPr>
              <w:spacing w:before="6" w:line="360" w:lineRule="auto"/>
              <w:ind w:left="367" w:right="120" w:rightChars="57"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支持实现检验医嘱下达、医嘱确认、检验标本采集、标本签收、报告审核闭环管理。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检查闭环</w:t>
            </w:r>
          </w:p>
        </w:tc>
        <w:tc>
          <w:tcPr>
            <w:tcW w:w="6914" w:type="dxa"/>
            <w:vAlign w:val="center"/>
          </w:tcPr>
          <w:p>
            <w:pPr>
              <w:pStyle w:val="201"/>
              <w:numPr>
                <w:ilvl w:val="0"/>
                <w:numId w:val="9"/>
              </w:numPr>
              <w:spacing w:before="6" w:line="360" w:lineRule="auto"/>
              <w:ind w:left="367" w:right="120" w:rightChars="57"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支持实现检查医嘱生命周期内的每个执行环节内关键数据的监督和反馈。包括医嘱下达、医嘱确认、检查到检、检查完成、检查报告审核发布。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临床用血闭环</w:t>
            </w:r>
          </w:p>
        </w:tc>
        <w:tc>
          <w:tcPr>
            <w:tcW w:w="6914" w:type="dxa"/>
            <w:vAlign w:val="center"/>
          </w:tcPr>
          <w:p>
            <w:pPr>
              <w:pStyle w:val="201"/>
              <w:numPr>
                <w:ilvl w:val="0"/>
                <w:numId w:val="9"/>
              </w:numPr>
              <w:spacing w:before="6" w:line="360" w:lineRule="auto"/>
              <w:ind w:left="367" w:right="120" w:rightChars="57"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对临床用血流程进行严格的控制和管理，从下达配血医嘱（同步生成知情同意书）、填写输血申请，护士确认医嘱后开始采集血标本、配送标本，此时血库接收血标本、审核输血申请单、化验及配血、备血、通过扫描血袋唯一条码进行血液发放，护士携带取血单进行病房血液交接，病房在接收到血液后进行交接复核，复核通过后开始输血执行、执行复核、输血巡视，记录不良反应直至输血结束。形成一个完整用血过程的全流程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会诊闭环</w:t>
            </w:r>
          </w:p>
        </w:tc>
        <w:tc>
          <w:tcPr>
            <w:tcW w:w="6914" w:type="dxa"/>
            <w:vAlign w:val="center"/>
          </w:tcPr>
          <w:p>
            <w:pPr>
              <w:pStyle w:val="201"/>
              <w:numPr>
                <w:ilvl w:val="0"/>
                <w:numId w:val="9"/>
              </w:numPr>
              <w:spacing w:before="6" w:line="360" w:lineRule="auto"/>
              <w:ind w:left="367" w:right="120" w:rightChars="57"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支持管理会诊医嘱的开立、提交会诊申请单、会诊安排、会诊通知、会诊签到、会诊意见提交、会诊结束，整个闭环流程。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手术麻醉闭环</w:t>
            </w:r>
          </w:p>
        </w:tc>
        <w:tc>
          <w:tcPr>
            <w:tcW w:w="6914" w:type="dxa"/>
            <w:vAlign w:val="center"/>
          </w:tcPr>
          <w:p>
            <w:pPr>
              <w:pStyle w:val="201"/>
              <w:numPr>
                <w:ilvl w:val="0"/>
                <w:numId w:val="9"/>
              </w:numPr>
              <w:spacing w:before="6" w:line="360" w:lineRule="auto"/>
              <w:ind w:left="367" w:right="120" w:rightChars="57"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支持包括手术医嘱下达、手术申请、医嘱确认、手术排班、出病房、入手术室、麻醉开始、手术开始、手术结束、麻醉结束、出手术室、入病房。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危急值闭环</w:t>
            </w:r>
          </w:p>
        </w:tc>
        <w:tc>
          <w:tcPr>
            <w:tcW w:w="6914" w:type="dxa"/>
            <w:vAlign w:val="center"/>
          </w:tcPr>
          <w:p>
            <w:pPr>
              <w:pStyle w:val="201"/>
              <w:numPr>
                <w:ilvl w:val="0"/>
                <w:numId w:val="9"/>
              </w:numPr>
              <w:spacing w:before="6" w:line="360" w:lineRule="auto"/>
              <w:ind w:left="367" w:right="120" w:rightChars="57"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支持危急值闭环管理，包括危急值出现、感知确认、危急值审核发布和临床危急值确认。</w:t>
            </w:r>
          </w:p>
        </w:tc>
      </w:tr>
    </w:tbl>
    <w:p>
      <w:pPr>
        <w:pStyle w:val="6"/>
        <w:numPr>
          <w:ilvl w:val="3"/>
          <w:numId w:val="8"/>
        </w:numPr>
        <w:spacing w:before="280" w:after="290" w:line="376" w:lineRule="auto"/>
        <w:rPr>
          <w:rFonts w:ascii="宋体" w:hAnsi="宋体"/>
          <w:color w:val="auto"/>
          <w:sz w:val="24"/>
          <w:szCs w:val="24"/>
          <w:highlight w:val="none"/>
        </w:rPr>
      </w:pPr>
      <w:bookmarkStart w:id="577" w:name="_Toc6872"/>
      <w:r>
        <w:rPr>
          <w:rFonts w:hint="eastAsia" w:ascii="宋体" w:hAnsi="宋体"/>
          <w:color w:val="auto"/>
          <w:sz w:val="24"/>
          <w:szCs w:val="24"/>
          <w:highlight w:val="none"/>
        </w:rPr>
        <w:t>智能决策系统</w:t>
      </w:r>
      <w:bookmarkEnd w:id="577"/>
    </w:p>
    <w:p>
      <w:pPr>
        <w:pStyle w:val="7"/>
        <w:numPr>
          <w:ilvl w:val="4"/>
          <w:numId w:val="8"/>
        </w:numPr>
        <w:rPr>
          <w:rFonts w:ascii="宋体" w:hAnsi="宋体"/>
          <w:color w:val="auto"/>
          <w:szCs w:val="24"/>
          <w:highlight w:val="none"/>
        </w:rPr>
      </w:pPr>
      <w:bookmarkStart w:id="578" w:name="_Toc1953"/>
      <w:r>
        <w:rPr>
          <w:rFonts w:hint="eastAsia" w:ascii="宋体" w:hAnsi="宋体"/>
          <w:color w:val="auto"/>
          <w:szCs w:val="24"/>
          <w:highlight w:val="none"/>
        </w:rPr>
        <w:t>静脉血栓栓塞症智能防治系统</w:t>
      </w:r>
      <w:bookmarkEnd w:id="578"/>
    </w:p>
    <w:p>
      <w:pPr>
        <w:pStyle w:val="8"/>
        <w:ind w:firstLine="480"/>
        <w:rPr>
          <w:rFonts w:ascii="宋体" w:hAnsi="宋体"/>
          <w:color w:val="auto"/>
          <w:szCs w:val="24"/>
          <w:highlight w:val="none"/>
        </w:rPr>
      </w:pPr>
      <w:r>
        <w:rPr>
          <w:rFonts w:hint="eastAsia" w:ascii="宋体" w:hAnsi="宋体"/>
          <w:color w:val="auto"/>
          <w:szCs w:val="24"/>
          <w:highlight w:val="none"/>
        </w:rPr>
        <w:t>系统能够对入院患者的VTE风险提供实时预警和消息推送，同时智能分析患者风险信息，自动填充VTE风险量表和出血风险量表，辅助临床和医务管理者进行VTE防治工作。</w:t>
      </w:r>
    </w:p>
    <w:p>
      <w:pPr>
        <w:pStyle w:val="8"/>
        <w:ind w:firstLine="480"/>
        <w:rPr>
          <w:rFonts w:ascii="宋体" w:hAnsi="宋体"/>
          <w:color w:val="auto"/>
          <w:szCs w:val="24"/>
          <w:highlight w:val="none"/>
        </w:rPr>
      </w:pPr>
      <w:r>
        <w:rPr>
          <w:rFonts w:hint="eastAsia" w:ascii="宋体" w:hAnsi="宋体"/>
          <w:color w:val="auto"/>
          <w:szCs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trPr>
        <w:tc>
          <w:tcPr>
            <w:tcW w:w="1980"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7087"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动态风险评估</w:t>
            </w:r>
          </w:p>
        </w:tc>
        <w:tc>
          <w:tcPr>
            <w:tcW w:w="7087" w:type="dxa"/>
          </w:tcPr>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支持预置VTE风险预警模型，支持24小时实时监控在院患者VTE风险，在患者入院/转科/手术前后/检查检验结果变动/病情变化时，支持自动对患者的VTE风险进行动态评估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实时预警通知</w:t>
            </w:r>
          </w:p>
        </w:tc>
        <w:tc>
          <w:tcPr>
            <w:tcW w:w="7087" w:type="dxa"/>
          </w:tcPr>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支持对于风险为中高危的患者，系统支持自动推送消息给指定的医护人员，推送方式支持微信、短信、与业务系统集成推送消息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预警闭环管理</w:t>
            </w:r>
          </w:p>
        </w:tc>
        <w:tc>
          <w:tcPr>
            <w:tcW w:w="7087" w:type="dxa"/>
          </w:tcPr>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医生查看并处理预警消息后，支持对患者的干预处理结果进行反馈记录，可查看推送信息和反馈的历史记录，追踪预警整体处理流程；对于未处理的预警记录，支持质控人员手动推送预警消息给相应人员，确保医护人员及时对患者进行干预，形成监控闭环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量表自动填充</w:t>
            </w:r>
          </w:p>
        </w:tc>
        <w:tc>
          <w:tcPr>
            <w:tcW w:w="7087" w:type="dxa"/>
          </w:tcPr>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在住院医生填写VTE风险评估量表时，支持利用大数据处理、后结构化技术将非结构化病历、护理记录、检查结果、检验结果等的数据按照医院规定的量表要素进行自动填充与计算，包括外科Caprini、内科Padua、Wells及外科出血、内科出血风险量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预防措施推荐</w:t>
            </w:r>
          </w:p>
        </w:tc>
        <w:tc>
          <w:tcPr>
            <w:tcW w:w="7087" w:type="dxa"/>
          </w:tcPr>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支持根据患者在院情况自动判断，对未进行VTE预防措施的VTE风险中高危患者，智能提醒医务人员进行相应的基础预防、物理预防、药物预防等措施。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监控记录查看</w:t>
            </w:r>
          </w:p>
        </w:tc>
        <w:tc>
          <w:tcPr>
            <w:tcW w:w="7087" w:type="dxa"/>
          </w:tcPr>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支持提供VTE预警监测病例数据检索、查看及导出功能，支持监测项目的自定义配置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统计分析</w:t>
            </w:r>
          </w:p>
        </w:tc>
        <w:tc>
          <w:tcPr>
            <w:tcW w:w="7087" w:type="dxa"/>
          </w:tcPr>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支持提供监测患者的多维度统计分析功能，支持按照时间，科室，评估类型、评估风险等级、CTPA、下肢超声、是否手术、医嘱名称等项目进行查询统计。</w:t>
            </w:r>
          </w:p>
        </w:tc>
      </w:tr>
    </w:tbl>
    <w:p>
      <w:pPr>
        <w:pStyle w:val="7"/>
        <w:numPr>
          <w:ilvl w:val="4"/>
          <w:numId w:val="8"/>
        </w:numPr>
        <w:rPr>
          <w:rFonts w:ascii="宋体" w:hAnsi="宋体"/>
          <w:color w:val="auto"/>
          <w:szCs w:val="24"/>
          <w:highlight w:val="none"/>
        </w:rPr>
      </w:pPr>
      <w:bookmarkStart w:id="579" w:name="_Toc19374"/>
      <w:r>
        <w:rPr>
          <w:rFonts w:hint="eastAsia" w:ascii="宋体" w:hAnsi="宋体"/>
          <w:color w:val="auto"/>
          <w:szCs w:val="24"/>
          <w:highlight w:val="none"/>
        </w:rPr>
        <w:t>病历/病案智能质控系统</w:t>
      </w:r>
      <w:bookmarkEnd w:id="579"/>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系统结合医学领域知识，应用专业的医疗自然语言理解和医疗知识图谱技术，结合特征表示学习、学习排序模型、语义理解AI技术，基于《住院病历质量检查表》及医院真实病历书写现状，提供跨文书多系统、面向复杂异构数据的病案质控服务，将病历质量控制重点的前移，对全院的运行病历实行环节质控。</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trPr>
        <w:tc>
          <w:tcPr>
            <w:tcW w:w="1980"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7087"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内涵质控</w:t>
            </w:r>
          </w:p>
        </w:tc>
        <w:tc>
          <w:tcPr>
            <w:tcW w:w="7087" w:type="dxa"/>
          </w:tcPr>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支持查询当前平台支持的质控能力清单，包括质控能力开关情况以及应用范围</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支持查询平台推送的未读或已读消息，包括但不限于：新接收到的质控任务、即将过期的质控任务提醒</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支持查询我的质控任务清单，并进行任务接收及任务筛选、查询、处理</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支持查询各批次病案质控自动审核结果明细，并进行结果确认或意见修正</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支持提供医院当前病案平均分的查询以快速了解病案整体水平。支持以日期、科室、人员区间查询。</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支持查询医院当前检索条件下，机器质控数量及结果、问题病案数量及情况</w:t>
            </w:r>
          </w:p>
          <w:p>
            <w:pPr>
              <w:pStyle w:val="201"/>
              <w:numPr>
                <w:ilvl w:val="0"/>
                <w:numId w:val="9"/>
              </w:numPr>
              <w:spacing w:line="360" w:lineRule="auto"/>
              <w:ind w:right="105" w:rightChars="50" w:firstLine="466"/>
              <w:rPr>
                <w:rFonts w:ascii="宋体" w:hAnsi="宋体" w:eastAsia="宋体"/>
                <w:color w:val="auto"/>
                <w:sz w:val="24"/>
                <w:highlight w:val="none"/>
                <w:lang w:eastAsia="zh-CN"/>
              </w:rPr>
            </w:pPr>
            <w:r>
              <w:rPr>
                <w:rFonts w:hint="eastAsia" w:ascii="宋体" w:hAnsi="宋体" w:eastAsia="宋体"/>
                <w:color w:val="auto"/>
                <w:spacing w:val="-4"/>
                <w:sz w:val="24"/>
                <w:highlight w:val="none"/>
                <w:lang w:eastAsia="zh-CN"/>
              </w:rPr>
              <w:t>支持</w:t>
            </w:r>
            <w:r>
              <w:rPr>
                <w:rFonts w:hint="eastAsia" w:ascii="宋体" w:hAnsi="宋体" w:eastAsia="宋体"/>
                <w:color w:val="auto"/>
                <w:sz w:val="24"/>
                <w:highlight w:val="none"/>
                <w:lang w:eastAsia="zh-CN"/>
              </w:rPr>
              <w:t>以消息列表形式快速推送当天病案问题集中点，方便质控管理工作开展</w:t>
            </w:r>
          </w:p>
          <w:p>
            <w:pPr>
              <w:pStyle w:val="201"/>
              <w:numPr>
                <w:ilvl w:val="0"/>
                <w:numId w:val="9"/>
              </w:numPr>
              <w:spacing w:line="360" w:lineRule="auto"/>
              <w:ind w:right="105" w:rightChars="50" w:firstLine="466"/>
              <w:rPr>
                <w:rFonts w:ascii="宋体" w:hAnsi="宋体" w:eastAsia="宋体"/>
                <w:color w:val="auto"/>
                <w:sz w:val="24"/>
                <w:highlight w:val="none"/>
                <w:lang w:eastAsia="zh-CN"/>
              </w:rPr>
            </w:pPr>
            <w:r>
              <w:rPr>
                <w:rFonts w:hint="eastAsia" w:ascii="宋体" w:hAnsi="宋体" w:eastAsia="宋体"/>
                <w:color w:val="auto"/>
                <w:spacing w:val="-4"/>
                <w:sz w:val="24"/>
                <w:highlight w:val="none"/>
                <w:lang w:eastAsia="zh-CN"/>
              </w:rPr>
              <w:t>支持</w:t>
            </w:r>
            <w:r>
              <w:rPr>
                <w:rFonts w:hint="eastAsia" w:ascii="宋体" w:hAnsi="宋体" w:eastAsia="宋体"/>
                <w:color w:val="auto"/>
                <w:sz w:val="24"/>
                <w:highlight w:val="none"/>
                <w:lang w:eastAsia="zh-CN"/>
              </w:rPr>
              <w:t>提供以科室、日期/月度/年度为单位的病案质量情况查询，以快速医疗医院病案质量变化趋势及重点问题科室检出</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支持以医院整体或科室为单位开展质控高频问题概览，包括触发质控高频错误点及分布、问题单据主要问题及分布。同时，支持根据高频问题开展自定义质控任务，方便进一步了解问题根源。</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支持通过定时任务设置开展机器质控，并通过此功能进行机审结果查询和操作处理。</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支持以质控时间、病历评分、出院时间为单位进行排序，支持以病案号、科室、主诊断为单位进行检索。</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支持提供抽样创建任务，对已机器质控病历或未机器质控病历进行抽样，以快速验证机身准确性、明确医院常见问题情况。支持随机抽取、按科室抽取、按比例抽取多种方式，支持任务定向分配。</w:t>
            </w:r>
          </w:p>
          <w:p>
            <w:pPr>
              <w:pStyle w:val="201"/>
              <w:numPr>
                <w:ilvl w:val="0"/>
                <w:numId w:val="9"/>
              </w:numPr>
              <w:spacing w:line="360" w:lineRule="auto"/>
              <w:ind w:right="105" w:rightChars="50" w:firstLine="466"/>
              <w:rPr>
                <w:rFonts w:ascii="宋体" w:hAnsi="宋体" w:eastAsia="宋体"/>
                <w:color w:val="auto"/>
                <w:sz w:val="24"/>
                <w:highlight w:val="none"/>
                <w:lang w:eastAsia="zh-CN"/>
              </w:rPr>
            </w:pPr>
            <w:r>
              <w:rPr>
                <w:rFonts w:hint="eastAsia" w:ascii="宋体" w:hAnsi="宋体" w:eastAsia="宋体"/>
                <w:color w:val="auto"/>
                <w:spacing w:val="-4"/>
                <w:sz w:val="24"/>
                <w:highlight w:val="none"/>
                <w:lang w:eastAsia="zh-CN"/>
              </w:rPr>
              <w:t>支持</w:t>
            </w:r>
            <w:r>
              <w:rPr>
                <w:rFonts w:hint="eastAsia" w:ascii="宋体" w:hAnsi="宋体" w:eastAsia="宋体"/>
                <w:color w:val="auto"/>
                <w:sz w:val="24"/>
                <w:highlight w:val="none"/>
                <w:lang w:eastAsia="zh-CN"/>
              </w:rPr>
              <w:t>如复核过程中对病案修改或对质控规则进行修改，均可重新进行机审。重跑后，相同病历进行结果覆盖。</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支持针对出院时间范围、质控科室范围、抽检病历规则及抽检质控点范围进行质控抽检规则定义质控任务</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支持查询已设置的定时质控任务，并支持定时任务新增及修改</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支持对历史质控任务进行查看及管理，可查看每次质控病历总量、质控科室数、任务状态、质控提交人、质控时间，支持对质控任务的结果进行查看、统计分析、导出操作</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按照病案维度或质控点维度查看质控任务的结果，质控结果展示病人ID、病案号、性别、住院天数、出院科室、出院时间、主要诊断、触发质控量、触发质控点、病历评分，并可以详细查看质控问题的原文回溯</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支持基于触发质控点进行详细质控问题解释及病历原文回溯，基于回溯原文可直观查看问题病历单据</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支持基于病人ID、病案号、出院时间、病案评分、触发质控点进行病历定位及检索</w:t>
            </w:r>
          </w:p>
          <w:p>
            <w:pPr>
              <w:pStyle w:val="201"/>
              <w:numPr>
                <w:ilvl w:val="0"/>
                <w:numId w:val="9"/>
              </w:numPr>
              <w:spacing w:line="360" w:lineRule="auto"/>
              <w:ind w:right="105" w:rightChars="50" w:firstLine="466"/>
              <w:rPr>
                <w:rFonts w:ascii="宋体" w:hAnsi="宋体" w:eastAsia="宋体"/>
                <w:color w:val="auto"/>
                <w:sz w:val="24"/>
                <w:highlight w:val="none"/>
                <w:lang w:eastAsia="zh-CN"/>
              </w:rPr>
            </w:pPr>
            <w:r>
              <w:rPr>
                <w:rFonts w:hint="eastAsia" w:ascii="宋体" w:hAnsi="宋体" w:eastAsia="宋体"/>
                <w:color w:val="auto"/>
                <w:spacing w:val="-4"/>
                <w:sz w:val="24"/>
                <w:highlight w:val="none"/>
                <w:lang w:eastAsia="zh-CN"/>
              </w:rPr>
              <w:t>支持</w:t>
            </w:r>
            <w:r>
              <w:rPr>
                <w:rFonts w:hint="eastAsia" w:ascii="宋体" w:hAnsi="宋体" w:eastAsia="宋体"/>
                <w:color w:val="auto"/>
                <w:sz w:val="24"/>
                <w:highlight w:val="none"/>
                <w:lang w:eastAsia="zh-CN"/>
              </w:rPr>
              <w:t>在病案详情查询过程中，如对机审结果有异议，支持提供“质控驳回”，驳回后该扣分项不再扣分；可点击“新增质控意见”或者在页面划词点击右键，建立一条新的质控记录</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支持按照质控任务批次按照病案维度或质控点维度导出本次质控结果</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 xml:space="preserve">支持设置病历评分规则，判断甲乙丙级病案，可设置颜色，颜色同步生效至产品其他甲乙丙级病案相关等级展示 </w:t>
            </w:r>
          </w:p>
          <w:p>
            <w:pPr>
              <w:pStyle w:val="201"/>
              <w:numPr>
                <w:ilvl w:val="0"/>
                <w:numId w:val="9"/>
              </w:numPr>
              <w:spacing w:before="0"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可设置扣分项，设置成功后当质控点触发则扣取响应分值;扣分选项可分为单项扣分及逐次扣分，默认逐次扣分;如果选择单项否决则与丙级病案处特殊设置关联，当存在单项否决即为丙级病案勾选，只要出现一例单项否决项质控缺陷，该病历无论分值均为丙级病案</w:t>
            </w:r>
          </w:p>
        </w:tc>
      </w:tr>
    </w:tbl>
    <w:p>
      <w:pPr>
        <w:spacing w:line="360" w:lineRule="auto"/>
        <w:ind w:firstLine="480" w:firstLineChars="200"/>
        <w:rPr>
          <w:rFonts w:ascii="宋体" w:hAnsi="宋体"/>
          <w:color w:val="auto"/>
          <w:sz w:val="24"/>
          <w:highlight w:val="none"/>
        </w:rPr>
      </w:pPr>
    </w:p>
    <w:p>
      <w:pPr>
        <w:pStyle w:val="7"/>
        <w:numPr>
          <w:ilvl w:val="4"/>
          <w:numId w:val="8"/>
        </w:numPr>
        <w:rPr>
          <w:rFonts w:ascii="宋体" w:hAnsi="宋体"/>
          <w:color w:val="auto"/>
          <w:szCs w:val="24"/>
          <w:highlight w:val="none"/>
        </w:rPr>
      </w:pPr>
      <w:bookmarkStart w:id="580" w:name="_Toc6779"/>
      <w:r>
        <w:rPr>
          <w:rFonts w:hint="eastAsia" w:ascii="宋体" w:hAnsi="宋体"/>
          <w:color w:val="auto"/>
          <w:szCs w:val="24"/>
          <w:highlight w:val="none"/>
        </w:rPr>
        <w:t>AKI AI智能预警监控系统</w:t>
      </w:r>
      <w:bookmarkEnd w:id="580"/>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AKI智能实时预警监控系统结合急性肾损伤临床实践指南及医院自身的临床知识积累，基于临床决策支持预警架构，可自定义AKI的预警规则，通过对检验报告、护理记录单中的肌酐、尿量的数值变化监控，实现AKI系统的实时预警效果，临床非肾内科科室大夫，可根据医生站的预警结果，发起多学科的会诊，以采取及时正确的抢救治疗措施，从而降低患者死亡率及减少慢性肾损伤及其他脏器损伤的发病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6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blHeader/>
        </w:trPr>
        <w:tc>
          <w:tcPr>
            <w:tcW w:w="2153"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6914"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A</w:t>
            </w:r>
            <w:r>
              <w:rPr>
                <w:rFonts w:ascii="宋体" w:hAnsi="宋体" w:cs="仿宋"/>
                <w:b/>
                <w:bCs/>
                <w:color w:val="auto"/>
                <w:sz w:val="24"/>
                <w:highlight w:val="none"/>
              </w:rPr>
              <w:t>KI AI</w:t>
            </w:r>
            <w:r>
              <w:rPr>
                <w:rFonts w:hint="eastAsia" w:ascii="宋体" w:hAnsi="宋体" w:cs="仿宋"/>
                <w:b/>
                <w:bCs/>
                <w:color w:val="auto"/>
                <w:sz w:val="24"/>
                <w:highlight w:val="none"/>
              </w:rPr>
              <w:t>智能监控系统</w:t>
            </w:r>
          </w:p>
        </w:tc>
        <w:tc>
          <w:tcPr>
            <w:tcW w:w="6914" w:type="dxa"/>
            <w:vAlign w:val="center"/>
          </w:tcPr>
          <w:p>
            <w:pPr>
              <w:pStyle w:val="201"/>
              <w:numPr>
                <w:ilvl w:val="0"/>
                <w:numId w:val="9"/>
              </w:numPr>
              <w:spacing w:before="6" w:line="360" w:lineRule="auto"/>
              <w:ind w:right="120" w:rightChars="57"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支持预置急性肾损伤预警规则，及规则依赖传入参数和数据来源</w:t>
            </w:r>
          </w:p>
          <w:p>
            <w:pPr>
              <w:pStyle w:val="201"/>
              <w:numPr>
                <w:ilvl w:val="0"/>
                <w:numId w:val="9"/>
              </w:numPr>
              <w:spacing w:before="6" w:line="360" w:lineRule="auto"/>
              <w:ind w:right="120" w:rightChars="57"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支持列出全部急性肾损伤预警病例数据，显示内容支持自定义配置，并提供检索功能</w:t>
            </w:r>
          </w:p>
          <w:p>
            <w:pPr>
              <w:pStyle w:val="201"/>
              <w:numPr>
                <w:ilvl w:val="0"/>
                <w:numId w:val="9"/>
              </w:numPr>
              <w:spacing w:before="6" w:line="360" w:lineRule="auto"/>
              <w:ind w:right="120" w:rightChars="57"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支持提供急性肾损伤预警病例的数据导出和统计功能</w:t>
            </w:r>
          </w:p>
          <w:p>
            <w:pPr>
              <w:pStyle w:val="201"/>
              <w:numPr>
                <w:ilvl w:val="0"/>
                <w:numId w:val="9"/>
              </w:numPr>
              <w:spacing w:before="6" w:line="360" w:lineRule="auto"/>
              <w:ind w:right="120" w:rightChars="57"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支持对需要干预的预警病例，可以录入反馈内容并推送给指定的责任人，推送支持消息、微信、短信、邮件等方式</w:t>
            </w:r>
          </w:p>
          <w:p>
            <w:pPr>
              <w:pStyle w:val="201"/>
              <w:numPr>
                <w:ilvl w:val="0"/>
                <w:numId w:val="9"/>
              </w:numPr>
              <w:spacing w:before="6" w:line="360" w:lineRule="auto"/>
              <w:ind w:right="120" w:rightChars="57"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支持预警患者的科研自动入组、及与MDT系统集成的闭环管理</w:t>
            </w:r>
          </w:p>
        </w:tc>
      </w:tr>
    </w:tbl>
    <w:p>
      <w:pPr>
        <w:spacing w:line="360" w:lineRule="auto"/>
        <w:rPr>
          <w:rFonts w:ascii="宋体" w:hAnsi="宋体"/>
          <w:color w:val="auto"/>
          <w:sz w:val="24"/>
          <w:highlight w:val="none"/>
        </w:rPr>
      </w:pPr>
    </w:p>
    <w:p>
      <w:pPr>
        <w:pStyle w:val="7"/>
        <w:numPr>
          <w:ilvl w:val="4"/>
          <w:numId w:val="8"/>
        </w:numPr>
        <w:rPr>
          <w:rFonts w:ascii="宋体" w:hAnsi="宋体"/>
          <w:color w:val="auto"/>
          <w:szCs w:val="24"/>
          <w:highlight w:val="none"/>
        </w:rPr>
      </w:pPr>
      <w:bookmarkStart w:id="581" w:name="_Toc28324"/>
      <w:r>
        <w:rPr>
          <w:rFonts w:hint="eastAsia" w:ascii="宋体" w:hAnsi="宋体"/>
          <w:color w:val="auto"/>
          <w:szCs w:val="24"/>
          <w:highlight w:val="none"/>
        </w:rPr>
        <w:t>血糖代谢异常智能预警系统</w:t>
      </w:r>
      <w:bookmarkEnd w:id="581"/>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血糖代谢异常智能预警系统基于临床决策支持预警架构，结合血糖代谢异常预警知识，通过对检验系统、护理记录、ICU系统的血糖数据的监控，实现血糖代谢异常患者的实时预警效果。临床非内分泌科室大夫，可根据医生站的预警结果，发起多学科的会诊，以采取及时正确的抢救治疗措施，从而降低患者死亡率及减少糖尿病的促发或加重情况。</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6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blHeader/>
        </w:trPr>
        <w:tc>
          <w:tcPr>
            <w:tcW w:w="2153"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6914"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血糖代谢异常智能预警系统</w:t>
            </w:r>
          </w:p>
        </w:tc>
        <w:tc>
          <w:tcPr>
            <w:tcW w:w="6914" w:type="dxa"/>
            <w:vAlign w:val="center"/>
          </w:tcPr>
          <w:p>
            <w:pPr>
              <w:pStyle w:val="201"/>
              <w:numPr>
                <w:ilvl w:val="0"/>
                <w:numId w:val="9"/>
              </w:numPr>
              <w:spacing w:before="6" w:line="360" w:lineRule="auto"/>
              <w:ind w:right="120" w:rightChars="57"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支持预置血糖代谢异常预警规则，支持规则灵活配置，及规则依赖传入参数和数据来源</w:t>
            </w:r>
          </w:p>
          <w:p>
            <w:pPr>
              <w:pStyle w:val="201"/>
              <w:numPr>
                <w:ilvl w:val="0"/>
                <w:numId w:val="9"/>
              </w:numPr>
              <w:spacing w:before="6" w:line="360" w:lineRule="auto"/>
              <w:ind w:right="120" w:rightChars="57"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支持按照不同维度展示血糖代谢异常预警的患者数量——列出维度要求</w:t>
            </w:r>
          </w:p>
          <w:p>
            <w:pPr>
              <w:pStyle w:val="201"/>
              <w:numPr>
                <w:ilvl w:val="0"/>
                <w:numId w:val="9"/>
              </w:numPr>
              <w:spacing w:before="6" w:line="360" w:lineRule="auto"/>
              <w:ind w:right="120" w:rightChars="57"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支持提供血糖代谢异常预警患者信息，显示内容支持自定义配置，并提供检索功能</w:t>
            </w:r>
          </w:p>
          <w:p>
            <w:pPr>
              <w:pStyle w:val="201"/>
              <w:numPr>
                <w:ilvl w:val="0"/>
                <w:numId w:val="9"/>
              </w:numPr>
              <w:spacing w:before="6" w:line="360" w:lineRule="auto"/>
              <w:ind w:right="120" w:rightChars="57"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支持提供血糖代谢异常预警患者的数据导出和统计功能</w:t>
            </w:r>
          </w:p>
          <w:p>
            <w:pPr>
              <w:pStyle w:val="201"/>
              <w:numPr>
                <w:ilvl w:val="0"/>
                <w:numId w:val="9"/>
              </w:numPr>
              <w:spacing w:before="6" w:line="360" w:lineRule="auto"/>
              <w:ind w:right="120" w:rightChars="57"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支持对需要干预的预警患者，可以录入反馈内容并推送给指定的责任人，推送支持消息、微信、短信、邮件等方式</w:t>
            </w:r>
          </w:p>
          <w:p>
            <w:pPr>
              <w:pStyle w:val="201"/>
              <w:numPr>
                <w:ilvl w:val="0"/>
                <w:numId w:val="9"/>
              </w:numPr>
              <w:spacing w:before="6" w:line="360" w:lineRule="auto"/>
              <w:ind w:right="120" w:rightChars="57"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支持预警患者的科研自动入组、及与MDT系统集成的闭环管理</w:t>
            </w:r>
          </w:p>
        </w:tc>
      </w:tr>
    </w:tbl>
    <w:p>
      <w:pPr>
        <w:spacing w:line="360" w:lineRule="auto"/>
        <w:rPr>
          <w:rFonts w:ascii="宋体" w:hAnsi="宋体"/>
          <w:color w:val="auto"/>
          <w:sz w:val="24"/>
          <w:highlight w:val="none"/>
        </w:rPr>
      </w:pPr>
    </w:p>
    <w:p>
      <w:pPr>
        <w:keepNext/>
        <w:keepLines/>
        <w:numPr>
          <w:ilvl w:val="3"/>
          <w:numId w:val="8"/>
        </w:numPr>
        <w:spacing w:before="280" w:after="290" w:line="376" w:lineRule="auto"/>
        <w:outlineLvl w:val="3"/>
        <w:rPr>
          <w:rFonts w:ascii="宋体" w:hAnsi="宋体"/>
          <w:b/>
          <w:bCs/>
          <w:color w:val="auto"/>
          <w:sz w:val="24"/>
          <w:highlight w:val="none"/>
        </w:rPr>
      </w:pPr>
      <w:bookmarkStart w:id="582" w:name="_Toc15403"/>
      <w:r>
        <w:rPr>
          <w:rFonts w:hint="eastAsia" w:ascii="宋体" w:hAnsi="宋体"/>
          <w:b/>
          <w:bCs/>
          <w:color w:val="auto"/>
          <w:sz w:val="24"/>
          <w:highlight w:val="none"/>
        </w:rPr>
        <w:t>管理决策系统</w:t>
      </w:r>
      <w:bookmarkEnd w:id="582"/>
    </w:p>
    <w:p>
      <w:pPr>
        <w:pStyle w:val="7"/>
        <w:numPr>
          <w:ilvl w:val="4"/>
          <w:numId w:val="8"/>
        </w:numPr>
        <w:rPr>
          <w:rFonts w:ascii="宋体" w:hAnsi="宋体"/>
          <w:color w:val="auto"/>
          <w:szCs w:val="24"/>
          <w:highlight w:val="none"/>
        </w:rPr>
      </w:pPr>
      <w:bookmarkStart w:id="583" w:name="_Toc4735"/>
      <w:r>
        <w:rPr>
          <w:rFonts w:hint="eastAsia" w:ascii="宋体" w:hAnsi="宋体"/>
          <w:color w:val="auto"/>
          <w:szCs w:val="24"/>
          <w:highlight w:val="none"/>
        </w:rPr>
        <w:t>综合运营决策</w:t>
      </w:r>
      <w:bookmarkEnd w:id="583"/>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通过将信息智能技术运用于医院运营决策分析，服务医院管理层有效决策和管理。综合运营决策以运营数据中心数据源为基础，提供各种管理决策支持服务，包括面向全院统一的运营数据视图、面向各个专题的医院行政运营和医疗质量统计分析报表、面向某一主题的数据分析或预测与预警等。管理决策支持服务从价值层面为医院建立了统一的管理指标分析体系，为领导的管理决策提供更为全面、客观、直接和准确数据支持。</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6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blHeader/>
        </w:trPr>
        <w:tc>
          <w:tcPr>
            <w:tcW w:w="2153"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6914"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数据抽取</w:t>
            </w:r>
          </w:p>
        </w:tc>
        <w:tc>
          <w:tcPr>
            <w:tcW w:w="6914" w:type="dxa"/>
            <w:vAlign w:val="center"/>
          </w:tcPr>
          <w:p>
            <w:pPr>
              <w:pStyle w:val="201"/>
              <w:numPr>
                <w:ilvl w:val="0"/>
                <w:numId w:val="9"/>
              </w:numPr>
              <w:spacing w:before="6" w:line="360" w:lineRule="auto"/>
              <w:ind w:left="367" w:right="120" w:rightChars="57"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支持利用专业ETL工具，定期将数据从各个业务系统抽取到数据仓库中。所有的数据抽取都是在夜间业务量较小的时间窗口进行，对业务系统的影响较小。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加工运算</w:t>
            </w:r>
          </w:p>
        </w:tc>
        <w:tc>
          <w:tcPr>
            <w:tcW w:w="6914" w:type="dxa"/>
            <w:vAlign w:val="center"/>
          </w:tcPr>
          <w:p>
            <w:pPr>
              <w:pStyle w:val="201"/>
              <w:numPr>
                <w:ilvl w:val="0"/>
                <w:numId w:val="9"/>
              </w:numPr>
              <w:spacing w:before="6" w:line="360" w:lineRule="auto"/>
              <w:ind w:left="367" w:right="120" w:rightChars="57"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支持按照与各业务部门确定的指标计算规则，将数据进行加工处理后，存放在数据集市区。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报表功能</w:t>
            </w:r>
          </w:p>
        </w:tc>
        <w:tc>
          <w:tcPr>
            <w:tcW w:w="6914" w:type="dxa"/>
            <w:vAlign w:val="center"/>
          </w:tcPr>
          <w:p>
            <w:pPr>
              <w:pStyle w:val="201"/>
              <w:numPr>
                <w:ilvl w:val="0"/>
                <w:numId w:val="9"/>
              </w:numPr>
              <w:spacing w:before="6" w:line="360" w:lineRule="auto"/>
              <w:ind w:left="367" w:right="120" w:rightChars="57"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支持图表信息到详细数据动静态报表的钻取、聚合报表、复杂折叠树等高级报表功能，满足不同层级用户的决策需求，提高用户的操作效率。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数据展现</w:t>
            </w:r>
          </w:p>
        </w:tc>
        <w:tc>
          <w:tcPr>
            <w:tcW w:w="6914" w:type="dxa"/>
            <w:vAlign w:val="center"/>
          </w:tcPr>
          <w:p>
            <w:pPr>
              <w:pStyle w:val="201"/>
              <w:numPr>
                <w:ilvl w:val="0"/>
                <w:numId w:val="9"/>
              </w:numPr>
              <w:spacing w:before="6" w:line="360" w:lineRule="auto"/>
              <w:ind w:left="367" w:right="120" w:rightChars="57"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支持面向医院不同角色管理人员，提供各种主题的分析指标展现</w:t>
            </w:r>
            <w:r>
              <w:rPr>
                <w:rFonts w:ascii="宋体" w:hAnsi="宋体" w:eastAsia="宋体"/>
                <w:color w:val="auto"/>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短信提醒</w:t>
            </w:r>
          </w:p>
        </w:tc>
        <w:tc>
          <w:tcPr>
            <w:tcW w:w="6914" w:type="dxa"/>
            <w:vAlign w:val="center"/>
          </w:tcPr>
          <w:p>
            <w:pPr>
              <w:pStyle w:val="201"/>
              <w:numPr>
                <w:ilvl w:val="0"/>
                <w:numId w:val="9"/>
              </w:numPr>
              <w:spacing w:before="6" w:line="360" w:lineRule="auto"/>
              <w:ind w:left="367" w:right="120" w:rightChars="57"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支持主动推送医院关注的指标数据，如门诊量、门诊预约率、门诊收入、药品比例、住院人次、平均住院日、病床使用率、住院收入等。</w:t>
            </w:r>
          </w:p>
          <w:p>
            <w:pPr>
              <w:pStyle w:val="201"/>
              <w:numPr>
                <w:ilvl w:val="0"/>
                <w:numId w:val="9"/>
              </w:numPr>
              <w:spacing w:before="6" w:line="360" w:lineRule="auto"/>
              <w:ind w:left="367" w:right="120" w:rightChars="57"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支持可发送日报、周报、月报、年报。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ascii="宋体" w:hAnsi="宋体" w:cs="仿宋"/>
                <w:b/>
                <w:bCs/>
                <w:color w:val="auto"/>
                <w:sz w:val="24"/>
                <w:highlight w:val="none"/>
              </w:rPr>
              <w:t>微信企业号</w:t>
            </w:r>
          </w:p>
        </w:tc>
        <w:tc>
          <w:tcPr>
            <w:tcW w:w="6914" w:type="dxa"/>
            <w:vAlign w:val="center"/>
          </w:tcPr>
          <w:p>
            <w:pPr>
              <w:pStyle w:val="201"/>
              <w:numPr>
                <w:ilvl w:val="0"/>
                <w:numId w:val="9"/>
              </w:numPr>
              <w:spacing w:before="6" w:line="360" w:lineRule="auto"/>
              <w:ind w:left="367" w:right="120" w:rightChars="57"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w:t>
            </w:r>
            <w:r>
              <w:rPr>
                <w:rFonts w:ascii="宋体" w:hAnsi="宋体" w:eastAsia="宋体"/>
                <w:color w:val="auto"/>
                <w:sz w:val="24"/>
                <w:highlight w:val="none"/>
                <w:lang w:eastAsia="zh-CN"/>
              </w:rPr>
              <w:t>集成微信单点登录，支持信息和通知的主动推送，充分利用了微信的普及性，提高用户获取信息的便捷性。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支持多终端</w:t>
            </w:r>
          </w:p>
        </w:tc>
        <w:tc>
          <w:tcPr>
            <w:tcW w:w="6914" w:type="dxa"/>
            <w:vAlign w:val="center"/>
          </w:tcPr>
          <w:p>
            <w:pPr>
              <w:pStyle w:val="201"/>
              <w:numPr>
                <w:ilvl w:val="0"/>
                <w:numId w:val="9"/>
              </w:numPr>
              <w:spacing w:before="6" w:line="360" w:lineRule="auto"/>
              <w:ind w:left="367" w:right="120" w:rightChars="57"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w:t>
            </w:r>
            <w:r>
              <w:rPr>
                <w:rFonts w:ascii="宋体" w:hAnsi="宋体" w:eastAsia="宋体"/>
                <w:color w:val="auto"/>
                <w:sz w:val="24"/>
                <w:highlight w:val="none"/>
                <w:lang w:eastAsia="zh-CN"/>
              </w:rPr>
              <w:t>展示整个医院关键指标的汇总，包含门诊、住院、医技、运营等各系统指标</w:t>
            </w:r>
            <w:r>
              <w:rPr>
                <w:rFonts w:hint="eastAsia" w:ascii="宋体" w:hAnsi="宋体" w:eastAsia="宋体"/>
                <w:color w:val="auto"/>
                <w:sz w:val="24"/>
                <w:highlight w:val="none"/>
                <w:lang w:eastAsia="zh-CN"/>
              </w:rPr>
              <w:t>，</w:t>
            </w:r>
            <w:r>
              <w:rPr>
                <w:rFonts w:ascii="宋体" w:hAnsi="宋体" w:eastAsia="宋体"/>
                <w:color w:val="auto"/>
                <w:sz w:val="24"/>
                <w:highlight w:val="none"/>
                <w:lang w:eastAsia="zh-CN"/>
              </w:rPr>
              <w:t>支持PC、PAD、手机上查看</w:t>
            </w:r>
            <w:r>
              <w:rPr>
                <w:rFonts w:hint="eastAsia" w:ascii="宋体" w:hAnsi="宋体" w:eastAsia="宋体"/>
                <w:color w:val="auto"/>
                <w:sz w:val="24"/>
                <w:highlight w:val="none"/>
                <w:lang w:eastAsia="zh-CN"/>
              </w:rPr>
              <w:t>，满足静态及动态采集需求</w:t>
            </w:r>
            <w:r>
              <w:rPr>
                <w:rFonts w:ascii="宋体" w:hAnsi="宋体" w:eastAsia="宋体"/>
                <w:color w:val="auto"/>
                <w:sz w:val="24"/>
                <w:highlight w:val="none"/>
                <w:lang w:eastAsia="zh-CN"/>
              </w:rPr>
              <w:t>。</w:t>
            </w:r>
          </w:p>
        </w:tc>
      </w:tr>
    </w:tbl>
    <w:p>
      <w:pPr>
        <w:pStyle w:val="7"/>
        <w:numPr>
          <w:ilvl w:val="4"/>
          <w:numId w:val="8"/>
        </w:numPr>
        <w:rPr>
          <w:rFonts w:ascii="宋体" w:hAnsi="宋体"/>
          <w:color w:val="auto"/>
          <w:szCs w:val="24"/>
          <w:highlight w:val="none"/>
        </w:rPr>
      </w:pPr>
      <w:bookmarkStart w:id="584" w:name="_Toc15352"/>
      <w:r>
        <w:rPr>
          <w:rFonts w:hint="eastAsia" w:ascii="宋体" w:hAnsi="宋体"/>
          <w:color w:val="auto"/>
          <w:szCs w:val="24"/>
          <w:highlight w:val="none"/>
        </w:rPr>
        <w:t>专题运营分析</w:t>
      </w:r>
      <w:bookmarkEnd w:id="584"/>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专题运营分析系统包含丰富的专题运营分析报表，涵盖门诊业务、门诊财务、住院业务、住院医疗质量、财务、人事、物资、药品等医院重要运行监测指标，以及手术麻醉、血库、超声、放射等一些医技分析指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6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blHeader/>
        </w:trPr>
        <w:tc>
          <w:tcPr>
            <w:tcW w:w="2153"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6914"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门诊主题</w:t>
            </w:r>
          </w:p>
        </w:tc>
        <w:tc>
          <w:tcPr>
            <w:tcW w:w="6914" w:type="dxa"/>
            <w:vAlign w:val="center"/>
          </w:tcPr>
          <w:p>
            <w:pPr>
              <w:pStyle w:val="201"/>
              <w:numPr>
                <w:ilvl w:val="0"/>
                <w:numId w:val="9"/>
              </w:numPr>
              <w:spacing w:before="6" w:line="360" w:lineRule="auto"/>
              <w:ind w:left="367" w:right="120" w:rightChars="57"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支持提供门诊业务分析、财务分析、就诊流程分析、门急诊量异常分析、诊断分析、大处方分析（用药合理性）、病种地区分布等主题。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住院主题</w:t>
            </w:r>
          </w:p>
        </w:tc>
        <w:tc>
          <w:tcPr>
            <w:tcW w:w="6914" w:type="dxa"/>
            <w:vAlign w:val="center"/>
          </w:tcPr>
          <w:p>
            <w:pPr>
              <w:pStyle w:val="201"/>
              <w:numPr>
                <w:ilvl w:val="0"/>
                <w:numId w:val="9"/>
              </w:numPr>
              <w:spacing w:before="6" w:line="360" w:lineRule="auto"/>
              <w:ind w:left="367" w:right="120" w:rightChars="57"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支持提供住院财务、出入院人次、床位使用情况、平均住院日、床位周转率、传染病分析等主题。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药品主题</w:t>
            </w:r>
          </w:p>
        </w:tc>
        <w:tc>
          <w:tcPr>
            <w:tcW w:w="6914" w:type="dxa"/>
            <w:vAlign w:val="center"/>
          </w:tcPr>
          <w:p>
            <w:pPr>
              <w:pStyle w:val="201"/>
              <w:numPr>
                <w:ilvl w:val="0"/>
                <w:numId w:val="9"/>
              </w:numPr>
              <w:spacing w:before="6" w:line="360" w:lineRule="auto"/>
              <w:ind w:left="367" w:right="120" w:rightChars="57"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支持提供药品使用情况、用药趋势分析、诊断用药分析、单品规使用情况、单品规使用异常检测、抗菌药物情况、一类切口用药情况、毒麻药领用情况、抗菌药物使用情况等主题。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手术主题</w:t>
            </w:r>
          </w:p>
        </w:tc>
        <w:tc>
          <w:tcPr>
            <w:tcW w:w="6914" w:type="dxa"/>
            <w:vAlign w:val="center"/>
          </w:tcPr>
          <w:p>
            <w:pPr>
              <w:pStyle w:val="201"/>
              <w:numPr>
                <w:ilvl w:val="0"/>
                <w:numId w:val="9"/>
              </w:numPr>
              <w:spacing w:before="6" w:line="360" w:lineRule="auto"/>
              <w:ind w:left="367" w:right="120" w:rightChars="57"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支持提供手术效率分析、开台时间分析、重返手术分析等主题。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医技主题</w:t>
            </w:r>
          </w:p>
        </w:tc>
        <w:tc>
          <w:tcPr>
            <w:tcW w:w="6914" w:type="dxa"/>
            <w:vAlign w:val="center"/>
          </w:tcPr>
          <w:p>
            <w:pPr>
              <w:pStyle w:val="201"/>
              <w:numPr>
                <w:ilvl w:val="0"/>
                <w:numId w:val="9"/>
              </w:numPr>
              <w:spacing w:before="6" w:line="360" w:lineRule="auto"/>
              <w:ind w:left="367" w:right="120" w:rightChars="57"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支持提供放射、超声等医技系统连接医疗设备的开机情况、检查工作量情况、收费情况。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医保主题</w:t>
            </w:r>
          </w:p>
        </w:tc>
        <w:tc>
          <w:tcPr>
            <w:tcW w:w="6914" w:type="dxa"/>
            <w:vAlign w:val="center"/>
          </w:tcPr>
          <w:p>
            <w:pPr>
              <w:pStyle w:val="201"/>
              <w:numPr>
                <w:ilvl w:val="0"/>
                <w:numId w:val="9"/>
              </w:numPr>
              <w:spacing w:before="6" w:line="360" w:lineRule="auto"/>
              <w:ind w:left="367" w:right="120" w:rightChars="57"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支持线上导入医保数据，并能够对全院以及各科室的医保费用情况进行预警。</w:t>
            </w:r>
          </w:p>
        </w:tc>
      </w:tr>
    </w:tbl>
    <w:p>
      <w:pPr>
        <w:spacing w:line="360" w:lineRule="auto"/>
        <w:ind w:firstLine="480" w:firstLineChars="200"/>
        <w:rPr>
          <w:rFonts w:ascii="宋体" w:hAnsi="宋体"/>
          <w:color w:val="auto"/>
          <w:sz w:val="24"/>
          <w:highlight w:val="none"/>
        </w:rPr>
      </w:pPr>
    </w:p>
    <w:p>
      <w:pPr>
        <w:pStyle w:val="7"/>
        <w:numPr>
          <w:ilvl w:val="4"/>
          <w:numId w:val="8"/>
        </w:numPr>
        <w:rPr>
          <w:rFonts w:ascii="宋体" w:hAnsi="宋体"/>
          <w:color w:val="auto"/>
          <w:szCs w:val="24"/>
          <w:highlight w:val="none"/>
        </w:rPr>
      </w:pPr>
      <w:bookmarkStart w:id="585" w:name="_Toc16027"/>
      <w:r>
        <w:rPr>
          <w:rFonts w:hint="eastAsia" w:ascii="宋体" w:hAnsi="宋体"/>
          <w:color w:val="auto"/>
          <w:szCs w:val="24"/>
          <w:highlight w:val="none"/>
        </w:rPr>
        <w:t>资源监控分析</w:t>
      </w:r>
      <w:bookmarkEnd w:id="585"/>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资源监控分析系统主要为满足院级领导层对信息的使用需求，系统支持仪表盘模式的分析结果运用模式,并且能够实现所有仪表盘均可在各种传统电脑终端、平板电脑和大尺寸可触碰会议大屏查看。</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6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blHeader/>
        </w:trPr>
        <w:tc>
          <w:tcPr>
            <w:tcW w:w="2153"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6914"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指标大屏</w:t>
            </w:r>
          </w:p>
        </w:tc>
        <w:tc>
          <w:tcPr>
            <w:tcW w:w="6914" w:type="dxa"/>
            <w:vAlign w:val="center"/>
          </w:tcPr>
          <w:p>
            <w:pPr>
              <w:pStyle w:val="201"/>
              <w:numPr>
                <w:ilvl w:val="0"/>
                <w:numId w:val="9"/>
              </w:numPr>
              <w:spacing w:before="6" w:line="360" w:lineRule="auto"/>
              <w:ind w:left="367" w:right="120" w:rightChars="57"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支持以简洁、直观的</w:t>
            </w:r>
            <w:r>
              <w:rPr>
                <w:rFonts w:ascii="宋体" w:hAnsi="宋体" w:eastAsia="宋体"/>
                <w:color w:val="auto"/>
                <w:sz w:val="24"/>
                <w:highlight w:val="none"/>
                <w:lang w:eastAsia="zh-CN"/>
              </w:rPr>
              <w:t>动态</w:t>
            </w:r>
            <w:r>
              <w:rPr>
                <w:rFonts w:hint="eastAsia" w:ascii="宋体" w:hAnsi="宋体" w:eastAsia="宋体"/>
                <w:color w:val="auto"/>
                <w:sz w:val="24"/>
                <w:highlight w:val="none"/>
                <w:lang w:eastAsia="zh-CN"/>
              </w:rPr>
              <w:t>图表</w:t>
            </w:r>
            <w:r>
              <w:rPr>
                <w:rFonts w:ascii="宋体" w:hAnsi="宋体" w:eastAsia="宋体"/>
                <w:color w:val="auto"/>
                <w:sz w:val="24"/>
                <w:highlight w:val="none"/>
                <w:lang w:eastAsia="zh-CN"/>
              </w:rPr>
              <w:t>形式</w:t>
            </w:r>
            <w:r>
              <w:rPr>
                <w:rFonts w:hint="eastAsia" w:ascii="宋体" w:hAnsi="宋体" w:eastAsia="宋体"/>
                <w:color w:val="auto"/>
                <w:sz w:val="24"/>
                <w:highlight w:val="none"/>
                <w:lang w:eastAsia="zh-CN"/>
              </w:rPr>
              <w:t>，配合相关的数据指标，来形象生动的</w:t>
            </w:r>
            <w:r>
              <w:rPr>
                <w:rFonts w:ascii="宋体" w:hAnsi="宋体" w:eastAsia="宋体"/>
                <w:color w:val="auto"/>
                <w:sz w:val="24"/>
                <w:highlight w:val="none"/>
                <w:lang w:eastAsia="zh-CN"/>
              </w:rPr>
              <w:t>监控</w:t>
            </w:r>
            <w:r>
              <w:rPr>
                <w:rFonts w:hint="eastAsia" w:ascii="宋体" w:hAnsi="宋体" w:eastAsia="宋体"/>
                <w:color w:val="auto"/>
                <w:sz w:val="24"/>
                <w:highlight w:val="none"/>
                <w:lang w:eastAsia="zh-CN"/>
              </w:rPr>
              <w:t>展现分析结果。</w:t>
            </w:r>
          </w:p>
          <w:p>
            <w:pPr>
              <w:pStyle w:val="201"/>
              <w:numPr>
                <w:ilvl w:val="0"/>
                <w:numId w:val="9"/>
              </w:numPr>
              <w:spacing w:before="6" w:line="360" w:lineRule="auto"/>
              <w:ind w:left="367" w:right="120" w:rightChars="57"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运营数据大屏展示的指标包括总收入、门诊收入、住院收入、门诊量、入院量、出院量、当日门诊量趋势、当日总收入趋势、药占比同比、耗占比同比、当月门诊量趋势、当月总收入趋势、在院患者数量、床占比、门诊次均费用、住院次均费用、当月手术量趋势（可根据院方需求增加指标）。</w:t>
            </w:r>
          </w:p>
          <w:p>
            <w:pPr>
              <w:pStyle w:val="201"/>
              <w:numPr>
                <w:ilvl w:val="0"/>
                <w:numId w:val="9"/>
              </w:numPr>
              <w:spacing w:before="6" w:line="360" w:lineRule="auto"/>
              <w:ind w:left="367" w:right="120" w:rightChars="57"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支持运营数据大屏通过数据实时采集、汇总医院人流、资金流、重点信息流、资源利用情况，结合医疗数据重点指标项，构建实时数据监控大屏。</w:t>
            </w:r>
          </w:p>
          <w:p>
            <w:pPr>
              <w:pStyle w:val="201"/>
              <w:numPr>
                <w:ilvl w:val="0"/>
                <w:numId w:val="9"/>
              </w:numPr>
              <w:spacing w:before="6" w:line="360" w:lineRule="auto"/>
              <w:ind w:left="367" w:right="120" w:rightChars="57"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基于不同医疗数据场景，对大数据技术进行挖掘和分析，将数据通过图形或图像直观动态地展示到用户界面，实现展示汇报、业务监控、统计分析等应用需求，辅助医院管理者根据医疗数据做出更准确的战略决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驾驶舱看板</w:t>
            </w:r>
          </w:p>
        </w:tc>
        <w:tc>
          <w:tcPr>
            <w:tcW w:w="6914" w:type="dxa"/>
            <w:vAlign w:val="center"/>
          </w:tcPr>
          <w:p>
            <w:pPr>
              <w:pStyle w:val="201"/>
              <w:numPr>
                <w:ilvl w:val="0"/>
                <w:numId w:val="9"/>
              </w:numPr>
              <w:spacing w:before="6" w:line="360" w:lineRule="auto"/>
              <w:ind w:left="367" w:right="120" w:rightChars="57"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支持提供驾驶舱看板，为管理层展示医院宏观性经营活动所关注的关键指标信息，</w:t>
            </w:r>
            <w:r>
              <w:rPr>
                <w:rFonts w:ascii="宋体" w:hAnsi="宋体" w:eastAsia="宋体"/>
                <w:color w:val="auto"/>
                <w:sz w:val="24"/>
                <w:highlight w:val="none"/>
                <w:lang w:eastAsia="zh-CN"/>
              </w:rPr>
              <w:t>实时掌控全局</w:t>
            </w:r>
            <w:r>
              <w:rPr>
                <w:rFonts w:hint="eastAsia" w:ascii="宋体" w:hAnsi="宋体" w:eastAsia="宋体"/>
                <w:color w:val="auto"/>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预警功能</w:t>
            </w:r>
          </w:p>
        </w:tc>
        <w:tc>
          <w:tcPr>
            <w:tcW w:w="6914" w:type="dxa"/>
            <w:vAlign w:val="center"/>
          </w:tcPr>
          <w:p>
            <w:pPr>
              <w:pStyle w:val="201"/>
              <w:numPr>
                <w:ilvl w:val="0"/>
                <w:numId w:val="9"/>
              </w:numPr>
              <w:spacing w:before="6" w:line="360" w:lineRule="auto"/>
              <w:ind w:left="367" w:right="120" w:rightChars="57"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支持对异常关键指标预警和挖掘分析。</w:t>
            </w:r>
          </w:p>
          <w:p>
            <w:pPr>
              <w:pStyle w:val="201"/>
              <w:numPr>
                <w:ilvl w:val="0"/>
                <w:numId w:val="9"/>
              </w:numPr>
              <w:spacing w:before="6" w:line="360" w:lineRule="auto"/>
              <w:ind w:left="367" w:right="120" w:rightChars="57"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支持对于重要的事项及数据进行实时监测，当数据达到设定值时可以自动、快速预警。</w:t>
            </w:r>
          </w:p>
        </w:tc>
      </w:tr>
    </w:tbl>
    <w:p>
      <w:pPr>
        <w:spacing w:line="360" w:lineRule="auto"/>
        <w:ind w:firstLine="480" w:firstLineChars="200"/>
        <w:rPr>
          <w:rFonts w:ascii="宋体" w:hAnsi="宋体"/>
          <w:color w:val="auto"/>
          <w:sz w:val="24"/>
          <w:highlight w:val="none"/>
        </w:rPr>
      </w:pPr>
    </w:p>
    <w:p>
      <w:pPr>
        <w:pStyle w:val="5"/>
        <w:numPr>
          <w:ilvl w:val="2"/>
          <w:numId w:val="8"/>
        </w:numPr>
        <w:autoSpaceDE/>
        <w:autoSpaceDN/>
        <w:adjustRightInd/>
        <w:spacing w:before="260" w:after="260" w:line="416" w:lineRule="auto"/>
        <w:jc w:val="both"/>
        <w:rPr>
          <w:rFonts w:hAnsi="宋体"/>
          <w:color w:val="auto"/>
          <w:szCs w:val="24"/>
          <w:highlight w:val="none"/>
        </w:rPr>
      </w:pPr>
      <w:bookmarkStart w:id="586" w:name="_Toc138247814"/>
      <w:bookmarkStart w:id="587" w:name="_Toc27707"/>
      <w:bookmarkStart w:id="588" w:name="_Toc1734538603"/>
      <w:r>
        <w:rPr>
          <w:rFonts w:hint="eastAsia" w:hAnsi="宋体"/>
          <w:color w:val="auto"/>
          <w:szCs w:val="24"/>
          <w:highlight w:val="none"/>
        </w:rPr>
        <w:t>智慧医疗建设</w:t>
      </w:r>
      <w:bookmarkEnd w:id="586"/>
      <w:bookmarkEnd w:id="587"/>
      <w:bookmarkEnd w:id="588"/>
    </w:p>
    <w:p>
      <w:pPr>
        <w:pStyle w:val="6"/>
        <w:numPr>
          <w:ilvl w:val="3"/>
          <w:numId w:val="8"/>
        </w:numPr>
        <w:spacing w:before="280" w:after="290" w:line="376" w:lineRule="auto"/>
        <w:rPr>
          <w:rFonts w:ascii="宋体" w:hAnsi="宋体"/>
          <w:color w:val="auto"/>
          <w:szCs w:val="24"/>
          <w:highlight w:val="none"/>
        </w:rPr>
      </w:pPr>
      <w:bookmarkStart w:id="589" w:name="_Toc27311"/>
      <w:r>
        <w:rPr>
          <w:rFonts w:hint="eastAsia" w:ascii="宋体" w:hAnsi="宋体"/>
          <w:color w:val="auto"/>
          <w:szCs w:val="24"/>
          <w:highlight w:val="none"/>
        </w:rPr>
        <w:t>门诊分诊叫号系统</w:t>
      </w:r>
      <w:bookmarkEnd w:id="589"/>
    </w:p>
    <w:p>
      <w:pPr>
        <w:pStyle w:val="8"/>
        <w:ind w:firstLine="480"/>
        <w:rPr>
          <w:rFonts w:ascii="宋体" w:hAnsi="宋体"/>
          <w:color w:val="auto"/>
          <w:szCs w:val="24"/>
          <w:highlight w:val="none"/>
        </w:rPr>
      </w:pPr>
      <w:r>
        <w:rPr>
          <w:rFonts w:hint="eastAsia" w:ascii="宋体" w:hAnsi="宋体"/>
          <w:color w:val="auto"/>
          <w:szCs w:val="24"/>
          <w:highlight w:val="none"/>
        </w:rPr>
        <w:t>门诊分诊叫号系统实现缴费即报到的报到模式，同时能与挂号管理系统相结合，根据患者预约号序生成就诊号序。患者通过报到机报到入队列，或分诊叫号系统定时刷新任务实时更新队列。</w:t>
      </w:r>
    </w:p>
    <w:p>
      <w:pPr>
        <w:pStyle w:val="8"/>
        <w:ind w:firstLine="480"/>
        <w:rPr>
          <w:rFonts w:ascii="宋体" w:hAnsi="宋体"/>
          <w:color w:val="auto"/>
          <w:szCs w:val="24"/>
          <w:highlight w:val="none"/>
        </w:rPr>
      </w:pPr>
      <w:r>
        <w:rPr>
          <w:rFonts w:hint="eastAsia" w:ascii="宋体" w:hAnsi="宋体"/>
          <w:color w:val="auto"/>
          <w:szCs w:val="24"/>
          <w:highlight w:val="none"/>
        </w:rPr>
        <w:t>系统需满足以下功能：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blHeader/>
        </w:trPr>
        <w:tc>
          <w:tcPr>
            <w:tcW w:w="1980" w:type="dxa"/>
            <w:shd w:val="clear" w:color="auto" w:fill="4471C4"/>
            <w:vAlign w:val="center"/>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功能模块</w:t>
            </w:r>
          </w:p>
        </w:tc>
        <w:tc>
          <w:tcPr>
            <w:tcW w:w="7087" w:type="dxa"/>
            <w:shd w:val="clear" w:color="auto" w:fill="4471C4"/>
            <w:vAlign w:val="center"/>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80" w:type="dxa"/>
            <w:vAlign w:val="center"/>
          </w:tcPr>
          <w:p>
            <w:pPr>
              <w:autoSpaceDE w:val="0"/>
              <w:autoSpaceDN w:val="0"/>
              <w:spacing w:line="360" w:lineRule="auto"/>
              <w:ind w:left="125" w:right="103" w:rightChars="49"/>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门诊分诊叫号系统</w:t>
            </w:r>
          </w:p>
        </w:tc>
        <w:tc>
          <w:tcPr>
            <w:tcW w:w="7087" w:type="dxa"/>
            <w:vAlign w:val="center"/>
          </w:tcPr>
          <w:p>
            <w:pPr>
              <w:pStyle w:val="130"/>
              <w:ind w:firstLine="0"/>
              <w:rPr>
                <w:rFonts w:ascii="宋体" w:hAnsi="宋体"/>
                <w:b/>
                <w:color w:val="auto"/>
                <w:szCs w:val="24"/>
                <w:highlight w:val="none"/>
              </w:rPr>
            </w:pPr>
            <w:r>
              <w:rPr>
                <w:rFonts w:hint="eastAsia" w:ascii="宋体" w:hAnsi="宋体"/>
                <w:b/>
                <w:color w:val="auto"/>
                <w:szCs w:val="24"/>
                <w:highlight w:val="none"/>
              </w:rPr>
              <w:t>（1）基础数据维护</w:t>
            </w:r>
            <w:r>
              <w:rPr>
                <w:rFonts w:hint="eastAsia" w:ascii="宋体" w:hAnsi="宋体"/>
                <w:b/>
                <w:color w:val="auto"/>
                <w:szCs w:val="24"/>
                <w:highlight w:val="none"/>
              </w:rPr>
              <w:tab/>
            </w:r>
          </w:p>
          <w:p>
            <w:pPr>
              <w:pStyle w:val="130"/>
              <w:ind w:firstLine="0"/>
              <w:rPr>
                <w:rFonts w:ascii="宋体" w:hAnsi="宋体"/>
                <w:b/>
                <w:color w:val="auto"/>
                <w:szCs w:val="24"/>
                <w:highlight w:val="none"/>
              </w:rPr>
            </w:pPr>
            <w:r>
              <w:rPr>
                <w:rFonts w:hint="eastAsia" w:ascii="宋体" w:hAnsi="宋体"/>
                <w:b/>
                <w:color w:val="auto"/>
                <w:szCs w:val="24"/>
                <w:highlight w:val="none"/>
              </w:rPr>
              <w:t>分诊台管理维护：</w:t>
            </w:r>
          </w:p>
          <w:p>
            <w:pPr>
              <w:pStyle w:val="130"/>
              <w:ind w:firstLine="0"/>
              <w:rPr>
                <w:rFonts w:ascii="宋体" w:hAnsi="宋体"/>
                <w:color w:val="auto"/>
                <w:szCs w:val="24"/>
                <w:highlight w:val="none"/>
              </w:rPr>
            </w:pPr>
            <w:r>
              <w:rPr>
                <w:rFonts w:hint="eastAsia" w:ascii="宋体" w:hAnsi="宋体"/>
                <w:color w:val="auto"/>
                <w:szCs w:val="24"/>
                <w:highlight w:val="none"/>
              </w:rPr>
              <w:t>1、支持分诊台的新增、编辑、删除、刷新操作。</w:t>
            </w:r>
          </w:p>
          <w:p>
            <w:pPr>
              <w:pStyle w:val="130"/>
              <w:ind w:firstLine="0"/>
              <w:rPr>
                <w:rFonts w:ascii="宋体" w:hAnsi="宋体"/>
                <w:color w:val="auto"/>
                <w:szCs w:val="24"/>
                <w:highlight w:val="none"/>
              </w:rPr>
            </w:pPr>
            <w:r>
              <w:rPr>
                <w:rFonts w:hint="eastAsia" w:ascii="宋体" w:hAnsi="宋体"/>
                <w:color w:val="auto"/>
                <w:szCs w:val="24"/>
                <w:highlight w:val="none"/>
              </w:rPr>
              <w:t>2、支持分诊台以列表的形式显示。</w:t>
            </w:r>
          </w:p>
          <w:p>
            <w:pPr>
              <w:pStyle w:val="130"/>
              <w:ind w:firstLine="0"/>
              <w:rPr>
                <w:rFonts w:ascii="宋体" w:hAnsi="宋体"/>
                <w:color w:val="auto"/>
                <w:szCs w:val="24"/>
                <w:highlight w:val="none"/>
              </w:rPr>
            </w:pPr>
            <w:r>
              <w:rPr>
                <w:rFonts w:hint="eastAsia" w:ascii="宋体" w:hAnsi="宋体"/>
                <w:color w:val="auto"/>
                <w:szCs w:val="24"/>
                <w:highlight w:val="none"/>
              </w:rPr>
              <w:t>3、支持选中一条分诊台类型，对应显示出该类型下所有的分诊台。</w:t>
            </w:r>
          </w:p>
          <w:p>
            <w:pPr>
              <w:pStyle w:val="130"/>
              <w:ind w:firstLine="0"/>
              <w:rPr>
                <w:rFonts w:ascii="宋体" w:hAnsi="宋体"/>
                <w:color w:val="auto"/>
                <w:szCs w:val="24"/>
                <w:highlight w:val="none"/>
              </w:rPr>
            </w:pPr>
            <w:r>
              <w:rPr>
                <w:rFonts w:hint="eastAsia" w:ascii="宋体" w:hAnsi="宋体"/>
                <w:color w:val="auto"/>
                <w:szCs w:val="24"/>
                <w:highlight w:val="none"/>
              </w:rPr>
              <w:t>4、支持分诊台的启用和停用。</w:t>
            </w:r>
          </w:p>
          <w:p>
            <w:pPr>
              <w:pStyle w:val="130"/>
              <w:ind w:firstLine="0"/>
              <w:rPr>
                <w:rFonts w:ascii="宋体" w:hAnsi="宋体"/>
                <w:b/>
                <w:color w:val="auto"/>
                <w:szCs w:val="24"/>
                <w:highlight w:val="none"/>
              </w:rPr>
            </w:pPr>
            <w:r>
              <w:rPr>
                <w:rFonts w:hint="eastAsia" w:ascii="宋体" w:hAnsi="宋体"/>
                <w:b/>
                <w:color w:val="auto"/>
                <w:szCs w:val="24"/>
                <w:highlight w:val="none"/>
              </w:rPr>
              <w:t>门诊队列维护：</w:t>
            </w:r>
          </w:p>
          <w:p>
            <w:pPr>
              <w:pStyle w:val="130"/>
              <w:ind w:firstLine="0"/>
              <w:rPr>
                <w:rFonts w:ascii="宋体" w:hAnsi="宋体"/>
                <w:color w:val="auto"/>
                <w:szCs w:val="24"/>
                <w:highlight w:val="none"/>
              </w:rPr>
            </w:pPr>
            <w:r>
              <w:rPr>
                <w:rFonts w:hint="eastAsia" w:ascii="宋体" w:hAnsi="宋体"/>
                <w:color w:val="auto"/>
                <w:szCs w:val="24"/>
                <w:highlight w:val="none"/>
              </w:rPr>
              <w:t>1、支持门诊队列的生成、编辑、查看、删除、刷新操作。</w:t>
            </w:r>
          </w:p>
          <w:p>
            <w:pPr>
              <w:pStyle w:val="130"/>
              <w:ind w:firstLine="0"/>
              <w:rPr>
                <w:rFonts w:ascii="宋体" w:hAnsi="宋体"/>
                <w:color w:val="auto"/>
                <w:szCs w:val="24"/>
                <w:highlight w:val="none"/>
              </w:rPr>
            </w:pPr>
            <w:r>
              <w:rPr>
                <w:rFonts w:hint="eastAsia" w:ascii="宋体" w:hAnsi="宋体"/>
                <w:color w:val="auto"/>
                <w:szCs w:val="24"/>
                <w:highlight w:val="none"/>
              </w:rPr>
              <w:t>2、支持门诊队列以列表的形式显示。</w:t>
            </w:r>
          </w:p>
          <w:p>
            <w:pPr>
              <w:pStyle w:val="130"/>
              <w:ind w:firstLine="0"/>
              <w:rPr>
                <w:rFonts w:ascii="宋体" w:hAnsi="宋体"/>
                <w:color w:val="auto"/>
                <w:szCs w:val="24"/>
                <w:highlight w:val="none"/>
              </w:rPr>
            </w:pPr>
            <w:r>
              <w:rPr>
                <w:rFonts w:hint="eastAsia" w:ascii="宋体" w:hAnsi="宋体"/>
                <w:color w:val="auto"/>
                <w:szCs w:val="24"/>
                <w:highlight w:val="none"/>
              </w:rPr>
              <w:t>3、支持选中一条门诊科室，对应显示出该科室下所有的门诊队列。</w:t>
            </w:r>
          </w:p>
          <w:p>
            <w:pPr>
              <w:pStyle w:val="130"/>
              <w:ind w:firstLine="0"/>
              <w:rPr>
                <w:rFonts w:ascii="宋体" w:hAnsi="宋体"/>
                <w:b/>
                <w:color w:val="auto"/>
                <w:szCs w:val="24"/>
                <w:highlight w:val="none"/>
              </w:rPr>
            </w:pPr>
            <w:r>
              <w:rPr>
                <w:rFonts w:hint="eastAsia" w:ascii="宋体" w:hAnsi="宋体"/>
                <w:b/>
                <w:color w:val="auto"/>
                <w:szCs w:val="24"/>
                <w:highlight w:val="none"/>
              </w:rPr>
              <w:t>门诊站点维护：</w:t>
            </w:r>
          </w:p>
          <w:p>
            <w:pPr>
              <w:pStyle w:val="130"/>
              <w:ind w:firstLine="0"/>
              <w:rPr>
                <w:rFonts w:ascii="宋体" w:hAnsi="宋体"/>
                <w:color w:val="auto"/>
                <w:szCs w:val="24"/>
                <w:highlight w:val="none"/>
              </w:rPr>
            </w:pPr>
            <w:r>
              <w:rPr>
                <w:rFonts w:hint="eastAsia" w:ascii="宋体" w:hAnsi="宋体"/>
                <w:color w:val="auto"/>
                <w:szCs w:val="24"/>
                <w:highlight w:val="none"/>
              </w:rPr>
              <w:t>1、支持门诊站点的新增、编辑、查看、删除、刷新操作。</w:t>
            </w:r>
          </w:p>
          <w:p>
            <w:pPr>
              <w:pStyle w:val="130"/>
              <w:ind w:firstLine="0"/>
              <w:rPr>
                <w:rFonts w:ascii="宋体" w:hAnsi="宋体"/>
                <w:color w:val="auto"/>
                <w:szCs w:val="24"/>
                <w:highlight w:val="none"/>
              </w:rPr>
            </w:pPr>
            <w:r>
              <w:rPr>
                <w:rFonts w:hint="eastAsia" w:ascii="宋体" w:hAnsi="宋体"/>
                <w:color w:val="auto"/>
                <w:szCs w:val="24"/>
                <w:highlight w:val="none"/>
              </w:rPr>
              <w:t>2、支持门诊站点以列表的形式显示。</w:t>
            </w:r>
          </w:p>
          <w:p>
            <w:pPr>
              <w:pStyle w:val="130"/>
              <w:ind w:firstLine="0"/>
              <w:rPr>
                <w:rFonts w:ascii="宋体" w:hAnsi="宋体"/>
                <w:b/>
                <w:color w:val="auto"/>
                <w:szCs w:val="24"/>
                <w:highlight w:val="none"/>
              </w:rPr>
            </w:pPr>
            <w:r>
              <w:rPr>
                <w:rFonts w:hint="eastAsia" w:ascii="宋体" w:hAnsi="宋体"/>
                <w:b/>
                <w:color w:val="auto"/>
                <w:szCs w:val="24"/>
                <w:highlight w:val="none"/>
              </w:rPr>
              <w:t>队列规则维护：</w:t>
            </w:r>
          </w:p>
          <w:p>
            <w:pPr>
              <w:pStyle w:val="130"/>
              <w:ind w:firstLine="0"/>
              <w:rPr>
                <w:rFonts w:ascii="宋体" w:hAnsi="宋体"/>
                <w:color w:val="auto"/>
                <w:szCs w:val="24"/>
                <w:highlight w:val="none"/>
              </w:rPr>
            </w:pPr>
            <w:r>
              <w:rPr>
                <w:rFonts w:hint="eastAsia" w:ascii="宋体" w:hAnsi="宋体"/>
                <w:color w:val="auto"/>
                <w:szCs w:val="24"/>
                <w:highlight w:val="none"/>
              </w:rPr>
              <w:t>1、支持队列规则的新增、编辑、查看、删除、刷新操作。</w:t>
            </w:r>
          </w:p>
          <w:p>
            <w:pPr>
              <w:pStyle w:val="130"/>
              <w:ind w:firstLine="0"/>
              <w:rPr>
                <w:rFonts w:ascii="宋体" w:hAnsi="宋体"/>
                <w:color w:val="auto"/>
                <w:szCs w:val="24"/>
                <w:highlight w:val="none"/>
              </w:rPr>
            </w:pPr>
            <w:r>
              <w:rPr>
                <w:rFonts w:hint="eastAsia" w:ascii="宋体" w:hAnsi="宋体"/>
                <w:color w:val="auto"/>
                <w:szCs w:val="24"/>
                <w:highlight w:val="none"/>
              </w:rPr>
              <w:t>2、支持队列规则以列表的形式显示。</w:t>
            </w:r>
          </w:p>
          <w:p>
            <w:pPr>
              <w:pStyle w:val="130"/>
              <w:ind w:firstLine="0"/>
              <w:rPr>
                <w:rFonts w:ascii="宋体" w:hAnsi="宋体"/>
                <w:color w:val="auto"/>
                <w:szCs w:val="24"/>
                <w:highlight w:val="none"/>
              </w:rPr>
            </w:pPr>
            <w:r>
              <w:rPr>
                <w:rFonts w:hint="eastAsia" w:ascii="宋体" w:hAnsi="宋体"/>
                <w:color w:val="auto"/>
                <w:szCs w:val="24"/>
                <w:highlight w:val="none"/>
              </w:rPr>
              <w:t>3、支持选中一条规则类型，对应显示出该科室下所有的队列规则。</w:t>
            </w:r>
          </w:p>
          <w:p>
            <w:pPr>
              <w:pStyle w:val="130"/>
              <w:ind w:firstLine="0"/>
              <w:rPr>
                <w:rFonts w:ascii="宋体" w:hAnsi="宋体"/>
                <w:b/>
                <w:color w:val="auto"/>
                <w:szCs w:val="24"/>
                <w:highlight w:val="none"/>
              </w:rPr>
            </w:pPr>
            <w:r>
              <w:rPr>
                <w:rFonts w:hint="eastAsia" w:ascii="宋体" w:hAnsi="宋体"/>
                <w:b/>
                <w:color w:val="auto"/>
                <w:szCs w:val="24"/>
                <w:highlight w:val="none"/>
              </w:rPr>
              <w:t>（2）分诊管理</w:t>
            </w:r>
            <w:r>
              <w:rPr>
                <w:rFonts w:hint="eastAsia" w:ascii="宋体" w:hAnsi="宋体"/>
                <w:b/>
                <w:color w:val="auto"/>
                <w:szCs w:val="24"/>
                <w:highlight w:val="none"/>
              </w:rPr>
              <w:tab/>
            </w:r>
          </w:p>
          <w:p>
            <w:pPr>
              <w:pStyle w:val="130"/>
              <w:ind w:firstLine="0"/>
              <w:rPr>
                <w:rFonts w:ascii="宋体" w:hAnsi="宋体"/>
                <w:b/>
                <w:color w:val="auto"/>
                <w:szCs w:val="24"/>
                <w:highlight w:val="none"/>
              </w:rPr>
            </w:pPr>
            <w:r>
              <w:rPr>
                <w:rFonts w:hint="eastAsia" w:ascii="宋体" w:hAnsi="宋体"/>
                <w:b/>
                <w:color w:val="auto"/>
                <w:szCs w:val="24"/>
                <w:highlight w:val="none"/>
              </w:rPr>
              <w:t>分诊管理：</w:t>
            </w:r>
          </w:p>
          <w:p>
            <w:pPr>
              <w:pStyle w:val="130"/>
              <w:ind w:firstLine="0"/>
              <w:rPr>
                <w:rFonts w:ascii="宋体" w:hAnsi="宋体"/>
                <w:color w:val="auto"/>
                <w:szCs w:val="24"/>
                <w:highlight w:val="none"/>
              </w:rPr>
            </w:pPr>
            <w:r>
              <w:rPr>
                <w:rFonts w:hint="eastAsia" w:ascii="宋体" w:hAnsi="宋体"/>
                <w:color w:val="auto"/>
                <w:szCs w:val="24"/>
                <w:highlight w:val="none"/>
              </w:rPr>
              <w:t>1、支持分诊台对应的队列，包括就诊队列显示各队列的状况，支持分诊人员的队列操作，包括：分诊服务，队列调整，患者重叫等。</w:t>
            </w:r>
          </w:p>
          <w:p>
            <w:pPr>
              <w:pStyle w:val="130"/>
              <w:ind w:firstLine="0"/>
              <w:rPr>
                <w:rFonts w:ascii="宋体" w:hAnsi="宋体"/>
                <w:color w:val="auto"/>
                <w:szCs w:val="24"/>
                <w:highlight w:val="none"/>
              </w:rPr>
            </w:pPr>
            <w:r>
              <w:rPr>
                <w:rFonts w:hint="eastAsia" w:ascii="宋体" w:hAnsi="宋体"/>
                <w:color w:val="auto"/>
                <w:szCs w:val="24"/>
                <w:highlight w:val="none"/>
              </w:rPr>
              <w:t>2、支持自动/人工/强制分诊。</w:t>
            </w:r>
          </w:p>
          <w:p>
            <w:pPr>
              <w:pStyle w:val="130"/>
              <w:ind w:firstLine="0"/>
              <w:rPr>
                <w:rFonts w:ascii="宋体" w:hAnsi="宋体"/>
                <w:color w:val="auto"/>
                <w:szCs w:val="24"/>
                <w:highlight w:val="none"/>
              </w:rPr>
            </w:pPr>
            <w:r>
              <w:rPr>
                <w:rFonts w:hint="eastAsia" w:ascii="宋体" w:hAnsi="宋体"/>
                <w:color w:val="auto"/>
                <w:szCs w:val="24"/>
                <w:highlight w:val="none"/>
              </w:rPr>
              <w:t>3、支持根据配置，从队列中选择相应的患者，推入到叫号屏幕及语音系统。</w:t>
            </w:r>
          </w:p>
          <w:p>
            <w:pPr>
              <w:pStyle w:val="130"/>
              <w:ind w:firstLine="0"/>
              <w:rPr>
                <w:rFonts w:ascii="宋体" w:hAnsi="宋体"/>
                <w:color w:val="auto"/>
                <w:szCs w:val="24"/>
                <w:highlight w:val="none"/>
              </w:rPr>
            </w:pPr>
            <w:r>
              <w:rPr>
                <w:rFonts w:hint="eastAsia" w:ascii="宋体" w:hAnsi="宋体"/>
                <w:color w:val="auto"/>
                <w:szCs w:val="24"/>
                <w:highlight w:val="none"/>
              </w:rPr>
              <w:t>4、支持到诊/取消到诊，分诊/取消分诊,叫号/取消叫号。</w:t>
            </w:r>
          </w:p>
          <w:p>
            <w:pPr>
              <w:pStyle w:val="130"/>
              <w:ind w:firstLine="0"/>
              <w:rPr>
                <w:rFonts w:ascii="宋体" w:hAnsi="宋体"/>
                <w:color w:val="auto"/>
                <w:szCs w:val="24"/>
                <w:highlight w:val="none"/>
              </w:rPr>
            </w:pPr>
            <w:r>
              <w:rPr>
                <w:rFonts w:hint="eastAsia" w:ascii="宋体" w:hAnsi="宋体"/>
                <w:color w:val="auto"/>
                <w:szCs w:val="24"/>
                <w:highlight w:val="none"/>
              </w:rPr>
              <w:t>5、支持未挂号分诊。</w:t>
            </w:r>
          </w:p>
          <w:p>
            <w:pPr>
              <w:pStyle w:val="130"/>
              <w:ind w:firstLine="0"/>
              <w:rPr>
                <w:rFonts w:ascii="宋体" w:hAnsi="宋体"/>
                <w:color w:val="auto"/>
                <w:szCs w:val="24"/>
                <w:highlight w:val="none"/>
              </w:rPr>
            </w:pPr>
            <w:r>
              <w:rPr>
                <w:rFonts w:hint="eastAsia" w:ascii="宋体" w:hAnsi="宋体"/>
                <w:b/>
                <w:color w:val="auto"/>
                <w:szCs w:val="24"/>
                <w:highlight w:val="none"/>
              </w:rPr>
              <w:t>未挂号分诊：</w:t>
            </w:r>
            <w:r>
              <w:rPr>
                <w:rFonts w:hint="eastAsia" w:ascii="宋体" w:hAnsi="宋体"/>
                <w:color w:val="auto"/>
                <w:szCs w:val="24"/>
                <w:highlight w:val="none"/>
              </w:rPr>
              <w:t>支持未挂号分诊。</w:t>
            </w:r>
          </w:p>
          <w:p>
            <w:pPr>
              <w:pStyle w:val="130"/>
              <w:ind w:firstLine="0"/>
              <w:rPr>
                <w:rFonts w:ascii="宋体" w:hAnsi="宋体"/>
                <w:b/>
                <w:color w:val="auto"/>
                <w:szCs w:val="24"/>
                <w:highlight w:val="none"/>
              </w:rPr>
            </w:pPr>
            <w:r>
              <w:rPr>
                <w:rFonts w:hint="eastAsia" w:ascii="宋体" w:hAnsi="宋体"/>
                <w:b/>
                <w:color w:val="auto"/>
                <w:szCs w:val="24"/>
                <w:highlight w:val="none"/>
              </w:rPr>
              <w:t>门急诊工作站管理：</w:t>
            </w:r>
          </w:p>
          <w:p>
            <w:pPr>
              <w:pStyle w:val="130"/>
              <w:ind w:firstLine="0"/>
              <w:rPr>
                <w:rFonts w:ascii="宋体" w:hAnsi="宋体"/>
                <w:color w:val="auto"/>
                <w:szCs w:val="24"/>
                <w:highlight w:val="none"/>
              </w:rPr>
            </w:pPr>
            <w:r>
              <w:rPr>
                <w:rFonts w:hint="eastAsia" w:ascii="宋体" w:hAnsi="宋体"/>
                <w:color w:val="auto"/>
                <w:szCs w:val="24"/>
                <w:highlight w:val="none"/>
              </w:rPr>
              <w:t>1、支持门急诊工作站点管理。</w:t>
            </w:r>
          </w:p>
          <w:p>
            <w:pPr>
              <w:pStyle w:val="130"/>
              <w:ind w:firstLine="0"/>
              <w:rPr>
                <w:rFonts w:ascii="宋体" w:hAnsi="宋体"/>
                <w:color w:val="auto"/>
                <w:szCs w:val="24"/>
                <w:highlight w:val="none"/>
              </w:rPr>
            </w:pPr>
            <w:r>
              <w:rPr>
                <w:rFonts w:hint="eastAsia" w:ascii="宋体" w:hAnsi="宋体"/>
                <w:color w:val="auto"/>
                <w:szCs w:val="24"/>
                <w:highlight w:val="none"/>
              </w:rPr>
              <w:t>2、支持站点队列设置。</w:t>
            </w:r>
          </w:p>
          <w:p>
            <w:pPr>
              <w:pStyle w:val="130"/>
              <w:ind w:firstLine="0"/>
              <w:rPr>
                <w:rFonts w:ascii="宋体" w:hAnsi="宋体"/>
                <w:color w:val="auto"/>
                <w:szCs w:val="24"/>
                <w:highlight w:val="none"/>
              </w:rPr>
            </w:pPr>
            <w:r>
              <w:rPr>
                <w:rFonts w:hint="eastAsia" w:ascii="宋体" w:hAnsi="宋体"/>
                <w:color w:val="auto"/>
                <w:szCs w:val="24"/>
                <w:highlight w:val="none"/>
              </w:rPr>
              <w:t>3、支持站点详细信息查看。</w:t>
            </w:r>
          </w:p>
          <w:p>
            <w:pPr>
              <w:pStyle w:val="130"/>
              <w:ind w:firstLine="0"/>
              <w:rPr>
                <w:rFonts w:ascii="宋体" w:hAnsi="宋体"/>
                <w:color w:val="auto"/>
                <w:szCs w:val="24"/>
                <w:highlight w:val="none"/>
              </w:rPr>
            </w:pPr>
            <w:r>
              <w:rPr>
                <w:rFonts w:hint="eastAsia" w:ascii="宋体" w:hAnsi="宋体"/>
                <w:color w:val="auto"/>
                <w:szCs w:val="24"/>
                <w:highlight w:val="none"/>
              </w:rPr>
              <w:t>4、支持站点上线、下线设置。</w:t>
            </w:r>
          </w:p>
        </w:tc>
      </w:tr>
    </w:tbl>
    <w:p>
      <w:pPr>
        <w:pStyle w:val="8"/>
        <w:ind w:firstLine="480"/>
        <w:rPr>
          <w:rFonts w:ascii="宋体" w:hAnsi="宋体"/>
          <w:color w:val="auto"/>
          <w:szCs w:val="24"/>
          <w:highlight w:val="none"/>
        </w:rPr>
      </w:pPr>
    </w:p>
    <w:p>
      <w:pPr>
        <w:pStyle w:val="6"/>
        <w:numPr>
          <w:ilvl w:val="3"/>
          <w:numId w:val="8"/>
        </w:numPr>
        <w:spacing w:before="280" w:after="290" w:line="376" w:lineRule="auto"/>
        <w:rPr>
          <w:rFonts w:ascii="宋体" w:hAnsi="宋体"/>
          <w:color w:val="auto"/>
          <w:szCs w:val="24"/>
          <w:highlight w:val="none"/>
        </w:rPr>
      </w:pPr>
      <w:bookmarkStart w:id="590" w:name="_Toc8584"/>
      <w:r>
        <w:rPr>
          <w:rFonts w:hint="eastAsia" w:ascii="宋体" w:hAnsi="宋体"/>
          <w:color w:val="auto"/>
          <w:szCs w:val="24"/>
          <w:highlight w:val="none"/>
        </w:rPr>
        <w:t>急诊信息系统升级</w:t>
      </w:r>
      <w:bookmarkEnd w:id="590"/>
    </w:p>
    <w:p>
      <w:pPr>
        <w:pStyle w:val="8"/>
        <w:ind w:firstLine="480"/>
        <w:rPr>
          <w:rFonts w:ascii="宋体" w:hAnsi="宋体"/>
          <w:color w:val="auto"/>
          <w:szCs w:val="24"/>
          <w:highlight w:val="none"/>
        </w:rPr>
      </w:pPr>
      <w:r>
        <w:rPr>
          <w:rFonts w:hint="eastAsia" w:ascii="宋体" w:hAnsi="宋体"/>
          <w:color w:val="auto"/>
          <w:szCs w:val="24"/>
          <w:highlight w:val="none"/>
        </w:rPr>
        <w:t>以电子病历六级及互联互通5级乙等测评的要求对急诊信息系统进行改造升级，具体包括但不限于：</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6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blHeader/>
        </w:trPr>
        <w:tc>
          <w:tcPr>
            <w:tcW w:w="2153"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模块</w:t>
            </w:r>
          </w:p>
        </w:tc>
        <w:tc>
          <w:tcPr>
            <w:tcW w:w="6914"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olor w:val="auto"/>
                <w:sz w:val="24"/>
                <w:highlight w:val="none"/>
              </w:rPr>
              <w:t>急诊信息系统升级</w:t>
            </w:r>
          </w:p>
        </w:tc>
        <w:tc>
          <w:tcPr>
            <w:tcW w:w="6914"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数据集支持“电子病历基本数据集 第二部分：门（急）诊病历”的门急诊病历子集及急诊留观病历子集；符合“电子病历基本数据集 第3部分：门（急）诊处方”的西药处方子集及中药处方子集。</w:t>
            </w:r>
          </w:p>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支持提供符合“电子病历共享文档规范”门急诊病历、急诊留观病历、西药处方及中药处方的共享文档。</w:t>
            </w:r>
          </w:p>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支持C</w:t>
            </w:r>
            <w:r>
              <w:rPr>
                <w:rFonts w:ascii="宋体" w:hAnsi="宋体" w:eastAsia="宋体"/>
                <w:color w:val="auto"/>
                <w:spacing w:val="-4"/>
                <w:sz w:val="24"/>
                <w:highlight w:val="none"/>
                <w:lang w:eastAsia="zh-CN"/>
              </w:rPr>
              <w:t>A</w:t>
            </w:r>
            <w:r>
              <w:rPr>
                <w:rFonts w:hint="eastAsia" w:ascii="宋体" w:hAnsi="宋体" w:eastAsia="宋体"/>
                <w:color w:val="auto"/>
                <w:spacing w:val="-4"/>
                <w:sz w:val="24"/>
                <w:highlight w:val="none"/>
                <w:lang w:eastAsia="zh-CN"/>
              </w:rPr>
              <w:t>电子签名。</w:t>
            </w:r>
          </w:p>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急诊挂号收费系统、急诊临床信息系统、急诊收费系统支持接入平台。</w:t>
            </w:r>
          </w:p>
        </w:tc>
      </w:tr>
    </w:tbl>
    <w:p>
      <w:pPr>
        <w:pStyle w:val="6"/>
        <w:numPr>
          <w:ilvl w:val="3"/>
          <w:numId w:val="8"/>
        </w:numPr>
        <w:spacing w:before="280" w:after="290" w:line="376" w:lineRule="auto"/>
        <w:rPr>
          <w:rFonts w:ascii="宋体" w:hAnsi="宋体"/>
          <w:color w:val="auto"/>
          <w:szCs w:val="24"/>
          <w:highlight w:val="none"/>
        </w:rPr>
      </w:pPr>
      <w:bookmarkStart w:id="591" w:name="_Toc19923"/>
      <w:r>
        <w:rPr>
          <w:rFonts w:hint="eastAsia" w:ascii="宋体" w:hAnsi="宋体"/>
          <w:color w:val="auto"/>
          <w:szCs w:val="24"/>
          <w:highlight w:val="none"/>
        </w:rPr>
        <w:t>手术麻醉系统升级</w:t>
      </w:r>
      <w:bookmarkEnd w:id="591"/>
    </w:p>
    <w:p>
      <w:pPr>
        <w:pStyle w:val="8"/>
        <w:ind w:firstLine="480"/>
        <w:rPr>
          <w:rFonts w:ascii="宋体" w:hAnsi="宋体"/>
          <w:color w:val="auto"/>
          <w:szCs w:val="24"/>
          <w:highlight w:val="none"/>
        </w:rPr>
      </w:pPr>
      <w:r>
        <w:rPr>
          <w:rFonts w:hint="eastAsia" w:ascii="宋体" w:hAnsi="宋体"/>
          <w:color w:val="auto"/>
          <w:szCs w:val="24"/>
          <w:highlight w:val="none"/>
        </w:rPr>
        <w:t>以电子病历六级及互联互通5级乙等测评的要求对手术麻醉系统进行改造升级，具体包括但不限于：</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6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blHeader/>
        </w:trPr>
        <w:tc>
          <w:tcPr>
            <w:tcW w:w="2153"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模块</w:t>
            </w:r>
          </w:p>
        </w:tc>
        <w:tc>
          <w:tcPr>
            <w:tcW w:w="6914"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olor w:val="auto"/>
                <w:sz w:val="24"/>
                <w:highlight w:val="none"/>
              </w:rPr>
              <w:t>手术麻醉系统升级</w:t>
            </w:r>
          </w:p>
        </w:tc>
        <w:tc>
          <w:tcPr>
            <w:tcW w:w="6914"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支持手术申请与安排记录供全院使用</w:t>
            </w:r>
          </w:p>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支持支持麻醉医师查看手术安排记录并支持麻醉相关信息的修正完善</w:t>
            </w:r>
          </w:p>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支持能够提供手术准备、材料准备清单</w:t>
            </w:r>
          </w:p>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支持有全院统一的手术名称表、手术编码</w:t>
            </w:r>
          </w:p>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支持手术记录数据与手术安排衔接，成为医院统一医疗记录管理体系内容</w:t>
            </w:r>
          </w:p>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支持提供机读手段标识病人并提示部位、术式、麻醉方式的信息</w:t>
            </w:r>
          </w:p>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支持实现手术分级管理，具有针对手术医师的权限控制</w:t>
            </w:r>
          </w:p>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支持具有对手术全过程状态记录及在院内显示功能</w:t>
            </w:r>
          </w:p>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支持手术过程信息、手术物品清点与核对数据成为手术记录内容</w:t>
            </w:r>
          </w:p>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支持根据检查、检验结果、病人评估信息和知识库，对高风险手术能给出警示</w:t>
            </w:r>
          </w:p>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支持对于术前文档有完整性检查，并对问题给出提示</w:t>
            </w:r>
          </w:p>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支持麻醉记录供全院共享，提供其他系统数据接口</w:t>
            </w:r>
          </w:p>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支持提供1种以上自动风险评分功能</w:t>
            </w:r>
          </w:p>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支持麻醉记录数据纳入医院整体医疗记录</w:t>
            </w:r>
          </w:p>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支持能够判断麻醉过程中出现的非正常监测参数，并在麻醉记录单和相关图表中显示</w:t>
            </w:r>
          </w:p>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支持麻醉过程重要信息可全程进行记录和显示</w:t>
            </w:r>
          </w:p>
        </w:tc>
      </w:tr>
    </w:tbl>
    <w:p>
      <w:pPr>
        <w:pStyle w:val="8"/>
        <w:ind w:firstLine="480"/>
        <w:rPr>
          <w:rFonts w:ascii="宋体" w:hAnsi="宋体"/>
          <w:color w:val="auto"/>
          <w:szCs w:val="24"/>
          <w:highlight w:val="none"/>
        </w:rPr>
      </w:pPr>
    </w:p>
    <w:p>
      <w:pPr>
        <w:pStyle w:val="6"/>
        <w:numPr>
          <w:ilvl w:val="3"/>
          <w:numId w:val="8"/>
        </w:numPr>
        <w:spacing w:before="280" w:after="290" w:line="376" w:lineRule="auto"/>
        <w:rPr>
          <w:rFonts w:ascii="宋体" w:hAnsi="宋体"/>
          <w:color w:val="auto"/>
          <w:szCs w:val="24"/>
          <w:highlight w:val="none"/>
        </w:rPr>
      </w:pPr>
      <w:bookmarkStart w:id="592" w:name="_Toc24605"/>
      <w:r>
        <w:rPr>
          <w:rFonts w:hint="eastAsia" w:ascii="宋体" w:hAnsi="宋体"/>
          <w:color w:val="auto"/>
          <w:szCs w:val="24"/>
          <w:highlight w:val="none"/>
        </w:rPr>
        <w:t>重症监护室信息系统升级扩容</w:t>
      </w:r>
      <w:bookmarkEnd w:id="592"/>
    </w:p>
    <w:p>
      <w:pPr>
        <w:pStyle w:val="8"/>
        <w:ind w:firstLine="480"/>
        <w:rPr>
          <w:rFonts w:ascii="宋体" w:hAnsi="宋体"/>
          <w:color w:val="auto"/>
          <w:szCs w:val="24"/>
          <w:highlight w:val="none"/>
        </w:rPr>
      </w:pPr>
      <w:r>
        <w:rPr>
          <w:rFonts w:hint="eastAsia" w:ascii="宋体" w:hAnsi="宋体"/>
          <w:color w:val="auto"/>
          <w:szCs w:val="24"/>
          <w:highlight w:val="none"/>
        </w:rPr>
        <w:t>以电子病历六级及互联互通5级乙等测评的要求对重症监护室信息系统进行改造升级，具体包括但不限于：</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6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blHeader/>
        </w:trPr>
        <w:tc>
          <w:tcPr>
            <w:tcW w:w="2153"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模块</w:t>
            </w:r>
          </w:p>
        </w:tc>
        <w:tc>
          <w:tcPr>
            <w:tcW w:w="6914"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olor w:val="auto"/>
                <w:sz w:val="24"/>
                <w:highlight w:val="none"/>
              </w:rPr>
              <w:t>重症监护室信息系统升级扩容</w:t>
            </w:r>
          </w:p>
        </w:tc>
        <w:tc>
          <w:tcPr>
            <w:tcW w:w="6914" w:type="dxa"/>
            <w:vAlign w:val="center"/>
          </w:tcPr>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支持提供数据接口，能够将数据传送给全院应用</w:t>
            </w:r>
          </w:p>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支持提供1种以上风险评分功能</w:t>
            </w:r>
          </w:p>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支持监护数据纳入医院医疗记录统一管理</w:t>
            </w:r>
          </w:p>
          <w:p>
            <w:pPr>
              <w:pStyle w:val="201"/>
              <w:numPr>
                <w:ilvl w:val="0"/>
                <w:numId w:val="9"/>
              </w:numPr>
              <w:spacing w:before="6" w:line="360" w:lineRule="auto"/>
              <w:ind w:left="367"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支持监护获得的生理参数能够用于自动评分计算处理，根据知识库提供评估分析并给出警示。</w:t>
            </w:r>
          </w:p>
          <w:p>
            <w:pPr>
              <w:pStyle w:val="201"/>
              <w:numPr>
                <w:ilvl w:val="0"/>
                <w:numId w:val="9"/>
              </w:numPr>
              <w:spacing w:before="6" w:line="360" w:lineRule="auto"/>
              <w:ind w:right="105" w:rightChars="50" w:firstLine="466"/>
              <w:rPr>
                <w:rFonts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扩容内容：床位点数：29床；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53" w:type="dxa"/>
            <w:vAlign w:val="center"/>
          </w:tcPr>
          <w:p>
            <w:pPr>
              <w:autoSpaceDE w:val="0"/>
              <w:autoSpaceDN w:val="0"/>
              <w:spacing w:before="6" w:line="360" w:lineRule="auto"/>
              <w:ind w:left="105" w:leftChars="50" w:right="105" w:rightChars="50"/>
              <w:jc w:val="center"/>
              <w:rPr>
                <w:rFonts w:hint="eastAsia" w:ascii="宋体" w:hAnsi="宋体"/>
                <w:color w:val="auto"/>
                <w:sz w:val="24"/>
                <w:highlight w:val="none"/>
              </w:rPr>
            </w:pPr>
            <w:r>
              <w:rPr>
                <w:rFonts w:hint="eastAsia" w:ascii="宋体" w:hAnsi="宋体" w:eastAsia="宋体"/>
                <w:color w:val="auto"/>
                <w:spacing w:val="-4"/>
                <w:sz w:val="24"/>
                <w:highlight w:val="none"/>
                <w:lang w:eastAsia="zh-CN"/>
              </w:rPr>
              <w:t>移动推车7台</w:t>
            </w:r>
          </w:p>
        </w:tc>
        <w:tc>
          <w:tcPr>
            <w:tcW w:w="6914" w:type="dxa"/>
            <w:vAlign w:val="center"/>
          </w:tcPr>
          <w:p>
            <w:pPr>
              <w:pStyle w:val="201"/>
              <w:numPr>
                <w:ilvl w:val="0"/>
                <w:numId w:val="9"/>
              </w:numPr>
              <w:spacing w:before="6" w:line="360" w:lineRule="auto"/>
              <w:ind w:right="105" w:rightChars="50" w:firstLine="466"/>
              <w:rPr>
                <w:rFonts w:hint="eastAsia"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整车重量≤34kg。采用气缸升降方式，升降高度≥300mm。整车表面抑菌处理，方便清洁。整车线缆隐藏设计，车体无线缆外露。键盘抽屉式设计，整体外观象牙白。4寸超静音，防滑，防缠绕医疗级万向脚轮，2个脚轮带刹车功能。电脑嵌入式设计，酷睿interI7，内存≥8g，存储≥256gSSD（根据客户要求可做硬件配置升级）。外置天线，支持2.4g，5g双频网络，802.11 a/b/g/n/ac。外部接口拓展数量不少于USB2.0*1，USB3.0*2，RJ45*1,HDMI*1。内嵌式电池设计，电池容量≥230wh，满足10-12小时工作需求。充放电次数≥2000次，具有漏电保护，电击保护功能。支持电池扩展功能。显示屏尺寸≥21.5 IPS屏。支持水平360度旋转，仰角≥60度，俯角≥5度显示。支持显示器支架升降，升降范围0-50mm。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53" w:type="dxa"/>
            <w:vAlign w:val="center"/>
          </w:tcPr>
          <w:p>
            <w:pPr>
              <w:autoSpaceDE w:val="0"/>
              <w:autoSpaceDN w:val="0"/>
              <w:spacing w:before="6" w:line="360" w:lineRule="auto"/>
              <w:ind w:left="105" w:leftChars="50" w:right="105" w:rightChars="50"/>
              <w:jc w:val="center"/>
              <w:rPr>
                <w:rFonts w:hint="eastAsia"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中央站3台</w:t>
            </w:r>
          </w:p>
        </w:tc>
        <w:tc>
          <w:tcPr>
            <w:tcW w:w="6914" w:type="dxa"/>
            <w:vAlign w:val="center"/>
          </w:tcPr>
          <w:p>
            <w:pPr>
              <w:pStyle w:val="201"/>
              <w:numPr>
                <w:ilvl w:val="0"/>
                <w:numId w:val="9"/>
              </w:numPr>
              <w:spacing w:before="6" w:line="360" w:lineRule="auto"/>
              <w:ind w:right="105" w:rightChars="50" w:firstLine="466"/>
              <w:rPr>
                <w:rFonts w:hint="eastAsia"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 xml:space="preserve"> I5 -12500-8G-1TSSD 23.8寸 /</w:t>
            </w:r>
            <w:r>
              <w:rPr>
                <w:rFonts w:hint="eastAsia" w:ascii="宋体" w:hAnsi="宋体" w:eastAsia="宋体"/>
                <w:color w:val="auto"/>
                <w:spacing w:val="-4"/>
                <w:sz w:val="24"/>
                <w:highlight w:val="none"/>
                <w:lang w:val="en-US" w:eastAsia="zh-Hans"/>
              </w:rPr>
              <w:t>显示器</w:t>
            </w:r>
            <w:r>
              <w:rPr>
                <w:rFonts w:hint="eastAsia" w:ascii="宋体" w:hAnsi="宋体" w:eastAsia="宋体"/>
                <w:color w:val="auto"/>
                <w:spacing w:val="-4"/>
                <w:sz w:val="24"/>
                <w:highlight w:val="none"/>
                <w:lang w:eastAsia="zh-CN"/>
              </w:rPr>
              <w:t>3年质保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53" w:type="dxa"/>
            <w:vAlign w:val="center"/>
          </w:tcPr>
          <w:p>
            <w:pPr>
              <w:autoSpaceDE w:val="0"/>
              <w:autoSpaceDN w:val="0"/>
              <w:spacing w:before="6" w:line="360" w:lineRule="auto"/>
              <w:ind w:left="105" w:leftChars="50" w:right="105" w:rightChars="50"/>
              <w:jc w:val="center"/>
              <w:rPr>
                <w:rFonts w:hint="eastAsia"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A3打印机3台</w:t>
            </w:r>
          </w:p>
        </w:tc>
        <w:tc>
          <w:tcPr>
            <w:tcW w:w="6914" w:type="dxa"/>
            <w:vAlign w:val="center"/>
          </w:tcPr>
          <w:p>
            <w:pPr>
              <w:pStyle w:val="201"/>
              <w:numPr>
                <w:ilvl w:val="0"/>
                <w:numId w:val="9"/>
              </w:numPr>
              <w:spacing w:before="6" w:line="360" w:lineRule="auto"/>
              <w:ind w:right="105" w:rightChars="50" w:firstLine="466"/>
              <w:rPr>
                <w:rFonts w:hint="eastAsia"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最大打印幅面A3；最高分辨率1200×1200dpi</w:t>
            </w:r>
          </w:p>
          <w:p>
            <w:pPr>
              <w:pStyle w:val="201"/>
              <w:numPr>
                <w:ilvl w:val="0"/>
                <w:numId w:val="9"/>
              </w:numPr>
              <w:spacing w:before="6" w:line="360" w:lineRule="auto"/>
              <w:ind w:right="105" w:rightChars="50" w:firstLine="466"/>
              <w:rPr>
                <w:rFonts w:hint="eastAsia"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黑白A4打印速度35ppm；处理器750MHz,内存：256MB；自动双面打印；支持有线网络打印，连接方式 USB2.0+有线网络</w:t>
            </w:r>
          </w:p>
          <w:p>
            <w:pPr>
              <w:pStyle w:val="201"/>
              <w:numPr>
                <w:ilvl w:val="0"/>
                <w:numId w:val="9"/>
              </w:numPr>
              <w:spacing w:before="6" w:line="360" w:lineRule="auto"/>
              <w:ind w:right="105" w:rightChars="50" w:firstLine="466"/>
              <w:rPr>
                <w:rFonts w:hint="eastAsia" w:ascii="宋体" w:hAnsi="宋体" w:eastAsia="宋体"/>
                <w:color w:val="auto"/>
                <w:spacing w:val="-4"/>
                <w:sz w:val="24"/>
                <w:highlight w:val="none"/>
                <w:lang w:eastAsia="zh-CN"/>
              </w:rPr>
            </w:pPr>
            <w:r>
              <w:rPr>
                <w:rFonts w:hint="eastAsia" w:ascii="宋体" w:hAnsi="宋体" w:eastAsia="宋体"/>
                <w:color w:val="auto"/>
                <w:spacing w:val="-4"/>
                <w:sz w:val="24"/>
                <w:highlight w:val="none"/>
                <w:lang w:eastAsia="zh-CN"/>
              </w:rPr>
              <w:t>耗材类型鼓粉一体；硒鼓型号HP CZ192A，硒鼓寿命1.2万页</w:t>
            </w:r>
          </w:p>
        </w:tc>
      </w:tr>
    </w:tbl>
    <w:p>
      <w:pPr>
        <w:pStyle w:val="6"/>
        <w:numPr>
          <w:ilvl w:val="3"/>
          <w:numId w:val="8"/>
        </w:numPr>
        <w:spacing w:before="280" w:after="290" w:line="376" w:lineRule="auto"/>
        <w:rPr>
          <w:rFonts w:ascii="宋体" w:hAnsi="宋体"/>
          <w:color w:val="auto"/>
          <w:szCs w:val="24"/>
          <w:highlight w:val="none"/>
        </w:rPr>
      </w:pPr>
      <w:bookmarkStart w:id="593" w:name="_Toc1708"/>
      <w:r>
        <w:rPr>
          <w:rFonts w:hint="eastAsia" w:ascii="宋体" w:hAnsi="宋体"/>
          <w:color w:val="auto"/>
          <w:szCs w:val="24"/>
          <w:highlight w:val="none"/>
        </w:rPr>
        <w:t>消毒供应管理系统</w:t>
      </w:r>
      <w:bookmarkEnd w:id="593"/>
    </w:p>
    <w:p>
      <w:pPr>
        <w:pStyle w:val="8"/>
        <w:ind w:firstLine="480"/>
        <w:rPr>
          <w:rFonts w:ascii="宋体" w:hAnsi="宋体"/>
          <w:color w:val="auto"/>
          <w:szCs w:val="24"/>
          <w:highlight w:val="none"/>
        </w:rPr>
      </w:pPr>
      <w:r>
        <w:rPr>
          <w:rFonts w:hint="eastAsia" w:ascii="宋体" w:hAnsi="宋体"/>
          <w:color w:val="auto"/>
          <w:szCs w:val="24"/>
          <w:highlight w:val="none"/>
        </w:rPr>
        <w:t>为确保我院消毒供应追溯管理系统的延续性及高效稳定性，针对消毒供应追溯管理系统进行一年的维保。在维保期内供应商提供技术支持和指导，应用系统的局部改进完善，安排合格的技术工程师提供技术服务，以及现场问题解决。</w:t>
      </w:r>
    </w:p>
    <w:p>
      <w:pPr>
        <w:pStyle w:val="6"/>
        <w:numPr>
          <w:ilvl w:val="3"/>
          <w:numId w:val="8"/>
        </w:numPr>
        <w:spacing w:before="280" w:after="290" w:line="376" w:lineRule="auto"/>
        <w:rPr>
          <w:rFonts w:ascii="宋体" w:hAnsi="宋体"/>
          <w:color w:val="auto"/>
          <w:szCs w:val="24"/>
          <w:highlight w:val="none"/>
        </w:rPr>
      </w:pPr>
      <w:bookmarkStart w:id="594" w:name="_Toc20969"/>
      <w:r>
        <w:rPr>
          <w:rFonts w:hint="eastAsia" w:ascii="宋体" w:hAnsi="宋体"/>
          <w:color w:val="auto"/>
          <w:szCs w:val="24"/>
          <w:highlight w:val="none"/>
        </w:rPr>
        <w:t>挂号管理系统</w:t>
      </w:r>
      <w:bookmarkEnd w:id="594"/>
    </w:p>
    <w:p>
      <w:pPr>
        <w:pStyle w:val="8"/>
        <w:ind w:firstLine="480"/>
        <w:rPr>
          <w:rFonts w:ascii="宋体" w:hAnsi="宋体"/>
          <w:color w:val="auto"/>
          <w:szCs w:val="24"/>
          <w:highlight w:val="none"/>
        </w:rPr>
      </w:pPr>
      <w:r>
        <w:rPr>
          <w:rFonts w:hint="eastAsia" w:ascii="宋体" w:hAnsi="宋体"/>
          <w:color w:val="auto"/>
          <w:szCs w:val="24"/>
          <w:highlight w:val="none"/>
        </w:rPr>
        <w:t>系统需满足以下功能：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980" w:type="dxa"/>
            <w:shd w:val="clear" w:color="auto" w:fill="4471C4"/>
            <w:vAlign w:val="center"/>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功能模块</w:t>
            </w:r>
          </w:p>
        </w:tc>
        <w:tc>
          <w:tcPr>
            <w:tcW w:w="7087" w:type="dxa"/>
            <w:shd w:val="clear" w:color="auto" w:fill="4471C4"/>
            <w:vAlign w:val="center"/>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80" w:type="dxa"/>
            <w:vAlign w:val="center"/>
          </w:tcPr>
          <w:p>
            <w:pPr>
              <w:autoSpaceDE w:val="0"/>
              <w:autoSpaceDN w:val="0"/>
              <w:spacing w:line="360" w:lineRule="auto"/>
              <w:ind w:left="125" w:right="103" w:rightChars="49"/>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挂号管理系统</w:t>
            </w:r>
          </w:p>
        </w:tc>
        <w:tc>
          <w:tcPr>
            <w:tcW w:w="7087" w:type="dxa"/>
            <w:vAlign w:val="center"/>
          </w:tcPr>
          <w:p>
            <w:pPr>
              <w:pStyle w:val="130"/>
              <w:ind w:firstLine="0"/>
              <w:rPr>
                <w:rFonts w:ascii="宋体" w:hAnsi="宋体"/>
                <w:b/>
                <w:color w:val="auto"/>
                <w:szCs w:val="24"/>
                <w:highlight w:val="none"/>
              </w:rPr>
            </w:pPr>
            <w:r>
              <w:rPr>
                <w:rFonts w:hint="eastAsia" w:ascii="宋体" w:hAnsi="宋体"/>
                <w:b/>
                <w:color w:val="auto"/>
                <w:szCs w:val="24"/>
                <w:highlight w:val="none"/>
              </w:rPr>
              <w:t>（1）挂号</w:t>
            </w:r>
          </w:p>
          <w:p>
            <w:pPr>
              <w:pStyle w:val="130"/>
              <w:ind w:firstLine="0"/>
              <w:rPr>
                <w:rFonts w:ascii="宋体" w:hAnsi="宋体"/>
                <w:b/>
                <w:color w:val="auto"/>
                <w:szCs w:val="24"/>
                <w:highlight w:val="none"/>
              </w:rPr>
            </w:pPr>
            <w:r>
              <w:rPr>
                <w:rFonts w:hint="eastAsia" w:ascii="宋体" w:hAnsi="宋体"/>
                <w:b/>
                <w:color w:val="auto"/>
                <w:szCs w:val="24"/>
                <w:highlight w:val="none"/>
              </w:rPr>
              <w:t>门诊挂号：</w:t>
            </w:r>
          </w:p>
          <w:p>
            <w:pPr>
              <w:pStyle w:val="130"/>
              <w:ind w:firstLine="0"/>
              <w:rPr>
                <w:rFonts w:ascii="宋体" w:hAnsi="宋体"/>
                <w:color w:val="auto"/>
                <w:szCs w:val="24"/>
                <w:highlight w:val="none"/>
              </w:rPr>
            </w:pPr>
            <w:r>
              <w:rPr>
                <w:rFonts w:hint="eastAsia" w:ascii="宋体" w:hAnsi="宋体"/>
                <w:color w:val="auto"/>
                <w:szCs w:val="24"/>
                <w:highlight w:val="none"/>
              </w:rPr>
              <w:t>1、支持挂号窗口挂号。</w:t>
            </w:r>
          </w:p>
          <w:p>
            <w:pPr>
              <w:pStyle w:val="130"/>
              <w:ind w:firstLine="0"/>
              <w:rPr>
                <w:rFonts w:ascii="宋体" w:hAnsi="宋体"/>
                <w:color w:val="auto"/>
                <w:szCs w:val="24"/>
                <w:highlight w:val="none"/>
              </w:rPr>
            </w:pPr>
            <w:r>
              <w:rPr>
                <w:rFonts w:hint="eastAsia" w:ascii="宋体" w:hAnsi="宋体"/>
                <w:color w:val="auto"/>
                <w:szCs w:val="24"/>
                <w:highlight w:val="none"/>
              </w:rPr>
              <w:t>2、支持先注册后挂号，也支持注册挂号同步进行。</w:t>
            </w:r>
          </w:p>
          <w:p>
            <w:pPr>
              <w:pStyle w:val="130"/>
              <w:ind w:firstLine="0"/>
              <w:rPr>
                <w:rFonts w:ascii="宋体" w:hAnsi="宋体"/>
                <w:color w:val="auto"/>
                <w:szCs w:val="24"/>
                <w:highlight w:val="none"/>
              </w:rPr>
            </w:pPr>
            <w:r>
              <w:rPr>
                <w:rFonts w:hint="eastAsia" w:ascii="宋体" w:hAnsi="宋体"/>
                <w:color w:val="auto"/>
                <w:szCs w:val="24"/>
                <w:highlight w:val="none"/>
              </w:rPr>
              <w:t>3、支持条码、就诊卡、身份证、医保卡等进行挂号操作，支持身份证、医保卡信息读取采集，支持照片采集、显示。</w:t>
            </w:r>
          </w:p>
          <w:p>
            <w:pPr>
              <w:pStyle w:val="130"/>
              <w:ind w:firstLine="0"/>
              <w:rPr>
                <w:rFonts w:ascii="宋体" w:hAnsi="宋体"/>
                <w:color w:val="auto"/>
                <w:szCs w:val="24"/>
                <w:highlight w:val="none"/>
              </w:rPr>
            </w:pPr>
            <w:r>
              <w:rPr>
                <w:rFonts w:hint="eastAsia" w:ascii="宋体" w:hAnsi="宋体"/>
                <w:color w:val="auto"/>
                <w:szCs w:val="24"/>
                <w:highlight w:val="none"/>
              </w:rPr>
              <w:t>4、支持患者条码打印。</w:t>
            </w:r>
          </w:p>
          <w:p>
            <w:pPr>
              <w:pStyle w:val="130"/>
              <w:ind w:firstLine="0"/>
              <w:rPr>
                <w:rFonts w:ascii="宋体" w:hAnsi="宋体"/>
                <w:color w:val="auto"/>
                <w:szCs w:val="24"/>
                <w:highlight w:val="none"/>
              </w:rPr>
            </w:pPr>
            <w:r>
              <w:rPr>
                <w:rFonts w:hint="eastAsia" w:ascii="宋体" w:hAnsi="宋体"/>
                <w:color w:val="auto"/>
                <w:szCs w:val="24"/>
                <w:highlight w:val="none"/>
              </w:rPr>
              <w:t>5、支持分时段挂号，可分上下午、夜间门诊，在号条上打印挂号时间与预计就诊时段。</w:t>
            </w:r>
          </w:p>
          <w:p>
            <w:pPr>
              <w:pStyle w:val="130"/>
              <w:ind w:firstLine="0"/>
              <w:rPr>
                <w:rFonts w:ascii="宋体" w:hAnsi="宋体"/>
                <w:color w:val="auto"/>
                <w:szCs w:val="24"/>
                <w:highlight w:val="none"/>
              </w:rPr>
            </w:pPr>
            <w:r>
              <w:rPr>
                <w:rFonts w:hint="eastAsia" w:ascii="宋体" w:hAnsi="宋体"/>
                <w:color w:val="auto"/>
                <w:szCs w:val="24"/>
                <w:highlight w:val="none"/>
              </w:rPr>
              <w:t>6、支持现金、预交金、支付宝、微信、银行卡等挂号费支付方式。</w:t>
            </w:r>
          </w:p>
          <w:p>
            <w:pPr>
              <w:pStyle w:val="130"/>
              <w:ind w:firstLine="0"/>
              <w:rPr>
                <w:rFonts w:ascii="宋体" w:hAnsi="宋体"/>
                <w:color w:val="auto"/>
                <w:szCs w:val="24"/>
                <w:highlight w:val="none"/>
              </w:rPr>
            </w:pPr>
            <w:r>
              <w:rPr>
                <w:rFonts w:hint="eastAsia" w:ascii="宋体" w:hAnsi="宋体"/>
                <w:color w:val="auto"/>
                <w:szCs w:val="24"/>
                <w:highlight w:val="none"/>
              </w:rPr>
              <w:t>7、支持按科室、号别、排班快速定位号源，支持医生专长显示。</w:t>
            </w:r>
          </w:p>
          <w:p>
            <w:pPr>
              <w:pStyle w:val="130"/>
              <w:ind w:firstLine="0"/>
              <w:rPr>
                <w:rFonts w:ascii="宋体" w:hAnsi="宋体"/>
                <w:color w:val="auto"/>
                <w:szCs w:val="24"/>
                <w:highlight w:val="none"/>
              </w:rPr>
            </w:pPr>
            <w:r>
              <w:rPr>
                <w:rFonts w:hint="eastAsia" w:ascii="宋体" w:hAnsi="宋体"/>
                <w:color w:val="auto"/>
                <w:szCs w:val="24"/>
                <w:highlight w:val="none"/>
              </w:rPr>
              <w:t>8、支持号条、发票重打、补打。</w:t>
            </w:r>
          </w:p>
          <w:p>
            <w:pPr>
              <w:pStyle w:val="130"/>
              <w:ind w:firstLine="0"/>
              <w:rPr>
                <w:rFonts w:ascii="宋体" w:hAnsi="宋体"/>
                <w:b/>
                <w:color w:val="auto"/>
                <w:szCs w:val="24"/>
                <w:highlight w:val="none"/>
              </w:rPr>
            </w:pPr>
            <w:r>
              <w:rPr>
                <w:rFonts w:hint="eastAsia" w:ascii="宋体" w:hAnsi="宋体"/>
                <w:b/>
                <w:color w:val="auto"/>
                <w:szCs w:val="24"/>
                <w:highlight w:val="none"/>
              </w:rPr>
              <w:t>门诊换号：</w:t>
            </w:r>
          </w:p>
          <w:p>
            <w:pPr>
              <w:pStyle w:val="130"/>
              <w:ind w:firstLine="0"/>
              <w:rPr>
                <w:rFonts w:ascii="宋体" w:hAnsi="宋体"/>
                <w:color w:val="auto"/>
                <w:szCs w:val="24"/>
                <w:highlight w:val="none"/>
              </w:rPr>
            </w:pPr>
            <w:r>
              <w:rPr>
                <w:rFonts w:hint="eastAsia" w:ascii="宋体" w:hAnsi="宋体"/>
                <w:color w:val="auto"/>
                <w:szCs w:val="24"/>
                <w:highlight w:val="none"/>
              </w:rPr>
              <w:t>1、支持自费号换医保号。</w:t>
            </w:r>
          </w:p>
          <w:p>
            <w:pPr>
              <w:pStyle w:val="130"/>
              <w:ind w:firstLine="0"/>
              <w:rPr>
                <w:rFonts w:ascii="宋体" w:hAnsi="宋体"/>
                <w:color w:val="auto"/>
                <w:szCs w:val="24"/>
                <w:highlight w:val="none"/>
              </w:rPr>
            </w:pPr>
            <w:r>
              <w:rPr>
                <w:rFonts w:hint="eastAsia" w:ascii="宋体" w:hAnsi="宋体"/>
                <w:color w:val="auto"/>
                <w:szCs w:val="24"/>
                <w:highlight w:val="none"/>
              </w:rPr>
              <w:t>2、支持改变患者分类或价格分类，进行换号。</w:t>
            </w:r>
          </w:p>
          <w:p>
            <w:pPr>
              <w:pStyle w:val="130"/>
              <w:ind w:firstLine="0"/>
              <w:rPr>
                <w:rFonts w:ascii="宋体" w:hAnsi="宋体"/>
                <w:color w:val="auto"/>
                <w:szCs w:val="24"/>
                <w:highlight w:val="none"/>
              </w:rPr>
            </w:pPr>
            <w:r>
              <w:rPr>
                <w:rFonts w:hint="eastAsia" w:ascii="宋体" w:hAnsi="宋体"/>
                <w:color w:val="auto"/>
                <w:szCs w:val="24"/>
                <w:highlight w:val="none"/>
              </w:rPr>
              <w:t>3、支持按照新的分类，重新结算，补充或退还差价部分。</w:t>
            </w:r>
          </w:p>
          <w:p>
            <w:pPr>
              <w:pStyle w:val="130"/>
              <w:ind w:firstLine="0"/>
              <w:rPr>
                <w:rFonts w:ascii="宋体" w:hAnsi="宋体"/>
                <w:b/>
                <w:color w:val="auto"/>
                <w:szCs w:val="24"/>
                <w:highlight w:val="none"/>
              </w:rPr>
            </w:pPr>
            <w:r>
              <w:rPr>
                <w:rFonts w:hint="eastAsia" w:ascii="宋体" w:hAnsi="宋体"/>
                <w:b/>
                <w:color w:val="auto"/>
                <w:szCs w:val="24"/>
                <w:highlight w:val="none"/>
              </w:rPr>
              <w:t>门诊预约取号：</w:t>
            </w:r>
          </w:p>
          <w:p>
            <w:pPr>
              <w:pStyle w:val="130"/>
              <w:ind w:firstLine="0"/>
              <w:rPr>
                <w:rFonts w:ascii="宋体" w:hAnsi="宋体"/>
                <w:color w:val="auto"/>
                <w:szCs w:val="24"/>
                <w:highlight w:val="none"/>
              </w:rPr>
            </w:pPr>
            <w:r>
              <w:rPr>
                <w:rFonts w:hint="eastAsia" w:ascii="宋体" w:hAnsi="宋体"/>
                <w:color w:val="auto"/>
                <w:szCs w:val="24"/>
                <w:highlight w:val="none"/>
              </w:rPr>
              <w:t>1、支持单独门诊预约取号功能，也支持内嵌到挂号界面。</w:t>
            </w:r>
          </w:p>
          <w:p>
            <w:pPr>
              <w:pStyle w:val="130"/>
              <w:ind w:firstLine="0"/>
              <w:rPr>
                <w:rFonts w:ascii="宋体" w:hAnsi="宋体"/>
                <w:color w:val="auto"/>
                <w:szCs w:val="24"/>
                <w:highlight w:val="none"/>
              </w:rPr>
            </w:pPr>
            <w:r>
              <w:rPr>
                <w:rFonts w:hint="eastAsia" w:ascii="宋体" w:hAnsi="宋体"/>
                <w:color w:val="auto"/>
                <w:szCs w:val="24"/>
                <w:highlight w:val="none"/>
              </w:rPr>
              <w:t>2、支持号条打印，支持多种挂号支付方式。</w:t>
            </w:r>
          </w:p>
          <w:p>
            <w:pPr>
              <w:pStyle w:val="130"/>
              <w:ind w:firstLine="0"/>
              <w:rPr>
                <w:rFonts w:ascii="宋体" w:hAnsi="宋体"/>
                <w:color w:val="auto"/>
                <w:szCs w:val="24"/>
                <w:highlight w:val="none"/>
              </w:rPr>
            </w:pPr>
            <w:r>
              <w:rPr>
                <w:rFonts w:hint="eastAsia" w:ascii="宋体" w:hAnsi="宋体"/>
                <w:color w:val="auto"/>
                <w:szCs w:val="24"/>
                <w:highlight w:val="none"/>
              </w:rPr>
              <w:t>3、支持已付费/后付费预约取号。</w:t>
            </w:r>
          </w:p>
          <w:p>
            <w:pPr>
              <w:pStyle w:val="130"/>
              <w:ind w:firstLine="0"/>
              <w:rPr>
                <w:rFonts w:ascii="宋体" w:hAnsi="宋体"/>
                <w:b/>
                <w:color w:val="auto"/>
                <w:szCs w:val="24"/>
                <w:highlight w:val="none"/>
              </w:rPr>
            </w:pPr>
            <w:r>
              <w:rPr>
                <w:rFonts w:hint="eastAsia" w:ascii="宋体" w:hAnsi="宋体"/>
                <w:b/>
                <w:color w:val="auto"/>
                <w:szCs w:val="24"/>
                <w:highlight w:val="none"/>
              </w:rPr>
              <w:t>门诊退号：</w:t>
            </w:r>
          </w:p>
          <w:p>
            <w:pPr>
              <w:pStyle w:val="130"/>
              <w:ind w:firstLine="0"/>
              <w:rPr>
                <w:rFonts w:ascii="宋体" w:hAnsi="宋体"/>
                <w:color w:val="auto"/>
                <w:szCs w:val="24"/>
                <w:highlight w:val="none"/>
              </w:rPr>
            </w:pPr>
            <w:r>
              <w:rPr>
                <w:rFonts w:hint="eastAsia" w:ascii="宋体" w:hAnsi="宋体"/>
                <w:color w:val="auto"/>
                <w:szCs w:val="24"/>
                <w:highlight w:val="none"/>
              </w:rPr>
              <w:t>1、支持单独门急诊退号功能，也支持内嵌到挂号界面。</w:t>
            </w:r>
          </w:p>
          <w:p>
            <w:pPr>
              <w:pStyle w:val="130"/>
              <w:ind w:firstLine="0"/>
              <w:rPr>
                <w:rFonts w:ascii="宋体" w:hAnsi="宋体"/>
                <w:color w:val="auto"/>
                <w:szCs w:val="24"/>
                <w:highlight w:val="none"/>
              </w:rPr>
            </w:pPr>
            <w:r>
              <w:rPr>
                <w:rFonts w:hint="eastAsia" w:ascii="宋体" w:hAnsi="宋体"/>
                <w:color w:val="auto"/>
                <w:szCs w:val="24"/>
                <w:highlight w:val="none"/>
              </w:rPr>
              <w:t>2、支持退号、退费，支持多种退号支付方式。</w:t>
            </w:r>
          </w:p>
          <w:p>
            <w:pPr>
              <w:pStyle w:val="130"/>
              <w:ind w:firstLine="0"/>
              <w:rPr>
                <w:rFonts w:ascii="宋体" w:hAnsi="宋体"/>
                <w:b/>
                <w:color w:val="auto"/>
                <w:szCs w:val="24"/>
                <w:highlight w:val="none"/>
              </w:rPr>
            </w:pPr>
            <w:r>
              <w:rPr>
                <w:rFonts w:hint="eastAsia" w:ascii="宋体" w:hAnsi="宋体"/>
                <w:b/>
                <w:color w:val="auto"/>
                <w:szCs w:val="24"/>
                <w:highlight w:val="none"/>
              </w:rPr>
              <w:t>（2）挂号查询</w:t>
            </w:r>
            <w:r>
              <w:rPr>
                <w:rFonts w:hint="eastAsia" w:ascii="宋体" w:hAnsi="宋体"/>
                <w:b/>
                <w:color w:val="auto"/>
                <w:szCs w:val="24"/>
                <w:highlight w:val="none"/>
              </w:rPr>
              <w:tab/>
            </w:r>
          </w:p>
          <w:p>
            <w:pPr>
              <w:pStyle w:val="130"/>
              <w:ind w:firstLine="0"/>
              <w:rPr>
                <w:rFonts w:ascii="宋体" w:hAnsi="宋体"/>
                <w:color w:val="auto"/>
                <w:szCs w:val="24"/>
                <w:highlight w:val="none"/>
              </w:rPr>
            </w:pPr>
            <w:r>
              <w:rPr>
                <w:rFonts w:hint="eastAsia" w:ascii="宋体" w:hAnsi="宋体"/>
                <w:color w:val="auto"/>
                <w:szCs w:val="24"/>
                <w:highlight w:val="none"/>
              </w:rPr>
              <w:t>1、支持门诊挂号查询。</w:t>
            </w:r>
          </w:p>
          <w:p>
            <w:pPr>
              <w:pStyle w:val="130"/>
              <w:ind w:firstLine="0"/>
              <w:rPr>
                <w:rFonts w:ascii="宋体" w:hAnsi="宋体"/>
                <w:color w:val="auto"/>
                <w:szCs w:val="24"/>
                <w:highlight w:val="none"/>
              </w:rPr>
            </w:pPr>
            <w:r>
              <w:rPr>
                <w:rFonts w:hint="eastAsia" w:ascii="宋体" w:hAnsi="宋体"/>
                <w:color w:val="auto"/>
                <w:szCs w:val="24"/>
                <w:highlight w:val="none"/>
              </w:rPr>
              <w:t>2、支持按照挂号日期、就诊日期、就诊科室、挂号资源、号别、午别、挂号员、就诊状态、患者姓名、患者编码、发票好、患者分类、医保名称、联系电话、号源分类等进行查询和导出。</w:t>
            </w:r>
          </w:p>
          <w:p>
            <w:pPr>
              <w:pStyle w:val="201"/>
              <w:spacing w:before="0"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rPr>
              <w:t>3、支持号条重打。</w:t>
            </w:r>
          </w:p>
        </w:tc>
      </w:tr>
    </w:tbl>
    <w:p>
      <w:pPr>
        <w:pStyle w:val="8"/>
        <w:ind w:firstLine="480"/>
        <w:rPr>
          <w:rFonts w:ascii="宋体" w:hAnsi="宋体"/>
          <w:color w:val="auto"/>
          <w:szCs w:val="24"/>
          <w:highlight w:val="none"/>
        </w:rPr>
      </w:pPr>
    </w:p>
    <w:p>
      <w:pPr>
        <w:pStyle w:val="6"/>
        <w:numPr>
          <w:ilvl w:val="3"/>
          <w:numId w:val="8"/>
        </w:numPr>
        <w:spacing w:before="280" w:after="290" w:line="376" w:lineRule="auto"/>
        <w:rPr>
          <w:rFonts w:ascii="宋体" w:hAnsi="宋体"/>
          <w:color w:val="auto"/>
          <w:szCs w:val="24"/>
          <w:highlight w:val="none"/>
        </w:rPr>
      </w:pPr>
      <w:bookmarkStart w:id="595" w:name="_Toc28127"/>
      <w:r>
        <w:rPr>
          <w:rFonts w:hint="eastAsia" w:ascii="宋体" w:hAnsi="宋体"/>
          <w:color w:val="auto"/>
          <w:szCs w:val="24"/>
          <w:highlight w:val="none"/>
        </w:rPr>
        <w:t>门诊医生站</w:t>
      </w:r>
      <w:bookmarkEnd w:id="595"/>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门诊医生站需满足以下功能：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blHeader/>
        </w:trPr>
        <w:tc>
          <w:tcPr>
            <w:tcW w:w="1980" w:type="dxa"/>
            <w:shd w:val="clear" w:color="auto" w:fill="4471C4"/>
            <w:vAlign w:val="center"/>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系统</w:t>
            </w:r>
          </w:p>
        </w:tc>
        <w:tc>
          <w:tcPr>
            <w:tcW w:w="7087" w:type="dxa"/>
            <w:shd w:val="clear" w:color="auto" w:fill="4471C4"/>
            <w:vAlign w:val="center"/>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80" w:type="dxa"/>
            <w:vAlign w:val="center"/>
          </w:tcPr>
          <w:p>
            <w:pPr>
              <w:autoSpaceDE w:val="0"/>
              <w:autoSpaceDN w:val="0"/>
              <w:spacing w:line="360" w:lineRule="auto"/>
              <w:ind w:left="125" w:right="103" w:rightChars="49"/>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门诊医生站</w:t>
            </w:r>
          </w:p>
        </w:tc>
        <w:tc>
          <w:tcPr>
            <w:tcW w:w="7087" w:type="dxa"/>
            <w:vAlign w:val="center"/>
          </w:tcPr>
          <w:p>
            <w:pPr>
              <w:spacing w:line="360" w:lineRule="auto"/>
              <w:rPr>
                <w:rFonts w:ascii="宋体" w:hAnsi="宋体"/>
                <w:b/>
                <w:bCs/>
                <w:color w:val="auto"/>
                <w:sz w:val="24"/>
                <w:highlight w:val="none"/>
              </w:rPr>
            </w:pPr>
            <w:r>
              <w:rPr>
                <w:rFonts w:hint="eastAsia" w:ascii="宋体" w:hAnsi="宋体"/>
                <w:b/>
                <w:bCs/>
                <w:color w:val="auto"/>
                <w:sz w:val="24"/>
                <w:highlight w:val="none"/>
              </w:rPr>
              <w:t>（1）患者就诊</w:t>
            </w:r>
          </w:p>
          <w:p>
            <w:pPr>
              <w:spacing w:line="360" w:lineRule="auto"/>
              <w:rPr>
                <w:rFonts w:ascii="宋体" w:hAnsi="宋体"/>
                <w:color w:val="auto"/>
                <w:sz w:val="24"/>
                <w:highlight w:val="none"/>
              </w:rPr>
            </w:pPr>
            <w:r>
              <w:rPr>
                <w:rFonts w:hint="eastAsia" w:ascii="宋体" w:hAnsi="宋体"/>
                <w:b/>
                <w:bCs/>
                <w:color w:val="auto"/>
                <w:sz w:val="24"/>
                <w:highlight w:val="none"/>
              </w:rPr>
              <w:t>患者注册：</w:t>
            </w:r>
            <w:r>
              <w:rPr>
                <w:rFonts w:hint="eastAsia" w:ascii="宋体" w:hAnsi="宋体"/>
                <w:color w:val="auto"/>
                <w:sz w:val="24"/>
                <w:highlight w:val="none"/>
              </w:rPr>
              <w:t>支持患者基本信息、就诊卡、联系人等信息录入</w:t>
            </w:r>
          </w:p>
          <w:p>
            <w:pPr>
              <w:spacing w:line="360" w:lineRule="auto"/>
              <w:rPr>
                <w:rFonts w:ascii="宋体" w:hAnsi="宋体"/>
                <w:color w:val="auto"/>
                <w:sz w:val="24"/>
                <w:highlight w:val="none"/>
              </w:rPr>
            </w:pPr>
            <w:r>
              <w:rPr>
                <w:rFonts w:hint="eastAsia" w:ascii="宋体" w:hAnsi="宋体"/>
                <w:b/>
                <w:bCs/>
                <w:color w:val="auto"/>
                <w:sz w:val="24"/>
                <w:highlight w:val="none"/>
              </w:rPr>
              <w:t>挂号接诊：</w:t>
            </w:r>
            <w:r>
              <w:rPr>
                <w:rFonts w:hint="eastAsia" w:ascii="宋体" w:hAnsi="宋体"/>
                <w:color w:val="auto"/>
                <w:sz w:val="24"/>
                <w:highlight w:val="none"/>
              </w:rPr>
              <w:t>支持当前登录医生给患者挂本人、本科、本医疗组下当日的号，并且可选择患者分类、是否免费</w:t>
            </w:r>
          </w:p>
          <w:p>
            <w:pPr>
              <w:spacing w:line="360" w:lineRule="auto"/>
              <w:rPr>
                <w:rFonts w:ascii="宋体" w:hAnsi="宋体"/>
                <w:b/>
                <w:bCs/>
                <w:color w:val="auto"/>
                <w:sz w:val="24"/>
                <w:highlight w:val="none"/>
              </w:rPr>
            </w:pPr>
            <w:r>
              <w:rPr>
                <w:rFonts w:hint="eastAsia" w:ascii="宋体" w:hAnsi="宋体"/>
                <w:b/>
                <w:bCs/>
                <w:color w:val="auto"/>
                <w:sz w:val="24"/>
                <w:highlight w:val="none"/>
              </w:rPr>
              <w:t>诊间预约：</w:t>
            </w:r>
          </w:p>
          <w:p>
            <w:pPr>
              <w:spacing w:line="360" w:lineRule="auto"/>
              <w:rPr>
                <w:rFonts w:ascii="宋体" w:hAnsi="宋体"/>
                <w:color w:val="auto"/>
                <w:sz w:val="24"/>
                <w:highlight w:val="none"/>
              </w:rPr>
            </w:pPr>
            <w:r>
              <w:rPr>
                <w:rFonts w:hint="eastAsia" w:ascii="宋体" w:hAnsi="宋体"/>
                <w:color w:val="auto"/>
                <w:sz w:val="24"/>
                <w:highlight w:val="none"/>
              </w:rPr>
              <w:t>1、支持临床医生诊间预约。</w:t>
            </w:r>
          </w:p>
          <w:p>
            <w:pPr>
              <w:spacing w:line="360" w:lineRule="auto"/>
              <w:rPr>
                <w:rFonts w:ascii="宋体" w:hAnsi="宋体"/>
                <w:color w:val="auto"/>
                <w:sz w:val="24"/>
                <w:highlight w:val="none"/>
              </w:rPr>
            </w:pPr>
            <w:r>
              <w:rPr>
                <w:rFonts w:hint="eastAsia" w:ascii="宋体" w:hAnsi="宋体"/>
                <w:color w:val="auto"/>
                <w:sz w:val="24"/>
                <w:highlight w:val="none"/>
              </w:rPr>
              <w:t>2、支持预约本医生/其他医生，支持预约本科室/其他科室号源。</w:t>
            </w:r>
          </w:p>
          <w:p>
            <w:pPr>
              <w:spacing w:line="360" w:lineRule="auto"/>
              <w:rPr>
                <w:rFonts w:ascii="宋体" w:hAnsi="宋体"/>
                <w:b/>
                <w:bCs/>
                <w:color w:val="auto"/>
                <w:sz w:val="24"/>
                <w:highlight w:val="none"/>
              </w:rPr>
            </w:pPr>
            <w:r>
              <w:rPr>
                <w:rFonts w:hint="eastAsia" w:ascii="宋体" w:hAnsi="宋体"/>
                <w:b/>
                <w:bCs/>
                <w:color w:val="auto"/>
                <w:sz w:val="24"/>
                <w:highlight w:val="none"/>
              </w:rPr>
              <w:t>手术预约：</w:t>
            </w:r>
          </w:p>
          <w:p>
            <w:pPr>
              <w:spacing w:line="360" w:lineRule="auto"/>
              <w:rPr>
                <w:rFonts w:ascii="宋体" w:hAnsi="宋体"/>
                <w:color w:val="auto"/>
                <w:sz w:val="24"/>
                <w:highlight w:val="none"/>
              </w:rPr>
            </w:pPr>
            <w:r>
              <w:rPr>
                <w:rFonts w:hint="eastAsia" w:ascii="宋体" w:hAnsi="宋体"/>
                <w:color w:val="auto"/>
                <w:sz w:val="24"/>
                <w:highlight w:val="none"/>
              </w:rPr>
              <w:t>1、支持临床医生按照患者查询待预约记录，进行预约。</w:t>
            </w:r>
          </w:p>
          <w:p>
            <w:pPr>
              <w:spacing w:line="360" w:lineRule="auto"/>
              <w:rPr>
                <w:rFonts w:ascii="宋体" w:hAnsi="宋体"/>
                <w:color w:val="auto"/>
                <w:sz w:val="24"/>
                <w:highlight w:val="none"/>
              </w:rPr>
            </w:pPr>
            <w:r>
              <w:rPr>
                <w:rFonts w:hint="eastAsia" w:ascii="宋体" w:hAnsi="宋体"/>
                <w:color w:val="auto"/>
                <w:sz w:val="24"/>
                <w:highlight w:val="none"/>
              </w:rPr>
              <w:t>2、支持快捷预约和选号预约。</w:t>
            </w:r>
          </w:p>
          <w:p>
            <w:pPr>
              <w:spacing w:line="360" w:lineRule="auto"/>
              <w:rPr>
                <w:rFonts w:ascii="宋体" w:hAnsi="宋体"/>
                <w:b/>
                <w:bCs/>
                <w:color w:val="auto"/>
                <w:sz w:val="24"/>
                <w:highlight w:val="none"/>
              </w:rPr>
            </w:pPr>
            <w:r>
              <w:rPr>
                <w:rFonts w:hint="eastAsia" w:ascii="宋体" w:hAnsi="宋体"/>
                <w:b/>
                <w:bCs/>
                <w:color w:val="auto"/>
                <w:sz w:val="24"/>
                <w:highlight w:val="none"/>
              </w:rPr>
              <w:t>诊间加号：</w:t>
            </w:r>
          </w:p>
          <w:p>
            <w:pPr>
              <w:spacing w:line="360" w:lineRule="auto"/>
              <w:rPr>
                <w:rFonts w:ascii="宋体" w:hAnsi="宋体"/>
                <w:color w:val="auto"/>
                <w:sz w:val="24"/>
                <w:highlight w:val="none"/>
              </w:rPr>
            </w:pPr>
            <w:r>
              <w:rPr>
                <w:rFonts w:hint="eastAsia" w:ascii="宋体" w:hAnsi="宋体"/>
                <w:color w:val="auto"/>
                <w:sz w:val="24"/>
                <w:highlight w:val="none"/>
              </w:rPr>
              <w:t>1、支持诊间加号。</w:t>
            </w:r>
          </w:p>
          <w:p>
            <w:pPr>
              <w:spacing w:line="360" w:lineRule="auto"/>
              <w:rPr>
                <w:rFonts w:ascii="宋体" w:hAnsi="宋体"/>
                <w:color w:val="auto"/>
                <w:sz w:val="24"/>
                <w:highlight w:val="none"/>
              </w:rPr>
            </w:pPr>
            <w:r>
              <w:rPr>
                <w:rFonts w:hint="eastAsia" w:ascii="宋体" w:hAnsi="宋体"/>
                <w:color w:val="auto"/>
                <w:sz w:val="24"/>
                <w:highlight w:val="none"/>
              </w:rPr>
              <w:t>2、支持按患者加号，支持按总号源加号。</w:t>
            </w:r>
          </w:p>
          <w:p>
            <w:pPr>
              <w:spacing w:line="360" w:lineRule="auto"/>
              <w:rPr>
                <w:rFonts w:ascii="宋体" w:hAnsi="宋体"/>
                <w:b/>
                <w:bCs/>
                <w:color w:val="auto"/>
                <w:sz w:val="24"/>
                <w:highlight w:val="none"/>
              </w:rPr>
            </w:pPr>
            <w:r>
              <w:rPr>
                <w:rFonts w:hint="eastAsia" w:ascii="宋体" w:hAnsi="宋体"/>
                <w:b/>
                <w:bCs/>
                <w:color w:val="auto"/>
                <w:sz w:val="24"/>
                <w:highlight w:val="none"/>
              </w:rPr>
              <w:t>入院申请：</w:t>
            </w:r>
          </w:p>
          <w:p>
            <w:pPr>
              <w:spacing w:line="360" w:lineRule="auto"/>
              <w:rPr>
                <w:rFonts w:ascii="宋体" w:hAnsi="宋体"/>
                <w:color w:val="auto"/>
                <w:sz w:val="24"/>
                <w:highlight w:val="none"/>
              </w:rPr>
            </w:pPr>
            <w:r>
              <w:rPr>
                <w:rFonts w:hint="eastAsia" w:ascii="宋体" w:hAnsi="宋体"/>
                <w:color w:val="auto"/>
                <w:sz w:val="24"/>
                <w:highlight w:val="none"/>
              </w:rPr>
              <w:t>1、支持在已下诊断前提下，支持临床医生填写入院申请单。</w:t>
            </w:r>
          </w:p>
          <w:p>
            <w:pPr>
              <w:spacing w:line="360" w:lineRule="auto"/>
              <w:rPr>
                <w:rFonts w:ascii="宋体" w:hAnsi="宋体"/>
                <w:color w:val="auto"/>
                <w:sz w:val="24"/>
                <w:highlight w:val="none"/>
              </w:rPr>
            </w:pPr>
            <w:r>
              <w:rPr>
                <w:rFonts w:hint="eastAsia" w:ascii="宋体" w:hAnsi="宋体"/>
                <w:color w:val="auto"/>
                <w:sz w:val="24"/>
                <w:highlight w:val="none"/>
              </w:rPr>
              <w:t>2、支持入院申请单打印。</w:t>
            </w:r>
          </w:p>
          <w:p>
            <w:pPr>
              <w:spacing w:line="360" w:lineRule="auto"/>
              <w:rPr>
                <w:rFonts w:ascii="宋体" w:hAnsi="宋体"/>
                <w:color w:val="auto"/>
                <w:sz w:val="24"/>
                <w:highlight w:val="none"/>
              </w:rPr>
            </w:pPr>
            <w:r>
              <w:rPr>
                <w:rFonts w:hint="eastAsia" w:ascii="宋体" w:hAnsi="宋体"/>
                <w:color w:val="auto"/>
                <w:sz w:val="24"/>
                <w:highlight w:val="none"/>
              </w:rPr>
              <w:t>3、支持撤销入院申请。</w:t>
            </w:r>
          </w:p>
          <w:p>
            <w:pPr>
              <w:spacing w:line="360" w:lineRule="auto"/>
              <w:rPr>
                <w:rFonts w:ascii="宋体" w:hAnsi="宋体"/>
                <w:b/>
                <w:bCs/>
                <w:color w:val="auto"/>
                <w:sz w:val="24"/>
                <w:highlight w:val="none"/>
              </w:rPr>
            </w:pPr>
            <w:r>
              <w:rPr>
                <w:rFonts w:hint="eastAsia" w:ascii="宋体" w:hAnsi="宋体"/>
                <w:b/>
                <w:bCs/>
                <w:color w:val="auto"/>
                <w:sz w:val="24"/>
                <w:highlight w:val="none"/>
              </w:rPr>
              <w:t>留观申请：</w:t>
            </w:r>
          </w:p>
          <w:p>
            <w:pPr>
              <w:spacing w:line="360" w:lineRule="auto"/>
              <w:rPr>
                <w:rFonts w:ascii="宋体" w:hAnsi="宋体"/>
                <w:color w:val="auto"/>
                <w:sz w:val="24"/>
                <w:highlight w:val="none"/>
              </w:rPr>
            </w:pPr>
            <w:r>
              <w:rPr>
                <w:rFonts w:hint="eastAsia" w:ascii="宋体" w:hAnsi="宋体"/>
                <w:color w:val="auto"/>
                <w:sz w:val="24"/>
                <w:highlight w:val="none"/>
              </w:rPr>
              <w:t>1、支持在已下诊断前提下，支持临床医生填写留观申请单。</w:t>
            </w:r>
          </w:p>
          <w:p>
            <w:pPr>
              <w:spacing w:line="360" w:lineRule="auto"/>
              <w:rPr>
                <w:rFonts w:ascii="宋体" w:hAnsi="宋体"/>
                <w:color w:val="auto"/>
                <w:sz w:val="24"/>
                <w:highlight w:val="none"/>
              </w:rPr>
            </w:pPr>
            <w:r>
              <w:rPr>
                <w:rFonts w:hint="eastAsia" w:ascii="宋体" w:hAnsi="宋体"/>
                <w:color w:val="auto"/>
                <w:sz w:val="24"/>
                <w:highlight w:val="none"/>
              </w:rPr>
              <w:t>2、支持留观申请单打印。</w:t>
            </w:r>
          </w:p>
          <w:p>
            <w:pPr>
              <w:spacing w:line="360" w:lineRule="auto"/>
              <w:rPr>
                <w:rFonts w:ascii="宋体" w:hAnsi="宋体"/>
                <w:color w:val="auto"/>
                <w:sz w:val="24"/>
                <w:highlight w:val="none"/>
              </w:rPr>
            </w:pPr>
            <w:r>
              <w:rPr>
                <w:rFonts w:hint="eastAsia" w:ascii="宋体" w:hAnsi="宋体"/>
                <w:b/>
                <w:bCs/>
                <w:color w:val="auto"/>
                <w:sz w:val="24"/>
                <w:highlight w:val="none"/>
              </w:rPr>
              <w:t>患者叫号：</w:t>
            </w:r>
            <w:r>
              <w:rPr>
                <w:rFonts w:hint="eastAsia" w:ascii="宋体" w:hAnsi="宋体"/>
                <w:color w:val="auto"/>
                <w:sz w:val="24"/>
                <w:highlight w:val="none"/>
              </w:rPr>
              <w:t>支持临床医生对候诊列表的患者叫号。</w:t>
            </w:r>
          </w:p>
          <w:p>
            <w:pPr>
              <w:spacing w:line="360" w:lineRule="auto"/>
              <w:rPr>
                <w:rFonts w:ascii="宋体" w:hAnsi="宋体"/>
                <w:color w:val="auto"/>
                <w:sz w:val="24"/>
                <w:highlight w:val="none"/>
              </w:rPr>
            </w:pPr>
            <w:r>
              <w:rPr>
                <w:rFonts w:hint="eastAsia" w:ascii="宋体" w:hAnsi="宋体"/>
                <w:b/>
                <w:bCs/>
                <w:color w:val="auto"/>
                <w:sz w:val="24"/>
                <w:highlight w:val="none"/>
              </w:rPr>
              <w:t>患者档案维护：</w:t>
            </w:r>
            <w:r>
              <w:rPr>
                <w:rFonts w:hint="eastAsia" w:ascii="宋体" w:hAnsi="宋体"/>
                <w:color w:val="auto"/>
                <w:sz w:val="24"/>
                <w:highlight w:val="none"/>
              </w:rPr>
              <w:t>支持临床医生对者基本信息档案填写修改，如患者证件号（军人证、出生证、护照）、手机号、住址、联系人、体征信息等。</w:t>
            </w:r>
          </w:p>
          <w:p>
            <w:pPr>
              <w:spacing w:line="360" w:lineRule="auto"/>
              <w:rPr>
                <w:rFonts w:ascii="宋体" w:hAnsi="宋体"/>
                <w:color w:val="auto"/>
                <w:sz w:val="24"/>
                <w:highlight w:val="none"/>
              </w:rPr>
            </w:pPr>
            <w:r>
              <w:rPr>
                <w:rFonts w:hint="eastAsia" w:ascii="宋体" w:hAnsi="宋体"/>
                <w:b/>
                <w:bCs/>
                <w:color w:val="auto"/>
                <w:sz w:val="24"/>
                <w:highlight w:val="none"/>
              </w:rPr>
              <w:t>代办人维护：</w:t>
            </w:r>
            <w:r>
              <w:rPr>
                <w:rFonts w:hint="eastAsia" w:ascii="宋体" w:hAnsi="宋体"/>
                <w:color w:val="auto"/>
                <w:sz w:val="24"/>
                <w:highlight w:val="none"/>
              </w:rPr>
              <w:t>支持临床医生选择其中一个联系人设置为代办人。</w:t>
            </w:r>
          </w:p>
          <w:p>
            <w:pPr>
              <w:spacing w:line="360" w:lineRule="auto"/>
              <w:rPr>
                <w:rFonts w:ascii="宋体" w:hAnsi="宋体"/>
                <w:color w:val="auto"/>
                <w:sz w:val="24"/>
                <w:highlight w:val="none"/>
              </w:rPr>
            </w:pPr>
            <w:r>
              <w:rPr>
                <w:rFonts w:hint="eastAsia" w:ascii="宋体" w:hAnsi="宋体"/>
                <w:b/>
                <w:bCs/>
                <w:color w:val="auto"/>
                <w:sz w:val="24"/>
                <w:highlight w:val="none"/>
              </w:rPr>
              <w:t>患者就诊状况维护：</w:t>
            </w:r>
            <w:r>
              <w:rPr>
                <w:rFonts w:hint="eastAsia" w:ascii="宋体" w:hAnsi="宋体"/>
                <w:color w:val="auto"/>
                <w:sz w:val="24"/>
                <w:highlight w:val="none"/>
              </w:rPr>
              <w:t>支持临床医生对患者状况设置，并且就诊状况标识显示在患者信息栏中。</w:t>
            </w:r>
          </w:p>
          <w:p>
            <w:pPr>
              <w:spacing w:line="360" w:lineRule="auto"/>
              <w:rPr>
                <w:rFonts w:ascii="宋体" w:hAnsi="宋体"/>
                <w:color w:val="auto"/>
                <w:sz w:val="24"/>
                <w:highlight w:val="none"/>
              </w:rPr>
            </w:pPr>
            <w:r>
              <w:rPr>
                <w:rFonts w:hint="eastAsia" w:ascii="宋体" w:hAnsi="宋体"/>
                <w:b/>
                <w:bCs/>
                <w:color w:val="auto"/>
                <w:sz w:val="24"/>
                <w:highlight w:val="none"/>
              </w:rPr>
              <w:t>患者过敏史维护：</w:t>
            </w:r>
            <w:r>
              <w:rPr>
                <w:rFonts w:hint="eastAsia" w:ascii="宋体" w:hAnsi="宋体"/>
                <w:color w:val="auto"/>
                <w:sz w:val="24"/>
                <w:highlight w:val="none"/>
              </w:rPr>
              <w:t>支持临床医生对患者过敏史新增保存，并且过敏信息显示在患者信息栏中。</w:t>
            </w:r>
          </w:p>
          <w:p>
            <w:pPr>
              <w:spacing w:line="360" w:lineRule="auto"/>
              <w:rPr>
                <w:rFonts w:ascii="宋体" w:hAnsi="宋体"/>
                <w:color w:val="auto"/>
                <w:sz w:val="24"/>
                <w:highlight w:val="none"/>
              </w:rPr>
            </w:pPr>
            <w:r>
              <w:rPr>
                <w:rFonts w:hint="eastAsia" w:ascii="宋体" w:hAnsi="宋体"/>
                <w:b/>
                <w:bCs/>
                <w:color w:val="auto"/>
                <w:sz w:val="24"/>
                <w:highlight w:val="none"/>
              </w:rPr>
              <w:t>患者生理状态维护：</w:t>
            </w:r>
            <w:r>
              <w:rPr>
                <w:rFonts w:hint="eastAsia" w:ascii="宋体" w:hAnsi="宋体"/>
                <w:color w:val="auto"/>
                <w:sz w:val="24"/>
                <w:highlight w:val="none"/>
              </w:rPr>
              <w:t>支持临床医生对患者生理状态新增保存，并且生理状态信息显示在患者信息栏中。</w:t>
            </w:r>
          </w:p>
          <w:p>
            <w:pPr>
              <w:spacing w:line="360" w:lineRule="auto"/>
              <w:rPr>
                <w:rFonts w:ascii="宋体" w:hAnsi="宋体"/>
                <w:b/>
                <w:bCs/>
                <w:color w:val="auto"/>
                <w:sz w:val="24"/>
                <w:highlight w:val="none"/>
              </w:rPr>
            </w:pPr>
            <w:r>
              <w:rPr>
                <w:rFonts w:hint="eastAsia" w:ascii="宋体" w:hAnsi="宋体"/>
                <w:b/>
                <w:bCs/>
                <w:color w:val="auto"/>
                <w:sz w:val="24"/>
                <w:highlight w:val="none"/>
              </w:rPr>
              <w:t>（2）门诊医嘱</w:t>
            </w:r>
          </w:p>
          <w:p>
            <w:pPr>
              <w:spacing w:line="360" w:lineRule="auto"/>
              <w:rPr>
                <w:rFonts w:ascii="宋体" w:hAnsi="宋体"/>
                <w:b/>
                <w:bCs/>
                <w:color w:val="auto"/>
                <w:sz w:val="24"/>
                <w:highlight w:val="none"/>
              </w:rPr>
            </w:pPr>
            <w:r>
              <w:rPr>
                <w:rFonts w:hint="eastAsia" w:ascii="宋体" w:hAnsi="宋体"/>
                <w:b/>
                <w:bCs/>
                <w:color w:val="auto"/>
                <w:sz w:val="24"/>
                <w:highlight w:val="none"/>
              </w:rPr>
              <w:t>医嘱录入：</w:t>
            </w:r>
          </w:p>
          <w:p>
            <w:pPr>
              <w:spacing w:line="360" w:lineRule="auto"/>
              <w:rPr>
                <w:rFonts w:ascii="宋体" w:hAnsi="宋体"/>
                <w:color w:val="auto"/>
                <w:sz w:val="24"/>
                <w:highlight w:val="none"/>
              </w:rPr>
            </w:pPr>
            <w:r>
              <w:rPr>
                <w:rFonts w:hint="eastAsia" w:ascii="宋体" w:hAnsi="宋体"/>
                <w:color w:val="auto"/>
                <w:sz w:val="24"/>
                <w:highlight w:val="none"/>
              </w:rPr>
              <w:t>1、支持西药、草药开立。</w:t>
            </w:r>
          </w:p>
          <w:p>
            <w:pPr>
              <w:spacing w:line="360" w:lineRule="auto"/>
              <w:rPr>
                <w:rFonts w:ascii="宋体" w:hAnsi="宋体"/>
                <w:color w:val="auto"/>
                <w:sz w:val="24"/>
                <w:highlight w:val="none"/>
              </w:rPr>
            </w:pPr>
            <w:r>
              <w:rPr>
                <w:rFonts w:hint="eastAsia" w:ascii="宋体" w:hAnsi="宋体"/>
                <w:color w:val="auto"/>
                <w:sz w:val="24"/>
                <w:highlight w:val="none"/>
              </w:rPr>
              <w:t>①支持成组药开立，支持自动分方和重新分方。</w:t>
            </w:r>
          </w:p>
          <w:p>
            <w:pPr>
              <w:spacing w:line="360" w:lineRule="auto"/>
              <w:rPr>
                <w:rFonts w:ascii="宋体" w:hAnsi="宋体"/>
                <w:color w:val="auto"/>
                <w:sz w:val="24"/>
                <w:highlight w:val="none"/>
              </w:rPr>
            </w:pPr>
            <w:r>
              <w:rPr>
                <w:rFonts w:hint="eastAsia" w:ascii="宋体" w:hAnsi="宋体"/>
                <w:color w:val="auto"/>
                <w:sz w:val="24"/>
                <w:highlight w:val="none"/>
              </w:rPr>
              <w:t>②支持按天数、按总量开立。</w:t>
            </w:r>
          </w:p>
          <w:p>
            <w:pPr>
              <w:spacing w:line="360" w:lineRule="auto"/>
              <w:rPr>
                <w:rFonts w:ascii="宋体" w:hAnsi="宋体"/>
                <w:color w:val="auto"/>
                <w:sz w:val="24"/>
                <w:highlight w:val="none"/>
              </w:rPr>
            </w:pPr>
            <w:r>
              <w:rPr>
                <w:rFonts w:hint="eastAsia" w:ascii="宋体" w:hAnsi="宋体"/>
                <w:color w:val="auto"/>
                <w:sz w:val="24"/>
                <w:highlight w:val="none"/>
              </w:rPr>
              <w:t>③支持外配药、自备药、皮试药开立。</w:t>
            </w:r>
          </w:p>
          <w:p>
            <w:pPr>
              <w:spacing w:line="360" w:lineRule="auto"/>
              <w:rPr>
                <w:rFonts w:ascii="宋体" w:hAnsi="宋体"/>
                <w:color w:val="auto"/>
                <w:sz w:val="24"/>
                <w:highlight w:val="none"/>
              </w:rPr>
            </w:pPr>
            <w:r>
              <w:rPr>
                <w:rFonts w:hint="eastAsia" w:ascii="宋体" w:hAnsi="宋体"/>
                <w:color w:val="auto"/>
                <w:sz w:val="24"/>
                <w:highlight w:val="none"/>
              </w:rPr>
              <w:t>2、支持检验、检查开立。</w:t>
            </w:r>
          </w:p>
          <w:p>
            <w:pPr>
              <w:spacing w:line="360" w:lineRule="auto"/>
              <w:rPr>
                <w:rFonts w:ascii="宋体" w:hAnsi="宋体"/>
                <w:color w:val="auto"/>
                <w:sz w:val="24"/>
                <w:highlight w:val="none"/>
              </w:rPr>
            </w:pPr>
            <w:r>
              <w:rPr>
                <w:rFonts w:hint="eastAsia" w:ascii="宋体" w:hAnsi="宋体"/>
                <w:color w:val="auto"/>
                <w:sz w:val="24"/>
                <w:highlight w:val="none"/>
              </w:rPr>
              <w:t>①支持检查、检验申请单开立。</w:t>
            </w:r>
          </w:p>
          <w:p>
            <w:pPr>
              <w:spacing w:line="360" w:lineRule="auto"/>
              <w:rPr>
                <w:rFonts w:ascii="宋体" w:hAnsi="宋体"/>
                <w:color w:val="auto"/>
                <w:sz w:val="24"/>
                <w:highlight w:val="none"/>
              </w:rPr>
            </w:pPr>
            <w:r>
              <w:rPr>
                <w:rFonts w:hint="eastAsia" w:ascii="宋体" w:hAnsi="宋体"/>
                <w:color w:val="auto"/>
                <w:sz w:val="24"/>
                <w:highlight w:val="none"/>
              </w:rPr>
              <w:t>②支持多次执行、多剂量检查、检验开立。</w:t>
            </w:r>
          </w:p>
          <w:p>
            <w:pPr>
              <w:spacing w:line="360" w:lineRule="auto"/>
              <w:rPr>
                <w:rFonts w:ascii="宋体" w:hAnsi="宋体"/>
                <w:color w:val="auto"/>
                <w:sz w:val="24"/>
                <w:highlight w:val="none"/>
              </w:rPr>
            </w:pPr>
            <w:r>
              <w:rPr>
                <w:rFonts w:hint="eastAsia" w:ascii="宋体" w:hAnsi="宋体"/>
                <w:color w:val="auto"/>
                <w:sz w:val="24"/>
                <w:highlight w:val="none"/>
              </w:rPr>
              <w:t>③支持按服务分类或服务项目定制医疗单和申请单。</w:t>
            </w:r>
          </w:p>
          <w:p>
            <w:pPr>
              <w:spacing w:line="360" w:lineRule="auto"/>
              <w:rPr>
                <w:rFonts w:ascii="宋体" w:hAnsi="宋体"/>
                <w:color w:val="auto"/>
                <w:sz w:val="24"/>
                <w:highlight w:val="none"/>
              </w:rPr>
            </w:pPr>
            <w:r>
              <w:rPr>
                <w:rFonts w:hint="eastAsia" w:ascii="宋体" w:hAnsi="宋体"/>
                <w:color w:val="auto"/>
                <w:sz w:val="24"/>
                <w:highlight w:val="none"/>
              </w:rPr>
              <w:t>3支持诊疗项目开立。</w:t>
            </w:r>
          </w:p>
          <w:p>
            <w:pPr>
              <w:spacing w:line="360" w:lineRule="auto"/>
              <w:rPr>
                <w:rFonts w:ascii="宋体" w:hAnsi="宋体"/>
                <w:color w:val="auto"/>
                <w:sz w:val="24"/>
                <w:highlight w:val="none"/>
              </w:rPr>
            </w:pPr>
            <w:r>
              <w:rPr>
                <w:rFonts w:hint="eastAsia" w:ascii="宋体" w:hAnsi="宋体"/>
                <w:color w:val="auto"/>
                <w:sz w:val="24"/>
                <w:highlight w:val="none"/>
              </w:rPr>
              <w:t>①支持诊疗申请单开立。</w:t>
            </w:r>
          </w:p>
          <w:p>
            <w:pPr>
              <w:spacing w:line="360" w:lineRule="auto"/>
              <w:rPr>
                <w:rFonts w:ascii="宋体" w:hAnsi="宋体"/>
                <w:color w:val="auto"/>
                <w:sz w:val="24"/>
                <w:highlight w:val="none"/>
              </w:rPr>
            </w:pPr>
            <w:r>
              <w:rPr>
                <w:rFonts w:hint="eastAsia" w:ascii="宋体" w:hAnsi="宋体"/>
                <w:color w:val="auto"/>
                <w:sz w:val="24"/>
                <w:highlight w:val="none"/>
              </w:rPr>
              <w:t>②支持多次执行、多剂量诊疗服务开立。</w:t>
            </w:r>
          </w:p>
          <w:p>
            <w:pPr>
              <w:spacing w:line="360" w:lineRule="auto"/>
              <w:rPr>
                <w:rFonts w:ascii="宋体" w:hAnsi="宋体"/>
                <w:color w:val="auto"/>
                <w:sz w:val="24"/>
                <w:highlight w:val="none"/>
              </w:rPr>
            </w:pPr>
            <w:r>
              <w:rPr>
                <w:rFonts w:hint="eastAsia" w:ascii="宋体" w:hAnsi="宋体"/>
                <w:color w:val="auto"/>
                <w:sz w:val="24"/>
                <w:highlight w:val="none"/>
              </w:rPr>
              <w:t>4、支持手术、备血/用血、病理、会诊、嘱托处置开立。</w:t>
            </w:r>
          </w:p>
          <w:p>
            <w:pPr>
              <w:spacing w:line="360" w:lineRule="auto"/>
              <w:rPr>
                <w:rFonts w:ascii="宋体" w:hAnsi="宋体"/>
                <w:color w:val="auto"/>
                <w:sz w:val="24"/>
                <w:highlight w:val="none"/>
              </w:rPr>
            </w:pPr>
            <w:r>
              <w:rPr>
                <w:rFonts w:hint="eastAsia" w:ascii="宋体" w:hAnsi="宋体"/>
                <w:color w:val="auto"/>
                <w:sz w:val="24"/>
                <w:highlight w:val="none"/>
              </w:rPr>
              <w:t>①支持血库库存查看。</w:t>
            </w:r>
          </w:p>
          <w:p>
            <w:pPr>
              <w:spacing w:line="360" w:lineRule="auto"/>
              <w:rPr>
                <w:rFonts w:ascii="宋体" w:hAnsi="宋体"/>
                <w:color w:val="auto"/>
                <w:sz w:val="24"/>
                <w:highlight w:val="none"/>
              </w:rPr>
            </w:pPr>
            <w:r>
              <w:rPr>
                <w:rFonts w:hint="eastAsia" w:ascii="宋体" w:hAnsi="宋体"/>
                <w:color w:val="auto"/>
                <w:sz w:val="24"/>
                <w:highlight w:val="none"/>
              </w:rPr>
              <w:t>5、支持医保开单校验、历史持有量校验。</w:t>
            </w:r>
          </w:p>
          <w:p>
            <w:pPr>
              <w:spacing w:line="360" w:lineRule="auto"/>
              <w:rPr>
                <w:rFonts w:ascii="宋体" w:hAnsi="宋体"/>
                <w:color w:val="auto"/>
                <w:sz w:val="24"/>
                <w:highlight w:val="none"/>
              </w:rPr>
            </w:pPr>
            <w:r>
              <w:rPr>
                <w:rFonts w:hint="eastAsia" w:ascii="宋体" w:hAnsi="宋体"/>
                <w:color w:val="auto"/>
                <w:sz w:val="24"/>
                <w:highlight w:val="none"/>
              </w:rPr>
              <w:t>6、支持加急项目开立。</w:t>
            </w:r>
          </w:p>
          <w:p>
            <w:pPr>
              <w:spacing w:line="360" w:lineRule="auto"/>
              <w:rPr>
                <w:rFonts w:ascii="宋体" w:hAnsi="宋体"/>
                <w:color w:val="auto"/>
                <w:sz w:val="24"/>
                <w:highlight w:val="none"/>
              </w:rPr>
            </w:pPr>
            <w:r>
              <w:rPr>
                <w:rFonts w:hint="eastAsia" w:ascii="宋体" w:hAnsi="宋体"/>
                <w:color w:val="auto"/>
                <w:sz w:val="24"/>
                <w:highlight w:val="none"/>
              </w:rPr>
              <w:t>7、支持对于抗菌药物、毒麻药品、手术等进行权限管理。</w:t>
            </w:r>
          </w:p>
          <w:p>
            <w:pPr>
              <w:spacing w:line="360" w:lineRule="auto"/>
              <w:rPr>
                <w:rFonts w:ascii="宋体" w:hAnsi="宋体"/>
                <w:color w:val="auto"/>
                <w:sz w:val="24"/>
                <w:highlight w:val="none"/>
              </w:rPr>
            </w:pPr>
            <w:r>
              <w:rPr>
                <w:rFonts w:hint="eastAsia" w:ascii="宋体" w:hAnsi="宋体"/>
                <w:b/>
                <w:bCs/>
                <w:color w:val="auto"/>
                <w:sz w:val="24"/>
                <w:highlight w:val="none"/>
              </w:rPr>
              <w:t>历史医嘱导入：</w:t>
            </w:r>
            <w:r>
              <w:rPr>
                <w:rFonts w:hint="eastAsia" w:ascii="宋体" w:hAnsi="宋体"/>
                <w:color w:val="auto"/>
                <w:sz w:val="24"/>
                <w:highlight w:val="none"/>
              </w:rPr>
              <w:t>支持临床医生查看并选择历史门诊医嘱开立。</w:t>
            </w:r>
          </w:p>
          <w:p>
            <w:pPr>
              <w:spacing w:line="360" w:lineRule="auto"/>
              <w:rPr>
                <w:rFonts w:ascii="宋体" w:hAnsi="宋体"/>
                <w:b/>
                <w:bCs/>
                <w:color w:val="auto"/>
                <w:sz w:val="24"/>
                <w:highlight w:val="none"/>
              </w:rPr>
            </w:pPr>
            <w:r>
              <w:rPr>
                <w:rFonts w:hint="eastAsia" w:ascii="宋体" w:hAnsi="宋体"/>
                <w:b/>
                <w:bCs/>
                <w:color w:val="auto"/>
                <w:sz w:val="24"/>
                <w:highlight w:val="none"/>
              </w:rPr>
              <w:t>医嘱模板录入：</w:t>
            </w:r>
          </w:p>
          <w:p>
            <w:pPr>
              <w:spacing w:line="360" w:lineRule="auto"/>
              <w:rPr>
                <w:rFonts w:ascii="宋体" w:hAnsi="宋体"/>
                <w:color w:val="auto"/>
                <w:sz w:val="24"/>
                <w:highlight w:val="none"/>
              </w:rPr>
            </w:pPr>
            <w:r>
              <w:rPr>
                <w:rFonts w:hint="eastAsia" w:ascii="宋体" w:hAnsi="宋体"/>
                <w:color w:val="auto"/>
                <w:sz w:val="24"/>
                <w:highlight w:val="none"/>
              </w:rPr>
              <w:t>1、支持临床医生通过个人、科室、全院模板开立医嘱。</w:t>
            </w:r>
          </w:p>
          <w:p>
            <w:pPr>
              <w:spacing w:line="360" w:lineRule="auto"/>
              <w:rPr>
                <w:rFonts w:ascii="宋体" w:hAnsi="宋体"/>
                <w:color w:val="auto"/>
                <w:sz w:val="24"/>
                <w:highlight w:val="none"/>
              </w:rPr>
            </w:pPr>
            <w:r>
              <w:rPr>
                <w:rFonts w:hint="eastAsia" w:ascii="宋体" w:hAnsi="宋体"/>
                <w:color w:val="auto"/>
                <w:sz w:val="24"/>
                <w:highlight w:val="none"/>
              </w:rPr>
              <w:t>2、支持单选、多选模板项目。</w:t>
            </w:r>
          </w:p>
          <w:p>
            <w:pPr>
              <w:spacing w:line="360" w:lineRule="auto"/>
              <w:rPr>
                <w:rFonts w:ascii="宋体" w:hAnsi="宋体"/>
                <w:color w:val="auto"/>
                <w:sz w:val="24"/>
                <w:highlight w:val="none"/>
              </w:rPr>
            </w:pPr>
            <w:r>
              <w:rPr>
                <w:rFonts w:hint="eastAsia" w:ascii="宋体" w:hAnsi="宋体"/>
                <w:b/>
                <w:bCs/>
                <w:color w:val="auto"/>
                <w:sz w:val="24"/>
                <w:highlight w:val="none"/>
              </w:rPr>
              <w:t>医嘱签署：</w:t>
            </w:r>
            <w:r>
              <w:rPr>
                <w:rFonts w:hint="eastAsia" w:ascii="宋体" w:hAnsi="宋体"/>
                <w:color w:val="auto"/>
                <w:sz w:val="24"/>
                <w:highlight w:val="none"/>
              </w:rPr>
              <w:t>支持临床医生对开立状态的医嘱签署</w:t>
            </w:r>
          </w:p>
          <w:p>
            <w:pPr>
              <w:spacing w:line="360" w:lineRule="auto"/>
              <w:rPr>
                <w:rFonts w:ascii="宋体" w:hAnsi="宋体"/>
                <w:color w:val="auto"/>
                <w:sz w:val="24"/>
                <w:highlight w:val="none"/>
              </w:rPr>
            </w:pPr>
            <w:r>
              <w:rPr>
                <w:rFonts w:hint="eastAsia" w:ascii="宋体" w:hAnsi="宋体"/>
                <w:b/>
                <w:bCs/>
                <w:color w:val="auto"/>
                <w:sz w:val="24"/>
                <w:highlight w:val="none"/>
              </w:rPr>
              <w:t>医嘱撤回：</w:t>
            </w:r>
            <w:r>
              <w:rPr>
                <w:rFonts w:hint="eastAsia" w:ascii="宋体" w:hAnsi="宋体"/>
                <w:color w:val="auto"/>
                <w:sz w:val="24"/>
                <w:highlight w:val="none"/>
              </w:rPr>
              <w:t>支持临床医生对签署未记账的医嘱撤回</w:t>
            </w:r>
          </w:p>
          <w:p>
            <w:pPr>
              <w:spacing w:line="360" w:lineRule="auto"/>
              <w:rPr>
                <w:rFonts w:ascii="宋体" w:hAnsi="宋体"/>
                <w:color w:val="auto"/>
                <w:sz w:val="24"/>
                <w:highlight w:val="none"/>
              </w:rPr>
            </w:pPr>
            <w:r>
              <w:rPr>
                <w:rFonts w:hint="eastAsia" w:ascii="宋体" w:hAnsi="宋体"/>
                <w:b/>
                <w:bCs/>
                <w:color w:val="auto"/>
                <w:sz w:val="24"/>
                <w:highlight w:val="none"/>
              </w:rPr>
              <w:t>医嘱作废：</w:t>
            </w:r>
            <w:r>
              <w:rPr>
                <w:rFonts w:hint="eastAsia" w:ascii="宋体" w:hAnsi="宋体"/>
                <w:color w:val="auto"/>
                <w:sz w:val="24"/>
                <w:highlight w:val="none"/>
              </w:rPr>
              <w:t>支持临床医生对签署未记账的医嘱作废</w:t>
            </w:r>
          </w:p>
          <w:p>
            <w:pPr>
              <w:spacing w:line="360" w:lineRule="auto"/>
              <w:rPr>
                <w:rFonts w:ascii="宋体" w:hAnsi="宋体"/>
                <w:b/>
                <w:bCs/>
                <w:color w:val="auto"/>
                <w:sz w:val="24"/>
                <w:highlight w:val="none"/>
              </w:rPr>
            </w:pPr>
            <w:r>
              <w:rPr>
                <w:rFonts w:hint="eastAsia" w:ascii="宋体" w:hAnsi="宋体"/>
                <w:b/>
                <w:bCs/>
                <w:color w:val="auto"/>
                <w:sz w:val="24"/>
                <w:highlight w:val="none"/>
              </w:rPr>
              <w:t>医嘱复制：</w:t>
            </w:r>
          </w:p>
          <w:p>
            <w:pPr>
              <w:spacing w:line="360" w:lineRule="auto"/>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、支持临床医生对单条或多条医嘱复制</w:t>
            </w:r>
          </w:p>
          <w:p>
            <w:pPr>
              <w:spacing w:line="360" w:lineRule="auto"/>
              <w:rPr>
                <w:rFonts w:ascii="宋体" w:hAnsi="宋体"/>
                <w:color w:val="auto"/>
                <w:sz w:val="24"/>
                <w:highlight w:val="none"/>
              </w:rPr>
            </w:pPr>
            <w:r>
              <w:rPr>
                <w:rFonts w:hint="eastAsia" w:ascii="宋体" w:hAnsi="宋体"/>
                <w:color w:val="auto"/>
                <w:sz w:val="24"/>
                <w:highlight w:val="none"/>
              </w:rPr>
              <w:t>2、支持两种方式复制医嘱。</w:t>
            </w:r>
          </w:p>
          <w:p>
            <w:pPr>
              <w:spacing w:line="360" w:lineRule="auto"/>
              <w:rPr>
                <w:rFonts w:ascii="宋体" w:hAnsi="宋体"/>
                <w:b/>
                <w:bCs/>
                <w:color w:val="auto"/>
                <w:sz w:val="24"/>
                <w:highlight w:val="none"/>
              </w:rPr>
            </w:pPr>
            <w:r>
              <w:rPr>
                <w:rFonts w:hint="eastAsia" w:ascii="宋体" w:hAnsi="宋体"/>
                <w:b/>
                <w:bCs/>
                <w:color w:val="auto"/>
                <w:sz w:val="24"/>
                <w:highlight w:val="none"/>
              </w:rPr>
              <w:t>另存为模板：</w:t>
            </w:r>
          </w:p>
          <w:p>
            <w:pPr>
              <w:spacing w:line="360" w:lineRule="auto"/>
              <w:rPr>
                <w:rFonts w:ascii="宋体" w:hAnsi="宋体"/>
                <w:color w:val="auto"/>
                <w:sz w:val="24"/>
                <w:highlight w:val="none"/>
              </w:rPr>
            </w:pPr>
            <w:r>
              <w:rPr>
                <w:rFonts w:hint="eastAsia" w:ascii="宋体" w:hAnsi="宋体"/>
                <w:color w:val="auto"/>
                <w:sz w:val="24"/>
                <w:highlight w:val="none"/>
              </w:rPr>
              <w:t>1、支持临床医生对单条或多条医嘱另存为模板。</w:t>
            </w:r>
          </w:p>
          <w:p>
            <w:pPr>
              <w:spacing w:line="360" w:lineRule="auto"/>
              <w:rPr>
                <w:rFonts w:ascii="宋体" w:hAnsi="宋体"/>
                <w:color w:val="auto"/>
                <w:sz w:val="24"/>
                <w:highlight w:val="none"/>
              </w:rPr>
            </w:pPr>
            <w:r>
              <w:rPr>
                <w:rFonts w:hint="eastAsia" w:ascii="宋体" w:hAnsi="宋体"/>
                <w:color w:val="auto"/>
                <w:sz w:val="24"/>
                <w:highlight w:val="none"/>
              </w:rPr>
              <w:t>2、支持两种方式另存医嘱模板。</w:t>
            </w:r>
          </w:p>
          <w:p>
            <w:pPr>
              <w:spacing w:line="360" w:lineRule="auto"/>
              <w:rPr>
                <w:rFonts w:ascii="宋体" w:hAnsi="宋体"/>
                <w:b/>
                <w:bCs/>
                <w:color w:val="auto"/>
                <w:sz w:val="24"/>
                <w:highlight w:val="none"/>
              </w:rPr>
            </w:pPr>
            <w:r>
              <w:rPr>
                <w:rFonts w:hint="eastAsia" w:ascii="宋体" w:hAnsi="宋体"/>
                <w:b/>
                <w:bCs/>
                <w:color w:val="auto"/>
                <w:sz w:val="24"/>
                <w:highlight w:val="none"/>
              </w:rPr>
              <w:t>处方打印：</w:t>
            </w:r>
          </w:p>
          <w:p>
            <w:pPr>
              <w:spacing w:line="360" w:lineRule="auto"/>
              <w:rPr>
                <w:rFonts w:ascii="宋体" w:hAnsi="宋体"/>
                <w:color w:val="auto"/>
                <w:sz w:val="24"/>
                <w:highlight w:val="none"/>
              </w:rPr>
            </w:pPr>
            <w:r>
              <w:rPr>
                <w:rFonts w:hint="eastAsia" w:ascii="宋体" w:hAnsi="宋体"/>
                <w:color w:val="auto"/>
                <w:sz w:val="24"/>
                <w:highlight w:val="none"/>
              </w:rPr>
              <w:t>1、支持临床医生对处方查看打印。</w:t>
            </w:r>
          </w:p>
          <w:p>
            <w:pPr>
              <w:spacing w:line="360" w:lineRule="auto"/>
              <w:rPr>
                <w:rFonts w:ascii="宋体" w:hAnsi="宋体"/>
                <w:color w:val="auto"/>
                <w:sz w:val="24"/>
                <w:highlight w:val="none"/>
              </w:rPr>
            </w:pPr>
            <w:r>
              <w:rPr>
                <w:rFonts w:hint="eastAsia" w:ascii="宋体" w:hAnsi="宋体"/>
                <w:color w:val="auto"/>
                <w:sz w:val="24"/>
                <w:highlight w:val="none"/>
              </w:rPr>
              <w:t>2、支持两种方式处方打印。</w:t>
            </w:r>
          </w:p>
          <w:p>
            <w:pPr>
              <w:spacing w:line="360" w:lineRule="auto"/>
              <w:rPr>
                <w:rFonts w:ascii="宋体" w:hAnsi="宋体"/>
                <w:b/>
                <w:bCs/>
                <w:color w:val="auto"/>
                <w:sz w:val="24"/>
                <w:highlight w:val="none"/>
              </w:rPr>
            </w:pPr>
            <w:r>
              <w:rPr>
                <w:rFonts w:hint="eastAsia" w:ascii="宋体" w:hAnsi="宋体"/>
                <w:b/>
                <w:bCs/>
                <w:color w:val="auto"/>
                <w:sz w:val="24"/>
                <w:highlight w:val="none"/>
              </w:rPr>
              <w:t>申请单打印</w:t>
            </w:r>
            <w:r>
              <w:rPr>
                <w:rFonts w:hint="eastAsia" w:ascii="宋体" w:hAnsi="宋体"/>
                <w:b/>
                <w:bCs/>
                <w:color w:val="auto"/>
                <w:sz w:val="24"/>
                <w:highlight w:val="none"/>
              </w:rPr>
              <w:tab/>
            </w:r>
            <w:r>
              <w:rPr>
                <w:rFonts w:hint="eastAsia" w:ascii="宋体" w:hAnsi="宋体"/>
                <w:b/>
                <w:bCs/>
                <w:color w:val="auto"/>
                <w:sz w:val="24"/>
                <w:highlight w:val="none"/>
              </w:rPr>
              <w:t>：</w:t>
            </w:r>
          </w:p>
          <w:p>
            <w:pPr>
              <w:spacing w:line="360" w:lineRule="auto"/>
              <w:rPr>
                <w:rFonts w:ascii="宋体" w:hAnsi="宋体"/>
                <w:color w:val="auto"/>
                <w:sz w:val="24"/>
                <w:highlight w:val="none"/>
              </w:rPr>
            </w:pPr>
            <w:r>
              <w:rPr>
                <w:rFonts w:hint="eastAsia" w:ascii="宋体" w:hAnsi="宋体"/>
                <w:color w:val="auto"/>
                <w:sz w:val="24"/>
                <w:highlight w:val="none"/>
              </w:rPr>
              <w:t>1、支持临床医生对申请单查看打印。</w:t>
            </w:r>
          </w:p>
          <w:p>
            <w:pPr>
              <w:spacing w:line="360" w:lineRule="auto"/>
              <w:rPr>
                <w:rFonts w:ascii="宋体" w:hAnsi="宋体"/>
                <w:color w:val="auto"/>
                <w:sz w:val="24"/>
                <w:highlight w:val="none"/>
              </w:rPr>
            </w:pPr>
            <w:r>
              <w:rPr>
                <w:rFonts w:hint="eastAsia" w:ascii="宋体" w:hAnsi="宋体"/>
                <w:color w:val="auto"/>
                <w:sz w:val="24"/>
                <w:highlight w:val="none"/>
              </w:rPr>
              <w:t>2、支持两种方式申请单打印。</w:t>
            </w:r>
          </w:p>
          <w:p>
            <w:pPr>
              <w:spacing w:line="360" w:lineRule="auto"/>
              <w:rPr>
                <w:rFonts w:ascii="宋体" w:hAnsi="宋体"/>
                <w:color w:val="auto"/>
                <w:sz w:val="24"/>
                <w:highlight w:val="none"/>
              </w:rPr>
            </w:pPr>
            <w:r>
              <w:rPr>
                <w:rFonts w:hint="eastAsia" w:ascii="宋体" w:hAnsi="宋体"/>
                <w:b/>
                <w:bCs/>
                <w:color w:val="auto"/>
                <w:sz w:val="24"/>
                <w:highlight w:val="none"/>
              </w:rPr>
              <w:t>费用清单查看：</w:t>
            </w:r>
            <w:r>
              <w:rPr>
                <w:rFonts w:hint="eastAsia" w:ascii="宋体" w:hAnsi="宋体"/>
                <w:color w:val="auto"/>
                <w:sz w:val="24"/>
                <w:highlight w:val="none"/>
              </w:rPr>
              <w:t>支持临床医生点击费用清单页签查看医嘱费用。</w:t>
            </w:r>
          </w:p>
          <w:p>
            <w:pPr>
              <w:spacing w:line="360" w:lineRule="auto"/>
              <w:rPr>
                <w:rFonts w:ascii="宋体" w:hAnsi="宋体"/>
                <w:b/>
                <w:bCs/>
                <w:color w:val="auto"/>
                <w:sz w:val="24"/>
                <w:highlight w:val="none"/>
              </w:rPr>
            </w:pPr>
            <w:r>
              <w:rPr>
                <w:rFonts w:hint="eastAsia" w:ascii="宋体" w:hAnsi="宋体"/>
                <w:b/>
                <w:bCs/>
                <w:color w:val="auto"/>
                <w:sz w:val="24"/>
                <w:highlight w:val="none"/>
              </w:rPr>
              <w:t>CDSS融合</w:t>
            </w:r>
          </w:p>
          <w:p>
            <w:pPr>
              <w:spacing w:line="360" w:lineRule="auto"/>
              <w:rPr>
                <w:rFonts w:ascii="宋体" w:hAnsi="宋体"/>
                <w:color w:val="auto"/>
                <w:sz w:val="24"/>
                <w:highlight w:val="none"/>
              </w:rPr>
            </w:pPr>
            <w:r>
              <w:rPr>
                <w:rFonts w:hint="eastAsia" w:ascii="宋体" w:hAnsi="宋体"/>
                <w:color w:val="auto"/>
                <w:sz w:val="24"/>
                <w:highlight w:val="none"/>
              </w:rPr>
              <w:t>1、支持处方签署时，具有针对病人诊断、性别、历史处方、过敏史等进行合理用药、配伍禁忌、给药途径等综合自动检查功能并给出提示。</w:t>
            </w:r>
          </w:p>
          <w:p>
            <w:pPr>
              <w:spacing w:line="360" w:lineRule="auto"/>
              <w:rPr>
                <w:rFonts w:ascii="宋体" w:hAnsi="宋体"/>
                <w:color w:val="auto"/>
                <w:sz w:val="24"/>
                <w:highlight w:val="none"/>
              </w:rPr>
            </w:pPr>
            <w:r>
              <w:rPr>
                <w:rFonts w:hint="eastAsia" w:ascii="宋体" w:hAnsi="宋体"/>
                <w:color w:val="auto"/>
                <w:sz w:val="24"/>
                <w:highlight w:val="none"/>
              </w:rPr>
              <w:t>2、支持处方签署时，对高危药品使用给予警示。</w:t>
            </w:r>
          </w:p>
          <w:p>
            <w:pPr>
              <w:spacing w:line="360" w:lineRule="auto"/>
              <w:rPr>
                <w:rFonts w:ascii="宋体" w:hAnsi="宋体"/>
                <w:color w:val="auto"/>
                <w:sz w:val="24"/>
                <w:highlight w:val="none"/>
              </w:rPr>
            </w:pPr>
            <w:r>
              <w:rPr>
                <w:rFonts w:hint="eastAsia" w:ascii="宋体" w:hAnsi="宋体"/>
                <w:color w:val="auto"/>
                <w:sz w:val="24"/>
                <w:highlight w:val="none"/>
              </w:rPr>
              <w:t>3、支持检验医嘱签署时，能够针对病人性别、诊断、以往检验申请与结果等进行申请合理性自动审核并针对问题申请给出提示。</w:t>
            </w:r>
          </w:p>
          <w:p>
            <w:pPr>
              <w:spacing w:line="360" w:lineRule="auto"/>
              <w:rPr>
                <w:rFonts w:ascii="宋体" w:hAnsi="宋体"/>
                <w:color w:val="auto"/>
                <w:sz w:val="24"/>
                <w:highlight w:val="none"/>
              </w:rPr>
            </w:pPr>
            <w:r>
              <w:rPr>
                <w:rFonts w:hint="eastAsia" w:ascii="宋体" w:hAnsi="宋体"/>
                <w:color w:val="auto"/>
                <w:sz w:val="24"/>
                <w:highlight w:val="none"/>
              </w:rPr>
              <w:t>4、支持检查医嘱签署时，能够针对病人性别、诊断、以往检查结果等对申请合理性进行自动检查并提示。</w:t>
            </w:r>
          </w:p>
          <w:p>
            <w:pPr>
              <w:spacing w:line="360" w:lineRule="auto"/>
              <w:rPr>
                <w:rFonts w:ascii="宋体" w:hAnsi="宋体"/>
                <w:b/>
                <w:bCs/>
                <w:color w:val="auto"/>
                <w:sz w:val="24"/>
                <w:highlight w:val="none"/>
              </w:rPr>
            </w:pPr>
            <w:r>
              <w:rPr>
                <w:rFonts w:hint="eastAsia" w:ascii="宋体" w:hAnsi="宋体"/>
                <w:b/>
                <w:bCs/>
                <w:color w:val="auto"/>
                <w:sz w:val="24"/>
                <w:highlight w:val="none"/>
              </w:rPr>
              <w:t>（3）门诊诊断</w:t>
            </w:r>
          </w:p>
          <w:p>
            <w:pPr>
              <w:spacing w:line="360" w:lineRule="auto"/>
              <w:rPr>
                <w:rFonts w:ascii="宋体" w:hAnsi="宋体"/>
                <w:b/>
                <w:bCs/>
                <w:color w:val="auto"/>
                <w:sz w:val="24"/>
                <w:highlight w:val="none"/>
              </w:rPr>
            </w:pPr>
            <w:r>
              <w:rPr>
                <w:rFonts w:hint="eastAsia" w:ascii="宋体" w:hAnsi="宋体"/>
                <w:b/>
                <w:bCs/>
                <w:color w:val="auto"/>
                <w:sz w:val="24"/>
                <w:highlight w:val="none"/>
              </w:rPr>
              <w:t>诊断录入</w:t>
            </w:r>
            <w:r>
              <w:rPr>
                <w:rFonts w:ascii="宋体" w:hAnsi="宋体"/>
                <w:b/>
                <w:bCs/>
                <w:color w:val="auto"/>
                <w:sz w:val="24"/>
                <w:highlight w:val="none"/>
              </w:rPr>
              <w:t>:</w:t>
            </w:r>
          </w:p>
          <w:p>
            <w:pPr>
              <w:spacing w:line="360" w:lineRule="auto"/>
              <w:rPr>
                <w:rFonts w:ascii="宋体" w:hAnsi="宋体"/>
                <w:color w:val="auto"/>
                <w:sz w:val="24"/>
                <w:highlight w:val="none"/>
              </w:rPr>
            </w:pPr>
            <w:r>
              <w:rPr>
                <w:rFonts w:hint="eastAsia" w:ascii="宋体" w:hAnsi="宋体"/>
                <w:color w:val="auto"/>
                <w:sz w:val="24"/>
                <w:highlight w:val="none"/>
              </w:rPr>
              <w:t>1、支持医生按照国际疾病分类标准、或医院自定义标准下达诊断；支持疾病编码、拼音、汉字、五笔等多重检索。</w:t>
            </w:r>
          </w:p>
          <w:p>
            <w:pPr>
              <w:spacing w:line="360" w:lineRule="auto"/>
              <w:rPr>
                <w:rFonts w:ascii="宋体" w:hAnsi="宋体"/>
                <w:color w:val="auto"/>
                <w:sz w:val="24"/>
                <w:highlight w:val="none"/>
              </w:rPr>
            </w:pPr>
            <w:r>
              <w:rPr>
                <w:rFonts w:hint="eastAsia" w:ascii="宋体" w:hAnsi="宋体"/>
                <w:color w:val="auto"/>
                <w:sz w:val="24"/>
                <w:highlight w:val="none"/>
              </w:rPr>
              <w:t>①支持西医诊断、中医诊断录入。</w:t>
            </w:r>
          </w:p>
          <w:p>
            <w:pPr>
              <w:spacing w:line="360" w:lineRule="auto"/>
              <w:rPr>
                <w:rFonts w:ascii="宋体" w:hAnsi="宋体"/>
                <w:color w:val="auto"/>
                <w:sz w:val="24"/>
                <w:highlight w:val="none"/>
              </w:rPr>
            </w:pPr>
            <w:r>
              <w:rPr>
                <w:rFonts w:hint="eastAsia" w:ascii="宋体" w:hAnsi="宋体"/>
                <w:color w:val="auto"/>
                <w:sz w:val="24"/>
                <w:highlight w:val="none"/>
              </w:rPr>
              <w:t>②支持主诊断、疑似诊断标记、诊断说明补充。</w:t>
            </w:r>
          </w:p>
          <w:p>
            <w:pPr>
              <w:spacing w:line="360" w:lineRule="auto"/>
              <w:rPr>
                <w:rFonts w:ascii="宋体" w:hAnsi="宋体"/>
                <w:b/>
                <w:bCs/>
                <w:color w:val="auto"/>
                <w:sz w:val="24"/>
                <w:highlight w:val="none"/>
              </w:rPr>
            </w:pPr>
            <w:r>
              <w:rPr>
                <w:rFonts w:hint="eastAsia" w:ascii="宋体" w:hAnsi="宋体"/>
                <w:b/>
                <w:bCs/>
                <w:color w:val="auto"/>
                <w:sz w:val="24"/>
                <w:highlight w:val="none"/>
              </w:rPr>
              <w:t>科室常用诊断批量录入</w:t>
            </w:r>
            <w:r>
              <w:rPr>
                <w:rFonts w:ascii="宋体" w:hAnsi="宋体"/>
                <w:b/>
                <w:bCs/>
                <w:color w:val="auto"/>
                <w:sz w:val="24"/>
                <w:highlight w:val="none"/>
              </w:rPr>
              <w:t>:</w:t>
            </w:r>
          </w:p>
          <w:p>
            <w:pPr>
              <w:spacing w:line="360" w:lineRule="auto"/>
              <w:rPr>
                <w:rFonts w:ascii="宋体" w:hAnsi="宋体"/>
                <w:color w:val="auto"/>
                <w:sz w:val="24"/>
                <w:highlight w:val="none"/>
              </w:rPr>
            </w:pPr>
            <w:r>
              <w:rPr>
                <w:rFonts w:hint="eastAsia" w:ascii="宋体" w:hAnsi="宋体"/>
                <w:color w:val="auto"/>
                <w:sz w:val="24"/>
                <w:highlight w:val="none"/>
              </w:rPr>
              <w:t>1、支持临床医生通过选择科室常用诊断录入诊断。</w:t>
            </w:r>
          </w:p>
          <w:p>
            <w:pPr>
              <w:spacing w:line="360" w:lineRule="auto"/>
              <w:rPr>
                <w:rFonts w:ascii="宋体" w:hAnsi="宋体"/>
                <w:color w:val="auto"/>
                <w:sz w:val="24"/>
                <w:highlight w:val="none"/>
              </w:rPr>
            </w:pPr>
            <w:r>
              <w:rPr>
                <w:rFonts w:hint="eastAsia" w:ascii="宋体" w:hAnsi="宋体"/>
                <w:color w:val="auto"/>
                <w:sz w:val="24"/>
                <w:highlight w:val="none"/>
              </w:rPr>
              <w:t>2、支持常用诊断分类过滤。</w:t>
            </w:r>
          </w:p>
          <w:p>
            <w:pPr>
              <w:spacing w:line="360" w:lineRule="auto"/>
              <w:rPr>
                <w:rFonts w:ascii="宋体" w:hAnsi="宋体"/>
                <w:color w:val="auto"/>
                <w:sz w:val="24"/>
                <w:highlight w:val="none"/>
              </w:rPr>
            </w:pPr>
            <w:r>
              <w:rPr>
                <w:rFonts w:hint="eastAsia" w:ascii="宋体" w:hAnsi="宋体"/>
                <w:b/>
                <w:bCs/>
                <w:color w:val="auto"/>
                <w:sz w:val="24"/>
                <w:highlight w:val="none"/>
              </w:rPr>
              <w:t>历史就诊诊断录入：</w:t>
            </w:r>
            <w:r>
              <w:rPr>
                <w:rFonts w:hint="eastAsia" w:ascii="宋体" w:hAnsi="宋体"/>
                <w:color w:val="auto"/>
                <w:sz w:val="24"/>
                <w:highlight w:val="none"/>
              </w:rPr>
              <w:t>支持临床医生选择门诊既往就诊诊断录入。</w:t>
            </w:r>
          </w:p>
          <w:p>
            <w:pPr>
              <w:spacing w:line="360" w:lineRule="auto"/>
              <w:rPr>
                <w:rFonts w:ascii="宋体" w:hAnsi="宋体"/>
                <w:b/>
                <w:bCs/>
                <w:color w:val="auto"/>
                <w:sz w:val="24"/>
                <w:highlight w:val="none"/>
              </w:rPr>
            </w:pPr>
            <w:r>
              <w:rPr>
                <w:rFonts w:hint="eastAsia" w:ascii="宋体" w:hAnsi="宋体"/>
                <w:b/>
                <w:bCs/>
                <w:color w:val="auto"/>
                <w:sz w:val="24"/>
                <w:highlight w:val="none"/>
              </w:rPr>
              <w:t>（4）工作表单</w:t>
            </w:r>
          </w:p>
          <w:p>
            <w:pPr>
              <w:spacing w:line="360" w:lineRule="auto"/>
              <w:rPr>
                <w:rFonts w:ascii="宋体" w:hAnsi="宋体"/>
                <w:color w:val="auto"/>
                <w:sz w:val="24"/>
                <w:highlight w:val="none"/>
              </w:rPr>
            </w:pPr>
            <w:r>
              <w:rPr>
                <w:rFonts w:hint="eastAsia" w:ascii="宋体" w:hAnsi="宋体"/>
                <w:b/>
                <w:bCs/>
                <w:color w:val="auto"/>
                <w:sz w:val="24"/>
                <w:highlight w:val="none"/>
              </w:rPr>
              <w:t>诊断证明：</w:t>
            </w:r>
            <w:r>
              <w:rPr>
                <w:rFonts w:hint="eastAsia" w:ascii="宋体" w:hAnsi="宋体"/>
                <w:color w:val="auto"/>
                <w:sz w:val="24"/>
                <w:highlight w:val="none"/>
              </w:rPr>
              <w:t>支持临床医生新增、删除、保存、打印诊断证明。</w:t>
            </w:r>
          </w:p>
          <w:p>
            <w:pPr>
              <w:spacing w:line="360" w:lineRule="auto"/>
              <w:rPr>
                <w:rFonts w:ascii="宋体" w:hAnsi="宋体"/>
                <w:color w:val="auto"/>
                <w:sz w:val="24"/>
                <w:highlight w:val="none"/>
              </w:rPr>
            </w:pPr>
            <w:r>
              <w:rPr>
                <w:rFonts w:hint="eastAsia" w:ascii="宋体" w:hAnsi="宋体"/>
                <w:b/>
                <w:bCs/>
                <w:color w:val="auto"/>
                <w:sz w:val="24"/>
                <w:highlight w:val="none"/>
              </w:rPr>
              <w:t>死亡医学证明：</w:t>
            </w:r>
            <w:r>
              <w:rPr>
                <w:rFonts w:hint="eastAsia" w:ascii="宋体" w:hAnsi="宋体"/>
                <w:color w:val="auto"/>
                <w:sz w:val="24"/>
                <w:highlight w:val="none"/>
              </w:rPr>
              <w:t>支持临床医生对死亡证明的新增、提交、打印。</w:t>
            </w:r>
          </w:p>
          <w:p>
            <w:pPr>
              <w:spacing w:line="360" w:lineRule="auto"/>
              <w:rPr>
                <w:rFonts w:ascii="宋体" w:hAnsi="宋体"/>
                <w:color w:val="auto"/>
                <w:sz w:val="24"/>
                <w:highlight w:val="none"/>
              </w:rPr>
            </w:pPr>
            <w:r>
              <w:rPr>
                <w:rFonts w:hint="eastAsia" w:ascii="宋体" w:hAnsi="宋体"/>
                <w:b/>
                <w:bCs/>
                <w:color w:val="auto"/>
                <w:sz w:val="24"/>
                <w:highlight w:val="none"/>
              </w:rPr>
              <w:t>输血不良反应回报单：</w:t>
            </w:r>
            <w:r>
              <w:rPr>
                <w:rFonts w:hint="eastAsia" w:ascii="宋体" w:hAnsi="宋体"/>
                <w:color w:val="auto"/>
                <w:sz w:val="24"/>
                <w:highlight w:val="none"/>
              </w:rPr>
              <w:t>选择取血医嘱后，支持临床医生对输血不良反应回报单的新增、删除、提交、打印。</w:t>
            </w:r>
          </w:p>
          <w:p>
            <w:pPr>
              <w:spacing w:line="360" w:lineRule="auto"/>
              <w:rPr>
                <w:rFonts w:ascii="宋体" w:hAnsi="宋体"/>
                <w:b/>
                <w:bCs/>
                <w:color w:val="auto"/>
                <w:sz w:val="24"/>
                <w:highlight w:val="none"/>
              </w:rPr>
            </w:pPr>
            <w:r>
              <w:rPr>
                <w:rFonts w:hint="eastAsia" w:ascii="宋体" w:hAnsi="宋体"/>
                <w:b/>
                <w:bCs/>
                <w:color w:val="auto"/>
                <w:sz w:val="24"/>
                <w:highlight w:val="none"/>
              </w:rPr>
              <w:t>医保转诊单：</w:t>
            </w:r>
          </w:p>
          <w:p>
            <w:pPr>
              <w:spacing w:line="360" w:lineRule="auto"/>
              <w:rPr>
                <w:rFonts w:ascii="宋体" w:hAnsi="宋体"/>
                <w:color w:val="auto"/>
                <w:sz w:val="24"/>
                <w:highlight w:val="none"/>
              </w:rPr>
            </w:pPr>
            <w:r>
              <w:rPr>
                <w:rFonts w:hint="eastAsia" w:ascii="宋体" w:hAnsi="宋体"/>
                <w:color w:val="auto"/>
                <w:sz w:val="24"/>
                <w:highlight w:val="none"/>
              </w:rPr>
              <w:t>1、支持临床医生对医保转诊单开立和打印。</w:t>
            </w:r>
          </w:p>
          <w:p>
            <w:pPr>
              <w:spacing w:line="360" w:lineRule="auto"/>
              <w:rPr>
                <w:rFonts w:ascii="宋体" w:hAnsi="宋体"/>
                <w:color w:val="auto"/>
                <w:sz w:val="24"/>
                <w:highlight w:val="none"/>
              </w:rPr>
            </w:pPr>
            <w:r>
              <w:rPr>
                <w:rFonts w:hint="eastAsia" w:ascii="宋体" w:hAnsi="宋体"/>
                <w:color w:val="auto"/>
                <w:sz w:val="24"/>
                <w:highlight w:val="none"/>
              </w:rPr>
              <w:t>2、支持选择转院名称、原因、类别。</w:t>
            </w:r>
          </w:p>
          <w:p>
            <w:pPr>
              <w:spacing w:line="360" w:lineRule="auto"/>
              <w:rPr>
                <w:rFonts w:ascii="宋体" w:hAnsi="宋体"/>
                <w:b/>
                <w:bCs/>
                <w:color w:val="auto"/>
                <w:sz w:val="24"/>
                <w:highlight w:val="none"/>
              </w:rPr>
            </w:pPr>
            <w:r>
              <w:rPr>
                <w:rFonts w:hint="eastAsia" w:ascii="宋体" w:hAnsi="宋体"/>
                <w:b/>
                <w:bCs/>
                <w:color w:val="auto"/>
                <w:sz w:val="24"/>
                <w:highlight w:val="none"/>
              </w:rPr>
              <w:t>牙周组织检查表：</w:t>
            </w:r>
          </w:p>
          <w:p>
            <w:pPr>
              <w:spacing w:line="360" w:lineRule="auto"/>
              <w:rPr>
                <w:rFonts w:ascii="宋体" w:hAnsi="宋体"/>
                <w:color w:val="auto"/>
                <w:sz w:val="24"/>
                <w:highlight w:val="none"/>
              </w:rPr>
            </w:pPr>
            <w:r>
              <w:rPr>
                <w:rFonts w:hint="eastAsia" w:ascii="宋体" w:hAnsi="宋体"/>
                <w:color w:val="auto"/>
                <w:sz w:val="24"/>
                <w:highlight w:val="none"/>
              </w:rPr>
              <w:t>1、支持临床医生对牙周组织检查表新增和打印。</w:t>
            </w:r>
          </w:p>
          <w:p>
            <w:pPr>
              <w:spacing w:line="360" w:lineRule="auto"/>
              <w:rPr>
                <w:rFonts w:ascii="宋体" w:hAnsi="宋体"/>
                <w:color w:val="auto"/>
                <w:sz w:val="24"/>
                <w:highlight w:val="none"/>
              </w:rPr>
            </w:pPr>
            <w:r>
              <w:rPr>
                <w:rFonts w:hint="eastAsia" w:ascii="宋体" w:hAnsi="宋体"/>
                <w:color w:val="auto"/>
                <w:sz w:val="24"/>
                <w:highlight w:val="none"/>
              </w:rPr>
              <w:t>2、支持牙周组织检查趋势图预览。</w:t>
            </w:r>
          </w:p>
          <w:p>
            <w:pPr>
              <w:spacing w:line="360" w:lineRule="auto"/>
              <w:rPr>
                <w:rFonts w:ascii="宋体" w:hAnsi="宋体"/>
                <w:b/>
                <w:bCs/>
                <w:color w:val="auto"/>
                <w:sz w:val="24"/>
                <w:highlight w:val="none"/>
              </w:rPr>
            </w:pPr>
            <w:r>
              <w:rPr>
                <w:rFonts w:hint="eastAsia" w:ascii="宋体" w:hAnsi="宋体"/>
                <w:b/>
                <w:bCs/>
                <w:color w:val="auto"/>
                <w:sz w:val="24"/>
                <w:highlight w:val="none"/>
              </w:rPr>
              <w:t>五色卡：</w:t>
            </w:r>
          </w:p>
          <w:p>
            <w:pPr>
              <w:spacing w:line="360" w:lineRule="auto"/>
              <w:rPr>
                <w:rFonts w:ascii="宋体" w:hAnsi="宋体"/>
                <w:color w:val="auto"/>
                <w:sz w:val="24"/>
                <w:highlight w:val="none"/>
              </w:rPr>
            </w:pPr>
            <w:r>
              <w:rPr>
                <w:rFonts w:hint="eastAsia" w:ascii="宋体" w:hAnsi="宋体"/>
                <w:color w:val="auto"/>
                <w:sz w:val="24"/>
                <w:highlight w:val="none"/>
              </w:rPr>
              <w:t>1、支持临床医生对孕产妇五色卡的新增、删除、打印。</w:t>
            </w:r>
          </w:p>
          <w:p>
            <w:pPr>
              <w:spacing w:line="360" w:lineRule="auto"/>
              <w:rPr>
                <w:rFonts w:ascii="宋体" w:hAnsi="宋体"/>
                <w:color w:val="auto"/>
                <w:sz w:val="24"/>
                <w:highlight w:val="none"/>
              </w:rPr>
            </w:pPr>
            <w:r>
              <w:rPr>
                <w:rFonts w:hint="eastAsia" w:ascii="宋体" w:hAnsi="宋体"/>
                <w:color w:val="auto"/>
                <w:sz w:val="24"/>
                <w:highlight w:val="none"/>
              </w:rPr>
              <w:t>2、支持牙查看孕产妇的历史五色卡记录。</w:t>
            </w:r>
          </w:p>
          <w:p>
            <w:pPr>
              <w:spacing w:line="360" w:lineRule="auto"/>
              <w:rPr>
                <w:rFonts w:ascii="宋体" w:hAnsi="宋体"/>
                <w:color w:val="auto"/>
                <w:sz w:val="24"/>
                <w:highlight w:val="none"/>
              </w:rPr>
            </w:pPr>
            <w:r>
              <w:rPr>
                <w:rFonts w:hint="eastAsia" w:ascii="宋体" w:hAnsi="宋体"/>
                <w:color w:val="auto"/>
                <w:sz w:val="24"/>
                <w:highlight w:val="none"/>
              </w:rPr>
              <w:t>3、支持通过评估分类、疾病名称查询五色卡新增。</w:t>
            </w:r>
          </w:p>
          <w:p>
            <w:pPr>
              <w:spacing w:line="360" w:lineRule="auto"/>
              <w:rPr>
                <w:rFonts w:ascii="宋体" w:hAnsi="宋体"/>
                <w:b/>
                <w:bCs/>
                <w:color w:val="auto"/>
                <w:sz w:val="24"/>
                <w:highlight w:val="none"/>
              </w:rPr>
            </w:pPr>
            <w:r>
              <w:rPr>
                <w:rFonts w:hint="eastAsia" w:ascii="宋体" w:hAnsi="宋体"/>
                <w:b/>
                <w:bCs/>
                <w:color w:val="auto"/>
                <w:sz w:val="24"/>
                <w:highlight w:val="none"/>
              </w:rPr>
              <w:t>（</w:t>
            </w:r>
            <w:r>
              <w:rPr>
                <w:rFonts w:ascii="宋体" w:hAnsi="宋体"/>
                <w:b/>
                <w:bCs/>
                <w:color w:val="auto"/>
                <w:sz w:val="24"/>
                <w:highlight w:val="none"/>
              </w:rPr>
              <w:t>5</w:t>
            </w:r>
            <w:r>
              <w:rPr>
                <w:rFonts w:hint="eastAsia" w:ascii="宋体" w:hAnsi="宋体"/>
                <w:b/>
                <w:bCs/>
                <w:color w:val="auto"/>
                <w:sz w:val="24"/>
                <w:highlight w:val="none"/>
              </w:rPr>
              <w:t>）患者列表</w:t>
            </w:r>
          </w:p>
          <w:p>
            <w:pPr>
              <w:spacing w:line="360" w:lineRule="auto"/>
              <w:rPr>
                <w:rFonts w:ascii="宋体" w:hAnsi="宋体"/>
                <w:b/>
                <w:bCs/>
                <w:color w:val="auto"/>
                <w:sz w:val="24"/>
                <w:highlight w:val="none"/>
              </w:rPr>
            </w:pPr>
            <w:r>
              <w:rPr>
                <w:rFonts w:hint="eastAsia" w:ascii="宋体" w:hAnsi="宋体"/>
                <w:b/>
                <w:bCs/>
                <w:color w:val="auto"/>
                <w:sz w:val="24"/>
                <w:highlight w:val="none"/>
              </w:rPr>
              <w:t>历史患者列表：</w:t>
            </w:r>
          </w:p>
          <w:p>
            <w:pPr>
              <w:spacing w:line="360" w:lineRule="auto"/>
              <w:rPr>
                <w:rFonts w:ascii="宋体" w:hAnsi="宋体"/>
                <w:color w:val="auto"/>
                <w:sz w:val="24"/>
                <w:highlight w:val="none"/>
              </w:rPr>
            </w:pPr>
            <w:r>
              <w:rPr>
                <w:rFonts w:hint="eastAsia" w:ascii="宋体" w:hAnsi="宋体"/>
                <w:color w:val="auto"/>
                <w:sz w:val="24"/>
                <w:highlight w:val="none"/>
              </w:rPr>
              <w:t>1、支持临床医生查询历史患者就诊信息。</w:t>
            </w:r>
          </w:p>
          <w:p>
            <w:pPr>
              <w:spacing w:line="360" w:lineRule="auto"/>
              <w:rPr>
                <w:rFonts w:ascii="宋体" w:hAnsi="宋体"/>
                <w:color w:val="auto"/>
                <w:sz w:val="24"/>
                <w:highlight w:val="none"/>
              </w:rPr>
            </w:pPr>
            <w:r>
              <w:rPr>
                <w:rFonts w:hint="eastAsia" w:ascii="宋体" w:hAnsi="宋体"/>
                <w:color w:val="auto"/>
                <w:sz w:val="24"/>
                <w:highlight w:val="none"/>
              </w:rPr>
              <w:t>①支持就诊日期、患者姓名查询。</w:t>
            </w:r>
          </w:p>
          <w:p>
            <w:pPr>
              <w:spacing w:line="360" w:lineRule="auto"/>
              <w:rPr>
                <w:rFonts w:ascii="宋体" w:hAnsi="宋体"/>
                <w:color w:val="auto"/>
                <w:sz w:val="24"/>
                <w:highlight w:val="none"/>
              </w:rPr>
            </w:pPr>
            <w:r>
              <w:rPr>
                <w:rFonts w:hint="eastAsia" w:ascii="宋体" w:hAnsi="宋体"/>
                <w:color w:val="auto"/>
                <w:sz w:val="24"/>
                <w:highlight w:val="none"/>
              </w:rPr>
              <w:t>②支持查询当前医生、当前科室历史患者。</w:t>
            </w:r>
          </w:p>
          <w:p>
            <w:pPr>
              <w:spacing w:line="360" w:lineRule="auto"/>
              <w:rPr>
                <w:rFonts w:ascii="宋体" w:hAnsi="宋体"/>
                <w:color w:val="auto"/>
                <w:sz w:val="24"/>
                <w:highlight w:val="none"/>
              </w:rPr>
            </w:pPr>
            <w:r>
              <w:rPr>
                <w:rFonts w:hint="eastAsia" w:ascii="宋体" w:hAnsi="宋体"/>
                <w:color w:val="auto"/>
                <w:sz w:val="24"/>
                <w:highlight w:val="none"/>
              </w:rPr>
              <w:t>③支持导出历史就诊患者信息。</w:t>
            </w:r>
          </w:p>
          <w:p>
            <w:pPr>
              <w:pStyle w:val="201"/>
              <w:spacing w:before="6" w:line="360" w:lineRule="auto"/>
              <w:ind w:right="105" w:rightChars="50" w:firstLine="482"/>
              <w:rPr>
                <w:rFonts w:ascii="宋体" w:hAnsi="宋体" w:eastAsia="宋体"/>
                <w:bCs/>
                <w:color w:val="auto"/>
                <w:spacing w:val="-6"/>
                <w:sz w:val="24"/>
                <w:highlight w:val="none"/>
                <w:lang w:val="zh-CN" w:eastAsia="zh-CN" w:bidi="zh-CN"/>
              </w:rPr>
            </w:pPr>
            <w:r>
              <w:rPr>
                <w:rFonts w:hint="eastAsia" w:ascii="宋体" w:hAnsi="宋体" w:eastAsia="宋体"/>
                <w:b/>
                <w:bCs/>
                <w:color w:val="auto"/>
                <w:sz w:val="24"/>
                <w:highlight w:val="none"/>
                <w:lang w:eastAsia="zh-CN"/>
              </w:rPr>
              <w:t>会诊患者列表：</w:t>
            </w:r>
            <w:r>
              <w:rPr>
                <w:rFonts w:hint="eastAsia" w:ascii="宋体" w:hAnsi="宋体" w:eastAsia="宋体"/>
                <w:color w:val="auto"/>
                <w:sz w:val="24"/>
                <w:highlight w:val="none"/>
                <w:lang w:eastAsia="zh-CN"/>
              </w:rPr>
              <w:t>支持查询当前医生会诊的患者。</w:t>
            </w:r>
          </w:p>
        </w:tc>
      </w:tr>
    </w:tbl>
    <w:p>
      <w:pPr>
        <w:pStyle w:val="6"/>
        <w:numPr>
          <w:ilvl w:val="3"/>
          <w:numId w:val="8"/>
        </w:numPr>
        <w:spacing w:before="280" w:after="290" w:line="376" w:lineRule="auto"/>
        <w:rPr>
          <w:rFonts w:ascii="宋体" w:hAnsi="宋体"/>
          <w:color w:val="auto"/>
          <w:szCs w:val="24"/>
          <w:highlight w:val="none"/>
        </w:rPr>
      </w:pPr>
      <w:bookmarkStart w:id="596" w:name="_Toc12712"/>
      <w:r>
        <w:rPr>
          <w:rFonts w:hint="eastAsia" w:ascii="宋体" w:hAnsi="宋体"/>
          <w:color w:val="auto"/>
          <w:szCs w:val="24"/>
          <w:highlight w:val="none"/>
        </w:rPr>
        <w:t>门诊便民医生站</w:t>
      </w:r>
      <w:bookmarkEnd w:id="596"/>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门诊便民工作站主要用于无需患者挂号和诊间接诊而直接收费的场景，使用人员一般为收款员。</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980" w:type="dxa"/>
            <w:shd w:val="clear" w:color="auto" w:fill="4471C4"/>
            <w:vAlign w:val="center"/>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7087" w:type="dxa"/>
            <w:shd w:val="clear" w:color="auto" w:fill="4471C4"/>
            <w:vAlign w:val="center"/>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80" w:type="dxa"/>
            <w:vAlign w:val="center"/>
          </w:tcPr>
          <w:p>
            <w:pPr>
              <w:autoSpaceDE w:val="0"/>
              <w:autoSpaceDN w:val="0"/>
              <w:spacing w:line="360" w:lineRule="auto"/>
              <w:ind w:left="125" w:right="103" w:rightChars="49"/>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门诊便民医生站</w:t>
            </w:r>
          </w:p>
        </w:tc>
        <w:tc>
          <w:tcPr>
            <w:tcW w:w="7087" w:type="dxa"/>
            <w:vAlign w:val="center"/>
          </w:tcPr>
          <w:p>
            <w:pPr>
              <w:pStyle w:val="201"/>
              <w:numPr>
                <w:ilvl w:val="0"/>
                <w:numId w:val="9"/>
              </w:numPr>
              <w:spacing w:before="0" w:line="360" w:lineRule="auto"/>
              <w:ind w:left="368"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eastAsia="zh-CN"/>
              </w:rPr>
              <w:t>支持</w:t>
            </w:r>
            <w:r>
              <w:rPr>
                <w:rFonts w:hint="eastAsia" w:ascii="宋体" w:hAnsi="宋体" w:eastAsia="宋体"/>
                <w:color w:val="auto"/>
                <w:spacing w:val="-7"/>
                <w:sz w:val="24"/>
                <w:highlight w:val="none"/>
                <w:lang w:val="zh-CN" w:eastAsia="zh-CN" w:bidi="zh-CN"/>
              </w:rPr>
              <w:t>自动生成就诊</w:t>
            </w:r>
            <w:r>
              <w:rPr>
                <w:rFonts w:hint="eastAsia" w:ascii="宋体" w:hAnsi="宋体" w:eastAsia="宋体"/>
                <w:color w:val="auto"/>
                <w:sz w:val="24"/>
                <w:highlight w:val="none"/>
                <w:lang w:val="zh-CN" w:eastAsia="zh-CN" w:bidi="zh-CN"/>
              </w:rPr>
              <w:t>信息。</w:t>
            </w:r>
          </w:p>
          <w:p>
            <w:pPr>
              <w:pStyle w:val="201"/>
              <w:numPr>
                <w:ilvl w:val="0"/>
                <w:numId w:val="9"/>
              </w:numPr>
              <w:spacing w:before="0" w:line="360" w:lineRule="auto"/>
              <w:ind w:left="368"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eastAsia="zh-CN"/>
              </w:rPr>
              <w:t>支持</w:t>
            </w:r>
            <w:r>
              <w:rPr>
                <w:rFonts w:hint="eastAsia" w:ascii="宋体" w:hAnsi="宋体" w:eastAsia="宋体"/>
                <w:color w:val="auto"/>
                <w:sz w:val="24"/>
                <w:highlight w:val="none"/>
                <w:lang w:val="zh-CN" w:eastAsia="zh-CN" w:bidi="zh-CN"/>
              </w:rPr>
              <w:t>自动生成医嘱信息。</w:t>
            </w:r>
          </w:p>
          <w:p>
            <w:pPr>
              <w:pStyle w:val="201"/>
              <w:numPr>
                <w:ilvl w:val="0"/>
                <w:numId w:val="9"/>
              </w:numPr>
              <w:spacing w:before="0" w:line="360" w:lineRule="auto"/>
              <w:ind w:left="368"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eastAsia="zh-CN"/>
              </w:rPr>
              <w:t>支持</w:t>
            </w:r>
            <w:r>
              <w:rPr>
                <w:rFonts w:hint="eastAsia" w:ascii="宋体" w:hAnsi="宋体" w:eastAsia="宋体"/>
                <w:color w:val="auto"/>
                <w:sz w:val="24"/>
                <w:highlight w:val="none"/>
                <w:lang w:val="zh-CN" w:eastAsia="zh-CN" w:bidi="zh-CN"/>
              </w:rPr>
              <w:t>自动生成费用信息。</w:t>
            </w:r>
          </w:p>
          <w:p>
            <w:pPr>
              <w:pStyle w:val="201"/>
              <w:numPr>
                <w:ilvl w:val="0"/>
                <w:numId w:val="9"/>
              </w:numPr>
              <w:spacing w:before="0" w:line="360" w:lineRule="auto"/>
              <w:ind w:left="368"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支持多种支付方式的结算。</w:t>
            </w:r>
          </w:p>
          <w:p>
            <w:pPr>
              <w:pStyle w:val="201"/>
              <w:numPr>
                <w:ilvl w:val="0"/>
                <w:numId w:val="9"/>
              </w:numPr>
              <w:spacing w:before="0" w:line="360" w:lineRule="auto"/>
              <w:ind w:left="368" w:right="105" w:rightChars="50" w:firstLine="482"/>
              <w:rPr>
                <w:rFonts w:ascii="宋体" w:hAnsi="宋体" w:eastAsia="宋体"/>
                <w:color w:val="auto"/>
                <w:sz w:val="24"/>
                <w:highlight w:val="none"/>
                <w:lang w:val="zh-CN" w:bidi="zh-CN"/>
              </w:rPr>
            </w:pPr>
            <w:r>
              <w:rPr>
                <w:rFonts w:hint="eastAsia" w:ascii="宋体" w:hAnsi="宋体" w:eastAsia="宋体"/>
                <w:color w:val="auto"/>
                <w:sz w:val="24"/>
                <w:highlight w:val="none"/>
                <w:lang w:val="zh-CN" w:bidi="zh-CN"/>
              </w:rPr>
              <w:t>支持票据打印。</w:t>
            </w:r>
          </w:p>
        </w:tc>
      </w:tr>
    </w:tbl>
    <w:p>
      <w:pPr>
        <w:pStyle w:val="6"/>
        <w:numPr>
          <w:ilvl w:val="3"/>
          <w:numId w:val="8"/>
        </w:numPr>
        <w:spacing w:before="280" w:after="290" w:line="376" w:lineRule="auto"/>
        <w:rPr>
          <w:rFonts w:ascii="宋体" w:hAnsi="宋体"/>
          <w:color w:val="auto"/>
          <w:szCs w:val="24"/>
          <w:highlight w:val="none"/>
        </w:rPr>
      </w:pPr>
      <w:bookmarkStart w:id="597" w:name="_Toc11582"/>
      <w:r>
        <w:rPr>
          <w:rFonts w:hint="eastAsia" w:ascii="宋体" w:hAnsi="宋体"/>
          <w:color w:val="auto"/>
          <w:szCs w:val="24"/>
          <w:highlight w:val="none"/>
        </w:rPr>
        <w:t>门诊慢病医生站</w:t>
      </w:r>
      <w:bookmarkEnd w:id="597"/>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在门诊</w:t>
      </w:r>
      <w:r>
        <w:rPr>
          <w:rFonts w:ascii="宋体" w:hAnsi="宋体"/>
          <w:color w:val="auto"/>
          <w:sz w:val="24"/>
          <w:highlight w:val="none"/>
        </w:rPr>
        <w:t>医生站常备功能基础上，</w:t>
      </w:r>
      <w:r>
        <w:rPr>
          <w:rFonts w:hint="eastAsia" w:ascii="宋体" w:hAnsi="宋体"/>
          <w:color w:val="auto"/>
          <w:sz w:val="24"/>
          <w:highlight w:val="none"/>
        </w:rPr>
        <w:t>针对</w:t>
      </w:r>
      <w:r>
        <w:rPr>
          <w:rFonts w:ascii="宋体" w:hAnsi="宋体"/>
          <w:color w:val="auto"/>
          <w:sz w:val="24"/>
          <w:highlight w:val="none"/>
        </w:rPr>
        <w:t>慢病患者就诊特性</w:t>
      </w:r>
      <w:r>
        <w:rPr>
          <w:rFonts w:hint="eastAsia" w:ascii="宋体" w:hAnsi="宋体"/>
          <w:color w:val="auto"/>
          <w:sz w:val="24"/>
          <w:highlight w:val="none"/>
        </w:rPr>
        <w:t>提供</w:t>
      </w:r>
      <w:r>
        <w:rPr>
          <w:rFonts w:ascii="宋体" w:hAnsi="宋体"/>
          <w:color w:val="auto"/>
          <w:sz w:val="24"/>
          <w:highlight w:val="none"/>
        </w:rPr>
        <w:t>慢病处方快速开立及简化精准开立能力。</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980" w:type="dxa"/>
            <w:shd w:val="clear" w:color="auto" w:fill="4471C4"/>
          </w:tcPr>
          <w:p>
            <w:pPr>
              <w:autoSpaceDE w:val="0"/>
              <w:autoSpaceDN w:val="0"/>
              <w:spacing w:before="27" w:line="360" w:lineRule="auto"/>
              <w:ind w:left="292"/>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模块</w:t>
            </w:r>
          </w:p>
        </w:tc>
        <w:tc>
          <w:tcPr>
            <w:tcW w:w="7087" w:type="dxa"/>
            <w:shd w:val="clear" w:color="auto" w:fill="4471C4"/>
          </w:tcPr>
          <w:p>
            <w:pPr>
              <w:autoSpaceDE w:val="0"/>
              <w:autoSpaceDN w:val="0"/>
              <w:spacing w:before="27" w:line="360" w:lineRule="auto"/>
              <w:ind w:left="2807" w:right="2798"/>
              <w:jc w:val="center"/>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80" w:type="dxa"/>
            <w:vAlign w:val="center"/>
          </w:tcPr>
          <w:p>
            <w:pPr>
              <w:autoSpaceDE w:val="0"/>
              <w:autoSpaceDN w:val="0"/>
              <w:spacing w:line="360" w:lineRule="auto"/>
              <w:ind w:left="125" w:right="103" w:rightChars="49"/>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门诊慢病医生站</w:t>
            </w:r>
          </w:p>
        </w:tc>
        <w:tc>
          <w:tcPr>
            <w:tcW w:w="7087" w:type="dxa"/>
          </w:tcPr>
          <w:p>
            <w:pPr>
              <w:spacing w:line="360" w:lineRule="auto"/>
              <w:rPr>
                <w:rFonts w:ascii="宋体" w:hAnsi="宋体"/>
                <w:b/>
                <w:bCs/>
                <w:color w:val="auto"/>
                <w:sz w:val="24"/>
                <w:highlight w:val="none"/>
              </w:rPr>
            </w:pPr>
            <w:r>
              <w:rPr>
                <w:rFonts w:hint="eastAsia" w:ascii="宋体" w:hAnsi="宋体"/>
                <w:b/>
                <w:bCs/>
                <w:color w:val="auto"/>
                <w:sz w:val="24"/>
                <w:highlight w:val="none"/>
              </w:rPr>
              <w:t>（1）患者就诊</w:t>
            </w:r>
          </w:p>
          <w:p>
            <w:pPr>
              <w:spacing w:line="360" w:lineRule="auto"/>
              <w:rPr>
                <w:rFonts w:ascii="宋体" w:hAnsi="宋体"/>
                <w:color w:val="auto"/>
                <w:sz w:val="24"/>
                <w:highlight w:val="none"/>
              </w:rPr>
            </w:pPr>
            <w:r>
              <w:rPr>
                <w:rFonts w:hint="eastAsia" w:ascii="宋体" w:hAnsi="宋体"/>
                <w:b/>
                <w:bCs/>
                <w:color w:val="auto"/>
                <w:sz w:val="24"/>
                <w:highlight w:val="none"/>
              </w:rPr>
              <w:t>挂号接诊：</w:t>
            </w:r>
            <w:r>
              <w:rPr>
                <w:rFonts w:hint="eastAsia" w:ascii="宋体" w:hAnsi="宋体"/>
                <w:color w:val="auto"/>
                <w:sz w:val="24"/>
                <w:highlight w:val="none"/>
              </w:rPr>
              <w:t>支持当前登录医生给患者挂本人、本科、本医疗组下当日的号，并且可选择患者分类、是否免费</w:t>
            </w:r>
          </w:p>
          <w:p>
            <w:pPr>
              <w:spacing w:line="360" w:lineRule="auto"/>
              <w:rPr>
                <w:rFonts w:ascii="宋体" w:hAnsi="宋体"/>
                <w:b/>
                <w:bCs/>
                <w:color w:val="auto"/>
                <w:sz w:val="24"/>
                <w:highlight w:val="none"/>
              </w:rPr>
            </w:pPr>
            <w:r>
              <w:rPr>
                <w:rFonts w:hint="eastAsia" w:ascii="宋体" w:hAnsi="宋体"/>
                <w:b/>
                <w:bCs/>
                <w:color w:val="auto"/>
                <w:sz w:val="24"/>
                <w:highlight w:val="none"/>
              </w:rPr>
              <w:t>诊间预约：</w:t>
            </w:r>
          </w:p>
          <w:p>
            <w:pPr>
              <w:spacing w:line="360" w:lineRule="auto"/>
              <w:rPr>
                <w:rFonts w:ascii="宋体" w:hAnsi="宋体"/>
                <w:color w:val="auto"/>
                <w:sz w:val="24"/>
                <w:highlight w:val="none"/>
              </w:rPr>
            </w:pPr>
            <w:r>
              <w:rPr>
                <w:rFonts w:hint="eastAsia" w:ascii="宋体" w:hAnsi="宋体"/>
                <w:color w:val="auto"/>
                <w:sz w:val="24"/>
                <w:highlight w:val="none"/>
              </w:rPr>
              <w:t>1、支持临床医生诊间预约。</w:t>
            </w:r>
          </w:p>
          <w:p>
            <w:pPr>
              <w:spacing w:line="360" w:lineRule="auto"/>
              <w:rPr>
                <w:rFonts w:ascii="宋体" w:hAnsi="宋体"/>
                <w:color w:val="auto"/>
                <w:sz w:val="24"/>
                <w:highlight w:val="none"/>
              </w:rPr>
            </w:pPr>
            <w:r>
              <w:rPr>
                <w:rFonts w:hint="eastAsia" w:ascii="宋体" w:hAnsi="宋体"/>
                <w:color w:val="auto"/>
                <w:sz w:val="24"/>
                <w:highlight w:val="none"/>
              </w:rPr>
              <w:t>2、支持预约本医生/其他医生，支持预约本科室/其他科室号源。</w:t>
            </w:r>
          </w:p>
          <w:p>
            <w:pPr>
              <w:spacing w:line="360" w:lineRule="auto"/>
              <w:rPr>
                <w:rFonts w:ascii="宋体" w:hAnsi="宋体"/>
                <w:b/>
                <w:bCs/>
                <w:color w:val="auto"/>
                <w:sz w:val="24"/>
                <w:highlight w:val="none"/>
              </w:rPr>
            </w:pPr>
            <w:r>
              <w:rPr>
                <w:rFonts w:hint="eastAsia" w:ascii="宋体" w:hAnsi="宋体"/>
                <w:b/>
                <w:bCs/>
                <w:color w:val="auto"/>
                <w:sz w:val="24"/>
                <w:highlight w:val="none"/>
              </w:rPr>
              <w:t>诊间加号：</w:t>
            </w:r>
          </w:p>
          <w:p>
            <w:pPr>
              <w:spacing w:line="360" w:lineRule="auto"/>
              <w:rPr>
                <w:rFonts w:ascii="宋体" w:hAnsi="宋体"/>
                <w:color w:val="auto"/>
                <w:sz w:val="24"/>
                <w:highlight w:val="none"/>
              </w:rPr>
            </w:pPr>
            <w:r>
              <w:rPr>
                <w:rFonts w:hint="eastAsia" w:ascii="宋体" w:hAnsi="宋体"/>
                <w:color w:val="auto"/>
                <w:sz w:val="24"/>
                <w:highlight w:val="none"/>
              </w:rPr>
              <w:t>1、支持诊间加号。</w:t>
            </w:r>
          </w:p>
          <w:p>
            <w:pPr>
              <w:spacing w:line="360" w:lineRule="auto"/>
              <w:rPr>
                <w:rFonts w:ascii="宋体" w:hAnsi="宋体"/>
                <w:color w:val="auto"/>
                <w:sz w:val="24"/>
                <w:highlight w:val="none"/>
              </w:rPr>
            </w:pPr>
            <w:r>
              <w:rPr>
                <w:rFonts w:hint="eastAsia" w:ascii="宋体" w:hAnsi="宋体"/>
                <w:color w:val="auto"/>
                <w:sz w:val="24"/>
                <w:highlight w:val="none"/>
              </w:rPr>
              <w:t>2、支持按患者加号，支持按总号源加号。</w:t>
            </w:r>
          </w:p>
          <w:p>
            <w:pPr>
              <w:spacing w:line="360" w:lineRule="auto"/>
              <w:rPr>
                <w:rFonts w:ascii="宋体" w:hAnsi="宋体"/>
                <w:b/>
                <w:bCs/>
                <w:color w:val="auto"/>
                <w:sz w:val="24"/>
                <w:highlight w:val="none"/>
              </w:rPr>
            </w:pPr>
            <w:r>
              <w:rPr>
                <w:rFonts w:hint="eastAsia" w:ascii="宋体" w:hAnsi="宋体"/>
                <w:b/>
                <w:bCs/>
                <w:color w:val="auto"/>
                <w:sz w:val="24"/>
                <w:highlight w:val="none"/>
              </w:rPr>
              <w:t>入院申请：</w:t>
            </w:r>
          </w:p>
          <w:p>
            <w:pPr>
              <w:spacing w:line="360" w:lineRule="auto"/>
              <w:rPr>
                <w:rFonts w:ascii="宋体" w:hAnsi="宋体"/>
                <w:color w:val="auto"/>
                <w:sz w:val="24"/>
                <w:highlight w:val="none"/>
              </w:rPr>
            </w:pPr>
            <w:r>
              <w:rPr>
                <w:rFonts w:hint="eastAsia" w:ascii="宋体" w:hAnsi="宋体"/>
                <w:color w:val="auto"/>
                <w:sz w:val="24"/>
                <w:highlight w:val="none"/>
              </w:rPr>
              <w:t>1、在已下诊断前提下，支持临床医生填写入院申请单。</w:t>
            </w:r>
          </w:p>
          <w:p>
            <w:pPr>
              <w:spacing w:line="360" w:lineRule="auto"/>
              <w:rPr>
                <w:rFonts w:ascii="宋体" w:hAnsi="宋体"/>
                <w:color w:val="auto"/>
                <w:sz w:val="24"/>
                <w:highlight w:val="none"/>
              </w:rPr>
            </w:pPr>
            <w:r>
              <w:rPr>
                <w:rFonts w:hint="eastAsia" w:ascii="宋体" w:hAnsi="宋体"/>
                <w:color w:val="auto"/>
                <w:sz w:val="24"/>
                <w:highlight w:val="none"/>
              </w:rPr>
              <w:t>2、支持入院申请单打印。</w:t>
            </w:r>
          </w:p>
          <w:p>
            <w:pPr>
              <w:spacing w:line="360" w:lineRule="auto"/>
              <w:rPr>
                <w:rFonts w:ascii="宋体" w:hAnsi="宋体"/>
                <w:color w:val="auto"/>
                <w:sz w:val="24"/>
                <w:highlight w:val="none"/>
              </w:rPr>
            </w:pPr>
            <w:r>
              <w:rPr>
                <w:rFonts w:hint="eastAsia" w:ascii="宋体" w:hAnsi="宋体"/>
                <w:color w:val="auto"/>
                <w:sz w:val="24"/>
                <w:highlight w:val="none"/>
              </w:rPr>
              <w:t>3、支持撤销入院申请。</w:t>
            </w:r>
          </w:p>
          <w:p>
            <w:pPr>
              <w:spacing w:line="360" w:lineRule="auto"/>
              <w:rPr>
                <w:rFonts w:ascii="宋体" w:hAnsi="宋体"/>
                <w:color w:val="auto"/>
                <w:sz w:val="24"/>
                <w:highlight w:val="none"/>
              </w:rPr>
            </w:pPr>
            <w:r>
              <w:rPr>
                <w:rFonts w:hint="eastAsia" w:ascii="宋体" w:hAnsi="宋体"/>
                <w:b/>
                <w:bCs/>
                <w:color w:val="auto"/>
                <w:sz w:val="24"/>
                <w:highlight w:val="none"/>
              </w:rPr>
              <w:t>患者叫号：</w:t>
            </w:r>
            <w:r>
              <w:rPr>
                <w:rFonts w:hint="eastAsia" w:ascii="宋体" w:hAnsi="宋体"/>
                <w:color w:val="auto"/>
                <w:sz w:val="24"/>
                <w:highlight w:val="none"/>
              </w:rPr>
              <w:t>支持临床医生对候诊列表的患者叫号。</w:t>
            </w:r>
          </w:p>
          <w:p>
            <w:pPr>
              <w:spacing w:line="360" w:lineRule="auto"/>
              <w:rPr>
                <w:rFonts w:ascii="宋体" w:hAnsi="宋体"/>
                <w:color w:val="auto"/>
                <w:sz w:val="24"/>
                <w:highlight w:val="none"/>
              </w:rPr>
            </w:pPr>
            <w:r>
              <w:rPr>
                <w:rFonts w:hint="eastAsia" w:ascii="宋体" w:hAnsi="宋体"/>
                <w:b/>
                <w:bCs/>
                <w:color w:val="auto"/>
                <w:sz w:val="24"/>
                <w:highlight w:val="none"/>
              </w:rPr>
              <w:t>患者档案维护：</w:t>
            </w:r>
            <w:r>
              <w:rPr>
                <w:rFonts w:hint="eastAsia" w:ascii="宋体" w:hAnsi="宋体"/>
                <w:color w:val="auto"/>
                <w:sz w:val="24"/>
                <w:highlight w:val="none"/>
              </w:rPr>
              <w:t>支持临床医生对者基本信息档案填写修改，如患者证件号（军人证、出生证、护照）、手机号、住址、联系人、体征信息等。</w:t>
            </w:r>
          </w:p>
          <w:p>
            <w:pPr>
              <w:spacing w:line="360" w:lineRule="auto"/>
              <w:rPr>
                <w:rFonts w:ascii="宋体" w:hAnsi="宋体"/>
                <w:color w:val="auto"/>
                <w:sz w:val="24"/>
                <w:highlight w:val="none"/>
              </w:rPr>
            </w:pPr>
            <w:r>
              <w:rPr>
                <w:rFonts w:hint="eastAsia" w:ascii="宋体" w:hAnsi="宋体"/>
                <w:b/>
                <w:bCs/>
                <w:color w:val="auto"/>
                <w:sz w:val="24"/>
                <w:highlight w:val="none"/>
              </w:rPr>
              <w:t>代办人维护</w:t>
            </w:r>
            <w:r>
              <w:rPr>
                <w:rFonts w:hint="eastAsia" w:ascii="宋体" w:hAnsi="宋体"/>
                <w:b/>
                <w:bCs/>
                <w:color w:val="auto"/>
                <w:sz w:val="24"/>
                <w:highlight w:val="none"/>
              </w:rPr>
              <w:tab/>
            </w:r>
            <w:r>
              <w:rPr>
                <w:rFonts w:hint="eastAsia" w:ascii="宋体" w:hAnsi="宋体"/>
                <w:b/>
                <w:bCs/>
                <w:color w:val="auto"/>
                <w:sz w:val="24"/>
                <w:highlight w:val="none"/>
              </w:rPr>
              <w:t>：</w:t>
            </w:r>
            <w:r>
              <w:rPr>
                <w:rFonts w:hint="eastAsia" w:ascii="宋体" w:hAnsi="宋体"/>
                <w:color w:val="auto"/>
                <w:sz w:val="24"/>
                <w:highlight w:val="none"/>
              </w:rPr>
              <w:t>支持临床医生选择其中一个联系人设置为代办人。</w:t>
            </w:r>
          </w:p>
          <w:p>
            <w:pPr>
              <w:spacing w:line="360" w:lineRule="auto"/>
              <w:rPr>
                <w:rFonts w:ascii="宋体" w:hAnsi="宋体"/>
                <w:color w:val="auto"/>
                <w:sz w:val="24"/>
                <w:highlight w:val="none"/>
              </w:rPr>
            </w:pPr>
            <w:r>
              <w:rPr>
                <w:rFonts w:hint="eastAsia" w:ascii="宋体" w:hAnsi="宋体"/>
                <w:b/>
                <w:bCs/>
                <w:color w:val="auto"/>
                <w:sz w:val="24"/>
                <w:highlight w:val="none"/>
              </w:rPr>
              <w:t>患者就诊状况维护：</w:t>
            </w:r>
            <w:r>
              <w:rPr>
                <w:rFonts w:hint="eastAsia" w:ascii="宋体" w:hAnsi="宋体"/>
                <w:color w:val="auto"/>
                <w:sz w:val="24"/>
                <w:highlight w:val="none"/>
              </w:rPr>
              <w:t>支持临床医生对患者状况设置，并且就诊状况标识显示在患者信息栏中。</w:t>
            </w:r>
          </w:p>
          <w:p>
            <w:pPr>
              <w:spacing w:line="360" w:lineRule="auto"/>
              <w:rPr>
                <w:rFonts w:ascii="宋体" w:hAnsi="宋体"/>
                <w:color w:val="auto"/>
                <w:sz w:val="24"/>
                <w:highlight w:val="none"/>
              </w:rPr>
            </w:pPr>
            <w:r>
              <w:rPr>
                <w:rFonts w:hint="eastAsia" w:ascii="宋体" w:hAnsi="宋体"/>
                <w:b/>
                <w:bCs/>
                <w:color w:val="auto"/>
                <w:sz w:val="24"/>
                <w:highlight w:val="none"/>
              </w:rPr>
              <w:t>患者生理状态维护：</w:t>
            </w:r>
            <w:r>
              <w:rPr>
                <w:rFonts w:hint="eastAsia" w:ascii="宋体" w:hAnsi="宋体"/>
                <w:color w:val="auto"/>
                <w:sz w:val="24"/>
                <w:highlight w:val="none"/>
              </w:rPr>
              <w:t>支持临床医生对患者生理状态新增保存，并且生理状态信息显示在患者信息栏中。</w:t>
            </w:r>
          </w:p>
          <w:p>
            <w:pPr>
              <w:spacing w:line="360" w:lineRule="auto"/>
              <w:rPr>
                <w:rFonts w:ascii="宋体" w:hAnsi="宋体"/>
                <w:b/>
                <w:bCs/>
                <w:color w:val="auto"/>
                <w:sz w:val="24"/>
                <w:highlight w:val="none"/>
              </w:rPr>
            </w:pPr>
            <w:r>
              <w:rPr>
                <w:rFonts w:hint="eastAsia" w:ascii="宋体" w:hAnsi="宋体"/>
                <w:b/>
                <w:bCs/>
                <w:color w:val="auto"/>
                <w:sz w:val="24"/>
                <w:highlight w:val="none"/>
              </w:rPr>
              <w:t>（2）门诊医嘱</w:t>
            </w:r>
          </w:p>
          <w:p>
            <w:pPr>
              <w:spacing w:line="360" w:lineRule="auto"/>
              <w:rPr>
                <w:rFonts w:ascii="宋体" w:hAnsi="宋体"/>
                <w:b/>
                <w:bCs/>
                <w:color w:val="auto"/>
                <w:sz w:val="24"/>
                <w:highlight w:val="none"/>
              </w:rPr>
            </w:pPr>
            <w:r>
              <w:rPr>
                <w:rFonts w:hint="eastAsia" w:ascii="宋体" w:hAnsi="宋体"/>
                <w:b/>
                <w:bCs/>
                <w:color w:val="auto"/>
                <w:sz w:val="24"/>
                <w:highlight w:val="none"/>
              </w:rPr>
              <w:t>医嘱录入：</w:t>
            </w:r>
          </w:p>
          <w:p>
            <w:pPr>
              <w:spacing w:line="360" w:lineRule="auto"/>
              <w:rPr>
                <w:rFonts w:ascii="宋体" w:hAnsi="宋体"/>
                <w:color w:val="auto"/>
                <w:sz w:val="24"/>
                <w:highlight w:val="none"/>
              </w:rPr>
            </w:pPr>
            <w:r>
              <w:rPr>
                <w:rFonts w:hint="eastAsia" w:ascii="宋体" w:hAnsi="宋体"/>
                <w:color w:val="auto"/>
                <w:sz w:val="24"/>
                <w:highlight w:val="none"/>
              </w:rPr>
              <w:t>1、支持西药、草药开立。</w:t>
            </w:r>
          </w:p>
          <w:p>
            <w:pPr>
              <w:spacing w:line="360" w:lineRule="auto"/>
              <w:rPr>
                <w:rFonts w:ascii="宋体" w:hAnsi="宋体"/>
                <w:color w:val="auto"/>
                <w:sz w:val="24"/>
                <w:highlight w:val="none"/>
              </w:rPr>
            </w:pPr>
            <w:r>
              <w:rPr>
                <w:rFonts w:hint="eastAsia" w:ascii="宋体" w:hAnsi="宋体"/>
                <w:color w:val="auto"/>
                <w:sz w:val="24"/>
                <w:highlight w:val="none"/>
              </w:rPr>
              <w:t>①支持成组药开立，支持自动分方和重新分方。</w:t>
            </w:r>
          </w:p>
          <w:p>
            <w:pPr>
              <w:spacing w:line="360" w:lineRule="auto"/>
              <w:rPr>
                <w:rFonts w:ascii="宋体" w:hAnsi="宋体"/>
                <w:color w:val="auto"/>
                <w:sz w:val="24"/>
                <w:highlight w:val="none"/>
              </w:rPr>
            </w:pPr>
            <w:r>
              <w:rPr>
                <w:rFonts w:hint="eastAsia" w:ascii="宋体" w:hAnsi="宋体"/>
                <w:color w:val="auto"/>
                <w:sz w:val="24"/>
                <w:highlight w:val="none"/>
              </w:rPr>
              <w:t>②支持按天数、按总量开立。</w:t>
            </w:r>
          </w:p>
          <w:p>
            <w:pPr>
              <w:spacing w:line="360" w:lineRule="auto"/>
              <w:rPr>
                <w:rFonts w:ascii="宋体" w:hAnsi="宋体"/>
                <w:color w:val="auto"/>
                <w:sz w:val="24"/>
                <w:highlight w:val="none"/>
              </w:rPr>
            </w:pPr>
            <w:r>
              <w:rPr>
                <w:rFonts w:hint="eastAsia" w:ascii="宋体" w:hAnsi="宋体"/>
                <w:color w:val="auto"/>
                <w:sz w:val="24"/>
                <w:highlight w:val="none"/>
              </w:rPr>
              <w:t>③支持外配药、自备药、皮试药开立。</w:t>
            </w:r>
          </w:p>
          <w:p>
            <w:pPr>
              <w:spacing w:line="360" w:lineRule="auto"/>
              <w:rPr>
                <w:rFonts w:ascii="宋体" w:hAnsi="宋体"/>
                <w:color w:val="auto"/>
                <w:sz w:val="24"/>
                <w:highlight w:val="none"/>
              </w:rPr>
            </w:pPr>
            <w:r>
              <w:rPr>
                <w:rFonts w:hint="eastAsia" w:ascii="宋体" w:hAnsi="宋体"/>
                <w:color w:val="auto"/>
                <w:sz w:val="24"/>
                <w:highlight w:val="none"/>
              </w:rPr>
              <w:t>2、支持检验、检查开立。</w:t>
            </w:r>
          </w:p>
          <w:p>
            <w:pPr>
              <w:spacing w:line="360" w:lineRule="auto"/>
              <w:rPr>
                <w:rFonts w:ascii="宋体" w:hAnsi="宋体"/>
                <w:color w:val="auto"/>
                <w:sz w:val="24"/>
                <w:highlight w:val="none"/>
              </w:rPr>
            </w:pPr>
            <w:r>
              <w:rPr>
                <w:rFonts w:hint="eastAsia" w:ascii="宋体" w:hAnsi="宋体"/>
                <w:color w:val="auto"/>
                <w:sz w:val="24"/>
                <w:highlight w:val="none"/>
              </w:rPr>
              <w:t>①支持检查、检验申请单开立。</w:t>
            </w:r>
          </w:p>
          <w:p>
            <w:pPr>
              <w:spacing w:line="360" w:lineRule="auto"/>
              <w:rPr>
                <w:rFonts w:ascii="宋体" w:hAnsi="宋体"/>
                <w:color w:val="auto"/>
                <w:sz w:val="24"/>
                <w:highlight w:val="none"/>
              </w:rPr>
            </w:pPr>
            <w:r>
              <w:rPr>
                <w:rFonts w:hint="eastAsia" w:ascii="宋体" w:hAnsi="宋体"/>
                <w:color w:val="auto"/>
                <w:sz w:val="24"/>
                <w:highlight w:val="none"/>
              </w:rPr>
              <w:t>②支持多次执行、多剂量检查、检验开立。</w:t>
            </w:r>
          </w:p>
          <w:p>
            <w:pPr>
              <w:spacing w:line="360" w:lineRule="auto"/>
              <w:rPr>
                <w:rFonts w:ascii="宋体" w:hAnsi="宋体"/>
                <w:color w:val="auto"/>
                <w:sz w:val="24"/>
                <w:highlight w:val="none"/>
              </w:rPr>
            </w:pPr>
            <w:r>
              <w:rPr>
                <w:rFonts w:hint="eastAsia" w:ascii="宋体" w:hAnsi="宋体"/>
                <w:color w:val="auto"/>
                <w:sz w:val="24"/>
                <w:highlight w:val="none"/>
              </w:rPr>
              <w:t>③支持按服务分类或服务项目定制医疗单和申请单。</w:t>
            </w:r>
          </w:p>
          <w:p>
            <w:pPr>
              <w:spacing w:line="360" w:lineRule="auto"/>
              <w:rPr>
                <w:rFonts w:ascii="宋体" w:hAnsi="宋体"/>
                <w:color w:val="auto"/>
                <w:sz w:val="24"/>
                <w:highlight w:val="none"/>
              </w:rPr>
            </w:pPr>
            <w:r>
              <w:rPr>
                <w:rFonts w:hint="eastAsia" w:ascii="宋体" w:hAnsi="宋体"/>
                <w:color w:val="auto"/>
                <w:sz w:val="24"/>
                <w:highlight w:val="none"/>
              </w:rPr>
              <w:t>3支持诊疗项目开立。</w:t>
            </w:r>
          </w:p>
          <w:p>
            <w:pPr>
              <w:spacing w:line="360" w:lineRule="auto"/>
              <w:rPr>
                <w:rFonts w:ascii="宋体" w:hAnsi="宋体"/>
                <w:color w:val="auto"/>
                <w:sz w:val="24"/>
                <w:highlight w:val="none"/>
              </w:rPr>
            </w:pPr>
            <w:r>
              <w:rPr>
                <w:rFonts w:hint="eastAsia" w:ascii="宋体" w:hAnsi="宋体"/>
                <w:color w:val="auto"/>
                <w:sz w:val="24"/>
                <w:highlight w:val="none"/>
              </w:rPr>
              <w:t>①支持诊疗申请单开立。</w:t>
            </w:r>
          </w:p>
          <w:p>
            <w:pPr>
              <w:spacing w:line="360" w:lineRule="auto"/>
              <w:rPr>
                <w:rFonts w:ascii="宋体" w:hAnsi="宋体"/>
                <w:color w:val="auto"/>
                <w:sz w:val="24"/>
                <w:highlight w:val="none"/>
              </w:rPr>
            </w:pPr>
            <w:r>
              <w:rPr>
                <w:rFonts w:hint="eastAsia" w:ascii="宋体" w:hAnsi="宋体"/>
                <w:color w:val="auto"/>
                <w:sz w:val="24"/>
                <w:highlight w:val="none"/>
              </w:rPr>
              <w:t>②支持多次执行、多剂量诊疗服务开立。</w:t>
            </w:r>
          </w:p>
          <w:p>
            <w:pPr>
              <w:spacing w:line="360" w:lineRule="auto"/>
              <w:rPr>
                <w:rFonts w:ascii="宋体" w:hAnsi="宋体"/>
                <w:color w:val="auto"/>
                <w:sz w:val="24"/>
                <w:highlight w:val="none"/>
              </w:rPr>
            </w:pPr>
            <w:r>
              <w:rPr>
                <w:rFonts w:hint="eastAsia" w:ascii="宋体" w:hAnsi="宋体"/>
                <w:color w:val="auto"/>
                <w:sz w:val="24"/>
                <w:highlight w:val="none"/>
              </w:rPr>
              <w:t>4、支持手术、备血/用血、病理、会诊、嘱托处置开立。</w:t>
            </w:r>
          </w:p>
          <w:p>
            <w:pPr>
              <w:spacing w:line="360" w:lineRule="auto"/>
              <w:rPr>
                <w:rFonts w:ascii="宋体" w:hAnsi="宋体"/>
                <w:color w:val="auto"/>
                <w:sz w:val="24"/>
                <w:highlight w:val="none"/>
              </w:rPr>
            </w:pPr>
            <w:r>
              <w:rPr>
                <w:rFonts w:hint="eastAsia" w:ascii="宋体" w:hAnsi="宋体"/>
                <w:color w:val="auto"/>
                <w:sz w:val="24"/>
                <w:highlight w:val="none"/>
              </w:rPr>
              <w:t>①支持血库库存查看。</w:t>
            </w:r>
          </w:p>
          <w:p>
            <w:pPr>
              <w:spacing w:line="360" w:lineRule="auto"/>
              <w:rPr>
                <w:rFonts w:ascii="宋体" w:hAnsi="宋体"/>
                <w:color w:val="auto"/>
                <w:sz w:val="24"/>
                <w:highlight w:val="none"/>
              </w:rPr>
            </w:pPr>
            <w:r>
              <w:rPr>
                <w:rFonts w:hint="eastAsia" w:ascii="宋体" w:hAnsi="宋体"/>
                <w:color w:val="auto"/>
                <w:sz w:val="24"/>
                <w:highlight w:val="none"/>
              </w:rPr>
              <w:t>5、支持医保开单校验、历史持有量校验。</w:t>
            </w:r>
          </w:p>
          <w:p>
            <w:pPr>
              <w:spacing w:line="360" w:lineRule="auto"/>
              <w:rPr>
                <w:rFonts w:ascii="宋体" w:hAnsi="宋体"/>
                <w:color w:val="auto"/>
                <w:sz w:val="24"/>
                <w:highlight w:val="none"/>
              </w:rPr>
            </w:pPr>
            <w:r>
              <w:rPr>
                <w:rFonts w:hint="eastAsia" w:ascii="宋体" w:hAnsi="宋体"/>
                <w:color w:val="auto"/>
                <w:sz w:val="24"/>
                <w:highlight w:val="none"/>
              </w:rPr>
              <w:t>6、支持加急项目开立。</w:t>
            </w:r>
          </w:p>
          <w:p>
            <w:pPr>
              <w:spacing w:line="360" w:lineRule="auto"/>
              <w:rPr>
                <w:rFonts w:ascii="宋体" w:hAnsi="宋体"/>
                <w:b/>
                <w:bCs/>
                <w:color w:val="auto"/>
                <w:sz w:val="24"/>
                <w:highlight w:val="none"/>
              </w:rPr>
            </w:pPr>
            <w:r>
              <w:rPr>
                <w:rFonts w:hint="eastAsia" w:ascii="宋体" w:hAnsi="宋体"/>
                <w:b/>
                <w:bCs/>
                <w:color w:val="auto"/>
                <w:sz w:val="24"/>
                <w:highlight w:val="none"/>
              </w:rPr>
              <w:t>医嘱模板录入：</w:t>
            </w:r>
          </w:p>
          <w:p>
            <w:pPr>
              <w:spacing w:line="360" w:lineRule="auto"/>
              <w:rPr>
                <w:rFonts w:ascii="宋体" w:hAnsi="宋体"/>
                <w:color w:val="auto"/>
                <w:sz w:val="24"/>
                <w:highlight w:val="none"/>
              </w:rPr>
            </w:pPr>
            <w:r>
              <w:rPr>
                <w:rFonts w:hint="eastAsia" w:ascii="宋体" w:hAnsi="宋体"/>
                <w:color w:val="auto"/>
                <w:sz w:val="24"/>
                <w:highlight w:val="none"/>
              </w:rPr>
              <w:t>1、支持临床医生通过个人、科室、全院模板开立医嘱。</w:t>
            </w:r>
          </w:p>
          <w:p>
            <w:pPr>
              <w:spacing w:line="360" w:lineRule="auto"/>
              <w:rPr>
                <w:rFonts w:ascii="宋体" w:hAnsi="宋体"/>
                <w:color w:val="auto"/>
                <w:sz w:val="24"/>
                <w:highlight w:val="none"/>
              </w:rPr>
            </w:pPr>
            <w:r>
              <w:rPr>
                <w:rFonts w:hint="eastAsia" w:ascii="宋体" w:hAnsi="宋体"/>
                <w:color w:val="auto"/>
                <w:sz w:val="24"/>
                <w:highlight w:val="none"/>
              </w:rPr>
              <w:t>2、支持单选、多选模板项目。</w:t>
            </w:r>
          </w:p>
          <w:p>
            <w:pPr>
              <w:spacing w:line="360" w:lineRule="auto"/>
              <w:rPr>
                <w:rFonts w:ascii="宋体" w:hAnsi="宋体"/>
                <w:color w:val="auto"/>
                <w:sz w:val="24"/>
                <w:highlight w:val="none"/>
              </w:rPr>
            </w:pPr>
            <w:r>
              <w:rPr>
                <w:rFonts w:hint="eastAsia" w:ascii="宋体" w:hAnsi="宋体"/>
                <w:b/>
                <w:bCs/>
                <w:color w:val="auto"/>
                <w:sz w:val="24"/>
                <w:highlight w:val="none"/>
              </w:rPr>
              <w:t>医嘱签署：</w:t>
            </w:r>
            <w:r>
              <w:rPr>
                <w:rFonts w:hint="eastAsia" w:ascii="宋体" w:hAnsi="宋体"/>
                <w:color w:val="auto"/>
                <w:sz w:val="24"/>
                <w:highlight w:val="none"/>
              </w:rPr>
              <w:t>支持临床医生对开立状态的医嘱签署。</w:t>
            </w:r>
          </w:p>
          <w:p>
            <w:pPr>
              <w:spacing w:line="360" w:lineRule="auto"/>
              <w:rPr>
                <w:rFonts w:ascii="宋体" w:hAnsi="宋体"/>
                <w:color w:val="auto"/>
                <w:sz w:val="24"/>
                <w:highlight w:val="none"/>
              </w:rPr>
            </w:pPr>
            <w:r>
              <w:rPr>
                <w:rFonts w:hint="eastAsia" w:ascii="宋体" w:hAnsi="宋体"/>
                <w:b/>
                <w:bCs/>
                <w:color w:val="auto"/>
                <w:sz w:val="24"/>
                <w:highlight w:val="none"/>
              </w:rPr>
              <w:t>医嘱撤回：</w:t>
            </w:r>
            <w:r>
              <w:rPr>
                <w:rFonts w:hint="eastAsia" w:ascii="宋体" w:hAnsi="宋体"/>
                <w:color w:val="auto"/>
                <w:sz w:val="24"/>
                <w:highlight w:val="none"/>
              </w:rPr>
              <w:t>支持临床医生对签署未记账的医嘱撤回。</w:t>
            </w:r>
          </w:p>
          <w:p>
            <w:pPr>
              <w:spacing w:line="360" w:lineRule="auto"/>
              <w:rPr>
                <w:rFonts w:ascii="宋体" w:hAnsi="宋体"/>
                <w:color w:val="auto"/>
                <w:sz w:val="24"/>
                <w:highlight w:val="none"/>
              </w:rPr>
            </w:pPr>
            <w:r>
              <w:rPr>
                <w:rFonts w:hint="eastAsia" w:ascii="宋体" w:hAnsi="宋体"/>
                <w:b/>
                <w:bCs/>
                <w:color w:val="auto"/>
                <w:sz w:val="24"/>
                <w:highlight w:val="none"/>
              </w:rPr>
              <w:t>医嘱作废：</w:t>
            </w:r>
            <w:r>
              <w:rPr>
                <w:rFonts w:hint="eastAsia" w:ascii="宋体" w:hAnsi="宋体"/>
                <w:color w:val="auto"/>
                <w:sz w:val="24"/>
                <w:highlight w:val="none"/>
              </w:rPr>
              <w:t>支持临床医生对签署未记账的医嘱作废。</w:t>
            </w:r>
          </w:p>
          <w:p>
            <w:pPr>
              <w:spacing w:line="360" w:lineRule="auto"/>
              <w:rPr>
                <w:rFonts w:ascii="宋体" w:hAnsi="宋体"/>
                <w:b/>
                <w:bCs/>
                <w:color w:val="auto"/>
                <w:sz w:val="24"/>
                <w:highlight w:val="none"/>
              </w:rPr>
            </w:pPr>
            <w:r>
              <w:rPr>
                <w:rFonts w:hint="eastAsia" w:ascii="宋体" w:hAnsi="宋体"/>
                <w:b/>
                <w:bCs/>
                <w:color w:val="auto"/>
                <w:sz w:val="24"/>
                <w:highlight w:val="none"/>
              </w:rPr>
              <w:t>医嘱复制：</w:t>
            </w:r>
          </w:p>
          <w:p>
            <w:pPr>
              <w:spacing w:line="360" w:lineRule="auto"/>
              <w:rPr>
                <w:rFonts w:ascii="宋体" w:hAnsi="宋体"/>
                <w:color w:val="auto"/>
                <w:sz w:val="24"/>
                <w:highlight w:val="none"/>
              </w:rPr>
            </w:pPr>
            <w:r>
              <w:rPr>
                <w:rFonts w:hint="eastAsia" w:ascii="宋体" w:hAnsi="宋体"/>
                <w:color w:val="auto"/>
                <w:sz w:val="24"/>
                <w:highlight w:val="none"/>
              </w:rPr>
              <w:t>1、支持临床医生对单条或多条医嘱复制。</w:t>
            </w:r>
          </w:p>
          <w:p>
            <w:pPr>
              <w:spacing w:line="360" w:lineRule="auto"/>
              <w:rPr>
                <w:rFonts w:ascii="宋体" w:hAnsi="宋体"/>
                <w:color w:val="auto"/>
                <w:sz w:val="24"/>
                <w:highlight w:val="none"/>
              </w:rPr>
            </w:pPr>
            <w:r>
              <w:rPr>
                <w:rFonts w:hint="eastAsia" w:ascii="宋体" w:hAnsi="宋体"/>
                <w:color w:val="auto"/>
                <w:sz w:val="24"/>
                <w:highlight w:val="none"/>
              </w:rPr>
              <w:t>2、支持两种方式复制医嘱。</w:t>
            </w:r>
          </w:p>
          <w:p>
            <w:pPr>
              <w:spacing w:line="360" w:lineRule="auto"/>
              <w:rPr>
                <w:rFonts w:ascii="宋体" w:hAnsi="宋体"/>
                <w:b/>
                <w:bCs/>
                <w:color w:val="auto"/>
                <w:sz w:val="24"/>
                <w:highlight w:val="none"/>
              </w:rPr>
            </w:pPr>
            <w:r>
              <w:rPr>
                <w:rFonts w:hint="eastAsia" w:ascii="宋体" w:hAnsi="宋体"/>
                <w:b/>
                <w:bCs/>
                <w:color w:val="auto"/>
                <w:sz w:val="24"/>
                <w:highlight w:val="none"/>
              </w:rPr>
              <w:t>另存为模板</w:t>
            </w:r>
            <w:r>
              <w:rPr>
                <w:rFonts w:hint="eastAsia" w:ascii="宋体" w:hAnsi="宋体"/>
                <w:b/>
                <w:bCs/>
                <w:color w:val="auto"/>
                <w:sz w:val="24"/>
                <w:highlight w:val="none"/>
              </w:rPr>
              <w:tab/>
            </w:r>
            <w:r>
              <w:rPr>
                <w:rFonts w:hint="eastAsia" w:ascii="宋体" w:hAnsi="宋体"/>
                <w:b/>
                <w:bCs/>
                <w:color w:val="auto"/>
                <w:sz w:val="24"/>
                <w:highlight w:val="none"/>
              </w:rPr>
              <w:t>：</w:t>
            </w:r>
          </w:p>
          <w:p>
            <w:pPr>
              <w:spacing w:line="360" w:lineRule="auto"/>
              <w:rPr>
                <w:rFonts w:ascii="宋体" w:hAnsi="宋体"/>
                <w:color w:val="auto"/>
                <w:sz w:val="24"/>
                <w:highlight w:val="none"/>
              </w:rPr>
            </w:pPr>
            <w:r>
              <w:rPr>
                <w:rFonts w:hint="eastAsia" w:ascii="宋体" w:hAnsi="宋体"/>
                <w:color w:val="auto"/>
                <w:sz w:val="24"/>
                <w:highlight w:val="none"/>
              </w:rPr>
              <w:t>1、支持临床医生对单条或多条医嘱另存为模板。</w:t>
            </w:r>
          </w:p>
          <w:p>
            <w:pPr>
              <w:spacing w:line="360" w:lineRule="auto"/>
              <w:rPr>
                <w:rFonts w:ascii="宋体" w:hAnsi="宋体"/>
                <w:color w:val="auto"/>
                <w:sz w:val="24"/>
                <w:highlight w:val="none"/>
              </w:rPr>
            </w:pPr>
            <w:r>
              <w:rPr>
                <w:rFonts w:hint="eastAsia" w:ascii="宋体" w:hAnsi="宋体"/>
                <w:color w:val="auto"/>
                <w:sz w:val="24"/>
                <w:highlight w:val="none"/>
              </w:rPr>
              <w:t>2、支持两种方式另存医嘱模板。</w:t>
            </w:r>
          </w:p>
          <w:p>
            <w:pPr>
              <w:spacing w:line="360" w:lineRule="auto"/>
              <w:rPr>
                <w:rFonts w:ascii="宋体" w:hAnsi="宋体"/>
                <w:b/>
                <w:bCs/>
                <w:color w:val="auto"/>
                <w:sz w:val="24"/>
                <w:highlight w:val="none"/>
              </w:rPr>
            </w:pPr>
            <w:r>
              <w:rPr>
                <w:rFonts w:hint="eastAsia" w:ascii="宋体" w:hAnsi="宋体"/>
                <w:b/>
                <w:bCs/>
                <w:color w:val="auto"/>
                <w:sz w:val="24"/>
                <w:highlight w:val="none"/>
              </w:rPr>
              <w:t>（3）门诊诊断</w:t>
            </w:r>
          </w:p>
          <w:p>
            <w:pPr>
              <w:spacing w:line="360" w:lineRule="auto"/>
              <w:rPr>
                <w:rFonts w:ascii="宋体" w:hAnsi="宋体"/>
                <w:b/>
                <w:bCs/>
                <w:color w:val="auto"/>
                <w:sz w:val="24"/>
                <w:highlight w:val="none"/>
              </w:rPr>
            </w:pPr>
            <w:r>
              <w:rPr>
                <w:rFonts w:hint="eastAsia" w:ascii="宋体" w:hAnsi="宋体"/>
                <w:b/>
                <w:bCs/>
                <w:color w:val="auto"/>
                <w:sz w:val="24"/>
                <w:highlight w:val="none"/>
              </w:rPr>
              <w:t>诊断录入：</w:t>
            </w:r>
          </w:p>
          <w:p>
            <w:pPr>
              <w:spacing w:line="360" w:lineRule="auto"/>
              <w:rPr>
                <w:rFonts w:ascii="宋体" w:hAnsi="宋体"/>
                <w:color w:val="auto"/>
                <w:sz w:val="24"/>
                <w:highlight w:val="none"/>
              </w:rPr>
            </w:pPr>
            <w:r>
              <w:rPr>
                <w:rFonts w:hint="eastAsia" w:ascii="宋体" w:hAnsi="宋体"/>
                <w:color w:val="auto"/>
                <w:sz w:val="24"/>
                <w:highlight w:val="none"/>
              </w:rPr>
              <w:t>1、支持医生按照国际疾病分类标准、或医院自定义标准下达诊断；支持疾病编码、拼音、汉字、五笔等多重检索。</w:t>
            </w:r>
          </w:p>
          <w:p>
            <w:pPr>
              <w:spacing w:line="360" w:lineRule="auto"/>
              <w:rPr>
                <w:rFonts w:ascii="宋体" w:hAnsi="宋体"/>
                <w:color w:val="auto"/>
                <w:sz w:val="24"/>
                <w:highlight w:val="none"/>
              </w:rPr>
            </w:pPr>
            <w:r>
              <w:rPr>
                <w:rFonts w:hint="eastAsia" w:ascii="宋体" w:hAnsi="宋体"/>
                <w:color w:val="auto"/>
                <w:sz w:val="24"/>
                <w:highlight w:val="none"/>
              </w:rPr>
              <w:t>①支持西医诊断、中医诊断录入。</w:t>
            </w:r>
          </w:p>
          <w:p>
            <w:pPr>
              <w:spacing w:line="360" w:lineRule="auto"/>
              <w:rPr>
                <w:rFonts w:ascii="宋体" w:hAnsi="宋体"/>
                <w:color w:val="auto"/>
                <w:sz w:val="24"/>
                <w:highlight w:val="none"/>
              </w:rPr>
            </w:pPr>
            <w:r>
              <w:rPr>
                <w:rFonts w:hint="eastAsia" w:ascii="宋体" w:hAnsi="宋体"/>
                <w:color w:val="auto"/>
                <w:sz w:val="24"/>
                <w:highlight w:val="none"/>
              </w:rPr>
              <w:t>②支持主诊断、疑似诊断标记。</w:t>
            </w:r>
          </w:p>
          <w:p>
            <w:pPr>
              <w:spacing w:line="360" w:lineRule="auto"/>
              <w:rPr>
                <w:rFonts w:ascii="宋体" w:hAnsi="宋体"/>
                <w:b/>
                <w:bCs/>
                <w:color w:val="auto"/>
                <w:sz w:val="24"/>
                <w:highlight w:val="none"/>
              </w:rPr>
            </w:pPr>
            <w:r>
              <w:rPr>
                <w:rFonts w:hint="eastAsia" w:ascii="宋体" w:hAnsi="宋体"/>
                <w:b/>
                <w:bCs/>
                <w:color w:val="auto"/>
                <w:sz w:val="24"/>
                <w:highlight w:val="none"/>
              </w:rPr>
              <w:t>科室常用诊断批量录入</w:t>
            </w:r>
          </w:p>
          <w:p>
            <w:pPr>
              <w:spacing w:line="360" w:lineRule="auto"/>
              <w:rPr>
                <w:rFonts w:ascii="宋体" w:hAnsi="宋体"/>
                <w:color w:val="auto"/>
                <w:sz w:val="24"/>
                <w:highlight w:val="none"/>
              </w:rPr>
            </w:pPr>
            <w:r>
              <w:rPr>
                <w:rFonts w:hint="eastAsia" w:ascii="宋体" w:hAnsi="宋体"/>
                <w:color w:val="auto"/>
                <w:sz w:val="24"/>
                <w:highlight w:val="none"/>
              </w:rPr>
              <w:t>1、支持临床医生通过选择科室常用诊断录入诊断。</w:t>
            </w:r>
          </w:p>
          <w:p>
            <w:pPr>
              <w:spacing w:line="360" w:lineRule="auto"/>
              <w:rPr>
                <w:rFonts w:ascii="宋体" w:hAnsi="宋体"/>
                <w:color w:val="auto"/>
                <w:sz w:val="24"/>
                <w:highlight w:val="none"/>
              </w:rPr>
            </w:pPr>
            <w:r>
              <w:rPr>
                <w:rFonts w:hint="eastAsia" w:ascii="宋体" w:hAnsi="宋体"/>
                <w:color w:val="auto"/>
                <w:sz w:val="24"/>
                <w:highlight w:val="none"/>
              </w:rPr>
              <w:t>2、支持常用诊断分类过滤。</w:t>
            </w:r>
          </w:p>
          <w:p>
            <w:pPr>
              <w:spacing w:line="360" w:lineRule="auto"/>
              <w:rPr>
                <w:rFonts w:ascii="宋体" w:hAnsi="宋体"/>
                <w:color w:val="auto"/>
                <w:sz w:val="24"/>
                <w:highlight w:val="none"/>
              </w:rPr>
            </w:pPr>
            <w:r>
              <w:rPr>
                <w:rFonts w:hint="eastAsia" w:ascii="宋体" w:hAnsi="宋体"/>
                <w:b/>
                <w:bCs/>
                <w:color w:val="auto"/>
                <w:sz w:val="24"/>
                <w:highlight w:val="none"/>
              </w:rPr>
              <w:t>历史就诊诊断录入：</w:t>
            </w:r>
            <w:r>
              <w:rPr>
                <w:rFonts w:hint="eastAsia" w:ascii="宋体" w:hAnsi="宋体"/>
                <w:color w:val="auto"/>
                <w:sz w:val="24"/>
                <w:highlight w:val="none"/>
              </w:rPr>
              <w:t>支持临床医生选择门诊既往就诊诊断录入。</w:t>
            </w:r>
          </w:p>
          <w:p>
            <w:pPr>
              <w:spacing w:line="360" w:lineRule="auto"/>
              <w:rPr>
                <w:rFonts w:ascii="宋体" w:hAnsi="宋体"/>
                <w:b/>
                <w:bCs/>
                <w:color w:val="auto"/>
                <w:sz w:val="24"/>
                <w:highlight w:val="none"/>
              </w:rPr>
            </w:pPr>
            <w:r>
              <w:rPr>
                <w:rFonts w:hint="eastAsia" w:ascii="宋体" w:hAnsi="宋体"/>
                <w:b/>
                <w:bCs/>
                <w:color w:val="auto"/>
                <w:sz w:val="24"/>
                <w:highlight w:val="none"/>
              </w:rPr>
              <w:t>（4）工作表单</w:t>
            </w:r>
          </w:p>
          <w:p>
            <w:pPr>
              <w:spacing w:line="360" w:lineRule="auto"/>
              <w:rPr>
                <w:rFonts w:ascii="宋体" w:hAnsi="宋体"/>
                <w:color w:val="auto"/>
                <w:sz w:val="24"/>
                <w:highlight w:val="none"/>
              </w:rPr>
            </w:pPr>
            <w:r>
              <w:rPr>
                <w:rFonts w:hint="eastAsia" w:ascii="宋体" w:hAnsi="宋体"/>
                <w:b/>
                <w:bCs/>
                <w:color w:val="auto"/>
                <w:sz w:val="24"/>
                <w:highlight w:val="none"/>
              </w:rPr>
              <w:t>诊断证明：</w:t>
            </w:r>
            <w:r>
              <w:rPr>
                <w:rFonts w:hint="eastAsia" w:ascii="宋体" w:hAnsi="宋体"/>
                <w:color w:val="auto"/>
                <w:sz w:val="24"/>
                <w:highlight w:val="none"/>
              </w:rPr>
              <w:t>支持临床医生新增、删除、保存、打印诊断证明。</w:t>
            </w:r>
          </w:p>
          <w:p>
            <w:pPr>
              <w:spacing w:line="360" w:lineRule="auto"/>
              <w:rPr>
                <w:rFonts w:ascii="宋体" w:hAnsi="宋体"/>
                <w:b/>
                <w:bCs/>
                <w:color w:val="auto"/>
                <w:sz w:val="24"/>
                <w:highlight w:val="none"/>
              </w:rPr>
            </w:pPr>
            <w:r>
              <w:rPr>
                <w:rFonts w:hint="eastAsia" w:ascii="宋体" w:hAnsi="宋体"/>
                <w:b/>
                <w:bCs/>
                <w:color w:val="auto"/>
                <w:sz w:val="24"/>
                <w:highlight w:val="none"/>
              </w:rPr>
              <w:t>医保转诊单：</w:t>
            </w:r>
          </w:p>
          <w:p>
            <w:pPr>
              <w:spacing w:line="360" w:lineRule="auto"/>
              <w:rPr>
                <w:rFonts w:ascii="宋体" w:hAnsi="宋体"/>
                <w:color w:val="auto"/>
                <w:sz w:val="24"/>
                <w:highlight w:val="none"/>
              </w:rPr>
            </w:pPr>
            <w:r>
              <w:rPr>
                <w:rFonts w:hint="eastAsia" w:ascii="宋体" w:hAnsi="宋体"/>
                <w:color w:val="auto"/>
                <w:sz w:val="24"/>
                <w:highlight w:val="none"/>
              </w:rPr>
              <w:t>1、支持临床医生对医保转诊单开立和打印。</w:t>
            </w:r>
          </w:p>
          <w:p>
            <w:pPr>
              <w:spacing w:line="360" w:lineRule="auto"/>
              <w:rPr>
                <w:rFonts w:ascii="宋体" w:hAnsi="宋体"/>
                <w:color w:val="auto"/>
                <w:sz w:val="24"/>
                <w:highlight w:val="none"/>
              </w:rPr>
            </w:pPr>
            <w:r>
              <w:rPr>
                <w:rFonts w:hint="eastAsia" w:ascii="宋体" w:hAnsi="宋体"/>
                <w:color w:val="auto"/>
                <w:sz w:val="24"/>
                <w:highlight w:val="none"/>
              </w:rPr>
              <w:t>2、支持选择转院名称、原因、类别。</w:t>
            </w:r>
          </w:p>
          <w:p>
            <w:pPr>
              <w:spacing w:line="360" w:lineRule="auto"/>
              <w:rPr>
                <w:rFonts w:ascii="宋体" w:hAnsi="宋体"/>
                <w:b/>
                <w:bCs/>
                <w:color w:val="auto"/>
                <w:sz w:val="24"/>
                <w:highlight w:val="none"/>
              </w:rPr>
            </w:pPr>
            <w:r>
              <w:rPr>
                <w:rFonts w:hint="eastAsia" w:ascii="宋体" w:hAnsi="宋体"/>
                <w:b/>
                <w:bCs/>
                <w:color w:val="auto"/>
                <w:sz w:val="24"/>
                <w:highlight w:val="none"/>
              </w:rPr>
              <w:t>（5）报告查看</w:t>
            </w:r>
          </w:p>
          <w:p>
            <w:pPr>
              <w:spacing w:line="360" w:lineRule="auto"/>
              <w:rPr>
                <w:rFonts w:ascii="宋体" w:hAnsi="宋体"/>
                <w:color w:val="auto"/>
                <w:sz w:val="24"/>
                <w:highlight w:val="none"/>
              </w:rPr>
            </w:pPr>
            <w:r>
              <w:rPr>
                <w:rFonts w:hint="eastAsia" w:ascii="宋体" w:hAnsi="宋体"/>
                <w:b/>
                <w:bCs/>
                <w:color w:val="auto"/>
                <w:sz w:val="24"/>
                <w:highlight w:val="none"/>
              </w:rPr>
              <w:t>报告查看：</w:t>
            </w:r>
            <w:r>
              <w:rPr>
                <w:rFonts w:hint="eastAsia" w:ascii="宋体" w:hAnsi="宋体"/>
                <w:color w:val="auto"/>
                <w:sz w:val="24"/>
                <w:highlight w:val="none"/>
              </w:rPr>
              <w:t>支持临床医生查看检验、检查、病理、心电等报告。</w:t>
            </w:r>
          </w:p>
        </w:tc>
      </w:tr>
    </w:tbl>
    <w:p>
      <w:pPr>
        <w:spacing w:line="360" w:lineRule="auto"/>
        <w:rPr>
          <w:rFonts w:ascii="宋体" w:hAnsi="宋体"/>
          <w:color w:val="auto"/>
          <w:sz w:val="24"/>
          <w:highlight w:val="none"/>
        </w:rPr>
      </w:pPr>
    </w:p>
    <w:p>
      <w:pPr>
        <w:pStyle w:val="6"/>
        <w:numPr>
          <w:ilvl w:val="3"/>
          <w:numId w:val="8"/>
        </w:numPr>
        <w:spacing w:before="280" w:after="290" w:line="376" w:lineRule="auto"/>
        <w:rPr>
          <w:rFonts w:ascii="宋体" w:hAnsi="宋体"/>
          <w:color w:val="auto"/>
          <w:szCs w:val="24"/>
          <w:highlight w:val="none"/>
        </w:rPr>
      </w:pPr>
      <w:bookmarkStart w:id="598" w:name="_Toc31708"/>
      <w:r>
        <w:rPr>
          <w:rFonts w:hint="eastAsia" w:ascii="宋体" w:hAnsi="宋体"/>
          <w:color w:val="auto"/>
          <w:szCs w:val="24"/>
          <w:highlight w:val="none"/>
        </w:rPr>
        <w:t>住院医生站</w:t>
      </w:r>
      <w:bookmarkEnd w:id="598"/>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住院医生站主要任务是处理诊断、检查、检验、治疗处置、手术、护理、卫生材料以及会诊、转科、出院等信息。住院医生工作站从护士工作站获得本病区住院病人的资料，将输入的医嘱信息提供给护士工作站供护士核对、执行，同时它可以显示从护士工作站录入的病人的护理记录及三测单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980" w:type="dxa"/>
            <w:shd w:val="clear" w:color="auto" w:fill="4471C4"/>
          </w:tcPr>
          <w:p>
            <w:pPr>
              <w:autoSpaceDE w:val="0"/>
              <w:autoSpaceDN w:val="0"/>
              <w:spacing w:before="27" w:line="360" w:lineRule="auto"/>
              <w:ind w:left="292"/>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系统</w:t>
            </w:r>
          </w:p>
        </w:tc>
        <w:tc>
          <w:tcPr>
            <w:tcW w:w="7087" w:type="dxa"/>
            <w:shd w:val="clear" w:color="auto" w:fill="4471C4"/>
          </w:tcPr>
          <w:p>
            <w:pPr>
              <w:autoSpaceDE w:val="0"/>
              <w:autoSpaceDN w:val="0"/>
              <w:spacing w:before="27" w:line="360" w:lineRule="auto"/>
              <w:ind w:left="2807" w:right="2798"/>
              <w:jc w:val="center"/>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80" w:type="dxa"/>
            <w:vAlign w:val="center"/>
          </w:tcPr>
          <w:p>
            <w:pPr>
              <w:autoSpaceDE w:val="0"/>
              <w:autoSpaceDN w:val="0"/>
              <w:spacing w:line="360" w:lineRule="auto"/>
              <w:ind w:left="125" w:right="103" w:rightChars="49"/>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住院医生站</w:t>
            </w:r>
          </w:p>
        </w:tc>
        <w:tc>
          <w:tcPr>
            <w:tcW w:w="7087" w:type="dxa"/>
          </w:tcPr>
          <w:p>
            <w:pPr>
              <w:spacing w:line="360" w:lineRule="auto"/>
              <w:rPr>
                <w:rFonts w:ascii="宋体" w:hAnsi="宋体"/>
                <w:bCs/>
                <w:color w:val="auto"/>
                <w:sz w:val="24"/>
                <w:highlight w:val="none"/>
              </w:rPr>
            </w:pPr>
            <w:r>
              <w:rPr>
                <w:rFonts w:hint="eastAsia" w:ascii="宋体" w:hAnsi="宋体"/>
                <w:bCs/>
                <w:color w:val="auto"/>
                <w:sz w:val="24"/>
                <w:highlight w:val="none"/>
              </w:rPr>
              <w:t>医生工作站支持临床医嘱、病历、临床路径、诊疗视图等主要功能的一体化整合，支持界面个性化定制，支持以角色为场景的全景工作站模式。支持医生登录提供基本操作流程导航，点击流程节点可直接跳转至相应工作场景。</w:t>
            </w:r>
          </w:p>
          <w:p>
            <w:pPr>
              <w:spacing w:line="360" w:lineRule="auto"/>
              <w:rPr>
                <w:rFonts w:ascii="宋体" w:hAnsi="宋体"/>
                <w:b/>
                <w:bCs/>
                <w:color w:val="auto"/>
                <w:sz w:val="24"/>
                <w:highlight w:val="none"/>
              </w:rPr>
            </w:pPr>
            <w:r>
              <w:rPr>
                <w:rFonts w:hint="eastAsia" w:ascii="宋体" w:hAnsi="宋体"/>
                <w:b/>
                <w:bCs/>
                <w:color w:val="auto"/>
                <w:sz w:val="24"/>
                <w:highlight w:val="none"/>
              </w:rPr>
              <w:t>（1）患者列表</w:t>
            </w:r>
          </w:p>
          <w:p>
            <w:pPr>
              <w:spacing w:line="360" w:lineRule="auto"/>
              <w:rPr>
                <w:rFonts w:ascii="宋体" w:hAnsi="宋体"/>
                <w:color w:val="auto"/>
                <w:sz w:val="24"/>
                <w:highlight w:val="none"/>
              </w:rPr>
            </w:pPr>
            <w:r>
              <w:rPr>
                <w:rFonts w:hint="eastAsia" w:ascii="宋体" w:hAnsi="宋体"/>
                <w:b/>
                <w:bCs/>
                <w:color w:val="auto"/>
                <w:sz w:val="24"/>
                <w:highlight w:val="none"/>
              </w:rPr>
              <w:t>患者列表：</w:t>
            </w:r>
            <w:r>
              <w:rPr>
                <w:rFonts w:hint="eastAsia" w:ascii="宋体" w:hAnsi="宋体"/>
                <w:color w:val="auto"/>
                <w:sz w:val="24"/>
                <w:highlight w:val="none"/>
              </w:rPr>
              <w:t>支持按照我的患者、医疗组患者、会诊患者、出院患者、跨科处置患者、全科患者、转科患者等，对病区患者分类查看。</w:t>
            </w:r>
          </w:p>
          <w:p>
            <w:pPr>
              <w:spacing w:line="360" w:lineRule="auto"/>
              <w:rPr>
                <w:rFonts w:ascii="宋体" w:hAnsi="宋体"/>
                <w:color w:val="auto"/>
                <w:sz w:val="24"/>
                <w:highlight w:val="none"/>
              </w:rPr>
            </w:pPr>
            <w:r>
              <w:rPr>
                <w:rFonts w:hint="eastAsia" w:ascii="宋体" w:hAnsi="宋体"/>
                <w:color w:val="auto"/>
                <w:sz w:val="24"/>
                <w:highlight w:val="none"/>
              </w:rPr>
              <w:t>1、支持按照床位卡和列表方式显示患者列表。</w:t>
            </w:r>
          </w:p>
          <w:p>
            <w:pPr>
              <w:spacing w:line="360" w:lineRule="auto"/>
              <w:rPr>
                <w:rFonts w:ascii="宋体" w:hAnsi="宋体"/>
                <w:color w:val="auto"/>
                <w:sz w:val="24"/>
                <w:highlight w:val="none"/>
              </w:rPr>
            </w:pPr>
            <w:r>
              <w:rPr>
                <w:rFonts w:hint="eastAsia" w:ascii="宋体" w:hAnsi="宋体"/>
                <w:color w:val="auto"/>
                <w:sz w:val="24"/>
                <w:highlight w:val="none"/>
              </w:rPr>
              <w:t>2、支持床位卡上显示床号、患者姓名、照片、年龄、住院医生、入院天数、就诊号、住院诊断等。</w:t>
            </w:r>
          </w:p>
          <w:p>
            <w:pPr>
              <w:spacing w:line="360" w:lineRule="auto"/>
              <w:rPr>
                <w:rFonts w:ascii="宋体" w:hAnsi="宋体"/>
                <w:b/>
                <w:bCs/>
                <w:color w:val="auto"/>
                <w:sz w:val="24"/>
                <w:highlight w:val="none"/>
              </w:rPr>
            </w:pPr>
            <w:r>
              <w:rPr>
                <w:rFonts w:hint="eastAsia" w:ascii="宋体" w:hAnsi="宋体"/>
                <w:b/>
                <w:bCs/>
                <w:color w:val="auto"/>
                <w:sz w:val="24"/>
                <w:highlight w:val="none"/>
              </w:rPr>
              <w:t>（2）住院诊疗</w:t>
            </w:r>
          </w:p>
          <w:p>
            <w:pPr>
              <w:spacing w:line="360" w:lineRule="auto"/>
              <w:rPr>
                <w:rFonts w:ascii="宋体" w:hAnsi="宋体"/>
                <w:b/>
                <w:bCs/>
                <w:color w:val="auto"/>
                <w:sz w:val="24"/>
                <w:highlight w:val="none"/>
              </w:rPr>
            </w:pPr>
            <w:r>
              <w:rPr>
                <w:rFonts w:hint="eastAsia" w:ascii="宋体" w:hAnsi="宋体"/>
                <w:b/>
                <w:bCs/>
                <w:color w:val="auto"/>
                <w:sz w:val="24"/>
                <w:highlight w:val="none"/>
              </w:rPr>
              <w:t>住院总览：</w:t>
            </w:r>
          </w:p>
          <w:p>
            <w:pPr>
              <w:spacing w:line="360" w:lineRule="auto"/>
              <w:rPr>
                <w:rFonts w:ascii="宋体" w:hAnsi="宋体"/>
                <w:color w:val="auto"/>
                <w:sz w:val="24"/>
                <w:highlight w:val="none"/>
              </w:rPr>
            </w:pPr>
            <w:r>
              <w:rPr>
                <w:rFonts w:hint="eastAsia" w:ascii="宋体" w:hAnsi="宋体"/>
                <w:color w:val="auto"/>
                <w:sz w:val="24"/>
                <w:highlight w:val="none"/>
              </w:rPr>
              <w:t>1、支持总览内容包括：过敏史、费用(可用额度、消费额度、药占比)、生命体征、临床路径、首次病程、诊断、医嘱等信息。</w:t>
            </w:r>
          </w:p>
          <w:p>
            <w:pPr>
              <w:spacing w:line="360" w:lineRule="auto"/>
              <w:rPr>
                <w:rFonts w:ascii="宋体" w:hAnsi="宋体"/>
                <w:color w:val="auto"/>
                <w:sz w:val="24"/>
                <w:highlight w:val="none"/>
              </w:rPr>
            </w:pPr>
            <w:r>
              <w:rPr>
                <w:rFonts w:hint="eastAsia" w:ascii="宋体" w:hAnsi="宋体"/>
                <w:color w:val="auto"/>
                <w:sz w:val="24"/>
                <w:highlight w:val="none"/>
              </w:rPr>
              <w:t>2、支持警示数据醒目显示。</w:t>
            </w:r>
          </w:p>
          <w:p>
            <w:pPr>
              <w:spacing w:line="360" w:lineRule="auto"/>
              <w:rPr>
                <w:rFonts w:ascii="宋体" w:hAnsi="宋体"/>
                <w:color w:val="auto"/>
                <w:sz w:val="24"/>
                <w:highlight w:val="none"/>
              </w:rPr>
            </w:pPr>
            <w:r>
              <w:rPr>
                <w:rFonts w:hint="eastAsia" w:ascii="宋体" w:hAnsi="宋体"/>
                <w:color w:val="auto"/>
                <w:sz w:val="24"/>
                <w:highlight w:val="none"/>
              </w:rPr>
              <w:t>3、支持双击标题栏，直接进入对应界面。支持总览自定义。</w:t>
            </w:r>
          </w:p>
          <w:p>
            <w:pPr>
              <w:spacing w:line="360" w:lineRule="auto"/>
              <w:rPr>
                <w:rFonts w:ascii="宋体" w:hAnsi="宋体"/>
                <w:color w:val="auto"/>
                <w:sz w:val="24"/>
                <w:highlight w:val="none"/>
              </w:rPr>
            </w:pPr>
            <w:r>
              <w:rPr>
                <w:rFonts w:hint="eastAsia" w:ascii="宋体" w:hAnsi="宋体"/>
                <w:b/>
                <w:bCs/>
                <w:color w:val="auto"/>
                <w:sz w:val="24"/>
                <w:highlight w:val="none"/>
              </w:rPr>
              <w:t>体温单：</w:t>
            </w:r>
            <w:r>
              <w:rPr>
                <w:rFonts w:hint="eastAsia" w:ascii="宋体" w:hAnsi="宋体"/>
                <w:color w:val="auto"/>
                <w:sz w:val="24"/>
                <w:highlight w:val="none"/>
              </w:rPr>
              <w:t>支持体温单查看。</w:t>
            </w:r>
          </w:p>
          <w:p>
            <w:pPr>
              <w:spacing w:line="360" w:lineRule="auto"/>
              <w:rPr>
                <w:rFonts w:ascii="宋体" w:hAnsi="宋体"/>
                <w:color w:val="auto"/>
                <w:sz w:val="24"/>
                <w:highlight w:val="none"/>
              </w:rPr>
            </w:pPr>
            <w:r>
              <w:rPr>
                <w:rFonts w:hint="eastAsia" w:ascii="宋体" w:hAnsi="宋体"/>
                <w:b/>
                <w:bCs/>
                <w:color w:val="auto"/>
                <w:sz w:val="24"/>
                <w:highlight w:val="none"/>
              </w:rPr>
              <w:t>住院诊断：</w:t>
            </w:r>
            <w:r>
              <w:rPr>
                <w:rFonts w:hint="eastAsia" w:ascii="宋体" w:hAnsi="宋体"/>
                <w:color w:val="auto"/>
                <w:sz w:val="24"/>
                <w:highlight w:val="none"/>
              </w:rPr>
              <w:t>支持医生按照国际疾病分类标准、或医院自定义标准下达诊断；支持疾病编码、拼音、汉字、五笔等多重检索。</w:t>
            </w:r>
          </w:p>
          <w:p>
            <w:pPr>
              <w:spacing w:line="360" w:lineRule="auto"/>
              <w:rPr>
                <w:rFonts w:ascii="宋体" w:hAnsi="宋体"/>
                <w:color w:val="auto"/>
                <w:sz w:val="24"/>
                <w:highlight w:val="none"/>
              </w:rPr>
            </w:pPr>
            <w:r>
              <w:rPr>
                <w:rFonts w:hint="eastAsia" w:ascii="宋体" w:hAnsi="宋体"/>
                <w:color w:val="auto"/>
                <w:sz w:val="24"/>
                <w:highlight w:val="none"/>
              </w:rPr>
              <w:t>1、支持手动录入、科室常用诊断、慢性病诊断、传染病诊断选泽。</w:t>
            </w:r>
          </w:p>
          <w:p>
            <w:pPr>
              <w:spacing w:line="360" w:lineRule="auto"/>
              <w:rPr>
                <w:rFonts w:ascii="宋体" w:hAnsi="宋体"/>
                <w:color w:val="auto"/>
                <w:sz w:val="24"/>
                <w:highlight w:val="none"/>
              </w:rPr>
            </w:pPr>
            <w:r>
              <w:rPr>
                <w:rFonts w:hint="eastAsia" w:ascii="宋体" w:hAnsi="宋体"/>
                <w:color w:val="auto"/>
                <w:sz w:val="24"/>
                <w:highlight w:val="none"/>
              </w:rPr>
              <w:t>2、支持初步诊断、入院诊断、补充诊断、出院诊断、死亡诊断等诊断类型。</w:t>
            </w:r>
          </w:p>
          <w:p>
            <w:pPr>
              <w:spacing w:line="360" w:lineRule="auto"/>
              <w:rPr>
                <w:rFonts w:ascii="宋体" w:hAnsi="宋体"/>
                <w:color w:val="auto"/>
                <w:sz w:val="24"/>
                <w:highlight w:val="none"/>
              </w:rPr>
            </w:pPr>
            <w:r>
              <w:rPr>
                <w:rFonts w:hint="eastAsia" w:ascii="宋体" w:hAnsi="宋体"/>
                <w:color w:val="auto"/>
                <w:sz w:val="24"/>
                <w:highlight w:val="none"/>
              </w:rPr>
              <w:t>3、支持主诊断、疑似诊断标记。</w:t>
            </w:r>
          </w:p>
          <w:p>
            <w:pPr>
              <w:spacing w:line="360" w:lineRule="auto"/>
              <w:rPr>
                <w:rFonts w:ascii="宋体" w:hAnsi="宋体"/>
                <w:color w:val="auto"/>
                <w:sz w:val="24"/>
                <w:highlight w:val="none"/>
              </w:rPr>
            </w:pPr>
            <w:r>
              <w:rPr>
                <w:rFonts w:hint="eastAsia" w:ascii="宋体" w:hAnsi="宋体"/>
                <w:color w:val="auto"/>
                <w:sz w:val="24"/>
                <w:highlight w:val="none"/>
              </w:rPr>
              <w:t>4、支持诊断批量录入。</w:t>
            </w:r>
          </w:p>
          <w:p>
            <w:pPr>
              <w:spacing w:line="360" w:lineRule="auto"/>
              <w:rPr>
                <w:rFonts w:ascii="宋体" w:hAnsi="宋体"/>
                <w:color w:val="auto"/>
                <w:sz w:val="24"/>
                <w:highlight w:val="none"/>
              </w:rPr>
            </w:pPr>
            <w:r>
              <w:rPr>
                <w:rFonts w:hint="eastAsia" w:ascii="宋体" w:hAnsi="宋体"/>
                <w:b/>
                <w:bCs/>
                <w:color w:val="auto"/>
                <w:sz w:val="24"/>
                <w:highlight w:val="none"/>
              </w:rPr>
              <w:t>住院医嘱：</w:t>
            </w:r>
            <w:r>
              <w:rPr>
                <w:rFonts w:hint="eastAsia" w:ascii="宋体" w:hAnsi="宋体"/>
                <w:color w:val="auto"/>
                <w:sz w:val="24"/>
                <w:highlight w:val="none"/>
              </w:rPr>
              <w:t>支持医嘱开立、签署、撤回、删除、复制、停止、作废等。</w:t>
            </w:r>
          </w:p>
          <w:p>
            <w:pPr>
              <w:spacing w:line="360" w:lineRule="auto"/>
              <w:rPr>
                <w:rFonts w:ascii="宋体" w:hAnsi="宋体"/>
                <w:color w:val="auto"/>
                <w:sz w:val="24"/>
                <w:highlight w:val="none"/>
              </w:rPr>
            </w:pPr>
            <w:r>
              <w:rPr>
                <w:rFonts w:hint="eastAsia" w:ascii="宋体" w:hAnsi="宋体"/>
                <w:color w:val="auto"/>
                <w:sz w:val="24"/>
                <w:highlight w:val="none"/>
              </w:rPr>
              <w:t>1）支持西药、草药医嘱开立。</w:t>
            </w:r>
          </w:p>
          <w:p>
            <w:pPr>
              <w:spacing w:line="360" w:lineRule="auto"/>
              <w:rPr>
                <w:rFonts w:ascii="宋体" w:hAnsi="宋体"/>
                <w:color w:val="auto"/>
                <w:sz w:val="24"/>
                <w:highlight w:val="none"/>
              </w:rPr>
            </w:pPr>
            <w:r>
              <w:rPr>
                <w:rFonts w:hint="eastAsia" w:ascii="宋体" w:hAnsi="宋体"/>
                <w:color w:val="auto"/>
                <w:sz w:val="24"/>
                <w:highlight w:val="none"/>
              </w:rPr>
              <w:t>①支持药品单独开立，支持成组药开立。</w:t>
            </w:r>
          </w:p>
          <w:p>
            <w:pPr>
              <w:spacing w:line="360" w:lineRule="auto"/>
              <w:rPr>
                <w:rFonts w:ascii="宋体" w:hAnsi="宋体"/>
                <w:color w:val="auto"/>
                <w:sz w:val="24"/>
                <w:highlight w:val="none"/>
              </w:rPr>
            </w:pPr>
            <w:r>
              <w:rPr>
                <w:rFonts w:hint="eastAsia" w:ascii="宋体" w:hAnsi="宋体"/>
                <w:color w:val="auto"/>
                <w:sz w:val="24"/>
                <w:highlight w:val="none"/>
              </w:rPr>
              <w:t>②支持外配药、自备药、皮试药开立。</w:t>
            </w:r>
          </w:p>
          <w:p>
            <w:pPr>
              <w:spacing w:line="360" w:lineRule="auto"/>
              <w:rPr>
                <w:rFonts w:ascii="宋体" w:hAnsi="宋体"/>
                <w:color w:val="auto"/>
                <w:sz w:val="24"/>
                <w:highlight w:val="none"/>
              </w:rPr>
            </w:pPr>
            <w:r>
              <w:rPr>
                <w:rFonts w:hint="eastAsia" w:ascii="宋体" w:hAnsi="宋体"/>
                <w:color w:val="auto"/>
                <w:sz w:val="24"/>
                <w:highlight w:val="none"/>
              </w:rPr>
              <w:t>③支持领药药房选择。</w:t>
            </w:r>
          </w:p>
          <w:p>
            <w:pPr>
              <w:spacing w:line="360" w:lineRule="auto"/>
              <w:rPr>
                <w:rFonts w:ascii="宋体" w:hAnsi="宋体"/>
                <w:color w:val="auto"/>
                <w:sz w:val="24"/>
                <w:highlight w:val="none"/>
              </w:rPr>
            </w:pPr>
            <w:r>
              <w:rPr>
                <w:rFonts w:hint="eastAsia" w:ascii="宋体" w:hAnsi="宋体"/>
                <w:color w:val="auto"/>
                <w:sz w:val="24"/>
                <w:highlight w:val="none"/>
              </w:rPr>
              <w:t>2）支持检验、检查、病理医嘱开立。</w:t>
            </w:r>
          </w:p>
          <w:p>
            <w:pPr>
              <w:spacing w:line="360" w:lineRule="auto"/>
              <w:rPr>
                <w:rFonts w:ascii="宋体" w:hAnsi="宋体"/>
                <w:color w:val="auto"/>
                <w:sz w:val="24"/>
                <w:highlight w:val="none"/>
              </w:rPr>
            </w:pPr>
            <w:r>
              <w:rPr>
                <w:rFonts w:hint="eastAsia" w:ascii="宋体" w:hAnsi="宋体"/>
                <w:color w:val="auto"/>
                <w:sz w:val="24"/>
                <w:highlight w:val="none"/>
              </w:rPr>
              <w:t>①支持检查、检验申请单开立、打印。</w:t>
            </w:r>
          </w:p>
          <w:p>
            <w:pPr>
              <w:spacing w:line="360" w:lineRule="auto"/>
              <w:rPr>
                <w:rFonts w:ascii="宋体" w:hAnsi="宋体"/>
                <w:color w:val="auto"/>
                <w:sz w:val="24"/>
                <w:highlight w:val="none"/>
              </w:rPr>
            </w:pPr>
            <w:r>
              <w:rPr>
                <w:rFonts w:hint="eastAsia" w:ascii="宋体" w:hAnsi="宋体"/>
                <w:color w:val="auto"/>
                <w:sz w:val="24"/>
                <w:highlight w:val="none"/>
              </w:rPr>
              <w:t>②支持检查、检验报告查看。</w:t>
            </w:r>
          </w:p>
          <w:p>
            <w:pPr>
              <w:spacing w:line="360" w:lineRule="auto"/>
              <w:rPr>
                <w:rFonts w:ascii="宋体" w:hAnsi="宋体"/>
                <w:color w:val="auto"/>
                <w:sz w:val="24"/>
                <w:highlight w:val="none"/>
              </w:rPr>
            </w:pPr>
            <w:r>
              <w:rPr>
                <w:rFonts w:hint="eastAsia" w:ascii="宋体" w:hAnsi="宋体"/>
                <w:color w:val="auto"/>
                <w:sz w:val="24"/>
                <w:highlight w:val="none"/>
              </w:rPr>
              <w:t>3）支持诊疗项目开立。</w:t>
            </w:r>
          </w:p>
          <w:p>
            <w:pPr>
              <w:spacing w:line="360" w:lineRule="auto"/>
              <w:rPr>
                <w:rFonts w:ascii="宋体" w:hAnsi="宋体"/>
                <w:color w:val="auto"/>
                <w:sz w:val="24"/>
                <w:highlight w:val="none"/>
              </w:rPr>
            </w:pPr>
            <w:r>
              <w:rPr>
                <w:rFonts w:hint="eastAsia" w:ascii="宋体" w:hAnsi="宋体"/>
                <w:color w:val="auto"/>
                <w:sz w:val="24"/>
                <w:highlight w:val="none"/>
              </w:rPr>
              <w:t>①支持诊疗申请单开立、打印。</w:t>
            </w:r>
          </w:p>
          <w:p>
            <w:pPr>
              <w:spacing w:line="360" w:lineRule="auto"/>
              <w:rPr>
                <w:rFonts w:ascii="宋体" w:hAnsi="宋体"/>
                <w:color w:val="auto"/>
                <w:sz w:val="24"/>
                <w:highlight w:val="none"/>
              </w:rPr>
            </w:pPr>
            <w:r>
              <w:rPr>
                <w:rFonts w:hint="eastAsia" w:ascii="宋体" w:hAnsi="宋体"/>
                <w:color w:val="auto"/>
                <w:sz w:val="24"/>
                <w:highlight w:val="none"/>
              </w:rPr>
              <w:t>②支持多次执行、多剂量诊疗服务开立。</w:t>
            </w:r>
          </w:p>
          <w:p>
            <w:pPr>
              <w:spacing w:line="360" w:lineRule="auto"/>
              <w:rPr>
                <w:rFonts w:ascii="宋体" w:hAnsi="宋体"/>
                <w:color w:val="auto"/>
                <w:sz w:val="24"/>
                <w:highlight w:val="none"/>
              </w:rPr>
            </w:pPr>
            <w:r>
              <w:rPr>
                <w:rFonts w:hint="eastAsia" w:ascii="宋体" w:hAnsi="宋体"/>
                <w:color w:val="auto"/>
                <w:sz w:val="24"/>
                <w:highlight w:val="none"/>
              </w:rPr>
              <w:t>4）支持手术、备血/用血、病理、会诊、嘱托处置开立。</w:t>
            </w:r>
          </w:p>
          <w:p>
            <w:pPr>
              <w:spacing w:line="360" w:lineRule="auto"/>
              <w:rPr>
                <w:rFonts w:ascii="宋体" w:hAnsi="宋体"/>
                <w:color w:val="auto"/>
                <w:sz w:val="24"/>
                <w:highlight w:val="none"/>
              </w:rPr>
            </w:pPr>
            <w:r>
              <w:rPr>
                <w:rFonts w:hint="eastAsia" w:ascii="宋体" w:hAnsi="宋体"/>
                <w:color w:val="auto"/>
                <w:sz w:val="24"/>
                <w:highlight w:val="none"/>
              </w:rPr>
              <w:t>①支持血库库存查看。</w:t>
            </w:r>
          </w:p>
          <w:p>
            <w:pPr>
              <w:spacing w:line="360" w:lineRule="auto"/>
              <w:rPr>
                <w:rFonts w:ascii="宋体" w:hAnsi="宋体"/>
                <w:color w:val="auto"/>
                <w:sz w:val="24"/>
                <w:highlight w:val="none"/>
              </w:rPr>
            </w:pPr>
            <w:r>
              <w:rPr>
                <w:rFonts w:hint="eastAsia" w:ascii="宋体" w:hAnsi="宋体"/>
                <w:color w:val="auto"/>
                <w:sz w:val="24"/>
                <w:highlight w:val="none"/>
              </w:rPr>
              <w:t>5）支持医保开单校验。</w:t>
            </w:r>
          </w:p>
          <w:p>
            <w:pPr>
              <w:spacing w:line="360" w:lineRule="auto"/>
              <w:rPr>
                <w:rFonts w:ascii="宋体" w:hAnsi="宋体"/>
                <w:color w:val="auto"/>
                <w:sz w:val="24"/>
                <w:highlight w:val="none"/>
              </w:rPr>
            </w:pPr>
            <w:r>
              <w:rPr>
                <w:rFonts w:hint="eastAsia" w:ascii="宋体" w:hAnsi="宋体"/>
                <w:color w:val="auto"/>
                <w:sz w:val="24"/>
                <w:highlight w:val="none"/>
              </w:rPr>
              <w:t>6）支持通过全院/科室/个人处置模板，开立处置。</w:t>
            </w:r>
          </w:p>
          <w:p>
            <w:pPr>
              <w:spacing w:line="360" w:lineRule="auto"/>
              <w:rPr>
                <w:rFonts w:ascii="宋体" w:hAnsi="宋体"/>
                <w:color w:val="auto"/>
                <w:sz w:val="24"/>
                <w:highlight w:val="none"/>
              </w:rPr>
            </w:pPr>
            <w:r>
              <w:rPr>
                <w:rFonts w:hint="eastAsia" w:ascii="宋体" w:hAnsi="宋体"/>
                <w:color w:val="auto"/>
                <w:sz w:val="24"/>
                <w:highlight w:val="none"/>
              </w:rPr>
              <w:t>7）支持加急项目开立。</w:t>
            </w:r>
          </w:p>
          <w:p>
            <w:pPr>
              <w:spacing w:line="360" w:lineRule="auto"/>
              <w:rPr>
                <w:rFonts w:ascii="宋体" w:hAnsi="宋体"/>
                <w:color w:val="auto"/>
                <w:sz w:val="24"/>
                <w:highlight w:val="none"/>
              </w:rPr>
            </w:pPr>
            <w:r>
              <w:rPr>
                <w:rFonts w:hint="eastAsia" w:ascii="宋体" w:hAnsi="宋体"/>
                <w:color w:val="auto"/>
                <w:sz w:val="24"/>
                <w:highlight w:val="none"/>
              </w:rPr>
              <w:t>8）支持科研项目开立。</w:t>
            </w:r>
          </w:p>
          <w:p>
            <w:pPr>
              <w:spacing w:line="360" w:lineRule="auto"/>
              <w:rPr>
                <w:rFonts w:ascii="宋体" w:hAnsi="宋体"/>
                <w:color w:val="auto"/>
                <w:sz w:val="24"/>
                <w:highlight w:val="none"/>
              </w:rPr>
            </w:pPr>
            <w:r>
              <w:rPr>
                <w:rFonts w:hint="eastAsia" w:ascii="宋体" w:hAnsi="宋体"/>
                <w:color w:val="auto"/>
                <w:sz w:val="24"/>
                <w:highlight w:val="none"/>
              </w:rPr>
              <w:t>9）支持住院医嘱下达按照不同类型诊疗项目，实现专科化、图形化诊疗服务开立和展示；可根据医嘱的临床数据特性，结合医院管理层要求，给医院定制配置不同的医嘱专业化录入表单。</w:t>
            </w:r>
          </w:p>
          <w:p>
            <w:pPr>
              <w:spacing w:line="360" w:lineRule="auto"/>
              <w:rPr>
                <w:rFonts w:ascii="宋体" w:hAnsi="宋体"/>
                <w:color w:val="auto"/>
                <w:sz w:val="24"/>
                <w:highlight w:val="none"/>
              </w:rPr>
            </w:pPr>
            <w:r>
              <w:rPr>
                <w:rFonts w:hint="eastAsia" w:ascii="宋体" w:hAnsi="宋体"/>
                <w:color w:val="auto"/>
                <w:sz w:val="24"/>
                <w:highlight w:val="none"/>
              </w:rPr>
              <w:t>10）支持针对医嘱项目的需要，支持智慧化信息带入，如药品说明书等。</w:t>
            </w:r>
          </w:p>
          <w:p>
            <w:pPr>
              <w:spacing w:line="360" w:lineRule="auto"/>
              <w:rPr>
                <w:rFonts w:ascii="宋体" w:hAnsi="宋体"/>
                <w:color w:val="auto"/>
                <w:sz w:val="24"/>
                <w:highlight w:val="none"/>
              </w:rPr>
            </w:pPr>
            <w:r>
              <w:rPr>
                <w:rFonts w:hint="eastAsia" w:ascii="宋体" w:hAnsi="宋体"/>
                <w:color w:val="auto"/>
                <w:sz w:val="24"/>
                <w:highlight w:val="none"/>
              </w:rPr>
              <w:t>11）支持词频精确查找诊疗项目；支持医嘱模板开立；提供全院级模板、科室模板维护和个人模板维护功能。</w:t>
            </w:r>
          </w:p>
          <w:p>
            <w:pPr>
              <w:spacing w:line="360" w:lineRule="auto"/>
              <w:rPr>
                <w:rFonts w:ascii="宋体" w:hAnsi="宋体"/>
                <w:color w:val="auto"/>
                <w:sz w:val="24"/>
                <w:highlight w:val="none"/>
              </w:rPr>
            </w:pPr>
            <w:r>
              <w:rPr>
                <w:rFonts w:hint="eastAsia" w:ascii="宋体" w:hAnsi="宋体"/>
                <w:color w:val="auto"/>
                <w:sz w:val="24"/>
                <w:highlight w:val="none"/>
              </w:rPr>
              <w:t>12）支持具有缺药提示、自费药品警告，适应各种医疗政策的公医患者、医保患者。</w:t>
            </w:r>
          </w:p>
          <w:p>
            <w:pPr>
              <w:spacing w:line="360" w:lineRule="auto"/>
              <w:rPr>
                <w:rFonts w:ascii="宋体" w:hAnsi="宋体"/>
                <w:color w:val="auto"/>
                <w:sz w:val="24"/>
                <w:highlight w:val="none"/>
              </w:rPr>
            </w:pPr>
            <w:r>
              <w:rPr>
                <w:rFonts w:hint="eastAsia" w:ascii="宋体" w:hAnsi="宋体"/>
                <w:color w:val="auto"/>
                <w:sz w:val="24"/>
                <w:highlight w:val="none"/>
              </w:rPr>
              <w:t>13）支持对于抗菌药物、毒麻药品、手术等进行权限管理。</w:t>
            </w:r>
          </w:p>
          <w:p>
            <w:pPr>
              <w:spacing w:line="360" w:lineRule="auto"/>
              <w:rPr>
                <w:rFonts w:ascii="宋体" w:hAnsi="宋体"/>
                <w:color w:val="auto"/>
                <w:sz w:val="24"/>
                <w:highlight w:val="none"/>
              </w:rPr>
            </w:pPr>
            <w:r>
              <w:rPr>
                <w:rFonts w:hint="eastAsia" w:ascii="宋体" w:hAnsi="宋体"/>
                <w:color w:val="auto"/>
                <w:sz w:val="24"/>
                <w:highlight w:val="none"/>
              </w:rPr>
              <w:t>14）支持医嘱执行闭环配置。医嘱执行的流程可根据执行闭环状态的配置而动态调整。</w:t>
            </w:r>
          </w:p>
          <w:p>
            <w:pPr>
              <w:spacing w:line="360" w:lineRule="auto"/>
              <w:rPr>
                <w:rFonts w:ascii="宋体" w:hAnsi="宋体"/>
                <w:color w:val="auto"/>
                <w:sz w:val="24"/>
                <w:highlight w:val="none"/>
              </w:rPr>
            </w:pPr>
            <w:r>
              <w:rPr>
                <w:rFonts w:hint="eastAsia" w:ascii="宋体" w:hAnsi="宋体"/>
                <w:color w:val="auto"/>
                <w:sz w:val="24"/>
                <w:highlight w:val="none"/>
              </w:rPr>
              <w:t>15）支持提供将当前就诊病人的医嘱直接存为模板的功能。</w:t>
            </w:r>
          </w:p>
          <w:p>
            <w:pPr>
              <w:spacing w:line="360" w:lineRule="auto"/>
              <w:rPr>
                <w:rFonts w:ascii="宋体" w:hAnsi="宋体"/>
                <w:color w:val="auto"/>
                <w:sz w:val="24"/>
                <w:highlight w:val="none"/>
              </w:rPr>
            </w:pPr>
            <w:r>
              <w:rPr>
                <w:rFonts w:hint="eastAsia" w:ascii="宋体" w:hAnsi="宋体"/>
                <w:color w:val="auto"/>
                <w:sz w:val="24"/>
                <w:highlight w:val="none"/>
              </w:rPr>
              <w:t>16）支持检查、检验报告查看，支持历史检验结果趋势图显示。</w:t>
            </w:r>
          </w:p>
          <w:p>
            <w:pPr>
              <w:spacing w:line="360" w:lineRule="auto"/>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7</w:t>
            </w:r>
            <w:r>
              <w:rPr>
                <w:rFonts w:hint="eastAsia" w:ascii="宋体" w:hAnsi="宋体"/>
                <w:color w:val="auto"/>
                <w:sz w:val="24"/>
                <w:highlight w:val="none"/>
              </w:rPr>
              <w:t>）支持以时间轴的方式在同一界面展现患者的诊疗视图，包括生命体征、用药情况、检查检验、病历文书等临床事件，并可直接查看医嘱闭环执行状态，能够实现医疗过程的直观呈现和追踪。可在同一界面中直接查看报告信息，检验报告可绘制多项指标多次结果的历史趋势图。可对重要诊疗节点（入出院、手术等）进行过滤。可查看包括门诊、住院历次就诊既往数据，了解病情诊疗变化，并支持以时间轴的方式直观展现单次就诊诊断过程。</w:t>
            </w:r>
          </w:p>
          <w:p>
            <w:pPr>
              <w:spacing w:line="360" w:lineRule="auto"/>
              <w:rPr>
                <w:rFonts w:hAnsi="宋体"/>
                <w:color w:val="auto"/>
                <w:sz w:val="24"/>
                <w:highlight w:val="none"/>
              </w:rPr>
            </w:pPr>
            <w:r>
              <w:rPr>
                <w:rFonts w:hint="eastAsia" w:hAnsi="宋体"/>
                <w:color w:val="auto"/>
                <w:sz w:val="24"/>
                <w:highlight w:val="none"/>
              </w:rPr>
              <w:t>1</w:t>
            </w:r>
            <w:r>
              <w:rPr>
                <w:rFonts w:hAnsi="宋体"/>
                <w:color w:val="auto"/>
                <w:sz w:val="24"/>
                <w:highlight w:val="none"/>
              </w:rPr>
              <w:t>8</w:t>
            </w:r>
            <w:r>
              <w:rPr>
                <w:rFonts w:hint="eastAsia" w:hAnsi="宋体"/>
                <w:color w:val="auto"/>
                <w:sz w:val="24"/>
                <w:highlight w:val="none"/>
              </w:rPr>
              <w:t>）系统支持一体化医嘱智能开立模式，融合医嘱和申请单，能够提供统一的药物治疗、检查、检验、手术、用血、会诊申请的开立界面，可根据医生开立项目的不同，显示不同类型的申请单，部分已有信息可自动带出。申请单开立完成后可自动生成相应医嘱，无需再到其他地方单独开立。</w:t>
            </w:r>
          </w:p>
          <w:p>
            <w:pPr>
              <w:spacing w:line="360" w:lineRule="auto"/>
              <w:rPr>
                <w:rFonts w:ascii="宋体" w:hAnsi="宋体"/>
                <w:b/>
                <w:bCs/>
                <w:color w:val="auto"/>
                <w:sz w:val="24"/>
                <w:highlight w:val="none"/>
              </w:rPr>
            </w:pPr>
            <w:r>
              <w:rPr>
                <w:rFonts w:hint="eastAsia" w:ascii="宋体" w:hAnsi="宋体"/>
                <w:b/>
                <w:bCs/>
                <w:color w:val="auto"/>
                <w:sz w:val="24"/>
                <w:highlight w:val="none"/>
              </w:rPr>
              <w:t>医嘱单：</w:t>
            </w:r>
          </w:p>
          <w:p>
            <w:pPr>
              <w:spacing w:line="360" w:lineRule="auto"/>
              <w:rPr>
                <w:rFonts w:ascii="宋体" w:hAnsi="宋体"/>
                <w:color w:val="auto"/>
                <w:sz w:val="24"/>
                <w:highlight w:val="none"/>
              </w:rPr>
            </w:pPr>
            <w:r>
              <w:rPr>
                <w:rFonts w:hint="eastAsia" w:ascii="宋体" w:hAnsi="宋体"/>
                <w:color w:val="auto"/>
                <w:sz w:val="24"/>
                <w:highlight w:val="none"/>
              </w:rPr>
              <w:t>1、支持按长期医嘱单和临时医嘱单进行筛选</w:t>
            </w:r>
          </w:p>
          <w:p>
            <w:pPr>
              <w:spacing w:line="360" w:lineRule="auto"/>
              <w:rPr>
                <w:rFonts w:ascii="宋体" w:hAnsi="宋体"/>
                <w:color w:val="auto"/>
                <w:sz w:val="24"/>
                <w:highlight w:val="none"/>
              </w:rPr>
            </w:pPr>
            <w:r>
              <w:rPr>
                <w:rFonts w:hint="eastAsia" w:ascii="宋体" w:hAnsi="宋体"/>
                <w:color w:val="auto"/>
                <w:sz w:val="24"/>
                <w:highlight w:val="none"/>
              </w:rPr>
              <w:t>2、支持按全部、在院、出院对患者进行筛选</w:t>
            </w:r>
          </w:p>
          <w:p>
            <w:pPr>
              <w:spacing w:line="360" w:lineRule="auto"/>
              <w:rPr>
                <w:rFonts w:ascii="宋体" w:hAnsi="宋体"/>
                <w:color w:val="auto"/>
                <w:sz w:val="24"/>
                <w:highlight w:val="none"/>
              </w:rPr>
            </w:pPr>
            <w:r>
              <w:rPr>
                <w:rFonts w:hint="eastAsia" w:ascii="宋体" w:hAnsi="宋体"/>
                <w:color w:val="auto"/>
                <w:sz w:val="24"/>
                <w:highlight w:val="none"/>
              </w:rPr>
              <w:t>3、支持按床号、就诊号、姓名选择患者</w:t>
            </w:r>
          </w:p>
          <w:p>
            <w:pPr>
              <w:spacing w:line="360" w:lineRule="auto"/>
              <w:rPr>
                <w:rFonts w:ascii="宋体" w:hAnsi="宋体"/>
                <w:color w:val="auto"/>
                <w:sz w:val="24"/>
                <w:highlight w:val="none"/>
              </w:rPr>
            </w:pPr>
            <w:r>
              <w:rPr>
                <w:rFonts w:hint="eastAsia" w:ascii="宋体" w:hAnsi="宋体"/>
                <w:color w:val="auto"/>
                <w:sz w:val="24"/>
                <w:highlight w:val="none"/>
              </w:rPr>
              <w:t>4、支持医嘱单的预览和打印</w:t>
            </w:r>
          </w:p>
          <w:p>
            <w:pPr>
              <w:spacing w:line="360" w:lineRule="auto"/>
              <w:rPr>
                <w:rFonts w:ascii="宋体" w:hAnsi="宋体"/>
                <w:color w:val="auto"/>
                <w:sz w:val="24"/>
                <w:highlight w:val="none"/>
              </w:rPr>
            </w:pPr>
            <w:r>
              <w:rPr>
                <w:rFonts w:hint="eastAsia" w:ascii="宋体" w:hAnsi="宋体"/>
                <w:b/>
                <w:bCs/>
                <w:color w:val="auto"/>
                <w:sz w:val="24"/>
                <w:highlight w:val="none"/>
              </w:rPr>
              <w:t>检验报告：</w:t>
            </w:r>
            <w:r>
              <w:rPr>
                <w:rFonts w:hint="eastAsia" w:ascii="宋体" w:hAnsi="宋体"/>
                <w:color w:val="auto"/>
                <w:sz w:val="24"/>
                <w:highlight w:val="none"/>
              </w:rPr>
              <w:t>支持检验报告查看。</w:t>
            </w:r>
          </w:p>
          <w:p>
            <w:pPr>
              <w:spacing w:line="360" w:lineRule="auto"/>
              <w:rPr>
                <w:rFonts w:ascii="宋体" w:hAnsi="宋体"/>
                <w:color w:val="auto"/>
                <w:sz w:val="24"/>
                <w:highlight w:val="none"/>
              </w:rPr>
            </w:pPr>
            <w:r>
              <w:rPr>
                <w:rFonts w:hint="eastAsia" w:ascii="宋体" w:hAnsi="宋体"/>
                <w:b/>
                <w:bCs/>
                <w:color w:val="auto"/>
                <w:sz w:val="24"/>
                <w:highlight w:val="none"/>
              </w:rPr>
              <w:t>检查报告：</w:t>
            </w:r>
            <w:r>
              <w:rPr>
                <w:rFonts w:hint="eastAsia" w:ascii="宋体" w:hAnsi="宋体"/>
                <w:color w:val="auto"/>
                <w:sz w:val="24"/>
                <w:highlight w:val="none"/>
              </w:rPr>
              <w:t>支持检查报告查看。</w:t>
            </w:r>
          </w:p>
          <w:p>
            <w:pPr>
              <w:spacing w:line="360" w:lineRule="auto"/>
              <w:rPr>
                <w:rFonts w:ascii="宋体" w:hAnsi="宋体"/>
                <w:color w:val="auto"/>
                <w:sz w:val="24"/>
                <w:highlight w:val="none"/>
              </w:rPr>
            </w:pPr>
            <w:r>
              <w:rPr>
                <w:rFonts w:hint="eastAsia" w:ascii="宋体" w:hAnsi="宋体"/>
                <w:b/>
                <w:bCs/>
                <w:color w:val="auto"/>
                <w:sz w:val="24"/>
                <w:highlight w:val="none"/>
              </w:rPr>
              <w:t>病理报告：</w:t>
            </w:r>
            <w:r>
              <w:rPr>
                <w:rFonts w:hint="eastAsia" w:ascii="宋体" w:hAnsi="宋体"/>
                <w:color w:val="auto"/>
                <w:sz w:val="24"/>
                <w:highlight w:val="none"/>
              </w:rPr>
              <w:t>支持病理报告查看。</w:t>
            </w:r>
          </w:p>
          <w:p>
            <w:pPr>
              <w:spacing w:line="360" w:lineRule="auto"/>
              <w:rPr>
                <w:rFonts w:ascii="宋体" w:hAnsi="宋体"/>
                <w:b/>
                <w:bCs/>
                <w:color w:val="auto"/>
                <w:sz w:val="24"/>
                <w:highlight w:val="none"/>
              </w:rPr>
            </w:pPr>
            <w:r>
              <w:rPr>
                <w:rFonts w:hint="eastAsia" w:ascii="宋体" w:hAnsi="宋体"/>
                <w:b/>
                <w:bCs/>
                <w:color w:val="auto"/>
                <w:sz w:val="24"/>
                <w:highlight w:val="none"/>
              </w:rPr>
              <w:t>特殊级抗菌药申请：</w:t>
            </w:r>
          </w:p>
          <w:p>
            <w:pPr>
              <w:spacing w:line="360" w:lineRule="auto"/>
              <w:rPr>
                <w:rFonts w:ascii="宋体" w:hAnsi="宋体"/>
                <w:color w:val="auto"/>
                <w:sz w:val="24"/>
                <w:highlight w:val="none"/>
              </w:rPr>
            </w:pPr>
            <w:r>
              <w:rPr>
                <w:rFonts w:hint="eastAsia" w:ascii="宋体" w:hAnsi="宋体"/>
                <w:color w:val="auto"/>
                <w:sz w:val="24"/>
                <w:highlight w:val="none"/>
              </w:rPr>
              <w:t>1、支持特殊级抗菌药申请，一般医生站开立特殊级抗菌药时，自动触发。</w:t>
            </w:r>
          </w:p>
          <w:p>
            <w:pPr>
              <w:spacing w:line="360" w:lineRule="auto"/>
              <w:rPr>
                <w:rFonts w:ascii="宋体" w:hAnsi="宋体"/>
                <w:color w:val="auto"/>
                <w:sz w:val="24"/>
                <w:highlight w:val="none"/>
              </w:rPr>
            </w:pPr>
            <w:r>
              <w:rPr>
                <w:rFonts w:hint="eastAsia" w:ascii="宋体" w:hAnsi="宋体"/>
                <w:color w:val="auto"/>
                <w:sz w:val="24"/>
                <w:highlight w:val="none"/>
              </w:rPr>
              <w:t>2、支持申请单包含内容：受邀科室、受邀专家，患者就诊基本信息、申请理由等。</w:t>
            </w:r>
          </w:p>
          <w:p>
            <w:pPr>
              <w:spacing w:line="360" w:lineRule="auto"/>
              <w:rPr>
                <w:rFonts w:ascii="宋体" w:hAnsi="宋体"/>
                <w:color w:val="auto"/>
                <w:sz w:val="24"/>
                <w:highlight w:val="none"/>
              </w:rPr>
            </w:pPr>
            <w:r>
              <w:rPr>
                <w:rFonts w:hint="eastAsia" w:ascii="宋体" w:hAnsi="宋体"/>
                <w:color w:val="auto"/>
                <w:sz w:val="24"/>
                <w:highlight w:val="none"/>
              </w:rPr>
              <w:t>3、支持保存、提交、打印。</w:t>
            </w:r>
          </w:p>
          <w:p>
            <w:pPr>
              <w:spacing w:line="360" w:lineRule="auto"/>
              <w:rPr>
                <w:rFonts w:ascii="宋体" w:hAnsi="宋体"/>
                <w:color w:val="auto"/>
                <w:sz w:val="24"/>
                <w:highlight w:val="none"/>
              </w:rPr>
            </w:pPr>
            <w:r>
              <w:rPr>
                <w:rFonts w:hint="eastAsia" w:ascii="宋体" w:hAnsi="宋体"/>
                <w:b/>
                <w:bCs/>
                <w:color w:val="auto"/>
                <w:sz w:val="24"/>
                <w:highlight w:val="none"/>
              </w:rPr>
              <w:t>二次手术申请：</w:t>
            </w:r>
            <w:r>
              <w:rPr>
                <w:rFonts w:hint="eastAsia" w:ascii="宋体" w:hAnsi="宋体"/>
                <w:color w:val="auto"/>
                <w:sz w:val="24"/>
                <w:highlight w:val="none"/>
              </w:rPr>
              <w:t>支持二次手术申请。</w:t>
            </w:r>
          </w:p>
          <w:p>
            <w:pPr>
              <w:spacing w:line="360" w:lineRule="auto"/>
              <w:rPr>
                <w:rFonts w:ascii="宋体" w:hAnsi="宋体"/>
                <w:color w:val="auto"/>
                <w:sz w:val="24"/>
                <w:highlight w:val="none"/>
              </w:rPr>
            </w:pPr>
            <w:r>
              <w:rPr>
                <w:rFonts w:hint="eastAsia" w:ascii="宋体" w:hAnsi="宋体"/>
                <w:b/>
                <w:bCs/>
                <w:color w:val="auto"/>
                <w:sz w:val="24"/>
                <w:highlight w:val="none"/>
              </w:rPr>
              <w:t>住院患者费用查询：</w:t>
            </w:r>
            <w:r>
              <w:rPr>
                <w:rFonts w:hint="eastAsia" w:ascii="宋体" w:hAnsi="宋体"/>
                <w:color w:val="auto"/>
                <w:sz w:val="24"/>
                <w:highlight w:val="none"/>
              </w:rPr>
              <w:t>支持住院患者费用查看。</w:t>
            </w:r>
          </w:p>
          <w:p>
            <w:pPr>
              <w:spacing w:line="360" w:lineRule="auto"/>
              <w:rPr>
                <w:rFonts w:ascii="宋体" w:hAnsi="宋体"/>
                <w:color w:val="auto"/>
                <w:sz w:val="24"/>
                <w:highlight w:val="none"/>
              </w:rPr>
            </w:pPr>
            <w:r>
              <w:rPr>
                <w:rFonts w:hint="eastAsia" w:ascii="宋体" w:hAnsi="宋体"/>
                <w:b/>
                <w:bCs/>
                <w:color w:val="auto"/>
                <w:sz w:val="24"/>
                <w:highlight w:val="none"/>
              </w:rPr>
              <w:t>输血不良反应回报单：</w:t>
            </w:r>
            <w:r>
              <w:rPr>
                <w:rFonts w:hint="eastAsia" w:ascii="宋体" w:hAnsi="宋体"/>
                <w:color w:val="auto"/>
                <w:sz w:val="24"/>
                <w:highlight w:val="none"/>
              </w:rPr>
              <w:t>支持输血不良反应回报单。</w:t>
            </w:r>
          </w:p>
          <w:p>
            <w:pPr>
              <w:spacing w:line="360" w:lineRule="auto"/>
              <w:rPr>
                <w:rFonts w:ascii="宋体" w:hAnsi="宋体"/>
                <w:b/>
                <w:bCs/>
                <w:color w:val="auto"/>
                <w:sz w:val="24"/>
                <w:highlight w:val="none"/>
              </w:rPr>
            </w:pPr>
            <w:r>
              <w:rPr>
                <w:rFonts w:hint="eastAsia" w:ascii="宋体" w:hAnsi="宋体"/>
                <w:b/>
                <w:bCs/>
                <w:color w:val="auto"/>
                <w:sz w:val="24"/>
                <w:highlight w:val="none"/>
              </w:rPr>
              <w:t>（3）出院与既往</w:t>
            </w:r>
          </w:p>
          <w:p>
            <w:pPr>
              <w:spacing w:line="360" w:lineRule="auto"/>
              <w:rPr>
                <w:rFonts w:ascii="宋体" w:hAnsi="宋体"/>
                <w:color w:val="auto"/>
                <w:sz w:val="24"/>
                <w:highlight w:val="none"/>
              </w:rPr>
            </w:pPr>
            <w:r>
              <w:rPr>
                <w:rFonts w:hint="eastAsia" w:ascii="宋体" w:hAnsi="宋体"/>
                <w:b/>
                <w:bCs/>
                <w:color w:val="auto"/>
                <w:sz w:val="24"/>
                <w:highlight w:val="none"/>
              </w:rPr>
              <w:t>出院带药：</w:t>
            </w:r>
            <w:r>
              <w:rPr>
                <w:rFonts w:hint="eastAsia" w:ascii="宋体" w:hAnsi="宋体"/>
                <w:color w:val="auto"/>
                <w:sz w:val="24"/>
                <w:highlight w:val="none"/>
              </w:rPr>
              <w:t>支持开立出院带药医嘱。</w:t>
            </w:r>
          </w:p>
          <w:p>
            <w:pPr>
              <w:spacing w:line="360" w:lineRule="auto"/>
              <w:rPr>
                <w:rFonts w:ascii="宋体" w:hAnsi="宋体"/>
                <w:color w:val="auto"/>
                <w:sz w:val="24"/>
                <w:highlight w:val="none"/>
              </w:rPr>
            </w:pPr>
            <w:r>
              <w:rPr>
                <w:rFonts w:hint="eastAsia" w:ascii="宋体" w:hAnsi="宋体"/>
                <w:b/>
                <w:bCs/>
                <w:color w:val="auto"/>
                <w:sz w:val="24"/>
                <w:highlight w:val="none"/>
              </w:rPr>
              <w:t>历史就诊：</w:t>
            </w:r>
            <w:r>
              <w:rPr>
                <w:rFonts w:hint="eastAsia" w:ascii="宋体" w:hAnsi="宋体"/>
                <w:color w:val="auto"/>
                <w:sz w:val="24"/>
                <w:highlight w:val="none"/>
              </w:rPr>
              <w:t>支持以时间轴方式，查看患者在本院全部就诊历史记录(含就诊、医嘱、费用、诊断、检查、检验、病历等)。</w:t>
            </w:r>
          </w:p>
          <w:p>
            <w:pPr>
              <w:spacing w:line="360" w:lineRule="auto"/>
              <w:rPr>
                <w:rFonts w:ascii="宋体" w:hAnsi="宋体"/>
                <w:color w:val="auto"/>
                <w:sz w:val="24"/>
                <w:highlight w:val="none"/>
              </w:rPr>
            </w:pPr>
            <w:r>
              <w:rPr>
                <w:rFonts w:hint="eastAsia" w:ascii="宋体" w:hAnsi="宋体"/>
                <w:b/>
                <w:bCs/>
                <w:color w:val="auto"/>
                <w:sz w:val="24"/>
                <w:highlight w:val="none"/>
              </w:rPr>
              <w:t>诊断证明：</w:t>
            </w:r>
            <w:r>
              <w:rPr>
                <w:rFonts w:hint="eastAsia" w:ascii="宋体" w:hAnsi="宋体"/>
                <w:color w:val="auto"/>
                <w:sz w:val="24"/>
                <w:highlight w:val="none"/>
              </w:rPr>
              <w:t>支持开立诊断证明。</w:t>
            </w:r>
          </w:p>
          <w:p>
            <w:pPr>
              <w:spacing w:line="360" w:lineRule="auto"/>
              <w:rPr>
                <w:rFonts w:ascii="宋体" w:hAnsi="宋体"/>
                <w:b/>
                <w:bCs/>
                <w:color w:val="auto"/>
                <w:sz w:val="24"/>
                <w:highlight w:val="none"/>
              </w:rPr>
            </w:pPr>
            <w:r>
              <w:rPr>
                <w:rFonts w:hint="eastAsia" w:ascii="宋体" w:hAnsi="宋体"/>
                <w:b/>
                <w:bCs/>
                <w:color w:val="auto"/>
                <w:sz w:val="24"/>
                <w:highlight w:val="none"/>
              </w:rPr>
              <w:t>（4）上报卡</w:t>
            </w:r>
          </w:p>
          <w:p>
            <w:pPr>
              <w:spacing w:line="360" w:lineRule="auto"/>
              <w:rPr>
                <w:rFonts w:ascii="宋体" w:hAnsi="宋体"/>
                <w:color w:val="auto"/>
                <w:sz w:val="24"/>
                <w:highlight w:val="none"/>
              </w:rPr>
            </w:pPr>
            <w:r>
              <w:rPr>
                <w:rFonts w:hint="eastAsia" w:ascii="宋体" w:hAnsi="宋体"/>
                <w:b/>
                <w:bCs/>
                <w:color w:val="auto"/>
                <w:sz w:val="24"/>
                <w:highlight w:val="none"/>
              </w:rPr>
              <w:t>传染病：</w:t>
            </w:r>
            <w:r>
              <w:rPr>
                <w:rFonts w:hint="eastAsia" w:ascii="宋体" w:hAnsi="宋体"/>
                <w:color w:val="auto"/>
                <w:sz w:val="24"/>
                <w:highlight w:val="none"/>
              </w:rPr>
              <w:t>支持传染病上报。</w:t>
            </w:r>
          </w:p>
          <w:p>
            <w:pPr>
              <w:spacing w:line="360" w:lineRule="auto"/>
              <w:rPr>
                <w:rFonts w:ascii="宋体" w:hAnsi="宋体"/>
                <w:color w:val="auto"/>
                <w:sz w:val="24"/>
                <w:highlight w:val="none"/>
              </w:rPr>
            </w:pPr>
            <w:r>
              <w:rPr>
                <w:rFonts w:hint="eastAsia" w:ascii="宋体" w:hAnsi="宋体"/>
                <w:b/>
                <w:bCs/>
                <w:color w:val="auto"/>
                <w:sz w:val="24"/>
                <w:highlight w:val="none"/>
              </w:rPr>
              <w:t>院感：</w:t>
            </w:r>
            <w:r>
              <w:rPr>
                <w:rFonts w:hint="eastAsia" w:ascii="宋体" w:hAnsi="宋体"/>
                <w:color w:val="auto"/>
                <w:sz w:val="24"/>
                <w:highlight w:val="none"/>
              </w:rPr>
              <w:t>支持院感上报。</w:t>
            </w:r>
          </w:p>
          <w:p>
            <w:pPr>
              <w:spacing w:line="360" w:lineRule="auto"/>
              <w:rPr>
                <w:rFonts w:ascii="宋体" w:hAnsi="宋体"/>
                <w:b/>
                <w:bCs/>
                <w:color w:val="auto"/>
                <w:sz w:val="24"/>
                <w:highlight w:val="none"/>
              </w:rPr>
            </w:pPr>
            <w:r>
              <w:rPr>
                <w:rFonts w:hint="eastAsia" w:ascii="宋体" w:hAnsi="宋体"/>
                <w:b/>
                <w:bCs/>
                <w:color w:val="auto"/>
                <w:sz w:val="24"/>
                <w:highlight w:val="none"/>
              </w:rPr>
              <w:t>（5）其他工作</w:t>
            </w:r>
          </w:p>
          <w:p>
            <w:pPr>
              <w:spacing w:line="360" w:lineRule="auto"/>
              <w:rPr>
                <w:rFonts w:ascii="宋体" w:hAnsi="宋体"/>
                <w:color w:val="auto"/>
                <w:sz w:val="24"/>
                <w:highlight w:val="none"/>
              </w:rPr>
            </w:pPr>
            <w:r>
              <w:rPr>
                <w:rFonts w:hint="eastAsia" w:ascii="宋体" w:hAnsi="宋体"/>
                <w:b/>
                <w:bCs/>
                <w:color w:val="auto"/>
                <w:sz w:val="24"/>
                <w:highlight w:val="none"/>
              </w:rPr>
              <w:t>医护人员安排：</w:t>
            </w:r>
            <w:r>
              <w:rPr>
                <w:rFonts w:hint="eastAsia" w:ascii="宋体" w:hAnsi="宋体"/>
                <w:color w:val="auto"/>
                <w:sz w:val="24"/>
                <w:highlight w:val="none"/>
              </w:rPr>
              <w:t>支持医护人员安排配置调整。</w:t>
            </w:r>
          </w:p>
          <w:p>
            <w:pPr>
              <w:spacing w:line="360" w:lineRule="auto"/>
              <w:rPr>
                <w:rFonts w:ascii="宋体" w:hAnsi="宋体"/>
                <w:b/>
                <w:bCs/>
                <w:color w:val="auto"/>
                <w:sz w:val="24"/>
                <w:highlight w:val="none"/>
              </w:rPr>
            </w:pPr>
            <w:r>
              <w:rPr>
                <w:rFonts w:hint="eastAsia" w:ascii="宋体" w:hAnsi="宋体"/>
                <w:b/>
                <w:bCs/>
                <w:color w:val="auto"/>
                <w:sz w:val="24"/>
                <w:highlight w:val="none"/>
              </w:rPr>
              <w:t>质量自评：</w:t>
            </w:r>
          </w:p>
          <w:p>
            <w:pPr>
              <w:spacing w:line="360" w:lineRule="auto"/>
              <w:rPr>
                <w:rFonts w:ascii="宋体" w:hAnsi="宋体"/>
                <w:color w:val="auto"/>
                <w:sz w:val="24"/>
                <w:highlight w:val="none"/>
              </w:rPr>
            </w:pPr>
            <w:r>
              <w:rPr>
                <w:rFonts w:hint="eastAsia" w:ascii="宋体" w:hAnsi="宋体"/>
                <w:color w:val="auto"/>
                <w:sz w:val="24"/>
                <w:highlight w:val="none"/>
              </w:rPr>
              <w:t>1、支持环节质控自动评分。</w:t>
            </w:r>
          </w:p>
          <w:p>
            <w:pPr>
              <w:spacing w:line="360" w:lineRule="auto"/>
              <w:rPr>
                <w:rFonts w:ascii="宋体" w:hAnsi="宋体"/>
                <w:color w:val="auto"/>
                <w:sz w:val="24"/>
                <w:highlight w:val="none"/>
              </w:rPr>
            </w:pPr>
            <w:r>
              <w:rPr>
                <w:rFonts w:hint="eastAsia" w:ascii="宋体" w:hAnsi="宋体"/>
                <w:color w:val="auto"/>
                <w:sz w:val="24"/>
                <w:highlight w:val="none"/>
              </w:rPr>
              <w:t>2、支持自动评分针对事先质控项目维护里维护自动评分项。</w:t>
            </w:r>
          </w:p>
          <w:p>
            <w:pPr>
              <w:spacing w:line="360" w:lineRule="auto"/>
              <w:rPr>
                <w:rFonts w:ascii="宋体" w:hAnsi="宋体"/>
                <w:color w:val="auto"/>
                <w:sz w:val="24"/>
                <w:highlight w:val="none"/>
              </w:rPr>
            </w:pPr>
            <w:r>
              <w:rPr>
                <w:rFonts w:hint="eastAsia" w:ascii="宋体" w:hAnsi="宋体"/>
                <w:color w:val="auto"/>
                <w:sz w:val="24"/>
                <w:highlight w:val="none"/>
              </w:rPr>
              <w:t>3、支持内嵌在医生站，支持对已编写病历自查、自评。</w:t>
            </w:r>
          </w:p>
          <w:p>
            <w:pPr>
              <w:spacing w:line="360" w:lineRule="auto"/>
              <w:rPr>
                <w:rFonts w:ascii="宋体" w:hAnsi="宋体"/>
                <w:color w:val="auto"/>
                <w:sz w:val="24"/>
                <w:highlight w:val="none"/>
              </w:rPr>
            </w:pPr>
            <w:r>
              <w:rPr>
                <w:rFonts w:hint="eastAsia" w:ascii="宋体" w:hAnsi="宋体"/>
                <w:b/>
                <w:bCs/>
                <w:color w:val="auto"/>
                <w:sz w:val="24"/>
                <w:highlight w:val="none"/>
              </w:rPr>
              <w:t>患者信息补充：</w:t>
            </w:r>
            <w:r>
              <w:rPr>
                <w:rFonts w:hint="eastAsia" w:ascii="宋体" w:hAnsi="宋体"/>
                <w:color w:val="auto"/>
                <w:sz w:val="24"/>
                <w:highlight w:val="none"/>
              </w:rPr>
              <w:t>支持患者信息补充调整。</w:t>
            </w:r>
          </w:p>
          <w:p>
            <w:pPr>
              <w:spacing w:line="360" w:lineRule="auto"/>
              <w:rPr>
                <w:rFonts w:ascii="宋体" w:hAnsi="宋体"/>
                <w:b/>
                <w:bCs/>
                <w:color w:val="auto"/>
                <w:sz w:val="24"/>
                <w:highlight w:val="none"/>
              </w:rPr>
            </w:pPr>
            <w:r>
              <w:rPr>
                <w:rFonts w:hint="eastAsia" w:ascii="宋体" w:hAnsi="宋体"/>
                <w:b/>
                <w:bCs/>
                <w:color w:val="auto"/>
                <w:sz w:val="24"/>
                <w:highlight w:val="none"/>
              </w:rPr>
              <w:t>门诊诊间预约</w:t>
            </w:r>
          </w:p>
          <w:p>
            <w:pPr>
              <w:spacing w:line="360" w:lineRule="auto"/>
              <w:rPr>
                <w:rFonts w:ascii="宋体" w:hAnsi="宋体"/>
                <w:color w:val="auto"/>
                <w:sz w:val="24"/>
                <w:highlight w:val="none"/>
              </w:rPr>
            </w:pPr>
            <w:r>
              <w:rPr>
                <w:rFonts w:hint="eastAsia" w:ascii="宋体" w:hAnsi="宋体"/>
                <w:color w:val="auto"/>
                <w:sz w:val="24"/>
                <w:highlight w:val="none"/>
              </w:rPr>
              <w:t>1、支持临床医生诊间预约。</w:t>
            </w:r>
          </w:p>
          <w:p>
            <w:pPr>
              <w:spacing w:line="360" w:lineRule="auto"/>
              <w:rPr>
                <w:rFonts w:ascii="宋体" w:hAnsi="宋体"/>
                <w:color w:val="auto"/>
                <w:sz w:val="24"/>
                <w:highlight w:val="none"/>
              </w:rPr>
            </w:pPr>
            <w:r>
              <w:rPr>
                <w:rFonts w:hint="eastAsia" w:ascii="宋体" w:hAnsi="宋体"/>
                <w:color w:val="auto"/>
                <w:sz w:val="24"/>
                <w:highlight w:val="none"/>
              </w:rPr>
              <w:t>2、支持预约本医生/其他医生，支持预约本科室/其他科室号源。</w:t>
            </w:r>
          </w:p>
          <w:p>
            <w:pPr>
              <w:spacing w:line="360" w:lineRule="auto"/>
              <w:rPr>
                <w:rFonts w:ascii="宋体" w:hAnsi="宋体"/>
                <w:color w:val="auto"/>
                <w:sz w:val="24"/>
                <w:highlight w:val="none"/>
              </w:rPr>
            </w:pPr>
            <w:r>
              <w:rPr>
                <w:rFonts w:hint="eastAsia" w:ascii="宋体" w:hAnsi="宋体"/>
                <w:color w:val="auto"/>
                <w:sz w:val="24"/>
                <w:highlight w:val="none"/>
              </w:rPr>
              <w:t>3、支持预付费预约和后付费预约。</w:t>
            </w:r>
          </w:p>
          <w:p>
            <w:pPr>
              <w:spacing w:line="360" w:lineRule="auto"/>
              <w:rPr>
                <w:rFonts w:ascii="宋体" w:hAnsi="宋体"/>
                <w:color w:val="auto"/>
                <w:sz w:val="24"/>
                <w:highlight w:val="none"/>
              </w:rPr>
            </w:pPr>
            <w:r>
              <w:rPr>
                <w:rFonts w:hint="eastAsia" w:ascii="宋体" w:hAnsi="宋体"/>
                <w:b/>
                <w:bCs/>
                <w:color w:val="auto"/>
                <w:sz w:val="24"/>
                <w:highlight w:val="none"/>
              </w:rPr>
              <w:t>患者费用查看：支持</w:t>
            </w:r>
            <w:r>
              <w:rPr>
                <w:rFonts w:hint="eastAsia" w:ascii="宋体" w:hAnsi="宋体"/>
                <w:color w:val="auto"/>
                <w:sz w:val="24"/>
                <w:highlight w:val="none"/>
              </w:rPr>
              <w:t>从不同维度（预交金明细、账单明细、费用明细、医嘱计价、日清单、费用清单）查询患者的费用使用情况，供护士使用。</w:t>
            </w:r>
          </w:p>
          <w:p>
            <w:pPr>
              <w:spacing w:line="360" w:lineRule="auto"/>
              <w:rPr>
                <w:rFonts w:ascii="宋体" w:hAnsi="宋体"/>
                <w:b/>
                <w:bCs/>
                <w:color w:val="auto"/>
                <w:sz w:val="24"/>
                <w:highlight w:val="none"/>
              </w:rPr>
            </w:pPr>
            <w:r>
              <w:rPr>
                <w:rFonts w:hint="eastAsia" w:ascii="宋体" w:hAnsi="宋体"/>
                <w:b/>
                <w:bCs/>
                <w:color w:val="auto"/>
                <w:sz w:val="24"/>
                <w:highlight w:val="none"/>
              </w:rPr>
              <w:t>（6）费用管理</w:t>
            </w:r>
          </w:p>
          <w:p>
            <w:pPr>
              <w:spacing w:line="360" w:lineRule="auto"/>
              <w:rPr>
                <w:rFonts w:ascii="宋体" w:hAnsi="宋体"/>
                <w:color w:val="auto"/>
                <w:sz w:val="24"/>
                <w:highlight w:val="none"/>
              </w:rPr>
            </w:pPr>
            <w:r>
              <w:rPr>
                <w:rFonts w:hint="eastAsia" w:ascii="宋体" w:hAnsi="宋体"/>
                <w:b/>
                <w:bCs/>
                <w:color w:val="auto"/>
                <w:sz w:val="24"/>
                <w:highlight w:val="none"/>
              </w:rPr>
              <w:t>住院医技退费申请：支持</w:t>
            </w:r>
            <w:r>
              <w:rPr>
                <w:rFonts w:hint="eastAsia" w:ascii="宋体" w:hAnsi="宋体"/>
                <w:color w:val="auto"/>
                <w:sz w:val="24"/>
                <w:highlight w:val="none"/>
              </w:rPr>
              <w:t>住院需退费的医嘱，进行退费申请。</w:t>
            </w:r>
          </w:p>
          <w:p>
            <w:pPr>
              <w:spacing w:line="360" w:lineRule="auto"/>
              <w:rPr>
                <w:rFonts w:ascii="宋体" w:hAnsi="宋体"/>
                <w:color w:val="auto"/>
                <w:sz w:val="24"/>
                <w:highlight w:val="none"/>
              </w:rPr>
            </w:pPr>
            <w:r>
              <w:rPr>
                <w:rFonts w:hint="eastAsia" w:ascii="宋体" w:hAnsi="宋体"/>
                <w:b/>
                <w:bCs/>
                <w:color w:val="auto"/>
                <w:sz w:val="24"/>
                <w:highlight w:val="none"/>
              </w:rPr>
              <w:t>住院患者医嘱费用查询：支持</w:t>
            </w:r>
            <w:r>
              <w:rPr>
                <w:rFonts w:hint="eastAsia" w:ascii="宋体" w:hAnsi="宋体"/>
                <w:color w:val="auto"/>
                <w:sz w:val="24"/>
                <w:highlight w:val="none"/>
              </w:rPr>
              <w:t>查询医嘱记账状态。</w:t>
            </w:r>
          </w:p>
          <w:p>
            <w:pPr>
              <w:spacing w:line="360" w:lineRule="auto"/>
              <w:rPr>
                <w:rFonts w:ascii="宋体" w:hAnsi="宋体"/>
                <w:color w:val="auto"/>
                <w:sz w:val="24"/>
                <w:highlight w:val="none"/>
              </w:rPr>
            </w:pPr>
            <w:r>
              <w:rPr>
                <w:rFonts w:hint="eastAsia" w:ascii="宋体" w:hAnsi="宋体"/>
                <w:b/>
                <w:bCs/>
                <w:color w:val="auto"/>
                <w:sz w:val="24"/>
                <w:highlight w:val="none"/>
              </w:rPr>
              <w:t>医嘱退费申请：支持</w:t>
            </w:r>
            <w:r>
              <w:rPr>
                <w:rFonts w:hint="eastAsia" w:ascii="宋体" w:hAnsi="宋体"/>
                <w:color w:val="auto"/>
                <w:sz w:val="24"/>
                <w:highlight w:val="none"/>
              </w:rPr>
              <w:t>进行医嘱退费申请。</w:t>
            </w:r>
          </w:p>
          <w:p>
            <w:pPr>
              <w:spacing w:line="360" w:lineRule="auto"/>
              <w:rPr>
                <w:rFonts w:ascii="宋体" w:hAnsi="宋体"/>
                <w:color w:val="auto"/>
                <w:sz w:val="24"/>
                <w:highlight w:val="none"/>
              </w:rPr>
            </w:pPr>
            <w:r>
              <w:rPr>
                <w:rFonts w:hint="eastAsia" w:ascii="宋体" w:hAnsi="宋体"/>
                <w:b/>
                <w:bCs/>
                <w:color w:val="auto"/>
                <w:sz w:val="24"/>
                <w:highlight w:val="none"/>
              </w:rPr>
              <w:t>医嘱退费审核：支持</w:t>
            </w:r>
            <w:r>
              <w:rPr>
                <w:rFonts w:hint="eastAsia" w:ascii="宋体" w:hAnsi="宋体"/>
                <w:color w:val="auto"/>
                <w:sz w:val="24"/>
                <w:highlight w:val="none"/>
              </w:rPr>
              <w:t>进行医嘱退费审核。</w:t>
            </w:r>
          </w:p>
          <w:p>
            <w:pPr>
              <w:spacing w:line="360" w:lineRule="auto"/>
              <w:rPr>
                <w:rFonts w:ascii="宋体" w:hAnsi="宋体"/>
                <w:b/>
                <w:bCs/>
                <w:color w:val="auto"/>
                <w:sz w:val="24"/>
                <w:highlight w:val="none"/>
              </w:rPr>
            </w:pPr>
            <w:r>
              <w:rPr>
                <w:rFonts w:hint="eastAsia" w:ascii="宋体" w:hAnsi="宋体"/>
                <w:b/>
                <w:bCs/>
                <w:color w:val="auto"/>
                <w:sz w:val="24"/>
                <w:highlight w:val="none"/>
              </w:rPr>
              <w:t>（7）诊疗视图</w:t>
            </w:r>
          </w:p>
          <w:p>
            <w:pPr>
              <w:pStyle w:val="201"/>
              <w:spacing w:line="360" w:lineRule="auto"/>
              <w:ind w:left="0" w:right="105" w:rightChars="50" w:firstLine="482"/>
              <w:rPr>
                <w:rFonts w:ascii="宋体" w:hAnsi="宋体" w:eastAsia="宋体"/>
                <w:color w:val="auto"/>
                <w:spacing w:val="-4"/>
                <w:sz w:val="24"/>
                <w:highlight w:val="none"/>
                <w:lang w:eastAsia="zh-CN"/>
              </w:rPr>
            </w:pPr>
            <w:r>
              <w:rPr>
                <w:rFonts w:hint="eastAsia" w:ascii="宋体" w:hAnsi="宋体" w:eastAsia="宋体"/>
                <w:b/>
                <w:bCs/>
                <w:color w:val="auto"/>
                <w:sz w:val="24"/>
                <w:highlight w:val="none"/>
                <w:lang w:eastAsia="zh-CN"/>
              </w:rPr>
              <w:t>诊疗视图：</w:t>
            </w:r>
            <w:r>
              <w:rPr>
                <w:rFonts w:hint="eastAsia" w:ascii="宋体" w:hAnsi="宋体" w:eastAsia="宋体"/>
                <w:color w:val="auto"/>
                <w:sz w:val="24"/>
                <w:highlight w:val="none"/>
                <w:lang w:eastAsia="zh-CN"/>
              </w:rPr>
              <w:t>支持住院诊疗视图，详细展示体征数据变化趋势，药品、检查等执行过程。</w:t>
            </w:r>
          </w:p>
        </w:tc>
      </w:tr>
    </w:tbl>
    <w:p>
      <w:pPr>
        <w:pStyle w:val="6"/>
        <w:numPr>
          <w:ilvl w:val="3"/>
          <w:numId w:val="8"/>
        </w:numPr>
        <w:spacing w:before="280" w:after="290" w:line="376" w:lineRule="auto"/>
        <w:rPr>
          <w:rFonts w:ascii="宋体" w:hAnsi="宋体"/>
          <w:color w:val="auto"/>
          <w:szCs w:val="24"/>
          <w:highlight w:val="none"/>
        </w:rPr>
      </w:pPr>
      <w:bookmarkStart w:id="599" w:name="_Toc18769"/>
      <w:r>
        <w:rPr>
          <w:rFonts w:hint="eastAsia" w:ascii="宋体" w:hAnsi="宋体"/>
          <w:color w:val="auto"/>
          <w:szCs w:val="24"/>
          <w:highlight w:val="none"/>
        </w:rPr>
        <w:t>住院护士站系统</w:t>
      </w:r>
      <w:bookmarkEnd w:id="599"/>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住院护士站是集成住院护士日常临床护理工作的门户入口，基于全面的信息整合，以一站式服务的方式提供给护士使用，强调完全以个性化工作门户的信息服务模式，使护士享有适合自己工作需要的，个性化的独立的业务系统。</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980" w:type="dxa"/>
            <w:shd w:val="clear" w:color="auto" w:fill="4471C4"/>
          </w:tcPr>
          <w:p>
            <w:pPr>
              <w:autoSpaceDE w:val="0"/>
              <w:autoSpaceDN w:val="0"/>
              <w:spacing w:before="27" w:line="360" w:lineRule="auto"/>
              <w:ind w:left="292"/>
              <w:jc w:val="center"/>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系统</w:t>
            </w:r>
          </w:p>
        </w:tc>
        <w:tc>
          <w:tcPr>
            <w:tcW w:w="7087" w:type="dxa"/>
            <w:shd w:val="clear" w:color="auto" w:fill="4471C4"/>
          </w:tcPr>
          <w:p>
            <w:pPr>
              <w:autoSpaceDE w:val="0"/>
              <w:autoSpaceDN w:val="0"/>
              <w:spacing w:before="27" w:line="360" w:lineRule="auto"/>
              <w:ind w:left="2807" w:right="2798"/>
              <w:jc w:val="center"/>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80" w:type="dxa"/>
            <w:vAlign w:val="center"/>
          </w:tcPr>
          <w:p>
            <w:pPr>
              <w:autoSpaceDE w:val="0"/>
              <w:autoSpaceDN w:val="0"/>
              <w:spacing w:line="360" w:lineRule="auto"/>
              <w:ind w:left="125" w:right="103" w:rightChars="49"/>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住院护士站</w:t>
            </w:r>
          </w:p>
        </w:tc>
        <w:tc>
          <w:tcPr>
            <w:tcW w:w="7087" w:type="dxa"/>
          </w:tcPr>
          <w:p>
            <w:pPr>
              <w:spacing w:line="360" w:lineRule="auto"/>
              <w:rPr>
                <w:rFonts w:ascii="宋体" w:hAnsi="宋体"/>
                <w:b/>
                <w:bCs/>
                <w:color w:val="auto"/>
                <w:sz w:val="24"/>
                <w:highlight w:val="none"/>
              </w:rPr>
            </w:pPr>
            <w:r>
              <w:rPr>
                <w:rFonts w:hint="eastAsia" w:ascii="宋体" w:hAnsi="宋体"/>
                <w:b/>
                <w:bCs/>
                <w:color w:val="auto"/>
                <w:sz w:val="24"/>
                <w:highlight w:val="none"/>
              </w:rPr>
              <w:t>（1）患者列表</w:t>
            </w:r>
          </w:p>
          <w:p>
            <w:pPr>
              <w:spacing w:line="360" w:lineRule="auto"/>
              <w:rPr>
                <w:rFonts w:ascii="宋体" w:hAnsi="宋体"/>
                <w:color w:val="auto"/>
                <w:sz w:val="24"/>
                <w:highlight w:val="none"/>
              </w:rPr>
            </w:pPr>
            <w:r>
              <w:rPr>
                <w:rFonts w:hint="eastAsia" w:ascii="宋体" w:hAnsi="宋体"/>
                <w:b/>
                <w:bCs/>
                <w:color w:val="auto"/>
                <w:sz w:val="24"/>
                <w:highlight w:val="none"/>
              </w:rPr>
              <w:t>病区患者：</w:t>
            </w:r>
            <w:r>
              <w:rPr>
                <w:rFonts w:hint="eastAsia" w:ascii="宋体" w:hAnsi="宋体"/>
                <w:color w:val="auto"/>
                <w:sz w:val="24"/>
                <w:highlight w:val="none"/>
              </w:rPr>
              <w:t>支持按病区患者分类查看。</w:t>
            </w:r>
          </w:p>
          <w:p>
            <w:pPr>
              <w:spacing w:line="360" w:lineRule="auto"/>
              <w:rPr>
                <w:rFonts w:ascii="宋体" w:hAnsi="宋体"/>
                <w:color w:val="auto"/>
                <w:sz w:val="24"/>
                <w:highlight w:val="none"/>
              </w:rPr>
            </w:pPr>
            <w:r>
              <w:rPr>
                <w:rFonts w:hint="eastAsia" w:ascii="宋体" w:hAnsi="宋体"/>
                <w:b/>
                <w:bCs/>
                <w:color w:val="auto"/>
                <w:sz w:val="24"/>
                <w:highlight w:val="none"/>
              </w:rPr>
              <w:t>我的患者：</w:t>
            </w:r>
            <w:r>
              <w:rPr>
                <w:rFonts w:hint="eastAsia" w:ascii="宋体" w:hAnsi="宋体"/>
                <w:color w:val="auto"/>
                <w:sz w:val="24"/>
                <w:highlight w:val="none"/>
              </w:rPr>
              <w:t>支持按我的患者分类查看。</w:t>
            </w:r>
          </w:p>
          <w:p>
            <w:pPr>
              <w:spacing w:line="360" w:lineRule="auto"/>
              <w:rPr>
                <w:rFonts w:ascii="宋体" w:hAnsi="宋体"/>
                <w:color w:val="auto"/>
                <w:sz w:val="24"/>
                <w:highlight w:val="none"/>
              </w:rPr>
            </w:pPr>
            <w:r>
              <w:rPr>
                <w:rFonts w:hint="eastAsia" w:ascii="宋体" w:hAnsi="宋体"/>
                <w:b/>
                <w:bCs/>
                <w:color w:val="auto"/>
                <w:sz w:val="24"/>
                <w:highlight w:val="none"/>
              </w:rPr>
              <w:t>病危患者：</w:t>
            </w:r>
            <w:r>
              <w:rPr>
                <w:rFonts w:hint="eastAsia" w:ascii="宋体" w:hAnsi="宋体"/>
                <w:color w:val="auto"/>
                <w:sz w:val="24"/>
                <w:highlight w:val="none"/>
              </w:rPr>
              <w:t>支持病危患者分类查看。</w:t>
            </w:r>
          </w:p>
          <w:p>
            <w:pPr>
              <w:spacing w:line="360" w:lineRule="auto"/>
              <w:rPr>
                <w:rFonts w:ascii="宋体" w:hAnsi="宋体"/>
                <w:color w:val="auto"/>
                <w:sz w:val="24"/>
                <w:highlight w:val="none"/>
              </w:rPr>
            </w:pPr>
            <w:r>
              <w:rPr>
                <w:rFonts w:hint="eastAsia" w:ascii="宋体" w:hAnsi="宋体"/>
                <w:b/>
                <w:bCs/>
                <w:color w:val="auto"/>
                <w:sz w:val="24"/>
                <w:highlight w:val="none"/>
              </w:rPr>
              <w:t>新入院患者：</w:t>
            </w:r>
            <w:r>
              <w:rPr>
                <w:rFonts w:hint="eastAsia" w:ascii="宋体" w:hAnsi="宋体"/>
                <w:color w:val="auto"/>
                <w:sz w:val="24"/>
                <w:highlight w:val="none"/>
              </w:rPr>
              <w:t>支持新入院患者分类查看。</w:t>
            </w:r>
          </w:p>
          <w:p>
            <w:pPr>
              <w:spacing w:line="360" w:lineRule="auto"/>
              <w:rPr>
                <w:rFonts w:ascii="宋体" w:hAnsi="宋体"/>
                <w:b/>
                <w:bCs/>
                <w:color w:val="auto"/>
                <w:sz w:val="24"/>
                <w:highlight w:val="none"/>
              </w:rPr>
            </w:pPr>
            <w:r>
              <w:rPr>
                <w:rFonts w:hint="eastAsia" w:ascii="宋体" w:hAnsi="宋体"/>
                <w:b/>
                <w:bCs/>
                <w:color w:val="auto"/>
                <w:sz w:val="24"/>
                <w:highlight w:val="none"/>
              </w:rPr>
              <w:t>（2）患者管理</w:t>
            </w:r>
          </w:p>
          <w:p>
            <w:pPr>
              <w:spacing w:line="360" w:lineRule="auto"/>
              <w:rPr>
                <w:rFonts w:ascii="宋体" w:hAnsi="宋体"/>
                <w:b/>
                <w:bCs/>
                <w:color w:val="auto"/>
                <w:sz w:val="24"/>
                <w:highlight w:val="none"/>
              </w:rPr>
            </w:pPr>
            <w:r>
              <w:rPr>
                <w:rFonts w:hint="eastAsia" w:ascii="宋体" w:hAnsi="宋体"/>
                <w:b/>
                <w:bCs/>
                <w:color w:val="auto"/>
                <w:sz w:val="24"/>
                <w:highlight w:val="none"/>
              </w:rPr>
              <w:t>住院病区接收：</w:t>
            </w:r>
          </w:p>
          <w:p>
            <w:pPr>
              <w:spacing w:line="360" w:lineRule="auto"/>
              <w:rPr>
                <w:rFonts w:ascii="宋体" w:hAnsi="宋体"/>
                <w:color w:val="auto"/>
                <w:sz w:val="24"/>
                <w:highlight w:val="none"/>
              </w:rPr>
            </w:pPr>
            <w:r>
              <w:rPr>
                <w:rFonts w:hint="eastAsia" w:ascii="宋体" w:hAnsi="宋体"/>
                <w:color w:val="auto"/>
                <w:sz w:val="24"/>
                <w:highlight w:val="none"/>
              </w:rPr>
              <w:t>1、支持住院病区接收（入科）。</w:t>
            </w:r>
          </w:p>
          <w:p>
            <w:pPr>
              <w:spacing w:line="360" w:lineRule="auto"/>
              <w:rPr>
                <w:rFonts w:ascii="宋体" w:hAnsi="宋体"/>
                <w:color w:val="auto"/>
                <w:sz w:val="24"/>
                <w:highlight w:val="none"/>
              </w:rPr>
            </w:pPr>
            <w:r>
              <w:rPr>
                <w:rFonts w:hint="eastAsia" w:ascii="宋体" w:hAnsi="宋体"/>
                <w:color w:val="auto"/>
                <w:sz w:val="24"/>
                <w:highlight w:val="none"/>
              </w:rPr>
              <w:t>2、支持指定医疗组，支持指定三级医生和护士。</w:t>
            </w:r>
          </w:p>
          <w:p>
            <w:pPr>
              <w:spacing w:line="360" w:lineRule="auto"/>
              <w:rPr>
                <w:rFonts w:ascii="宋体" w:hAnsi="宋体"/>
                <w:b/>
                <w:bCs/>
                <w:color w:val="auto"/>
                <w:sz w:val="24"/>
                <w:highlight w:val="none"/>
              </w:rPr>
            </w:pPr>
            <w:r>
              <w:rPr>
                <w:rFonts w:hint="eastAsia" w:ascii="宋体" w:hAnsi="宋体"/>
                <w:b/>
                <w:bCs/>
                <w:color w:val="auto"/>
                <w:sz w:val="24"/>
                <w:highlight w:val="none"/>
              </w:rPr>
              <w:t>住院转出：</w:t>
            </w:r>
          </w:p>
          <w:p>
            <w:pPr>
              <w:spacing w:line="360" w:lineRule="auto"/>
              <w:rPr>
                <w:rFonts w:ascii="宋体" w:hAnsi="宋体"/>
                <w:color w:val="auto"/>
                <w:sz w:val="24"/>
                <w:highlight w:val="none"/>
              </w:rPr>
            </w:pPr>
            <w:r>
              <w:rPr>
                <w:rFonts w:hint="eastAsia" w:ascii="宋体" w:hAnsi="宋体"/>
                <w:color w:val="auto"/>
                <w:sz w:val="24"/>
                <w:highlight w:val="none"/>
              </w:rPr>
              <w:t>1、支持患者转科，住院转出。</w:t>
            </w:r>
          </w:p>
          <w:p>
            <w:pPr>
              <w:spacing w:line="360" w:lineRule="auto"/>
              <w:rPr>
                <w:rFonts w:ascii="宋体" w:hAnsi="宋体"/>
                <w:color w:val="auto"/>
                <w:sz w:val="24"/>
                <w:highlight w:val="none"/>
              </w:rPr>
            </w:pPr>
            <w:r>
              <w:rPr>
                <w:rFonts w:hint="eastAsia" w:ascii="宋体" w:hAnsi="宋体"/>
                <w:color w:val="auto"/>
                <w:sz w:val="24"/>
                <w:highlight w:val="none"/>
              </w:rPr>
              <w:t>2、支持独立使用，也支持内嵌到护士工作站使用。</w:t>
            </w:r>
          </w:p>
          <w:p>
            <w:pPr>
              <w:spacing w:line="360" w:lineRule="auto"/>
              <w:rPr>
                <w:rFonts w:ascii="宋体" w:hAnsi="宋体"/>
                <w:color w:val="auto"/>
                <w:sz w:val="24"/>
                <w:highlight w:val="none"/>
              </w:rPr>
            </w:pPr>
            <w:r>
              <w:rPr>
                <w:rFonts w:hint="eastAsia" w:ascii="宋体" w:hAnsi="宋体"/>
                <w:color w:val="auto"/>
                <w:sz w:val="24"/>
                <w:highlight w:val="none"/>
              </w:rPr>
              <w:t>3、支持设置目标科室、目标病区。</w:t>
            </w:r>
          </w:p>
          <w:p>
            <w:pPr>
              <w:spacing w:line="360" w:lineRule="auto"/>
              <w:rPr>
                <w:rFonts w:ascii="宋体" w:hAnsi="宋体"/>
                <w:b/>
                <w:bCs/>
                <w:color w:val="auto"/>
                <w:sz w:val="24"/>
                <w:highlight w:val="none"/>
              </w:rPr>
            </w:pPr>
            <w:r>
              <w:rPr>
                <w:rFonts w:hint="eastAsia" w:ascii="宋体" w:hAnsi="宋体"/>
                <w:b/>
                <w:bCs/>
                <w:color w:val="auto"/>
                <w:sz w:val="24"/>
                <w:highlight w:val="none"/>
              </w:rPr>
              <w:t>住院转入：</w:t>
            </w:r>
          </w:p>
          <w:p>
            <w:pPr>
              <w:spacing w:line="360" w:lineRule="auto"/>
              <w:rPr>
                <w:rFonts w:ascii="宋体" w:hAnsi="宋体"/>
                <w:color w:val="auto"/>
                <w:sz w:val="24"/>
                <w:highlight w:val="none"/>
              </w:rPr>
            </w:pPr>
            <w:r>
              <w:rPr>
                <w:rFonts w:hint="eastAsia" w:ascii="宋体" w:hAnsi="宋体"/>
                <w:color w:val="auto"/>
                <w:sz w:val="24"/>
                <w:highlight w:val="none"/>
              </w:rPr>
              <w:t>1、支持患者转科，住院转入。</w:t>
            </w:r>
          </w:p>
          <w:p>
            <w:pPr>
              <w:spacing w:line="360" w:lineRule="auto"/>
              <w:rPr>
                <w:rFonts w:ascii="宋体" w:hAnsi="宋体"/>
                <w:color w:val="auto"/>
                <w:sz w:val="24"/>
                <w:highlight w:val="none"/>
              </w:rPr>
            </w:pPr>
            <w:r>
              <w:rPr>
                <w:rFonts w:hint="eastAsia" w:ascii="宋体" w:hAnsi="宋体"/>
                <w:color w:val="auto"/>
                <w:sz w:val="24"/>
                <w:highlight w:val="none"/>
              </w:rPr>
              <w:t>2、支持独立使用，也支持内嵌到护士工作站使用。</w:t>
            </w:r>
          </w:p>
          <w:p>
            <w:pPr>
              <w:spacing w:line="360" w:lineRule="auto"/>
              <w:rPr>
                <w:rFonts w:ascii="宋体" w:hAnsi="宋体"/>
                <w:b/>
                <w:bCs/>
                <w:color w:val="auto"/>
                <w:sz w:val="24"/>
                <w:highlight w:val="none"/>
              </w:rPr>
            </w:pPr>
            <w:r>
              <w:rPr>
                <w:rFonts w:hint="eastAsia" w:ascii="宋体" w:hAnsi="宋体"/>
                <w:b/>
                <w:bCs/>
                <w:color w:val="auto"/>
                <w:sz w:val="24"/>
                <w:highlight w:val="none"/>
              </w:rPr>
              <w:t>新生儿登记</w:t>
            </w:r>
            <w:r>
              <w:rPr>
                <w:rFonts w:hint="eastAsia" w:ascii="宋体" w:hAnsi="宋体"/>
                <w:b/>
                <w:bCs/>
                <w:color w:val="auto"/>
                <w:sz w:val="24"/>
                <w:highlight w:val="none"/>
              </w:rPr>
              <w:tab/>
            </w:r>
            <w:r>
              <w:rPr>
                <w:rFonts w:hint="eastAsia" w:ascii="宋体" w:hAnsi="宋体"/>
                <w:b/>
                <w:bCs/>
                <w:color w:val="auto"/>
                <w:sz w:val="24"/>
                <w:highlight w:val="none"/>
              </w:rPr>
              <w:t>：</w:t>
            </w:r>
          </w:p>
          <w:p>
            <w:pPr>
              <w:spacing w:line="360" w:lineRule="auto"/>
              <w:rPr>
                <w:rFonts w:ascii="宋体" w:hAnsi="宋体"/>
                <w:color w:val="auto"/>
                <w:sz w:val="24"/>
                <w:highlight w:val="none"/>
              </w:rPr>
            </w:pPr>
            <w:r>
              <w:rPr>
                <w:rFonts w:hint="eastAsia" w:ascii="宋体" w:hAnsi="宋体"/>
                <w:color w:val="auto"/>
                <w:sz w:val="24"/>
                <w:highlight w:val="none"/>
              </w:rPr>
              <w:t>1、支持调出母亲信息，关联登记新生儿。</w:t>
            </w:r>
          </w:p>
          <w:p>
            <w:pPr>
              <w:spacing w:line="360" w:lineRule="auto"/>
              <w:rPr>
                <w:rFonts w:ascii="宋体" w:hAnsi="宋体"/>
                <w:color w:val="auto"/>
                <w:sz w:val="24"/>
                <w:highlight w:val="none"/>
              </w:rPr>
            </w:pPr>
            <w:r>
              <w:rPr>
                <w:rFonts w:hint="eastAsia" w:ascii="宋体" w:hAnsi="宋体"/>
                <w:color w:val="auto"/>
                <w:sz w:val="24"/>
                <w:highlight w:val="none"/>
              </w:rPr>
              <w:t>2、支持新生儿基本信息录入，支持新生儿父亲信息录入。</w:t>
            </w:r>
          </w:p>
          <w:p>
            <w:pPr>
              <w:spacing w:line="360" w:lineRule="auto"/>
              <w:rPr>
                <w:rFonts w:ascii="宋体" w:hAnsi="宋体"/>
                <w:b/>
                <w:bCs/>
                <w:color w:val="auto"/>
                <w:sz w:val="24"/>
                <w:highlight w:val="none"/>
              </w:rPr>
            </w:pPr>
            <w:r>
              <w:rPr>
                <w:rFonts w:hint="eastAsia" w:ascii="宋体" w:hAnsi="宋体"/>
                <w:b/>
                <w:bCs/>
                <w:color w:val="auto"/>
                <w:sz w:val="24"/>
                <w:highlight w:val="none"/>
              </w:rPr>
              <w:t>出院召回：</w:t>
            </w:r>
          </w:p>
          <w:p>
            <w:pPr>
              <w:spacing w:line="360" w:lineRule="auto"/>
              <w:rPr>
                <w:rFonts w:ascii="宋体" w:hAnsi="宋体"/>
                <w:color w:val="auto"/>
                <w:sz w:val="24"/>
                <w:highlight w:val="none"/>
              </w:rPr>
            </w:pPr>
            <w:r>
              <w:rPr>
                <w:rFonts w:hint="eastAsia" w:ascii="宋体" w:hAnsi="宋体"/>
                <w:color w:val="auto"/>
                <w:sz w:val="24"/>
                <w:highlight w:val="none"/>
              </w:rPr>
              <w:t>1、支持病区出院召回。</w:t>
            </w:r>
          </w:p>
          <w:p>
            <w:pPr>
              <w:spacing w:line="360" w:lineRule="auto"/>
              <w:rPr>
                <w:rFonts w:ascii="宋体" w:hAnsi="宋体"/>
                <w:color w:val="auto"/>
                <w:sz w:val="24"/>
                <w:highlight w:val="none"/>
              </w:rPr>
            </w:pPr>
            <w:r>
              <w:rPr>
                <w:rFonts w:hint="eastAsia" w:ascii="宋体" w:hAnsi="宋体"/>
                <w:color w:val="auto"/>
                <w:sz w:val="24"/>
                <w:highlight w:val="none"/>
              </w:rPr>
              <w:t>2、支持已出院未结算的患者，直接召回。</w:t>
            </w:r>
          </w:p>
          <w:p>
            <w:pPr>
              <w:spacing w:line="360" w:lineRule="auto"/>
              <w:rPr>
                <w:rFonts w:ascii="宋体" w:hAnsi="宋体"/>
                <w:color w:val="auto"/>
                <w:sz w:val="24"/>
                <w:highlight w:val="none"/>
              </w:rPr>
            </w:pPr>
            <w:r>
              <w:rPr>
                <w:rFonts w:hint="eastAsia" w:ascii="宋体" w:hAnsi="宋体"/>
                <w:color w:val="auto"/>
                <w:sz w:val="24"/>
                <w:highlight w:val="none"/>
              </w:rPr>
              <w:t>3、支持已出院已结算的患者，取消结算后召回。</w:t>
            </w:r>
          </w:p>
          <w:p>
            <w:pPr>
              <w:spacing w:line="360" w:lineRule="auto"/>
              <w:rPr>
                <w:rFonts w:ascii="宋体" w:hAnsi="宋体"/>
                <w:color w:val="auto"/>
                <w:sz w:val="24"/>
                <w:highlight w:val="none"/>
              </w:rPr>
            </w:pPr>
            <w:r>
              <w:rPr>
                <w:rFonts w:hint="eastAsia" w:ascii="宋体" w:hAnsi="宋体"/>
                <w:color w:val="auto"/>
                <w:sz w:val="24"/>
                <w:highlight w:val="none"/>
              </w:rPr>
              <w:t>4、支持召回会指定新的床位。</w:t>
            </w:r>
          </w:p>
          <w:p>
            <w:pPr>
              <w:spacing w:line="360" w:lineRule="auto"/>
              <w:rPr>
                <w:rFonts w:ascii="宋体" w:hAnsi="宋体"/>
                <w:color w:val="auto"/>
                <w:sz w:val="24"/>
                <w:highlight w:val="none"/>
              </w:rPr>
            </w:pPr>
            <w:r>
              <w:rPr>
                <w:rFonts w:hint="eastAsia" w:ascii="宋体" w:hAnsi="宋体"/>
                <w:color w:val="auto"/>
                <w:sz w:val="24"/>
                <w:highlight w:val="none"/>
              </w:rPr>
              <w:t>5、支持通过住院号、起止日期、姓名进行患者记录过滤。</w:t>
            </w:r>
          </w:p>
          <w:p>
            <w:pPr>
              <w:spacing w:line="360" w:lineRule="auto"/>
              <w:rPr>
                <w:rFonts w:ascii="宋体" w:hAnsi="宋体"/>
                <w:b/>
                <w:bCs/>
                <w:color w:val="auto"/>
                <w:sz w:val="24"/>
                <w:highlight w:val="none"/>
              </w:rPr>
            </w:pPr>
            <w:r>
              <w:rPr>
                <w:rFonts w:hint="eastAsia" w:ascii="宋体" w:hAnsi="宋体"/>
                <w:b/>
                <w:bCs/>
                <w:color w:val="auto"/>
                <w:sz w:val="24"/>
                <w:highlight w:val="none"/>
              </w:rPr>
              <w:t>出科患者列表：</w:t>
            </w:r>
          </w:p>
          <w:p>
            <w:pPr>
              <w:spacing w:line="360" w:lineRule="auto"/>
              <w:rPr>
                <w:rFonts w:ascii="宋体" w:hAnsi="宋体"/>
                <w:color w:val="auto"/>
                <w:sz w:val="24"/>
                <w:highlight w:val="none"/>
              </w:rPr>
            </w:pPr>
            <w:r>
              <w:rPr>
                <w:rFonts w:hint="eastAsia" w:ascii="宋体" w:hAnsi="宋体"/>
                <w:color w:val="auto"/>
                <w:sz w:val="24"/>
                <w:highlight w:val="none"/>
              </w:rPr>
              <w:t>1、支持出院/转科患者就诊信息查询。</w:t>
            </w:r>
          </w:p>
          <w:p>
            <w:pPr>
              <w:spacing w:line="360" w:lineRule="auto"/>
              <w:rPr>
                <w:rFonts w:ascii="宋体" w:hAnsi="宋体"/>
                <w:color w:val="auto"/>
                <w:sz w:val="24"/>
                <w:highlight w:val="none"/>
              </w:rPr>
            </w:pPr>
            <w:r>
              <w:rPr>
                <w:rFonts w:hint="eastAsia" w:ascii="宋体" w:hAnsi="宋体"/>
                <w:color w:val="auto"/>
                <w:sz w:val="24"/>
                <w:highlight w:val="none"/>
              </w:rPr>
              <w:t>2、支持通过出院/转科日期、患者姓名、住院号、科室、病区、出院/转科、结算状态、付款状态、新生儿、死亡等，多出院/转科患者记录进行过滤导出。</w:t>
            </w:r>
          </w:p>
          <w:p>
            <w:pPr>
              <w:spacing w:line="360" w:lineRule="auto"/>
              <w:rPr>
                <w:rFonts w:ascii="宋体" w:hAnsi="宋体"/>
                <w:b/>
                <w:bCs/>
                <w:color w:val="auto"/>
                <w:sz w:val="24"/>
                <w:highlight w:val="none"/>
              </w:rPr>
            </w:pPr>
            <w:r>
              <w:rPr>
                <w:rFonts w:hint="eastAsia" w:ascii="宋体" w:hAnsi="宋体"/>
                <w:b/>
                <w:bCs/>
                <w:color w:val="auto"/>
                <w:sz w:val="24"/>
                <w:highlight w:val="none"/>
              </w:rPr>
              <w:t>出院：</w:t>
            </w:r>
          </w:p>
          <w:p>
            <w:pPr>
              <w:spacing w:line="360" w:lineRule="auto"/>
              <w:rPr>
                <w:rFonts w:ascii="宋体" w:hAnsi="宋体"/>
                <w:color w:val="auto"/>
                <w:sz w:val="24"/>
                <w:highlight w:val="none"/>
              </w:rPr>
            </w:pPr>
            <w:r>
              <w:rPr>
                <w:rFonts w:hint="eastAsia" w:ascii="宋体" w:hAnsi="宋体"/>
                <w:color w:val="auto"/>
                <w:sz w:val="24"/>
                <w:highlight w:val="none"/>
              </w:rPr>
              <w:t>1、支持患者病区出院。</w:t>
            </w:r>
          </w:p>
          <w:p>
            <w:pPr>
              <w:spacing w:line="360" w:lineRule="auto"/>
              <w:rPr>
                <w:rFonts w:ascii="宋体" w:hAnsi="宋体"/>
                <w:color w:val="auto"/>
                <w:sz w:val="24"/>
                <w:highlight w:val="none"/>
              </w:rPr>
            </w:pPr>
            <w:r>
              <w:rPr>
                <w:rFonts w:hint="eastAsia" w:ascii="宋体" w:hAnsi="宋体"/>
                <w:color w:val="auto"/>
                <w:sz w:val="24"/>
                <w:highlight w:val="none"/>
              </w:rPr>
              <w:t>2、支持独立使用，也支持内嵌到护士工作站使用。</w:t>
            </w:r>
          </w:p>
          <w:p>
            <w:pPr>
              <w:spacing w:line="360" w:lineRule="auto"/>
              <w:rPr>
                <w:rFonts w:ascii="宋体" w:hAnsi="宋体"/>
                <w:color w:val="auto"/>
                <w:sz w:val="24"/>
                <w:highlight w:val="none"/>
              </w:rPr>
            </w:pPr>
            <w:r>
              <w:rPr>
                <w:rFonts w:hint="eastAsia" w:ascii="宋体" w:hAnsi="宋体"/>
                <w:color w:val="auto"/>
                <w:sz w:val="24"/>
                <w:highlight w:val="none"/>
              </w:rPr>
              <w:t>3、支持自动列出当前病区待出院患者记录。</w:t>
            </w:r>
          </w:p>
          <w:p>
            <w:pPr>
              <w:spacing w:line="360" w:lineRule="auto"/>
              <w:rPr>
                <w:rFonts w:ascii="宋体" w:hAnsi="宋体"/>
                <w:color w:val="auto"/>
                <w:sz w:val="24"/>
                <w:highlight w:val="none"/>
              </w:rPr>
            </w:pPr>
            <w:r>
              <w:rPr>
                <w:rFonts w:hint="eastAsia" w:ascii="宋体" w:hAnsi="宋体"/>
                <w:color w:val="auto"/>
                <w:sz w:val="24"/>
                <w:highlight w:val="none"/>
              </w:rPr>
              <w:t>4、支持出院校验：医嘱、执行、药品、医技、费用。</w:t>
            </w:r>
          </w:p>
          <w:p>
            <w:pPr>
              <w:spacing w:line="360" w:lineRule="auto"/>
              <w:rPr>
                <w:rFonts w:ascii="宋体" w:hAnsi="宋体"/>
                <w:b/>
                <w:bCs/>
                <w:color w:val="auto"/>
                <w:sz w:val="24"/>
                <w:highlight w:val="none"/>
              </w:rPr>
            </w:pPr>
            <w:r>
              <w:rPr>
                <w:rFonts w:hint="eastAsia" w:ascii="宋体" w:hAnsi="宋体"/>
                <w:b/>
                <w:bCs/>
                <w:color w:val="auto"/>
                <w:sz w:val="24"/>
                <w:highlight w:val="none"/>
              </w:rPr>
              <w:t>取消入科：</w:t>
            </w:r>
          </w:p>
          <w:p>
            <w:pPr>
              <w:spacing w:line="360" w:lineRule="auto"/>
              <w:rPr>
                <w:rFonts w:ascii="宋体" w:hAnsi="宋体"/>
                <w:color w:val="auto"/>
                <w:sz w:val="24"/>
                <w:highlight w:val="none"/>
              </w:rPr>
            </w:pPr>
            <w:r>
              <w:rPr>
                <w:rFonts w:hint="eastAsia" w:ascii="宋体" w:hAnsi="宋体"/>
                <w:color w:val="auto"/>
                <w:sz w:val="24"/>
                <w:highlight w:val="none"/>
              </w:rPr>
              <w:t>1、支持入院/转科患者取消入科。</w:t>
            </w:r>
          </w:p>
          <w:p>
            <w:pPr>
              <w:spacing w:line="360" w:lineRule="auto"/>
              <w:rPr>
                <w:rFonts w:ascii="宋体" w:hAnsi="宋体"/>
                <w:color w:val="auto"/>
                <w:sz w:val="24"/>
                <w:highlight w:val="none"/>
              </w:rPr>
            </w:pPr>
            <w:r>
              <w:rPr>
                <w:rFonts w:hint="eastAsia" w:ascii="宋体" w:hAnsi="宋体"/>
                <w:color w:val="auto"/>
                <w:sz w:val="24"/>
                <w:highlight w:val="none"/>
              </w:rPr>
              <w:t>2、支持取消入科校验：费用、有效医嘱。</w:t>
            </w:r>
          </w:p>
          <w:p>
            <w:pPr>
              <w:spacing w:line="360" w:lineRule="auto"/>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、支持单独节点使用，也支持内嵌到护士站使用。</w:t>
            </w:r>
          </w:p>
          <w:p>
            <w:pPr>
              <w:spacing w:line="360" w:lineRule="auto"/>
              <w:rPr>
                <w:rFonts w:ascii="宋体" w:hAnsi="宋体"/>
                <w:b/>
                <w:bCs/>
                <w:color w:val="auto"/>
                <w:sz w:val="24"/>
                <w:highlight w:val="none"/>
              </w:rPr>
            </w:pPr>
            <w:r>
              <w:rPr>
                <w:rFonts w:hint="eastAsia" w:ascii="宋体" w:hAnsi="宋体"/>
                <w:b/>
                <w:bCs/>
                <w:color w:val="auto"/>
                <w:sz w:val="24"/>
                <w:highlight w:val="none"/>
              </w:rPr>
              <w:t>退院：</w:t>
            </w:r>
          </w:p>
          <w:p>
            <w:pPr>
              <w:spacing w:line="360" w:lineRule="auto"/>
              <w:rPr>
                <w:rFonts w:ascii="宋体" w:hAnsi="宋体"/>
                <w:color w:val="auto"/>
                <w:sz w:val="24"/>
                <w:highlight w:val="none"/>
              </w:rPr>
            </w:pPr>
            <w:r>
              <w:rPr>
                <w:rFonts w:hint="eastAsia" w:ascii="宋体" w:hAnsi="宋体"/>
                <w:color w:val="auto"/>
                <w:sz w:val="24"/>
                <w:highlight w:val="none"/>
              </w:rPr>
              <w:t>1、支持患者入院入科，在医生同意下，支持当日退院。</w:t>
            </w:r>
          </w:p>
          <w:p>
            <w:pPr>
              <w:spacing w:line="360" w:lineRule="auto"/>
              <w:rPr>
                <w:rFonts w:ascii="宋体" w:hAnsi="宋体"/>
                <w:color w:val="auto"/>
                <w:sz w:val="24"/>
                <w:highlight w:val="none"/>
              </w:rPr>
            </w:pPr>
            <w:r>
              <w:rPr>
                <w:rFonts w:hint="eastAsia" w:ascii="宋体" w:hAnsi="宋体"/>
                <w:color w:val="auto"/>
                <w:sz w:val="24"/>
                <w:highlight w:val="none"/>
              </w:rPr>
              <w:t>2、当日退院校验：时限、有无费用、有无有效医嘱。</w:t>
            </w:r>
          </w:p>
          <w:p>
            <w:pPr>
              <w:spacing w:line="360" w:lineRule="auto"/>
              <w:rPr>
                <w:rFonts w:ascii="宋体" w:hAnsi="宋体"/>
                <w:b/>
                <w:bCs/>
                <w:color w:val="auto"/>
                <w:sz w:val="24"/>
                <w:highlight w:val="none"/>
              </w:rPr>
            </w:pPr>
            <w:r>
              <w:rPr>
                <w:rFonts w:hint="eastAsia" w:ascii="宋体" w:hAnsi="宋体"/>
                <w:b/>
                <w:bCs/>
                <w:color w:val="auto"/>
                <w:sz w:val="24"/>
                <w:highlight w:val="none"/>
              </w:rPr>
              <w:t>出院列表：</w:t>
            </w:r>
          </w:p>
          <w:p>
            <w:pPr>
              <w:spacing w:line="360" w:lineRule="auto"/>
              <w:rPr>
                <w:rFonts w:ascii="宋体" w:hAnsi="宋体"/>
                <w:color w:val="auto"/>
                <w:sz w:val="24"/>
                <w:highlight w:val="none"/>
              </w:rPr>
            </w:pPr>
            <w:r>
              <w:rPr>
                <w:rFonts w:hint="eastAsia" w:ascii="宋体" w:hAnsi="宋体"/>
                <w:color w:val="auto"/>
                <w:sz w:val="24"/>
                <w:highlight w:val="none"/>
              </w:rPr>
              <w:t>1、支持出院患者就诊信息查询。</w:t>
            </w:r>
          </w:p>
          <w:p>
            <w:pPr>
              <w:spacing w:line="360" w:lineRule="auto"/>
              <w:rPr>
                <w:rFonts w:ascii="宋体" w:hAnsi="宋体"/>
                <w:color w:val="auto"/>
                <w:sz w:val="24"/>
                <w:highlight w:val="none"/>
              </w:rPr>
            </w:pPr>
            <w:r>
              <w:rPr>
                <w:rFonts w:hint="eastAsia" w:ascii="宋体" w:hAnsi="宋体"/>
                <w:color w:val="auto"/>
                <w:sz w:val="24"/>
                <w:highlight w:val="none"/>
              </w:rPr>
              <w:t>2、支持通过日期、患者姓名、住院号、新生儿、死亡标志、科室、病区、付款标志、结算标志、患者分类进行过滤导出。</w:t>
            </w:r>
          </w:p>
          <w:p>
            <w:pPr>
              <w:spacing w:line="360" w:lineRule="auto"/>
              <w:rPr>
                <w:rFonts w:ascii="宋体" w:hAnsi="宋体"/>
                <w:color w:val="auto"/>
                <w:sz w:val="24"/>
                <w:highlight w:val="none"/>
              </w:rPr>
            </w:pPr>
            <w:r>
              <w:rPr>
                <w:rFonts w:hint="eastAsia" w:ascii="宋体" w:hAnsi="宋体"/>
                <w:color w:val="auto"/>
                <w:sz w:val="24"/>
                <w:highlight w:val="none"/>
              </w:rPr>
              <w:t>3、支持查看出院患者的费用清单、就诊信息、药品费用信息等。</w:t>
            </w:r>
          </w:p>
          <w:p>
            <w:pPr>
              <w:spacing w:line="360" w:lineRule="auto"/>
              <w:rPr>
                <w:rFonts w:ascii="宋体" w:hAnsi="宋体"/>
                <w:b/>
                <w:bCs/>
                <w:color w:val="auto"/>
                <w:sz w:val="24"/>
                <w:highlight w:val="none"/>
              </w:rPr>
            </w:pPr>
            <w:r>
              <w:rPr>
                <w:rFonts w:hint="eastAsia" w:ascii="宋体" w:hAnsi="宋体"/>
                <w:b/>
                <w:bCs/>
                <w:color w:val="auto"/>
                <w:sz w:val="24"/>
                <w:highlight w:val="none"/>
              </w:rPr>
              <w:t>出院核查（病区）：</w:t>
            </w:r>
          </w:p>
          <w:p>
            <w:pPr>
              <w:spacing w:line="360" w:lineRule="auto"/>
              <w:rPr>
                <w:rFonts w:ascii="宋体" w:hAnsi="宋体"/>
                <w:color w:val="auto"/>
                <w:sz w:val="24"/>
                <w:highlight w:val="none"/>
              </w:rPr>
            </w:pPr>
            <w:r>
              <w:rPr>
                <w:rFonts w:hint="eastAsia" w:ascii="宋体" w:hAnsi="宋体"/>
                <w:color w:val="auto"/>
                <w:sz w:val="24"/>
                <w:highlight w:val="none"/>
              </w:rPr>
              <w:t>1、支持本病区待出院患者查询。</w:t>
            </w:r>
          </w:p>
          <w:p>
            <w:pPr>
              <w:spacing w:line="360" w:lineRule="auto"/>
              <w:rPr>
                <w:rFonts w:ascii="宋体" w:hAnsi="宋体"/>
                <w:color w:val="auto"/>
                <w:sz w:val="24"/>
                <w:highlight w:val="none"/>
              </w:rPr>
            </w:pPr>
            <w:r>
              <w:rPr>
                <w:rFonts w:hint="eastAsia" w:ascii="宋体" w:hAnsi="宋体"/>
                <w:color w:val="auto"/>
                <w:sz w:val="24"/>
                <w:highlight w:val="none"/>
              </w:rPr>
              <w:t>2、支持通过患者姓名、病案号、患者编码进行查询本病区患者。</w:t>
            </w:r>
          </w:p>
          <w:p>
            <w:pPr>
              <w:spacing w:line="360" w:lineRule="auto"/>
              <w:rPr>
                <w:rFonts w:ascii="宋体" w:hAnsi="宋体"/>
                <w:color w:val="auto"/>
                <w:sz w:val="24"/>
                <w:highlight w:val="none"/>
              </w:rPr>
            </w:pPr>
            <w:r>
              <w:rPr>
                <w:rFonts w:hint="eastAsia" w:ascii="宋体" w:hAnsi="宋体"/>
                <w:color w:val="auto"/>
                <w:sz w:val="24"/>
                <w:highlight w:val="none"/>
              </w:rPr>
              <w:t>3、支持核查未出院/待出院患者的医嘱、执行、药品、医技、费用和其他信息。</w:t>
            </w:r>
          </w:p>
          <w:p>
            <w:pPr>
              <w:spacing w:line="360" w:lineRule="auto"/>
              <w:rPr>
                <w:rFonts w:ascii="宋体" w:hAnsi="宋体"/>
                <w:color w:val="auto"/>
                <w:sz w:val="24"/>
                <w:highlight w:val="none"/>
              </w:rPr>
            </w:pPr>
            <w:r>
              <w:rPr>
                <w:rFonts w:hint="eastAsia" w:ascii="宋体" w:hAnsi="宋体"/>
                <w:b/>
                <w:bCs/>
                <w:color w:val="auto"/>
                <w:sz w:val="24"/>
                <w:highlight w:val="none"/>
              </w:rPr>
              <w:t>床位卡打印：</w:t>
            </w:r>
            <w:r>
              <w:rPr>
                <w:rFonts w:hint="eastAsia" w:ascii="宋体" w:hAnsi="宋体"/>
                <w:color w:val="auto"/>
                <w:sz w:val="24"/>
                <w:highlight w:val="none"/>
              </w:rPr>
              <w:t>支持打印床位卡。</w:t>
            </w:r>
          </w:p>
          <w:p>
            <w:pPr>
              <w:spacing w:line="360" w:lineRule="auto"/>
              <w:rPr>
                <w:rFonts w:ascii="宋体" w:hAnsi="宋体"/>
                <w:color w:val="auto"/>
                <w:sz w:val="24"/>
                <w:highlight w:val="none"/>
              </w:rPr>
            </w:pPr>
            <w:r>
              <w:rPr>
                <w:rFonts w:hint="eastAsia" w:ascii="宋体" w:hAnsi="宋体"/>
                <w:b/>
                <w:bCs/>
                <w:color w:val="auto"/>
                <w:sz w:val="24"/>
                <w:highlight w:val="none"/>
              </w:rPr>
              <w:t>腕带打印：</w:t>
            </w:r>
            <w:r>
              <w:rPr>
                <w:rFonts w:hint="eastAsia" w:ascii="宋体" w:hAnsi="宋体"/>
                <w:color w:val="auto"/>
                <w:sz w:val="24"/>
                <w:highlight w:val="none"/>
              </w:rPr>
              <w:t>支持打印腕带。</w:t>
            </w:r>
          </w:p>
          <w:p>
            <w:pPr>
              <w:spacing w:line="360" w:lineRule="auto"/>
              <w:rPr>
                <w:rFonts w:ascii="宋体" w:hAnsi="宋体"/>
                <w:color w:val="auto"/>
                <w:sz w:val="24"/>
                <w:highlight w:val="none"/>
              </w:rPr>
            </w:pPr>
            <w:r>
              <w:rPr>
                <w:rFonts w:hint="eastAsia" w:ascii="宋体" w:hAnsi="宋体"/>
                <w:b/>
                <w:bCs/>
                <w:color w:val="auto"/>
                <w:sz w:val="24"/>
                <w:highlight w:val="none"/>
              </w:rPr>
              <w:t>杯卡打印：</w:t>
            </w:r>
            <w:r>
              <w:rPr>
                <w:rFonts w:hint="eastAsia" w:ascii="宋体" w:hAnsi="宋体"/>
                <w:color w:val="auto"/>
                <w:sz w:val="24"/>
                <w:highlight w:val="none"/>
              </w:rPr>
              <w:t>支持打印杯卡。</w:t>
            </w:r>
          </w:p>
          <w:p>
            <w:pPr>
              <w:spacing w:line="360" w:lineRule="auto"/>
              <w:rPr>
                <w:rFonts w:ascii="宋体" w:hAnsi="宋体"/>
                <w:b/>
                <w:bCs/>
                <w:color w:val="auto"/>
                <w:sz w:val="24"/>
                <w:highlight w:val="none"/>
              </w:rPr>
            </w:pPr>
            <w:r>
              <w:rPr>
                <w:rFonts w:hint="eastAsia" w:ascii="宋体" w:hAnsi="宋体"/>
                <w:b/>
                <w:bCs/>
                <w:color w:val="auto"/>
                <w:sz w:val="24"/>
                <w:highlight w:val="none"/>
              </w:rPr>
              <w:t>患者包床管理：</w:t>
            </w:r>
          </w:p>
          <w:p>
            <w:pPr>
              <w:spacing w:line="360" w:lineRule="auto"/>
              <w:rPr>
                <w:rFonts w:ascii="宋体" w:hAnsi="宋体"/>
                <w:color w:val="auto"/>
                <w:sz w:val="24"/>
                <w:highlight w:val="none"/>
              </w:rPr>
            </w:pPr>
            <w:r>
              <w:rPr>
                <w:rFonts w:hint="eastAsia" w:ascii="宋体" w:hAnsi="宋体"/>
                <w:color w:val="auto"/>
                <w:sz w:val="24"/>
                <w:highlight w:val="none"/>
              </w:rPr>
              <w:t>1、支持用于对有需要包床的患者，在有空床位的情况下，可允许包床。</w:t>
            </w:r>
          </w:p>
          <w:p>
            <w:pPr>
              <w:spacing w:line="360" w:lineRule="auto"/>
              <w:rPr>
                <w:rFonts w:ascii="宋体" w:hAnsi="宋体"/>
                <w:color w:val="auto"/>
                <w:sz w:val="24"/>
                <w:highlight w:val="none"/>
              </w:rPr>
            </w:pPr>
            <w:r>
              <w:rPr>
                <w:rFonts w:hint="eastAsia" w:ascii="宋体" w:hAnsi="宋体"/>
                <w:color w:val="auto"/>
                <w:sz w:val="24"/>
                <w:highlight w:val="none"/>
              </w:rPr>
              <w:t>2、支持选择预包床床位。</w:t>
            </w:r>
          </w:p>
          <w:p>
            <w:pPr>
              <w:spacing w:line="360" w:lineRule="auto"/>
              <w:rPr>
                <w:rFonts w:ascii="宋体" w:hAnsi="宋体"/>
                <w:color w:val="auto"/>
                <w:sz w:val="24"/>
                <w:highlight w:val="none"/>
              </w:rPr>
            </w:pPr>
            <w:r>
              <w:rPr>
                <w:rFonts w:hint="eastAsia" w:ascii="宋体" w:hAnsi="宋体"/>
                <w:color w:val="auto"/>
                <w:sz w:val="24"/>
                <w:highlight w:val="none"/>
              </w:rPr>
              <w:t>3、支持取消包床。</w:t>
            </w:r>
          </w:p>
          <w:p>
            <w:pPr>
              <w:spacing w:line="360" w:lineRule="auto"/>
              <w:rPr>
                <w:rFonts w:ascii="宋体" w:hAnsi="宋体"/>
                <w:color w:val="auto"/>
                <w:sz w:val="24"/>
                <w:highlight w:val="none"/>
              </w:rPr>
            </w:pPr>
            <w:r>
              <w:rPr>
                <w:rFonts w:hint="eastAsia" w:ascii="宋体" w:hAnsi="宋体"/>
                <w:color w:val="auto"/>
                <w:sz w:val="24"/>
                <w:highlight w:val="none"/>
              </w:rPr>
              <w:t>4、支持查看包床记录，类型、床号、开始和结束日期。</w:t>
            </w:r>
          </w:p>
          <w:p>
            <w:pPr>
              <w:spacing w:line="360" w:lineRule="auto"/>
              <w:rPr>
                <w:rFonts w:ascii="宋体" w:hAnsi="宋体"/>
                <w:b/>
                <w:bCs/>
                <w:color w:val="auto"/>
                <w:sz w:val="24"/>
                <w:highlight w:val="none"/>
              </w:rPr>
            </w:pPr>
            <w:r>
              <w:rPr>
                <w:rFonts w:hint="eastAsia" w:ascii="宋体" w:hAnsi="宋体"/>
                <w:b/>
                <w:bCs/>
                <w:color w:val="auto"/>
                <w:sz w:val="24"/>
                <w:highlight w:val="none"/>
              </w:rPr>
              <w:t>换床：</w:t>
            </w:r>
          </w:p>
          <w:p>
            <w:pPr>
              <w:spacing w:line="360" w:lineRule="auto"/>
              <w:rPr>
                <w:rFonts w:ascii="宋体" w:hAnsi="宋体"/>
                <w:color w:val="auto"/>
                <w:sz w:val="24"/>
                <w:highlight w:val="none"/>
              </w:rPr>
            </w:pPr>
            <w:r>
              <w:rPr>
                <w:rFonts w:hint="eastAsia" w:ascii="宋体" w:hAnsi="宋体"/>
                <w:color w:val="auto"/>
                <w:sz w:val="24"/>
                <w:highlight w:val="none"/>
              </w:rPr>
              <w:t>1、支持对病区患者的床位调换。</w:t>
            </w:r>
          </w:p>
          <w:p>
            <w:pPr>
              <w:spacing w:line="360" w:lineRule="auto"/>
              <w:rPr>
                <w:rFonts w:ascii="宋体" w:hAnsi="宋体"/>
                <w:color w:val="auto"/>
                <w:sz w:val="24"/>
                <w:highlight w:val="none"/>
              </w:rPr>
            </w:pPr>
            <w:r>
              <w:rPr>
                <w:rFonts w:hint="eastAsia" w:ascii="宋体" w:hAnsi="宋体"/>
                <w:color w:val="auto"/>
                <w:sz w:val="24"/>
                <w:highlight w:val="none"/>
              </w:rPr>
              <w:t>2、支持空床筛选。</w:t>
            </w:r>
          </w:p>
          <w:p>
            <w:pPr>
              <w:spacing w:line="360" w:lineRule="auto"/>
              <w:rPr>
                <w:rFonts w:ascii="宋体" w:hAnsi="宋体"/>
                <w:b/>
                <w:bCs/>
                <w:color w:val="auto"/>
                <w:sz w:val="24"/>
                <w:highlight w:val="none"/>
              </w:rPr>
            </w:pPr>
            <w:r>
              <w:rPr>
                <w:rFonts w:hint="eastAsia" w:ascii="宋体" w:hAnsi="宋体"/>
                <w:b/>
                <w:bCs/>
                <w:color w:val="auto"/>
                <w:sz w:val="24"/>
                <w:highlight w:val="none"/>
              </w:rPr>
              <w:t>医护人员管理</w:t>
            </w:r>
          </w:p>
          <w:p>
            <w:pPr>
              <w:spacing w:line="360" w:lineRule="auto"/>
              <w:rPr>
                <w:rFonts w:ascii="宋体" w:hAnsi="宋体"/>
                <w:color w:val="auto"/>
                <w:sz w:val="24"/>
                <w:highlight w:val="none"/>
              </w:rPr>
            </w:pPr>
            <w:r>
              <w:rPr>
                <w:rFonts w:hint="eastAsia" w:ascii="宋体" w:hAnsi="宋体"/>
                <w:color w:val="auto"/>
                <w:sz w:val="24"/>
                <w:highlight w:val="none"/>
              </w:rPr>
              <w:t>1、支持修改医疗组和医护人员。</w:t>
            </w:r>
          </w:p>
          <w:p>
            <w:pPr>
              <w:spacing w:line="360" w:lineRule="auto"/>
              <w:rPr>
                <w:rFonts w:ascii="宋体" w:hAnsi="宋体"/>
                <w:color w:val="auto"/>
                <w:sz w:val="24"/>
                <w:highlight w:val="none"/>
              </w:rPr>
            </w:pPr>
            <w:r>
              <w:rPr>
                <w:rFonts w:hint="eastAsia" w:ascii="宋体" w:hAnsi="宋体"/>
                <w:color w:val="auto"/>
                <w:sz w:val="24"/>
                <w:highlight w:val="none"/>
              </w:rPr>
              <w:t>2、支持查看医护人员和医疗组的角色、开始日期和结束日期。</w:t>
            </w:r>
          </w:p>
          <w:p>
            <w:pPr>
              <w:spacing w:line="360" w:lineRule="auto"/>
              <w:rPr>
                <w:rFonts w:ascii="宋体" w:hAnsi="宋体"/>
                <w:b/>
                <w:bCs/>
                <w:color w:val="auto"/>
                <w:sz w:val="24"/>
                <w:highlight w:val="none"/>
              </w:rPr>
            </w:pPr>
            <w:r>
              <w:rPr>
                <w:rFonts w:hint="eastAsia" w:ascii="宋体" w:hAnsi="宋体"/>
                <w:b/>
                <w:bCs/>
                <w:color w:val="auto"/>
                <w:sz w:val="24"/>
                <w:highlight w:val="none"/>
              </w:rPr>
              <w:t>患者信息修改</w:t>
            </w:r>
          </w:p>
          <w:p>
            <w:pPr>
              <w:spacing w:line="360" w:lineRule="auto"/>
              <w:rPr>
                <w:rFonts w:ascii="宋体" w:hAnsi="宋体"/>
                <w:color w:val="auto"/>
                <w:sz w:val="24"/>
                <w:highlight w:val="none"/>
              </w:rPr>
            </w:pPr>
            <w:r>
              <w:rPr>
                <w:rFonts w:hint="eastAsia" w:ascii="宋体" w:hAnsi="宋体"/>
                <w:color w:val="auto"/>
                <w:sz w:val="24"/>
                <w:highlight w:val="none"/>
              </w:rPr>
              <w:t>1、支持修改患者基本信息，包括患者姓名、证件类型、证件号码、性别、出生日期、移动电话、婚姻状况、付款方式和是否VIP。</w:t>
            </w:r>
          </w:p>
          <w:p>
            <w:pPr>
              <w:spacing w:line="360" w:lineRule="auto"/>
              <w:rPr>
                <w:rFonts w:ascii="宋体" w:hAnsi="宋体"/>
                <w:color w:val="auto"/>
                <w:sz w:val="24"/>
                <w:highlight w:val="none"/>
              </w:rPr>
            </w:pPr>
            <w:r>
              <w:rPr>
                <w:rFonts w:hint="eastAsia" w:ascii="宋体" w:hAnsi="宋体"/>
                <w:color w:val="auto"/>
                <w:sz w:val="24"/>
                <w:highlight w:val="none"/>
              </w:rPr>
              <w:t>2、支持查看就诊信息。</w:t>
            </w:r>
          </w:p>
          <w:p>
            <w:pPr>
              <w:spacing w:line="360" w:lineRule="auto"/>
              <w:rPr>
                <w:rFonts w:ascii="宋体" w:hAnsi="宋体"/>
                <w:b/>
                <w:bCs/>
                <w:color w:val="auto"/>
                <w:sz w:val="24"/>
                <w:highlight w:val="none"/>
              </w:rPr>
            </w:pPr>
            <w:r>
              <w:rPr>
                <w:rFonts w:hint="eastAsia" w:ascii="宋体" w:hAnsi="宋体"/>
                <w:b/>
                <w:bCs/>
                <w:color w:val="auto"/>
                <w:sz w:val="24"/>
                <w:highlight w:val="none"/>
              </w:rPr>
              <w:t>（3）临床管理</w:t>
            </w:r>
          </w:p>
          <w:p>
            <w:pPr>
              <w:spacing w:line="360" w:lineRule="auto"/>
              <w:rPr>
                <w:rFonts w:ascii="宋体" w:hAnsi="宋体"/>
                <w:b/>
                <w:bCs/>
                <w:color w:val="auto"/>
                <w:sz w:val="24"/>
                <w:highlight w:val="none"/>
              </w:rPr>
            </w:pPr>
            <w:r>
              <w:rPr>
                <w:rFonts w:hint="eastAsia" w:ascii="宋体" w:hAnsi="宋体"/>
                <w:b/>
                <w:bCs/>
                <w:color w:val="auto"/>
                <w:sz w:val="24"/>
                <w:highlight w:val="none"/>
              </w:rPr>
              <w:t>医嘱确认：</w:t>
            </w:r>
          </w:p>
          <w:p>
            <w:pPr>
              <w:spacing w:line="360" w:lineRule="auto"/>
              <w:rPr>
                <w:rFonts w:ascii="宋体" w:hAnsi="宋体"/>
                <w:color w:val="auto"/>
                <w:sz w:val="24"/>
                <w:highlight w:val="none"/>
              </w:rPr>
            </w:pPr>
            <w:r>
              <w:rPr>
                <w:rFonts w:hint="eastAsia" w:ascii="宋体" w:hAnsi="宋体"/>
                <w:color w:val="auto"/>
                <w:sz w:val="24"/>
                <w:highlight w:val="none"/>
              </w:rPr>
              <w:t>1、支持用于对住院医生站签署的医嘱、停止的医嘱、作废的医嘱进行医嘱确认。</w:t>
            </w:r>
          </w:p>
          <w:p>
            <w:pPr>
              <w:spacing w:line="360" w:lineRule="auto"/>
              <w:rPr>
                <w:rFonts w:ascii="宋体" w:hAnsi="宋体"/>
                <w:color w:val="auto"/>
                <w:sz w:val="24"/>
                <w:highlight w:val="none"/>
              </w:rPr>
            </w:pPr>
            <w:r>
              <w:rPr>
                <w:rFonts w:hint="eastAsia" w:ascii="宋体" w:hAnsi="宋体"/>
                <w:color w:val="auto"/>
                <w:sz w:val="24"/>
                <w:highlight w:val="none"/>
              </w:rPr>
              <w:t>2、支持全部、长期、临时医嘱的筛选。</w:t>
            </w:r>
          </w:p>
          <w:p>
            <w:pPr>
              <w:spacing w:line="360" w:lineRule="auto"/>
              <w:rPr>
                <w:rFonts w:ascii="宋体" w:hAnsi="宋体"/>
                <w:b/>
                <w:bCs/>
                <w:color w:val="auto"/>
                <w:sz w:val="24"/>
                <w:highlight w:val="none"/>
              </w:rPr>
            </w:pPr>
            <w:r>
              <w:rPr>
                <w:rFonts w:hint="eastAsia" w:ascii="宋体" w:hAnsi="宋体"/>
                <w:b/>
                <w:bCs/>
                <w:color w:val="auto"/>
                <w:sz w:val="24"/>
                <w:highlight w:val="none"/>
              </w:rPr>
              <w:t>护嘱录入：</w:t>
            </w:r>
          </w:p>
          <w:p>
            <w:pPr>
              <w:spacing w:line="360" w:lineRule="auto"/>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、支持提供长期护嘱、临时护嘱的录入、核实功能，项目记帐或跨科项目记帐的录入功能。</w:t>
            </w:r>
          </w:p>
          <w:p>
            <w:pPr>
              <w:spacing w:line="360" w:lineRule="auto"/>
              <w:rPr>
                <w:rFonts w:ascii="宋体" w:hAnsi="宋体"/>
                <w:color w:val="auto"/>
                <w:sz w:val="24"/>
                <w:highlight w:val="none"/>
              </w:rPr>
            </w:pPr>
            <w:r>
              <w:rPr>
                <w:rFonts w:hint="eastAsia" w:ascii="宋体" w:hAnsi="宋体"/>
                <w:color w:val="auto"/>
                <w:sz w:val="24"/>
                <w:highlight w:val="none"/>
              </w:rPr>
              <w:t>2、支持护嘱模板，支持将开立的护嘱，另存为护嘱模板。</w:t>
            </w:r>
          </w:p>
          <w:p>
            <w:pPr>
              <w:spacing w:line="360" w:lineRule="auto"/>
              <w:rPr>
                <w:rFonts w:ascii="宋体" w:hAnsi="宋体"/>
                <w:color w:val="auto"/>
                <w:sz w:val="24"/>
                <w:highlight w:val="none"/>
              </w:rPr>
            </w:pPr>
            <w:r>
              <w:rPr>
                <w:rFonts w:hint="eastAsia" w:ascii="宋体" w:hAnsi="宋体"/>
                <w:b/>
                <w:bCs/>
                <w:color w:val="auto"/>
                <w:sz w:val="24"/>
                <w:highlight w:val="none"/>
              </w:rPr>
              <w:t>病区执行打印：支持</w:t>
            </w:r>
            <w:r>
              <w:rPr>
                <w:rFonts w:hint="eastAsia" w:ascii="宋体" w:hAnsi="宋体"/>
                <w:color w:val="auto"/>
                <w:sz w:val="24"/>
                <w:highlight w:val="none"/>
              </w:rPr>
              <w:t>打印相关的医嘱执行单，打印输液卡、瓶签和打印检验标签；</w:t>
            </w:r>
          </w:p>
          <w:p>
            <w:pPr>
              <w:spacing w:line="360" w:lineRule="auto"/>
              <w:rPr>
                <w:rFonts w:ascii="宋体" w:hAnsi="宋体"/>
                <w:color w:val="auto"/>
                <w:sz w:val="24"/>
                <w:highlight w:val="none"/>
              </w:rPr>
            </w:pPr>
            <w:r>
              <w:rPr>
                <w:rFonts w:hint="eastAsia" w:ascii="宋体" w:hAnsi="宋体"/>
                <w:b/>
                <w:bCs/>
                <w:color w:val="auto"/>
                <w:sz w:val="24"/>
                <w:highlight w:val="none"/>
              </w:rPr>
              <w:t>批量医嘱查看：支持</w:t>
            </w:r>
            <w:r>
              <w:rPr>
                <w:rFonts w:hint="eastAsia" w:ascii="宋体" w:hAnsi="宋体"/>
                <w:color w:val="auto"/>
                <w:sz w:val="24"/>
                <w:highlight w:val="none"/>
              </w:rPr>
              <w:t>提供批量医嘱查看功能。</w:t>
            </w:r>
          </w:p>
          <w:p>
            <w:pPr>
              <w:spacing w:line="360" w:lineRule="auto"/>
              <w:rPr>
                <w:rFonts w:ascii="宋体" w:hAnsi="宋体"/>
                <w:color w:val="auto"/>
                <w:sz w:val="24"/>
                <w:highlight w:val="none"/>
              </w:rPr>
            </w:pPr>
            <w:r>
              <w:rPr>
                <w:rFonts w:hint="eastAsia" w:ascii="宋体" w:hAnsi="宋体"/>
                <w:b/>
                <w:bCs/>
                <w:color w:val="auto"/>
                <w:sz w:val="24"/>
                <w:highlight w:val="none"/>
              </w:rPr>
              <w:t>医嘱执行确认：支持</w:t>
            </w:r>
            <w:r>
              <w:rPr>
                <w:rFonts w:hint="eastAsia" w:ascii="宋体" w:hAnsi="宋体"/>
                <w:color w:val="auto"/>
                <w:sz w:val="24"/>
                <w:highlight w:val="none"/>
              </w:rPr>
              <w:t>提供医嘱执行确认功能。</w:t>
            </w:r>
          </w:p>
          <w:p>
            <w:pPr>
              <w:spacing w:line="360" w:lineRule="auto"/>
              <w:rPr>
                <w:rFonts w:ascii="宋体" w:hAnsi="宋体"/>
                <w:color w:val="auto"/>
                <w:sz w:val="24"/>
                <w:highlight w:val="none"/>
              </w:rPr>
            </w:pPr>
            <w:r>
              <w:rPr>
                <w:rFonts w:hint="eastAsia" w:ascii="宋体" w:hAnsi="宋体"/>
                <w:b/>
                <w:bCs/>
                <w:color w:val="auto"/>
                <w:sz w:val="24"/>
                <w:highlight w:val="none"/>
              </w:rPr>
              <w:t>医嘱执行护士维护：</w:t>
            </w:r>
            <w:r>
              <w:rPr>
                <w:rFonts w:hint="eastAsia" w:ascii="宋体" w:hAnsi="宋体"/>
                <w:color w:val="auto"/>
                <w:sz w:val="24"/>
                <w:highlight w:val="none"/>
              </w:rPr>
              <w:t>支持医嘱执行护士维护。</w:t>
            </w:r>
          </w:p>
          <w:p>
            <w:pPr>
              <w:spacing w:line="360" w:lineRule="auto"/>
              <w:rPr>
                <w:rFonts w:ascii="宋体" w:hAnsi="宋体"/>
                <w:color w:val="auto"/>
                <w:sz w:val="24"/>
                <w:highlight w:val="none"/>
              </w:rPr>
            </w:pPr>
            <w:r>
              <w:rPr>
                <w:rFonts w:hint="eastAsia" w:ascii="宋体" w:hAnsi="宋体"/>
                <w:b/>
                <w:bCs/>
                <w:color w:val="auto"/>
                <w:sz w:val="24"/>
                <w:highlight w:val="none"/>
              </w:rPr>
              <w:t>标本采集：</w:t>
            </w:r>
            <w:r>
              <w:rPr>
                <w:rFonts w:hint="eastAsia" w:ascii="宋体" w:hAnsi="宋体"/>
                <w:color w:val="auto"/>
                <w:sz w:val="24"/>
                <w:highlight w:val="none"/>
              </w:rPr>
              <w:t>支持标本采集。</w:t>
            </w:r>
          </w:p>
          <w:p>
            <w:pPr>
              <w:spacing w:line="360" w:lineRule="auto"/>
              <w:rPr>
                <w:rFonts w:ascii="宋体" w:hAnsi="宋体"/>
                <w:color w:val="auto"/>
                <w:sz w:val="24"/>
                <w:highlight w:val="none"/>
              </w:rPr>
            </w:pPr>
            <w:r>
              <w:rPr>
                <w:rFonts w:hint="eastAsia" w:ascii="宋体" w:hAnsi="宋体"/>
                <w:b/>
                <w:bCs/>
                <w:color w:val="auto"/>
                <w:sz w:val="24"/>
                <w:highlight w:val="none"/>
              </w:rPr>
              <w:t>标本采集查询：</w:t>
            </w:r>
            <w:r>
              <w:rPr>
                <w:rFonts w:hint="eastAsia" w:ascii="宋体" w:hAnsi="宋体"/>
                <w:color w:val="auto"/>
                <w:sz w:val="24"/>
                <w:highlight w:val="none"/>
              </w:rPr>
              <w:t>支持标本采集查询。</w:t>
            </w:r>
          </w:p>
          <w:p>
            <w:pPr>
              <w:spacing w:line="360" w:lineRule="auto"/>
              <w:rPr>
                <w:rFonts w:ascii="宋体" w:hAnsi="宋体"/>
                <w:color w:val="auto"/>
                <w:sz w:val="24"/>
                <w:highlight w:val="none"/>
              </w:rPr>
            </w:pPr>
            <w:r>
              <w:rPr>
                <w:rFonts w:hint="eastAsia" w:ascii="宋体" w:hAnsi="宋体"/>
                <w:b/>
                <w:bCs/>
                <w:color w:val="auto"/>
                <w:sz w:val="24"/>
                <w:highlight w:val="none"/>
              </w:rPr>
              <w:t>医嘱变更单：</w:t>
            </w:r>
            <w:r>
              <w:rPr>
                <w:rFonts w:hint="eastAsia" w:ascii="宋体" w:hAnsi="宋体"/>
                <w:color w:val="auto"/>
                <w:sz w:val="24"/>
                <w:highlight w:val="none"/>
              </w:rPr>
              <w:t>支持医嘱变更单查询。</w:t>
            </w:r>
          </w:p>
          <w:p>
            <w:pPr>
              <w:spacing w:line="360" w:lineRule="auto"/>
              <w:rPr>
                <w:rFonts w:ascii="宋体" w:hAnsi="宋体"/>
                <w:color w:val="auto"/>
                <w:sz w:val="24"/>
                <w:highlight w:val="none"/>
              </w:rPr>
            </w:pPr>
            <w:r>
              <w:rPr>
                <w:rFonts w:hint="eastAsia" w:ascii="宋体" w:hAnsi="宋体"/>
                <w:b/>
                <w:bCs/>
                <w:color w:val="auto"/>
                <w:sz w:val="24"/>
                <w:highlight w:val="none"/>
              </w:rPr>
              <w:t>标本送检：</w:t>
            </w:r>
            <w:r>
              <w:rPr>
                <w:rFonts w:hint="eastAsia" w:ascii="宋体" w:hAnsi="宋体"/>
                <w:color w:val="auto"/>
                <w:sz w:val="24"/>
                <w:highlight w:val="none"/>
              </w:rPr>
              <w:t>支持标本送检。</w:t>
            </w:r>
          </w:p>
          <w:p>
            <w:pPr>
              <w:spacing w:line="360" w:lineRule="auto"/>
              <w:rPr>
                <w:rFonts w:ascii="宋体" w:hAnsi="宋体"/>
                <w:b/>
                <w:bCs/>
                <w:color w:val="auto"/>
                <w:sz w:val="24"/>
                <w:highlight w:val="none"/>
              </w:rPr>
            </w:pPr>
            <w:r>
              <w:rPr>
                <w:rFonts w:hint="eastAsia" w:ascii="宋体" w:hAnsi="宋体"/>
                <w:b/>
                <w:bCs/>
                <w:color w:val="auto"/>
                <w:sz w:val="24"/>
                <w:highlight w:val="none"/>
              </w:rPr>
              <w:t>医嘱单打印</w:t>
            </w:r>
            <w:r>
              <w:rPr>
                <w:rFonts w:hint="eastAsia" w:ascii="宋体" w:hAnsi="宋体"/>
                <w:b/>
                <w:bCs/>
                <w:color w:val="auto"/>
                <w:sz w:val="24"/>
                <w:highlight w:val="none"/>
              </w:rPr>
              <w:tab/>
            </w:r>
            <w:r>
              <w:rPr>
                <w:rFonts w:hint="eastAsia" w:ascii="宋体" w:hAnsi="宋体"/>
                <w:b/>
                <w:bCs/>
                <w:color w:val="auto"/>
                <w:sz w:val="24"/>
                <w:highlight w:val="none"/>
              </w:rPr>
              <w:t>：</w:t>
            </w:r>
          </w:p>
          <w:p>
            <w:pPr>
              <w:spacing w:line="360" w:lineRule="auto"/>
              <w:rPr>
                <w:rFonts w:ascii="宋体" w:hAnsi="宋体"/>
                <w:color w:val="auto"/>
                <w:sz w:val="24"/>
                <w:highlight w:val="none"/>
              </w:rPr>
            </w:pPr>
            <w:r>
              <w:rPr>
                <w:rFonts w:hint="eastAsia" w:ascii="宋体" w:hAnsi="宋体"/>
                <w:color w:val="auto"/>
                <w:sz w:val="24"/>
                <w:highlight w:val="none"/>
              </w:rPr>
              <w:t>1、支持按长期医嘱单和临时医嘱单进行筛选。</w:t>
            </w:r>
          </w:p>
          <w:p>
            <w:pPr>
              <w:spacing w:line="360" w:lineRule="auto"/>
              <w:rPr>
                <w:rFonts w:ascii="宋体" w:hAnsi="宋体"/>
                <w:color w:val="auto"/>
                <w:sz w:val="24"/>
                <w:highlight w:val="none"/>
              </w:rPr>
            </w:pPr>
            <w:r>
              <w:rPr>
                <w:rFonts w:hint="eastAsia" w:ascii="宋体" w:hAnsi="宋体"/>
                <w:color w:val="auto"/>
                <w:sz w:val="24"/>
                <w:highlight w:val="none"/>
              </w:rPr>
              <w:t>2、支持按全部、在院、出院对患者进行筛选。</w:t>
            </w:r>
          </w:p>
          <w:p>
            <w:pPr>
              <w:spacing w:line="360" w:lineRule="auto"/>
              <w:rPr>
                <w:rFonts w:ascii="宋体" w:hAnsi="宋体"/>
                <w:color w:val="auto"/>
                <w:sz w:val="24"/>
                <w:highlight w:val="none"/>
              </w:rPr>
            </w:pPr>
            <w:r>
              <w:rPr>
                <w:rFonts w:hint="eastAsia" w:ascii="宋体" w:hAnsi="宋体"/>
                <w:color w:val="auto"/>
                <w:sz w:val="24"/>
                <w:highlight w:val="none"/>
              </w:rPr>
              <w:t>3、支持按床号、就诊号、姓名选择患者。</w:t>
            </w:r>
          </w:p>
          <w:p>
            <w:pPr>
              <w:spacing w:line="360" w:lineRule="auto"/>
              <w:rPr>
                <w:rFonts w:ascii="宋体" w:hAnsi="宋体"/>
                <w:color w:val="auto"/>
                <w:sz w:val="24"/>
                <w:highlight w:val="none"/>
              </w:rPr>
            </w:pPr>
            <w:r>
              <w:rPr>
                <w:rFonts w:hint="eastAsia" w:ascii="宋体" w:hAnsi="宋体"/>
                <w:b/>
                <w:bCs/>
                <w:color w:val="auto"/>
                <w:sz w:val="24"/>
                <w:highlight w:val="none"/>
              </w:rPr>
              <w:t>医嘱二次审核：</w:t>
            </w:r>
            <w:r>
              <w:rPr>
                <w:rFonts w:hint="eastAsia" w:ascii="宋体" w:hAnsi="宋体"/>
                <w:color w:val="auto"/>
                <w:sz w:val="24"/>
                <w:highlight w:val="none"/>
              </w:rPr>
              <w:t>支持医嘱二次审核。</w:t>
            </w:r>
          </w:p>
          <w:p>
            <w:pPr>
              <w:spacing w:line="360" w:lineRule="auto"/>
              <w:rPr>
                <w:rFonts w:ascii="宋体" w:hAnsi="宋体"/>
                <w:color w:val="auto"/>
                <w:sz w:val="24"/>
                <w:highlight w:val="none"/>
              </w:rPr>
            </w:pPr>
            <w:r>
              <w:rPr>
                <w:rFonts w:hint="eastAsia" w:ascii="宋体" w:hAnsi="宋体"/>
                <w:b/>
                <w:bCs/>
                <w:color w:val="auto"/>
                <w:sz w:val="24"/>
                <w:highlight w:val="none"/>
              </w:rPr>
              <w:t>执行作废：</w:t>
            </w:r>
            <w:r>
              <w:rPr>
                <w:rFonts w:hint="eastAsia" w:ascii="宋体" w:hAnsi="宋体"/>
                <w:color w:val="auto"/>
                <w:sz w:val="24"/>
                <w:highlight w:val="none"/>
              </w:rPr>
              <w:t>支持执行作废。</w:t>
            </w:r>
          </w:p>
          <w:p>
            <w:pPr>
              <w:spacing w:line="360" w:lineRule="auto"/>
              <w:rPr>
                <w:rFonts w:ascii="宋体" w:hAnsi="宋体"/>
                <w:color w:val="auto"/>
                <w:sz w:val="24"/>
                <w:highlight w:val="none"/>
              </w:rPr>
            </w:pPr>
            <w:r>
              <w:rPr>
                <w:rFonts w:hint="eastAsia" w:ascii="宋体" w:hAnsi="宋体"/>
                <w:b/>
                <w:bCs/>
                <w:color w:val="auto"/>
                <w:sz w:val="24"/>
                <w:highlight w:val="none"/>
              </w:rPr>
              <w:t>持续医嘱作废：</w:t>
            </w:r>
            <w:r>
              <w:rPr>
                <w:rFonts w:hint="eastAsia" w:ascii="宋体" w:hAnsi="宋体"/>
                <w:color w:val="auto"/>
                <w:sz w:val="24"/>
                <w:highlight w:val="none"/>
              </w:rPr>
              <w:t>支持持续医嘱作废。</w:t>
            </w:r>
          </w:p>
          <w:p>
            <w:pPr>
              <w:spacing w:line="360" w:lineRule="auto"/>
              <w:rPr>
                <w:rFonts w:ascii="宋体" w:hAnsi="宋体"/>
                <w:b/>
                <w:bCs/>
                <w:color w:val="auto"/>
                <w:sz w:val="24"/>
                <w:highlight w:val="none"/>
              </w:rPr>
            </w:pPr>
            <w:r>
              <w:rPr>
                <w:rFonts w:hint="eastAsia" w:ascii="宋体" w:hAnsi="宋体"/>
                <w:b/>
                <w:bCs/>
                <w:color w:val="auto"/>
                <w:sz w:val="24"/>
                <w:highlight w:val="none"/>
              </w:rPr>
              <w:t>（4）物品管理</w:t>
            </w:r>
          </w:p>
          <w:p>
            <w:pPr>
              <w:spacing w:line="360" w:lineRule="auto"/>
              <w:rPr>
                <w:rFonts w:ascii="宋体" w:hAnsi="宋体"/>
                <w:b/>
                <w:bCs/>
                <w:color w:val="auto"/>
                <w:sz w:val="24"/>
                <w:highlight w:val="none"/>
              </w:rPr>
            </w:pPr>
            <w:r>
              <w:rPr>
                <w:rFonts w:hint="eastAsia" w:ascii="宋体" w:hAnsi="宋体"/>
                <w:b/>
                <w:bCs/>
                <w:color w:val="auto"/>
                <w:sz w:val="24"/>
                <w:highlight w:val="none"/>
              </w:rPr>
              <w:t>领用申请：</w:t>
            </w:r>
          </w:p>
          <w:p>
            <w:pPr>
              <w:spacing w:line="360" w:lineRule="auto"/>
              <w:rPr>
                <w:rFonts w:ascii="宋体" w:hAnsi="宋体"/>
                <w:color w:val="auto"/>
                <w:sz w:val="24"/>
                <w:highlight w:val="none"/>
              </w:rPr>
            </w:pPr>
            <w:r>
              <w:rPr>
                <w:rFonts w:hint="eastAsia" w:ascii="宋体" w:hAnsi="宋体"/>
                <w:color w:val="auto"/>
                <w:sz w:val="24"/>
                <w:highlight w:val="none"/>
              </w:rPr>
              <w:t>1、支持病区申请领用药房或药库的药品。</w:t>
            </w:r>
          </w:p>
          <w:p>
            <w:pPr>
              <w:spacing w:line="360" w:lineRule="auto"/>
              <w:rPr>
                <w:rFonts w:ascii="宋体" w:hAnsi="宋体"/>
                <w:color w:val="auto"/>
                <w:sz w:val="24"/>
                <w:highlight w:val="none"/>
              </w:rPr>
            </w:pPr>
            <w:r>
              <w:rPr>
                <w:rFonts w:hint="eastAsia" w:ascii="宋体" w:hAnsi="宋体"/>
                <w:color w:val="auto"/>
                <w:sz w:val="24"/>
                <w:highlight w:val="none"/>
              </w:rPr>
              <w:t>2、支持通过制单日期、仓库和单据状态查询领用申请。</w:t>
            </w:r>
          </w:p>
          <w:p>
            <w:pPr>
              <w:spacing w:line="360" w:lineRule="auto"/>
              <w:rPr>
                <w:rFonts w:ascii="宋体" w:hAnsi="宋体"/>
                <w:color w:val="auto"/>
                <w:sz w:val="24"/>
                <w:highlight w:val="none"/>
              </w:rPr>
            </w:pPr>
            <w:r>
              <w:rPr>
                <w:rFonts w:hint="eastAsia" w:ascii="宋体" w:hAnsi="宋体"/>
                <w:color w:val="auto"/>
                <w:sz w:val="24"/>
                <w:highlight w:val="none"/>
              </w:rPr>
              <w:t>3、支持领用申请单打印。</w:t>
            </w:r>
          </w:p>
          <w:p>
            <w:pPr>
              <w:spacing w:line="360" w:lineRule="auto"/>
              <w:rPr>
                <w:rFonts w:ascii="宋体" w:hAnsi="宋体"/>
                <w:color w:val="auto"/>
                <w:sz w:val="24"/>
                <w:highlight w:val="none"/>
              </w:rPr>
            </w:pPr>
            <w:r>
              <w:rPr>
                <w:rFonts w:hint="eastAsia" w:ascii="宋体" w:hAnsi="宋体"/>
                <w:color w:val="auto"/>
                <w:sz w:val="24"/>
                <w:highlight w:val="none"/>
              </w:rPr>
              <w:t>病区统领单：</w:t>
            </w:r>
          </w:p>
          <w:p>
            <w:pPr>
              <w:spacing w:line="360" w:lineRule="auto"/>
              <w:rPr>
                <w:rFonts w:ascii="宋体" w:hAnsi="宋体"/>
                <w:color w:val="auto"/>
                <w:sz w:val="24"/>
                <w:highlight w:val="none"/>
              </w:rPr>
            </w:pPr>
            <w:r>
              <w:rPr>
                <w:rFonts w:hint="eastAsia" w:ascii="宋体" w:hAnsi="宋体"/>
                <w:color w:val="auto"/>
                <w:sz w:val="24"/>
                <w:highlight w:val="none"/>
              </w:rPr>
              <w:t>1、支持对于护士医嘱确认后的西药医嘱，支持生成领药单，包括口服药单、住院药房统领单、pivas发药单、毒麻药统领单、出院带药单、其他药单、出院带药毒麻药单。</w:t>
            </w:r>
          </w:p>
          <w:p>
            <w:pPr>
              <w:spacing w:line="360" w:lineRule="auto"/>
              <w:rPr>
                <w:rFonts w:ascii="宋体" w:hAnsi="宋体"/>
                <w:color w:val="auto"/>
                <w:sz w:val="24"/>
                <w:highlight w:val="none"/>
              </w:rPr>
            </w:pPr>
            <w:r>
              <w:rPr>
                <w:rFonts w:hint="eastAsia" w:ascii="宋体" w:hAnsi="宋体"/>
                <w:color w:val="auto"/>
                <w:sz w:val="24"/>
                <w:highlight w:val="none"/>
              </w:rPr>
              <w:t>2、支持按照药单类型和患者床号、住院号、患者编码、患者姓名来刷单。</w:t>
            </w:r>
          </w:p>
          <w:p>
            <w:pPr>
              <w:spacing w:line="360" w:lineRule="auto"/>
              <w:rPr>
                <w:rFonts w:ascii="宋体" w:hAnsi="宋体"/>
                <w:color w:val="auto"/>
                <w:sz w:val="24"/>
                <w:highlight w:val="none"/>
              </w:rPr>
            </w:pPr>
            <w:r>
              <w:rPr>
                <w:rFonts w:hint="eastAsia" w:ascii="宋体" w:hAnsi="宋体"/>
                <w:color w:val="auto"/>
                <w:sz w:val="24"/>
                <w:highlight w:val="none"/>
              </w:rPr>
              <w:t>3、支持护士按未发送、已发送、已确认进行筛选不同状态的药单。</w:t>
            </w:r>
          </w:p>
          <w:p>
            <w:pPr>
              <w:spacing w:line="360" w:lineRule="auto"/>
              <w:rPr>
                <w:rFonts w:ascii="宋体" w:hAnsi="宋体"/>
                <w:color w:val="auto"/>
                <w:sz w:val="24"/>
                <w:highlight w:val="none"/>
              </w:rPr>
            </w:pPr>
            <w:r>
              <w:rPr>
                <w:rFonts w:hint="eastAsia" w:ascii="宋体" w:hAnsi="宋体"/>
                <w:color w:val="auto"/>
                <w:sz w:val="24"/>
                <w:highlight w:val="none"/>
              </w:rPr>
              <w:t>4、支持护士查看每个药单的执行计划和摆药预览。</w:t>
            </w:r>
          </w:p>
          <w:p>
            <w:pPr>
              <w:spacing w:line="360" w:lineRule="auto"/>
              <w:rPr>
                <w:rFonts w:ascii="宋体" w:hAnsi="宋体"/>
                <w:b/>
                <w:bCs/>
                <w:color w:val="auto"/>
                <w:sz w:val="24"/>
                <w:highlight w:val="none"/>
              </w:rPr>
            </w:pPr>
            <w:r>
              <w:rPr>
                <w:rFonts w:hint="eastAsia" w:ascii="宋体" w:hAnsi="宋体"/>
                <w:b/>
                <w:bCs/>
                <w:color w:val="auto"/>
                <w:sz w:val="24"/>
                <w:highlight w:val="none"/>
              </w:rPr>
              <w:t>病区草药单：</w:t>
            </w:r>
          </w:p>
          <w:p>
            <w:pPr>
              <w:spacing w:line="360" w:lineRule="auto"/>
              <w:rPr>
                <w:rFonts w:ascii="宋体" w:hAnsi="宋体"/>
                <w:color w:val="auto"/>
                <w:sz w:val="24"/>
                <w:highlight w:val="none"/>
              </w:rPr>
            </w:pPr>
            <w:r>
              <w:rPr>
                <w:rFonts w:hint="eastAsia" w:ascii="宋体" w:hAnsi="宋体"/>
                <w:color w:val="auto"/>
                <w:sz w:val="24"/>
                <w:highlight w:val="none"/>
              </w:rPr>
              <w:t>1、支持对于护士医嘱确认后的草药医嘱，支持生成领药单，包括在院草药药单、出院带药草药药单。</w:t>
            </w:r>
          </w:p>
          <w:p>
            <w:pPr>
              <w:spacing w:line="360" w:lineRule="auto"/>
              <w:rPr>
                <w:rFonts w:ascii="宋体" w:hAnsi="宋体"/>
                <w:color w:val="auto"/>
                <w:sz w:val="24"/>
                <w:highlight w:val="none"/>
              </w:rPr>
            </w:pPr>
            <w:r>
              <w:rPr>
                <w:rFonts w:hint="eastAsia" w:ascii="宋体" w:hAnsi="宋体"/>
                <w:color w:val="auto"/>
                <w:sz w:val="24"/>
                <w:highlight w:val="none"/>
              </w:rPr>
              <w:t>2、支持按照药单类型和患者床号、住院号、患者编码、患者姓名来刷单。</w:t>
            </w:r>
          </w:p>
          <w:p>
            <w:pPr>
              <w:spacing w:line="360" w:lineRule="auto"/>
              <w:rPr>
                <w:rFonts w:ascii="宋体" w:hAnsi="宋体"/>
                <w:color w:val="auto"/>
                <w:sz w:val="24"/>
                <w:highlight w:val="none"/>
              </w:rPr>
            </w:pPr>
            <w:r>
              <w:rPr>
                <w:rFonts w:hint="eastAsia" w:ascii="宋体" w:hAnsi="宋体"/>
                <w:color w:val="auto"/>
                <w:sz w:val="24"/>
                <w:highlight w:val="none"/>
              </w:rPr>
              <w:t>3、支持护士按未发送、已发送、已确认进行筛选不同状态的药单。</w:t>
            </w:r>
          </w:p>
          <w:p>
            <w:pPr>
              <w:spacing w:line="360" w:lineRule="auto"/>
              <w:rPr>
                <w:rFonts w:ascii="宋体" w:hAnsi="宋体"/>
                <w:b/>
                <w:bCs/>
                <w:color w:val="auto"/>
                <w:sz w:val="24"/>
                <w:highlight w:val="none"/>
              </w:rPr>
            </w:pPr>
            <w:r>
              <w:rPr>
                <w:rFonts w:hint="eastAsia" w:ascii="宋体" w:hAnsi="宋体"/>
                <w:b/>
                <w:bCs/>
                <w:color w:val="auto"/>
                <w:sz w:val="24"/>
                <w:highlight w:val="none"/>
              </w:rPr>
              <w:t>特殊退药单：</w:t>
            </w:r>
          </w:p>
          <w:p>
            <w:pPr>
              <w:spacing w:line="360" w:lineRule="auto"/>
              <w:rPr>
                <w:rFonts w:ascii="宋体" w:hAnsi="宋体"/>
                <w:color w:val="auto"/>
                <w:sz w:val="24"/>
                <w:highlight w:val="none"/>
              </w:rPr>
            </w:pPr>
            <w:r>
              <w:rPr>
                <w:rFonts w:hint="eastAsia" w:ascii="宋体" w:hAnsi="宋体"/>
                <w:color w:val="auto"/>
                <w:sz w:val="24"/>
                <w:highlight w:val="none"/>
              </w:rPr>
              <w:t>1、支持对于已经发药的西药，支持根据发药记录选择需要退的药品，生成退药单。</w:t>
            </w:r>
          </w:p>
          <w:p>
            <w:pPr>
              <w:spacing w:line="360" w:lineRule="auto"/>
              <w:rPr>
                <w:rFonts w:ascii="宋体" w:hAnsi="宋体"/>
                <w:color w:val="auto"/>
                <w:sz w:val="24"/>
                <w:highlight w:val="none"/>
              </w:rPr>
            </w:pPr>
            <w:r>
              <w:rPr>
                <w:rFonts w:hint="eastAsia" w:ascii="宋体" w:hAnsi="宋体"/>
                <w:color w:val="auto"/>
                <w:sz w:val="24"/>
                <w:highlight w:val="none"/>
              </w:rPr>
              <w:t>2、支持根据患者床号、住院号、患者编码、患者姓名、开始和结束日期检索和显示发药记录。</w:t>
            </w:r>
          </w:p>
          <w:p>
            <w:pPr>
              <w:spacing w:line="360" w:lineRule="auto"/>
              <w:rPr>
                <w:rFonts w:ascii="宋体" w:hAnsi="宋体"/>
                <w:color w:val="auto"/>
                <w:sz w:val="24"/>
                <w:highlight w:val="none"/>
              </w:rPr>
            </w:pPr>
            <w:r>
              <w:rPr>
                <w:rFonts w:hint="eastAsia" w:ascii="宋体" w:hAnsi="宋体"/>
                <w:color w:val="auto"/>
                <w:sz w:val="24"/>
                <w:highlight w:val="none"/>
              </w:rPr>
              <w:t>3、支持在每条发药记录里录入退药数量。</w:t>
            </w:r>
          </w:p>
          <w:p>
            <w:pPr>
              <w:spacing w:line="360" w:lineRule="auto"/>
              <w:rPr>
                <w:rFonts w:ascii="宋体" w:hAnsi="宋体"/>
                <w:b/>
                <w:bCs/>
                <w:color w:val="auto"/>
                <w:sz w:val="24"/>
                <w:highlight w:val="none"/>
              </w:rPr>
            </w:pPr>
            <w:r>
              <w:rPr>
                <w:rFonts w:hint="eastAsia" w:ascii="宋体" w:hAnsi="宋体"/>
                <w:b/>
                <w:bCs/>
                <w:color w:val="auto"/>
                <w:sz w:val="24"/>
                <w:highlight w:val="none"/>
              </w:rPr>
              <w:t>病区拒绝领药：</w:t>
            </w:r>
          </w:p>
          <w:p>
            <w:pPr>
              <w:spacing w:line="360" w:lineRule="auto"/>
              <w:rPr>
                <w:rFonts w:ascii="宋体" w:hAnsi="宋体"/>
                <w:color w:val="auto"/>
                <w:sz w:val="24"/>
                <w:highlight w:val="none"/>
              </w:rPr>
            </w:pPr>
            <w:r>
              <w:rPr>
                <w:rFonts w:hint="eastAsia" w:ascii="宋体" w:hAnsi="宋体"/>
                <w:color w:val="auto"/>
                <w:sz w:val="24"/>
                <w:highlight w:val="none"/>
              </w:rPr>
              <w:t>1、支持用于对病区内已经生成统领单的西药药品，进行拒绝领药操作。</w:t>
            </w:r>
          </w:p>
          <w:p>
            <w:pPr>
              <w:spacing w:line="360" w:lineRule="auto"/>
              <w:rPr>
                <w:rFonts w:ascii="宋体" w:hAnsi="宋体"/>
                <w:color w:val="auto"/>
                <w:sz w:val="24"/>
                <w:highlight w:val="none"/>
              </w:rPr>
            </w:pPr>
            <w:r>
              <w:rPr>
                <w:rFonts w:hint="eastAsia" w:ascii="宋体" w:hAnsi="宋体"/>
                <w:color w:val="auto"/>
                <w:sz w:val="24"/>
                <w:highlight w:val="none"/>
              </w:rPr>
              <w:t>2、支持根据患者床号、住院号、患者编码、患者姓名、药单类型进行检索统领单。</w:t>
            </w:r>
          </w:p>
          <w:p>
            <w:pPr>
              <w:spacing w:line="360" w:lineRule="auto"/>
              <w:rPr>
                <w:rFonts w:ascii="宋体" w:hAnsi="宋体"/>
                <w:color w:val="auto"/>
                <w:sz w:val="24"/>
                <w:highlight w:val="none"/>
              </w:rPr>
            </w:pPr>
            <w:r>
              <w:rPr>
                <w:rFonts w:hint="eastAsia" w:ascii="宋体" w:hAnsi="宋体"/>
                <w:color w:val="auto"/>
                <w:sz w:val="24"/>
                <w:highlight w:val="none"/>
              </w:rPr>
              <w:t>3、支持已发送统领单的显示。</w:t>
            </w:r>
          </w:p>
          <w:p>
            <w:pPr>
              <w:spacing w:line="360" w:lineRule="auto"/>
              <w:rPr>
                <w:rFonts w:ascii="宋体" w:hAnsi="宋体"/>
                <w:color w:val="auto"/>
                <w:sz w:val="24"/>
                <w:highlight w:val="none"/>
              </w:rPr>
            </w:pPr>
            <w:r>
              <w:rPr>
                <w:rFonts w:hint="eastAsia" w:ascii="宋体" w:hAnsi="宋体"/>
                <w:color w:val="auto"/>
                <w:sz w:val="24"/>
                <w:highlight w:val="none"/>
              </w:rPr>
              <w:t>4、支持已发送统领单对应的执行计划的显示。</w:t>
            </w:r>
          </w:p>
          <w:p>
            <w:pPr>
              <w:spacing w:line="360" w:lineRule="auto"/>
              <w:rPr>
                <w:rFonts w:ascii="宋体" w:hAnsi="宋体"/>
                <w:b/>
                <w:bCs/>
                <w:color w:val="auto"/>
                <w:sz w:val="24"/>
                <w:highlight w:val="none"/>
              </w:rPr>
            </w:pPr>
            <w:r>
              <w:rPr>
                <w:rFonts w:hint="eastAsia" w:ascii="宋体" w:hAnsi="宋体"/>
                <w:b/>
                <w:bCs/>
                <w:color w:val="auto"/>
                <w:sz w:val="24"/>
                <w:highlight w:val="none"/>
              </w:rPr>
              <w:t>病区药品使用查询：</w:t>
            </w:r>
          </w:p>
          <w:p>
            <w:pPr>
              <w:spacing w:line="360" w:lineRule="auto"/>
              <w:rPr>
                <w:rFonts w:ascii="宋体" w:hAnsi="宋体"/>
                <w:color w:val="auto"/>
                <w:sz w:val="24"/>
                <w:highlight w:val="none"/>
              </w:rPr>
            </w:pPr>
            <w:r>
              <w:rPr>
                <w:rFonts w:hint="eastAsia" w:ascii="宋体" w:hAnsi="宋体"/>
                <w:color w:val="auto"/>
                <w:sz w:val="24"/>
                <w:highlight w:val="none"/>
              </w:rPr>
              <w:t>1、支持对药品使用情况进行汇总查询和按病人查询两种方式。</w:t>
            </w:r>
          </w:p>
          <w:p>
            <w:pPr>
              <w:spacing w:line="360" w:lineRule="auto"/>
              <w:rPr>
                <w:rFonts w:ascii="宋体" w:hAnsi="宋体"/>
                <w:color w:val="auto"/>
                <w:sz w:val="24"/>
                <w:highlight w:val="none"/>
              </w:rPr>
            </w:pPr>
            <w:r>
              <w:rPr>
                <w:rFonts w:hint="eastAsia" w:ascii="宋体" w:hAnsi="宋体"/>
                <w:color w:val="auto"/>
                <w:sz w:val="24"/>
                <w:highlight w:val="none"/>
              </w:rPr>
              <w:t>2、支持对于汇总查询方式，支持按照开始时间、结束时间、药品名称、药房来进行查询。</w:t>
            </w:r>
          </w:p>
          <w:p>
            <w:pPr>
              <w:spacing w:line="360" w:lineRule="auto"/>
              <w:rPr>
                <w:rFonts w:ascii="宋体" w:hAnsi="宋体"/>
                <w:color w:val="auto"/>
                <w:sz w:val="24"/>
                <w:highlight w:val="none"/>
              </w:rPr>
            </w:pPr>
            <w:r>
              <w:rPr>
                <w:rFonts w:hint="eastAsia" w:ascii="宋体" w:hAnsi="宋体"/>
                <w:color w:val="auto"/>
                <w:sz w:val="24"/>
                <w:highlight w:val="none"/>
              </w:rPr>
              <w:t>3、支持对于按病人查询方式，支持按照开始时间、结束时间、在院患者、出院患者、药房来筛选。</w:t>
            </w:r>
          </w:p>
          <w:p>
            <w:pPr>
              <w:spacing w:line="360" w:lineRule="auto"/>
              <w:rPr>
                <w:rFonts w:ascii="宋体" w:hAnsi="宋体"/>
                <w:b/>
                <w:bCs/>
                <w:color w:val="auto"/>
                <w:sz w:val="24"/>
                <w:highlight w:val="none"/>
              </w:rPr>
            </w:pPr>
            <w:r>
              <w:rPr>
                <w:rFonts w:hint="eastAsia" w:ascii="宋体" w:hAnsi="宋体"/>
                <w:b/>
                <w:bCs/>
                <w:color w:val="auto"/>
                <w:sz w:val="24"/>
                <w:highlight w:val="none"/>
              </w:rPr>
              <w:t>草药特殊退药单：</w:t>
            </w:r>
          </w:p>
          <w:p>
            <w:pPr>
              <w:spacing w:line="360" w:lineRule="auto"/>
              <w:rPr>
                <w:rFonts w:ascii="宋体" w:hAnsi="宋体"/>
                <w:color w:val="auto"/>
                <w:sz w:val="24"/>
                <w:highlight w:val="none"/>
              </w:rPr>
            </w:pPr>
            <w:r>
              <w:rPr>
                <w:rFonts w:hint="eastAsia" w:ascii="宋体" w:hAnsi="宋体"/>
                <w:color w:val="auto"/>
                <w:sz w:val="24"/>
                <w:highlight w:val="none"/>
              </w:rPr>
              <w:t>1、支持对于已经发药的草药药品，支持根据发药记录选择需要退要的药品，生成退药单。</w:t>
            </w:r>
          </w:p>
          <w:p>
            <w:pPr>
              <w:spacing w:line="360" w:lineRule="auto"/>
              <w:rPr>
                <w:rFonts w:ascii="宋体" w:hAnsi="宋体"/>
                <w:color w:val="auto"/>
                <w:sz w:val="24"/>
                <w:highlight w:val="none"/>
              </w:rPr>
            </w:pPr>
            <w:r>
              <w:rPr>
                <w:rFonts w:hint="eastAsia" w:ascii="宋体" w:hAnsi="宋体"/>
                <w:color w:val="auto"/>
                <w:sz w:val="24"/>
                <w:highlight w:val="none"/>
              </w:rPr>
              <w:t>2、支持按照患者床号、住院号、患者编码、患者姓名、开始和结束日期检索和显示发药记录。</w:t>
            </w:r>
          </w:p>
          <w:p>
            <w:pPr>
              <w:spacing w:line="360" w:lineRule="auto"/>
              <w:rPr>
                <w:rFonts w:ascii="宋体" w:hAnsi="宋体"/>
                <w:color w:val="auto"/>
                <w:sz w:val="24"/>
                <w:highlight w:val="none"/>
              </w:rPr>
            </w:pPr>
            <w:r>
              <w:rPr>
                <w:rFonts w:hint="eastAsia" w:ascii="宋体" w:hAnsi="宋体"/>
                <w:color w:val="auto"/>
                <w:sz w:val="24"/>
                <w:highlight w:val="none"/>
              </w:rPr>
              <w:t>3、支持在每条发药记录里录入退药数量。</w:t>
            </w:r>
          </w:p>
          <w:p>
            <w:pPr>
              <w:spacing w:line="360" w:lineRule="auto"/>
              <w:rPr>
                <w:rFonts w:ascii="宋体" w:hAnsi="宋体"/>
                <w:color w:val="auto"/>
                <w:sz w:val="24"/>
                <w:highlight w:val="none"/>
              </w:rPr>
            </w:pPr>
            <w:r>
              <w:rPr>
                <w:rFonts w:hint="eastAsia" w:ascii="宋体" w:hAnsi="宋体"/>
                <w:color w:val="auto"/>
                <w:sz w:val="24"/>
                <w:highlight w:val="none"/>
              </w:rPr>
              <w:t>4、支持根据已发送、未发送、已确认来筛选发药记录。</w:t>
            </w:r>
          </w:p>
          <w:p>
            <w:pPr>
              <w:spacing w:line="360" w:lineRule="auto"/>
              <w:rPr>
                <w:rFonts w:ascii="宋体" w:hAnsi="宋体"/>
                <w:color w:val="auto"/>
                <w:sz w:val="24"/>
                <w:highlight w:val="none"/>
              </w:rPr>
            </w:pPr>
            <w:r>
              <w:rPr>
                <w:rFonts w:hint="eastAsia" w:ascii="宋体" w:hAnsi="宋体"/>
                <w:color w:val="auto"/>
                <w:sz w:val="24"/>
                <w:highlight w:val="none"/>
              </w:rPr>
              <w:t>5、支持打印汇总和打印明细功能。</w:t>
            </w:r>
          </w:p>
          <w:p>
            <w:pPr>
              <w:spacing w:line="360" w:lineRule="auto"/>
              <w:rPr>
                <w:rFonts w:ascii="宋体" w:hAnsi="宋体"/>
                <w:b/>
                <w:bCs/>
                <w:color w:val="auto"/>
                <w:sz w:val="24"/>
                <w:highlight w:val="none"/>
              </w:rPr>
            </w:pPr>
            <w:r>
              <w:rPr>
                <w:rFonts w:hint="eastAsia" w:ascii="宋体" w:hAnsi="宋体"/>
                <w:b/>
                <w:bCs/>
                <w:color w:val="auto"/>
                <w:sz w:val="24"/>
                <w:highlight w:val="none"/>
              </w:rPr>
              <w:t>（</w:t>
            </w:r>
            <w:r>
              <w:rPr>
                <w:rFonts w:ascii="宋体" w:hAnsi="宋体"/>
                <w:b/>
                <w:bCs/>
                <w:color w:val="auto"/>
                <w:sz w:val="24"/>
                <w:highlight w:val="none"/>
              </w:rPr>
              <w:t>5</w:t>
            </w:r>
            <w:r>
              <w:rPr>
                <w:rFonts w:hint="eastAsia" w:ascii="宋体" w:hAnsi="宋体"/>
                <w:b/>
                <w:bCs/>
                <w:color w:val="auto"/>
                <w:sz w:val="24"/>
                <w:highlight w:val="none"/>
              </w:rPr>
              <w:t>）费用管理</w:t>
            </w:r>
          </w:p>
          <w:p>
            <w:pPr>
              <w:spacing w:line="360" w:lineRule="auto"/>
              <w:rPr>
                <w:rFonts w:ascii="宋体" w:hAnsi="宋体"/>
                <w:b/>
                <w:bCs/>
                <w:color w:val="auto"/>
                <w:sz w:val="24"/>
                <w:highlight w:val="none"/>
              </w:rPr>
            </w:pPr>
            <w:r>
              <w:rPr>
                <w:rFonts w:hint="eastAsia" w:ascii="宋体" w:hAnsi="宋体"/>
                <w:b/>
                <w:bCs/>
                <w:color w:val="auto"/>
                <w:sz w:val="24"/>
                <w:highlight w:val="none"/>
              </w:rPr>
              <w:t>患者固定费用：</w:t>
            </w:r>
          </w:p>
          <w:p>
            <w:pPr>
              <w:spacing w:line="360" w:lineRule="auto"/>
              <w:rPr>
                <w:rFonts w:ascii="宋体" w:hAnsi="宋体"/>
                <w:color w:val="auto"/>
                <w:sz w:val="24"/>
                <w:highlight w:val="none"/>
              </w:rPr>
            </w:pPr>
            <w:r>
              <w:rPr>
                <w:rFonts w:hint="eastAsia" w:ascii="宋体" w:hAnsi="宋体"/>
                <w:color w:val="auto"/>
                <w:sz w:val="24"/>
                <w:highlight w:val="none"/>
              </w:rPr>
              <w:t>1、支持当前病区查询患者。</w:t>
            </w:r>
          </w:p>
          <w:p>
            <w:pPr>
              <w:spacing w:line="360" w:lineRule="auto"/>
              <w:rPr>
                <w:rFonts w:ascii="宋体" w:hAnsi="宋体"/>
                <w:color w:val="auto"/>
                <w:sz w:val="24"/>
                <w:highlight w:val="none"/>
              </w:rPr>
            </w:pPr>
            <w:r>
              <w:rPr>
                <w:rFonts w:hint="eastAsia" w:ascii="宋体" w:hAnsi="宋体"/>
                <w:color w:val="auto"/>
                <w:sz w:val="24"/>
                <w:highlight w:val="none"/>
              </w:rPr>
              <w:t>2、支持住院患者继承科室和患者专用固定费用2种。</w:t>
            </w:r>
          </w:p>
          <w:p>
            <w:pPr>
              <w:spacing w:line="360" w:lineRule="auto"/>
              <w:rPr>
                <w:rFonts w:ascii="宋体" w:hAnsi="宋体"/>
                <w:color w:val="auto"/>
                <w:sz w:val="24"/>
                <w:highlight w:val="none"/>
              </w:rPr>
            </w:pPr>
            <w:r>
              <w:rPr>
                <w:rFonts w:hint="eastAsia" w:ascii="宋体" w:hAnsi="宋体"/>
                <w:color w:val="auto"/>
                <w:sz w:val="24"/>
                <w:highlight w:val="none"/>
              </w:rPr>
              <w:t>3、支持住院患者患者专用固定费用可以单独维护。</w:t>
            </w:r>
          </w:p>
          <w:p>
            <w:pPr>
              <w:spacing w:line="360" w:lineRule="auto"/>
              <w:rPr>
                <w:rFonts w:ascii="宋体" w:hAnsi="宋体"/>
                <w:b/>
                <w:bCs/>
                <w:color w:val="auto"/>
                <w:sz w:val="24"/>
                <w:highlight w:val="none"/>
              </w:rPr>
            </w:pPr>
            <w:r>
              <w:rPr>
                <w:rFonts w:hint="eastAsia" w:ascii="宋体" w:hAnsi="宋体"/>
                <w:b/>
                <w:bCs/>
                <w:color w:val="auto"/>
                <w:sz w:val="24"/>
                <w:highlight w:val="none"/>
              </w:rPr>
              <w:t>费用清单：</w:t>
            </w:r>
          </w:p>
          <w:p>
            <w:pPr>
              <w:spacing w:line="360" w:lineRule="auto"/>
              <w:rPr>
                <w:rFonts w:ascii="宋体" w:hAnsi="宋体"/>
                <w:color w:val="auto"/>
                <w:sz w:val="24"/>
                <w:highlight w:val="none"/>
              </w:rPr>
            </w:pPr>
            <w:r>
              <w:rPr>
                <w:rFonts w:hint="eastAsia" w:ascii="宋体" w:hAnsi="宋体"/>
                <w:color w:val="auto"/>
                <w:sz w:val="24"/>
                <w:highlight w:val="none"/>
              </w:rPr>
              <w:t>1、支持查看患者住院费用明细，显示每个项目名称下单价、规格、数量、开单科室、执行科室。</w:t>
            </w:r>
          </w:p>
          <w:p>
            <w:pPr>
              <w:spacing w:line="360" w:lineRule="auto"/>
              <w:rPr>
                <w:rFonts w:ascii="宋体" w:hAnsi="宋体"/>
                <w:color w:val="auto"/>
                <w:sz w:val="24"/>
                <w:highlight w:val="none"/>
              </w:rPr>
            </w:pPr>
            <w:r>
              <w:rPr>
                <w:rFonts w:hint="eastAsia" w:ascii="宋体" w:hAnsi="宋体"/>
                <w:color w:val="auto"/>
                <w:sz w:val="24"/>
                <w:highlight w:val="none"/>
              </w:rPr>
              <w:t>2、支持查看费用清单并打印。</w:t>
            </w:r>
          </w:p>
          <w:p>
            <w:pPr>
              <w:spacing w:line="360" w:lineRule="auto"/>
              <w:rPr>
                <w:rFonts w:ascii="宋体" w:hAnsi="宋体"/>
                <w:b/>
                <w:bCs/>
                <w:color w:val="auto"/>
                <w:sz w:val="24"/>
                <w:highlight w:val="none"/>
              </w:rPr>
            </w:pPr>
            <w:r>
              <w:rPr>
                <w:rFonts w:hint="eastAsia" w:ascii="宋体" w:hAnsi="宋体"/>
                <w:b/>
                <w:bCs/>
                <w:color w:val="auto"/>
                <w:sz w:val="24"/>
                <w:highlight w:val="none"/>
              </w:rPr>
              <w:t>欠费催缴：</w:t>
            </w:r>
          </w:p>
          <w:p>
            <w:pPr>
              <w:spacing w:line="360" w:lineRule="auto"/>
              <w:rPr>
                <w:rFonts w:ascii="宋体" w:hAnsi="宋体"/>
                <w:color w:val="auto"/>
                <w:sz w:val="24"/>
                <w:highlight w:val="none"/>
              </w:rPr>
            </w:pPr>
            <w:r>
              <w:rPr>
                <w:rFonts w:hint="eastAsia" w:ascii="宋体" w:hAnsi="宋体"/>
                <w:color w:val="auto"/>
                <w:sz w:val="24"/>
                <w:highlight w:val="none"/>
              </w:rPr>
              <w:t>1、支持按照病区查询欠款催缴。</w:t>
            </w:r>
          </w:p>
          <w:p>
            <w:pPr>
              <w:spacing w:line="360" w:lineRule="auto"/>
              <w:rPr>
                <w:rFonts w:ascii="宋体" w:hAnsi="宋体"/>
                <w:color w:val="auto"/>
                <w:sz w:val="24"/>
                <w:highlight w:val="none"/>
              </w:rPr>
            </w:pPr>
            <w:r>
              <w:rPr>
                <w:rFonts w:hint="eastAsia" w:ascii="宋体" w:hAnsi="宋体"/>
                <w:color w:val="auto"/>
                <w:sz w:val="24"/>
                <w:highlight w:val="none"/>
              </w:rPr>
              <w:t>2、支持查看和打印催费通知和催费列表。</w:t>
            </w:r>
          </w:p>
          <w:p>
            <w:pPr>
              <w:spacing w:line="360" w:lineRule="auto"/>
              <w:rPr>
                <w:rFonts w:ascii="宋体" w:hAnsi="宋体"/>
                <w:color w:val="auto"/>
                <w:sz w:val="24"/>
                <w:highlight w:val="none"/>
              </w:rPr>
            </w:pPr>
            <w:r>
              <w:rPr>
                <w:rFonts w:hint="eastAsia" w:ascii="宋体" w:hAnsi="宋体"/>
                <w:color w:val="auto"/>
                <w:sz w:val="24"/>
                <w:highlight w:val="none"/>
              </w:rPr>
              <w:t>3、支持编辑预交金警戒线。</w:t>
            </w:r>
          </w:p>
          <w:p>
            <w:pPr>
              <w:spacing w:line="360" w:lineRule="auto"/>
              <w:rPr>
                <w:rFonts w:ascii="宋体" w:hAnsi="宋体"/>
                <w:b/>
                <w:bCs/>
                <w:color w:val="auto"/>
                <w:sz w:val="24"/>
                <w:highlight w:val="none"/>
              </w:rPr>
            </w:pPr>
            <w:r>
              <w:rPr>
                <w:rFonts w:hint="eastAsia" w:ascii="宋体" w:hAnsi="宋体"/>
                <w:b/>
                <w:bCs/>
                <w:color w:val="auto"/>
                <w:sz w:val="24"/>
                <w:highlight w:val="none"/>
              </w:rPr>
              <w:t>就诊信用度调整：</w:t>
            </w:r>
          </w:p>
          <w:p>
            <w:pPr>
              <w:spacing w:line="360" w:lineRule="auto"/>
              <w:rPr>
                <w:rFonts w:ascii="宋体" w:hAnsi="宋体"/>
                <w:color w:val="auto"/>
                <w:sz w:val="24"/>
                <w:highlight w:val="none"/>
              </w:rPr>
            </w:pPr>
            <w:r>
              <w:rPr>
                <w:rFonts w:hint="eastAsia" w:ascii="宋体" w:hAnsi="宋体"/>
                <w:color w:val="auto"/>
                <w:sz w:val="24"/>
                <w:highlight w:val="none"/>
              </w:rPr>
              <w:t>1、支持住院号、患者编号、证件号码等查询患者信息。</w:t>
            </w:r>
          </w:p>
          <w:p>
            <w:pPr>
              <w:spacing w:line="360" w:lineRule="auto"/>
              <w:rPr>
                <w:rFonts w:ascii="宋体" w:hAnsi="宋体"/>
                <w:color w:val="auto"/>
                <w:sz w:val="24"/>
                <w:highlight w:val="none"/>
              </w:rPr>
            </w:pPr>
            <w:r>
              <w:rPr>
                <w:rFonts w:hint="eastAsia" w:ascii="宋体" w:hAnsi="宋体"/>
                <w:color w:val="auto"/>
                <w:sz w:val="24"/>
                <w:highlight w:val="none"/>
              </w:rPr>
              <w:t>2、支持住院预交金余额，没结算金额，信用分类额度等查询。</w:t>
            </w:r>
          </w:p>
          <w:p>
            <w:pPr>
              <w:spacing w:line="360" w:lineRule="auto"/>
              <w:rPr>
                <w:rFonts w:ascii="宋体" w:hAnsi="宋体"/>
                <w:color w:val="auto"/>
                <w:sz w:val="24"/>
                <w:highlight w:val="none"/>
              </w:rPr>
            </w:pPr>
            <w:r>
              <w:rPr>
                <w:rFonts w:hint="eastAsia" w:ascii="宋体" w:hAnsi="宋体"/>
                <w:color w:val="auto"/>
                <w:sz w:val="24"/>
                <w:highlight w:val="none"/>
              </w:rPr>
              <w:t>3、支持住院患者的信用额度向上向下调整。</w:t>
            </w:r>
          </w:p>
          <w:p>
            <w:pPr>
              <w:spacing w:line="360" w:lineRule="auto"/>
              <w:rPr>
                <w:rFonts w:ascii="宋体" w:hAnsi="宋体"/>
                <w:b/>
                <w:bCs/>
                <w:color w:val="auto"/>
                <w:sz w:val="24"/>
                <w:highlight w:val="none"/>
              </w:rPr>
            </w:pPr>
            <w:r>
              <w:rPr>
                <w:rFonts w:hint="eastAsia" w:ascii="宋体" w:hAnsi="宋体"/>
                <w:b/>
                <w:bCs/>
                <w:color w:val="auto"/>
                <w:sz w:val="24"/>
                <w:highlight w:val="none"/>
              </w:rPr>
              <w:t>患者费用查看：</w:t>
            </w:r>
          </w:p>
          <w:p>
            <w:pPr>
              <w:spacing w:line="360" w:lineRule="auto"/>
              <w:rPr>
                <w:rFonts w:ascii="宋体" w:hAnsi="宋体"/>
                <w:color w:val="auto"/>
                <w:sz w:val="24"/>
                <w:highlight w:val="none"/>
              </w:rPr>
            </w:pPr>
            <w:r>
              <w:rPr>
                <w:rFonts w:hint="eastAsia" w:ascii="宋体" w:hAnsi="宋体"/>
                <w:color w:val="auto"/>
                <w:sz w:val="24"/>
                <w:highlight w:val="none"/>
              </w:rPr>
              <w:t>1、支持病区患者查询患者费用。</w:t>
            </w:r>
          </w:p>
          <w:p>
            <w:pPr>
              <w:spacing w:line="360" w:lineRule="auto"/>
              <w:rPr>
                <w:rFonts w:ascii="宋体" w:hAnsi="宋体"/>
                <w:color w:val="auto"/>
                <w:sz w:val="24"/>
                <w:highlight w:val="none"/>
              </w:rPr>
            </w:pPr>
            <w:r>
              <w:rPr>
                <w:rFonts w:hint="eastAsia" w:ascii="宋体" w:hAnsi="宋体"/>
                <w:color w:val="auto"/>
                <w:sz w:val="24"/>
                <w:highlight w:val="none"/>
              </w:rPr>
              <w:t>2、支持查看在院患者、出院患者、出科患者费用。</w:t>
            </w:r>
          </w:p>
          <w:p>
            <w:pPr>
              <w:spacing w:line="360" w:lineRule="auto"/>
              <w:rPr>
                <w:rFonts w:ascii="宋体" w:hAnsi="宋体"/>
                <w:color w:val="auto"/>
                <w:sz w:val="24"/>
                <w:highlight w:val="none"/>
              </w:rPr>
            </w:pPr>
            <w:r>
              <w:rPr>
                <w:rFonts w:hint="eastAsia" w:ascii="宋体" w:hAnsi="宋体"/>
                <w:color w:val="auto"/>
                <w:sz w:val="24"/>
                <w:highlight w:val="none"/>
              </w:rPr>
              <w:t>3、支持查看病区某个患者的预交金明细、账单明细、费用明细、医嘱计价、日清单、费用清单。</w:t>
            </w:r>
          </w:p>
          <w:p>
            <w:pPr>
              <w:spacing w:line="360" w:lineRule="auto"/>
              <w:rPr>
                <w:rFonts w:ascii="宋体" w:hAnsi="宋体"/>
                <w:b/>
                <w:bCs/>
                <w:color w:val="auto"/>
                <w:sz w:val="24"/>
                <w:highlight w:val="none"/>
              </w:rPr>
            </w:pPr>
            <w:r>
              <w:rPr>
                <w:rFonts w:hint="eastAsia" w:ascii="宋体" w:hAnsi="宋体"/>
                <w:b/>
                <w:bCs/>
                <w:color w:val="auto"/>
                <w:sz w:val="24"/>
                <w:highlight w:val="none"/>
              </w:rPr>
              <w:t>住院退补费</w:t>
            </w:r>
            <w:r>
              <w:rPr>
                <w:rFonts w:hint="eastAsia" w:ascii="宋体" w:hAnsi="宋体"/>
                <w:b/>
                <w:bCs/>
                <w:color w:val="auto"/>
                <w:sz w:val="24"/>
                <w:highlight w:val="none"/>
              </w:rPr>
              <w:tab/>
            </w:r>
            <w:r>
              <w:rPr>
                <w:rFonts w:hint="eastAsia" w:ascii="宋体" w:hAnsi="宋体"/>
                <w:b/>
                <w:bCs/>
                <w:color w:val="auto"/>
                <w:sz w:val="24"/>
                <w:highlight w:val="none"/>
              </w:rPr>
              <w:t>：</w:t>
            </w:r>
          </w:p>
          <w:p>
            <w:pPr>
              <w:spacing w:line="360" w:lineRule="auto"/>
              <w:rPr>
                <w:rFonts w:ascii="宋体" w:hAnsi="宋体"/>
                <w:color w:val="auto"/>
                <w:sz w:val="24"/>
                <w:highlight w:val="none"/>
              </w:rPr>
            </w:pPr>
            <w:r>
              <w:rPr>
                <w:rFonts w:hint="eastAsia" w:ascii="宋体" w:hAnsi="宋体"/>
                <w:color w:val="auto"/>
                <w:sz w:val="24"/>
                <w:highlight w:val="none"/>
              </w:rPr>
              <w:t>1、支持按照病区在原患者、会诊患者查询。</w:t>
            </w:r>
          </w:p>
          <w:p>
            <w:pPr>
              <w:spacing w:line="360" w:lineRule="auto"/>
              <w:rPr>
                <w:rFonts w:ascii="宋体" w:hAnsi="宋体"/>
                <w:color w:val="auto"/>
                <w:sz w:val="24"/>
                <w:highlight w:val="none"/>
              </w:rPr>
            </w:pPr>
            <w:r>
              <w:rPr>
                <w:rFonts w:hint="eastAsia" w:ascii="宋体" w:hAnsi="宋体"/>
                <w:color w:val="auto"/>
                <w:sz w:val="24"/>
                <w:highlight w:val="none"/>
              </w:rPr>
              <w:t>2、支持选中患者进行新增补费项目、保存、删除补费项目。</w:t>
            </w:r>
          </w:p>
          <w:p>
            <w:pPr>
              <w:spacing w:line="360" w:lineRule="auto"/>
              <w:rPr>
                <w:rFonts w:ascii="宋体" w:hAnsi="宋体"/>
                <w:color w:val="auto"/>
                <w:sz w:val="24"/>
                <w:highlight w:val="none"/>
              </w:rPr>
            </w:pPr>
            <w:r>
              <w:rPr>
                <w:rFonts w:hint="eastAsia" w:ascii="宋体" w:hAnsi="宋体"/>
                <w:color w:val="auto"/>
                <w:sz w:val="24"/>
                <w:highlight w:val="none"/>
              </w:rPr>
              <w:t>3、支持退费时进行项目过滤。</w:t>
            </w:r>
          </w:p>
          <w:p>
            <w:pPr>
              <w:spacing w:line="360" w:lineRule="auto"/>
              <w:rPr>
                <w:rFonts w:ascii="宋体" w:hAnsi="宋体"/>
                <w:color w:val="auto"/>
                <w:sz w:val="24"/>
                <w:highlight w:val="none"/>
              </w:rPr>
            </w:pPr>
            <w:r>
              <w:rPr>
                <w:rFonts w:hint="eastAsia" w:ascii="宋体" w:hAnsi="宋体"/>
                <w:color w:val="auto"/>
                <w:sz w:val="24"/>
                <w:highlight w:val="none"/>
              </w:rPr>
              <w:t>4、支持可查看待退费明细并进行退费确认操作。</w:t>
            </w:r>
          </w:p>
          <w:p>
            <w:pPr>
              <w:spacing w:line="360" w:lineRule="auto"/>
              <w:rPr>
                <w:rFonts w:ascii="宋体" w:hAnsi="宋体"/>
                <w:b/>
                <w:bCs/>
                <w:color w:val="auto"/>
                <w:sz w:val="24"/>
                <w:highlight w:val="none"/>
              </w:rPr>
            </w:pPr>
            <w:r>
              <w:rPr>
                <w:rFonts w:hint="eastAsia" w:ascii="宋体" w:hAnsi="宋体"/>
                <w:b/>
                <w:bCs/>
                <w:color w:val="auto"/>
                <w:sz w:val="24"/>
                <w:highlight w:val="none"/>
              </w:rPr>
              <w:t>收退床旁预交金：</w:t>
            </w:r>
          </w:p>
          <w:p>
            <w:pPr>
              <w:spacing w:line="360" w:lineRule="auto"/>
              <w:rPr>
                <w:rFonts w:ascii="宋体" w:hAnsi="宋体"/>
                <w:color w:val="auto"/>
                <w:sz w:val="24"/>
                <w:highlight w:val="none"/>
              </w:rPr>
            </w:pPr>
            <w:r>
              <w:rPr>
                <w:rFonts w:hint="eastAsia" w:ascii="宋体" w:hAnsi="宋体"/>
                <w:color w:val="auto"/>
                <w:sz w:val="24"/>
                <w:highlight w:val="none"/>
              </w:rPr>
              <w:t>1、支持病区患者进行收退住院预交金。</w:t>
            </w:r>
          </w:p>
          <w:p>
            <w:pPr>
              <w:spacing w:line="360" w:lineRule="auto"/>
              <w:rPr>
                <w:rFonts w:ascii="宋体" w:hAnsi="宋体"/>
                <w:color w:val="auto"/>
                <w:sz w:val="24"/>
                <w:highlight w:val="none"/>
              </w:rPr>
            </w:pPr>
            <w:r>
              <w:rPr>
                <w:rFonts w:hint="eastAsia" w:ascii="宋体" w:hAnsi="宋体"/>
                <w:color w:val="auto"/>
                <w:sz w:val="24"/>
                <w:highlight w:val="none"/>
              </w:rPr>
              <w:t>2、收款与退款支持多种交易方式。</w:t>
            </w:r>
          </w:p>
          <w:p>
            <w:pPr>
              <w:spacing w:line="360" w:lineRule="auto"/>
              <w:rPr>
                <w:rFonts w:ascii="宋体" w:hAnsi="宋体"/>
                <w:color w:val="auto"/>
                <w:sz w:val="24"/>
                <w:highlight w:val="none"/>
              </w:rPr>
            </w:pPr>
            <w:r>
              <w:rPr>
                <w:rFonts w:hint="eastAsia" w:ascii="宋体" w:hAnsi="宋体"/>
                <w:color w:val="auto"/>
                <w:sz w:val="24"/>
                <w:highlight w:val="none"/>
              </w:rPr>
              <w:t>3、支持查看可使用预交金，退预交金，结算退回，流水明细。</w:t>
            </w:r>
          </w:p>
          <w:p>
            <w:pPr>
              <w:spacing w:line="360" w:lineRule="auto"/>
              <w:rPr>
                <w:rFonts w:ascii="宋体" w:hAnsi="宋体"/>
                <w:color w:val="auto"/>
                <w:sz w:val="24"/>
                <w:highlight w:val="none"/>
              </w:rPr>
            </w:pPr>
            <w:r>
              <w:rPr>
                <w:rFonts w:hint="eastAsia" w:ascii="宋体" w:hAnsi="宋体"/>
                <w:color w:val="auto"/>
                <w:sz w:val="24"/>
                <w:highlight w:val="none"/>
              </w:rPr>
              <w:t>4、支持查看预交金金额、消费金额、账户余额。</w:t>
            </w:r>
          </w:p>
          <w:p>
            <w:pPr>
              <w:spacing w:line="360" w:lineRule="auto"/>
              <w:rPr>
                <w:rFonts w:ascii="宋体" w:hAnsi="宋体"/>
                <w:color w:val="auto"/>
                <w:sz w:val="24"/>
                <w:highlight w:val="none"/>
              </w:rPr>
            </w:pPr>
            <w:r>
              <w:rPr>
                <w:rFonts w:hint="eastAsia" w:ascii="宋体" w:hAnsi="宋体"/>
                <w:color w:val="auto"/>
                <w:sz w:val="24"/>
                <w:highlight w:val="none"/>
              </w:rPr>
              <w:t>5、支持按照患者编码，病区，床位查询患者信息。</w:t>
            </w:r>
          </w:p>
          <w:p>
            <w:pPr>
              <w:spacing w:line="360" w:lineRule="auto"/>
              <w:rPr>
                <w:rFonts w:ascii="宋体" w:hAnsi="宋体"/>
                <w:color w:val="auto"/>
                <w:sz w:val="24"/>
                <w:highlight w:val="none"/>
              </w:rPr>
            </w:pPr>
            <w:r>
              <w:rPr>
                <w:rFonts w:hint="eastAsia" w:ascii="宋体" w:hAnsi="宋体"/>
                <w:color w:val="auto"/>
                <w:sz w:val="24"/>
                <w:highlight w:val="none"/>
              </w:rPr>
              <w:t>6、支持作废、重打凭证。</w:t>
            </w:r>
          </w:p>
          <w:p>
            <w:pPr>
              <w:spacing w:line="360" w:lineRule="auto"/>
              <w:rPr>
                <w:rFonts w:ascii="宋体" w:hAnsi="宋体"/>
                <w:color w:val="auto"/>
                <w:sz w:val="24"/>
                <w:highlight w:val="none"/>
              </w:rPr>
            </w:pPr>
            <w:r>
              <w:rPr>
                <w:rFonts w:hint="eastAsia" w:ascii="宋体" w:hAnsi="宋体"/>
                <w:color w:val="auto"/>
                <w:sz w:val="24"/>
                <w:highlight w:val="none"/>
              </w:rPr>
              <w:t>7、支持住院结转转入、强制退费、异常处理。</w:t>
            </w:r>
          </w:p>
          <w:p>
            <w:pPr>
              <w:spacing w:line="360" w:lineRule="auto"/>
              <w:rPr>
                <w:rFonts w:ascii="宋体" w:hAnsi="宋体"/>
                <w:b/>
                <w:bCs/>
                <w:color w:val="auto"/>
                <w:sz w:val="24"/>
                <w:highlight w:val="none"/>
              </w:rPr>
            </w:pPr>
            <w:r>
              <w:rPr>
                <w:rFonts w:hint="eastAsia" w:ascii="宋体" w:hAnsi="宋体"/>
                <w:b/>
                <w:bCs/>
                <w:color w:val="auto"/>
                <w:sz w:val="24"/>
                <w:highlight w:val="none"/>
              </w:rPr>
              <w:t>住院医技退费申请：</w:t>
            </w:r>
          </w:p>
          <w:p>
            <w:pPr>
              <w:spacing w:line="360" w:lineRule="auto"/>
              <w:rPr>
                <w:rFonts w:ascii="宋体" w:hAnsi="宋体"/>
                <w:color w:val="auto"/>
                <w:sz w:val="24"/>
                <w:highlight w:val="none"/>
              </w:rPr>
            </w:pPr>
            <w:r>
              <w:rPr>
                <w:rFonts w:hint="eastAsia" w:ascii="宋体" w:hAnsi="宋体"/>
                <w:color w:val="auto"/>
                <w:sz w:val="24"/>
                <w:highlight w:val="none"/>
              </w:rPr>
              <w:t>1、支持病区患者进行医技退费申请。</w:t>
            </w:r>
          </w:p>
          <w:p>
            <w:pPr>
              <w:spacing w:line="360" w:lineRule="auto"/>
              <w:rPr>
                <w:rFonts w:ascii="宋体" w:hAnsi="宋体"/>
                <w:color w:val="auto"/>
                <w:sz w:val="24"/>
                <w:highlight w:val="none"/>
              </w:rPr>
            </w:pPr>
            <w:r>
              <w:rPr>
                <w:rFonts w:hint="eastAsia" w:ascii="宋体" w:hAnsi="宋体"/>
                <w:color w:val="auto"/>
                <w:sz w:val="24"/>
                <w:highlight w:val="none"/>
              </w:rPr>
              <w:t>2、支持医技退费申请取消。</w:t>
            </w:r>
          </w:p>
          <w:p>
            <w:pPr>
              <w:spacing w:line="360" w:lineRule="auto"/>
              <w:rPr>
                <w:rFonts w:ascii="宋体" w:hAnsi="宋体"/>
                <w:b/>
                <w:bCs/>
                <w:color w:val="auto"/>
                <w:sz w:val="24"/>
                <w:highlight w:val="none"/>
              </w:rPr>
            </w:pPr>
            <w:r>
              <w:rPr>
                <w:rFonts w:hint="eastAsia" w:ascii="宋体" w:hAnsi="宋体"/>
                <w:b/>
                <w:bCs/>
                <w:color w:val="auto"/>
                <w:sz w:val="24"/>
                <w:highlight w:val="none"/>
              </w:rPr>
              <w:t>费用项目汇总统计：</w:t>
            </w:r>
          </w:p>
          <w:p>
            <w:pPr>
              <w:spacing w:line="360" w:lineRule="auto"/>
              <w:rPr>
                <w:rFonts w:ascii="宋体" w:hAnsi="宋体"/>
                <w:color w:val="auto"/>
                <w:sz w:val="24"/>
                <w:highlight w:val="none"/>
              </w:rPr>
            </w:pPr>
            <w:r>
              <w:rPr>
                <w:rFonts w:hint="eastAsia" w:ascii="宋体" w:hAnsi="宋体"/>
                <w:color w:val="auto"/>
                <w:sz w:val="24"/>
                <w:highlight w:val="none"/>
              </w:rPr>
              <w:t>1、支持按照病区时间筛选按照服务项目下各个患者的费用明细。</w:t>
            </w:r>
          </w:p>
          <w:p>
            <w:pPr>
              <w:spacing w:line="360" w:lineRule="auto"/>
              <w:rPr>
                <w:rFonts w:ascii="宋体" w:hAnsi="宋体"/>
                <w:color w:val="auto"/>
                <w:sz w:val="24"/>
                <w:highlight w:val="none"/>
              </w:rPr>
            </w:pPr>
            <w:r>
              <w:rPr>
                <w:rFonts w:hint="eastAsia" w:ascii="宋体" w:hAnsi="宋体"/>
                <w:color w:val="auto"/>
                <w:sz w:val="24"/>
                <w:highlight w:val="none"/>
              </w:rPr>
              <w:t>2、支持按照汇总查询和按病人查询。</w:t>
            </w:r>
          </w:p>
          <w:p>
            <w:pPr>
              <w:spacing w:line="360" w:lineRule="auto"/>
              <w:rPr>
                <w:rFonts w:ascii="宋体" w:hAnsi="宋体"/>
                <w:b/>
                <w:bCs/>
                <w:color w:val="auto"/>
                <w:sz w:val="24"/>
                <w:highlight w:val="none"/>
              </w:rPr>
            </w:pPr>
            <w:r>
              <w:rPr>
                <w:rFonts w:hint="eastAsia" w:ascii="宋体" w:hAnsi="宋体"/>
                <w:b/>
                <w:bCs/>
                <w:color w:val="auto"/>
                <w:sz w:val="24"/>
                <w:highlight w:val="none"/>
              </w:rPr>
              <w:t>审核驳回申请：</w:t>
            </w:r>
          </w:p>
          <w:p>
            <w:pPr>
              <w:spacing w:line="360" w:lineRule="auto"/>
              <w:rPr>
                <w:rFonts w:ascii="宋体" w:hAnsi="宋体"/>
                <w:color w:val="auto"/>
                <w:sz w:val="24"/>
                <w:highlight w:val="none"/>
              </w:rPr>
            </w:pPr>
            <w:r>
              <w:rPr>
                <w:rFonts w:hint="eastAsia" w:ascii="宋体" w:hAnsi="宋体"/>
                <w:color w:val="auto"/>
                <w:sz w:val="24"/>
                <w:highlight w:val="none"/>
              </w:rPr>
              <w:t>1、支持床号、住院号、患者编号、证件号码等查询患者。</w:t>
            </w:r>
          </w:p>
          <w:p>
            <w:pPr>
              <w:spacing w:line="360" w:lineRule="auto"/>
              <w:rPr>
                <w:rFonts w:ascii="宋体" w:hAnsi="宋体"/>
                <w:color w:val="auto"/>
                <w:sz w:val="24"/>
                <w:highlight w:val="none"/>
              </w:rPr>
            </w:pPr>
            <w:r>
              <w:rPr>
                <w:rFonts w:hint="eastAsia" w:ascii="宋体" w:hAnsi="宋体"/>
                <w:color w:val="auto"/>
                <w:sz w:val="24"/>
                <w:highlight w:val="none"/>
              </w:rPr>
              <w:t>2、支持患者的住院费用审核和住院医保审核驳回情况查询。</w:t>
            </w:r>
          </w:p>
          <w:p>
            <w:pPr>
              <w:pStyle w:val="201"/>
              <w:spacing w:before="0" w:line="360" w:lineRule="auto"/>
              <w:ind w:left="0"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eastAsia="zh-CN"/>
              </w:rPr>
              <w:t>3、支持查询患者费用审核驳回时间，驳回原因，驳回明细等信息。</w:t>
            </w:r>
          </w:p>
        </w:tc>
      </w:tr>
    </w:tbl>
    <w:p>
      <w:pPr>
        <w:pStyle w:val="6"/>
        <w:numPr>
          <w:ilvl w:val="3"/>
          <w:numId w:val="8"/>
        </w:numPr>
        <w:spacing w:before="280" w:after="290" w:line="376" w:lineRule="auto"/>
        <w:rPr>
          <w:rFonts w:ascii="宋体" w:hAnsi="宋体"/>
          <w:color w:val="auto"/>
          <w:szCs w:val="24"/>
          <w:highlight w:val="none"/>
        </w:rPr>
      </w:pPr>
      <w:bookmarkStart w:id="600" w:name="_Toc31928"/>
      <w:r>
        <w:rPr>
          <w:rFonts w:hint="eastAsia" w:ascii="宋体" w:hAnsi="宋体"/>
          <w:color w:val="auto"/>
          <w:szCs w:val="24"/>
          <w:highlight w:val="none"/>
        </w:rPr>
        <w:t>门（急）诊输液系统</w:t>
      </w:r>
      <w:bookmarkEnd w:id="600"/>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门（急诊）输液系统对输液病人统一管理。能够自动提取输液医嘱信息，支持对病人过敏信息提示，支持输液涉及费用和耗材的管理等。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trPr>
        <w:tc>
          <w:tcPr>
            <w:tcW w:w="1980"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7087"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1" w:hRule="atLeast"/>
        </w:trPr>
        <w:tc>
          <w:tcPr>
            <w:tcW w:w="1980" w:type="dxa"/>
            <w:vAlign w:val="center"/>
          </w:tcPr>
          <w:p>
            <w:pPr>
              <w:spacing w:line="360" w:lineRule="auto"/>
              <w:ind w:left="8" w:right="33"/>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门（急）诊输液系统</w:t>
            </w:r>
          </w:p>
        </w:tc>
        <w:tc>
          <w:tcPr>
            <w:tcW w:w="7087" w:type="dxa"/>
            <w:vAlign w:val="center"/>
          </w:tcPr>
          <w:p>
            <w:pPr>
              <w:spacing w:line="360" w:lineRule="auto"/>
              <w:rPr>
                <w:rFonts w:ascii="宋体" w:hAnsi="宋体"/>
                <w:b/>
                <w:bCs/>
                <w:color w:val="auto"/>
                <w:sz w:val="24"/>
                <w:highlight w:val="none"/>
              </w:rPr>
            </w:pPr>
            <w:r>
              <w:rPr>
                <w:rFonts w:hint="eastAsia" w:ascii="宋体" w:hAnsi="宋体"/>
                <w:b/>
                <w:bCs/>
                <w:color w:val="auto"/>
                <w:sz w:val="24"/>
                <w:highlight w:val="none"/>
              </w:rPr>
              <w:t>（1）输液登记</w:t>
            </w:r>
          </w:p>
          <w:p>
            <w:pPr>
              <w:spacing w:line="360" w:lineRule="auto"/>
              <w:rPr>
                <w:rFonts w:ascii="宋体" w:hAnsi="宋体"/>
                <w:color w:val="auto"/>
                <w:sz w:val="24"/>
                <w:highlight w:val="none"/>
              </w:rPr>
            </w:pPr>
            <w:r>
              <w:rPr>
                <w:rFonts w:hint="eastAsia" w:ascii="宋体" w:hAnsi="宋体"/>
                <w:b/>
                <w:bCs/>
                <w:color w:val="auto"/>
                <w:sz w:val="24"/>
                <w:highlight w:val="none"/>
              </w:rPr>
              <w:t>输液登记：</w:t>
            </w:r>
            <w:r>
              <w:rPr>
                <w:rFonts w:hint="eastAsia" w:ascii="宋体" w:hAnsi="宋体"/>
                <w:color w:val="auto"/>
                <w:sz w:val="24"/>
                <w:highlight w:val="none"/>
              </w:rPr>
              <w:t>支持输液登记，依据医生医嘱及输液待执行信息，可以实现输液登记。</w:t>
            </w:r>
          </w:p>
          <w:p>
            <w:pPr>
              <w:spacing w:line="360" w:lineRule="auto"/>
              <w:rPr>
                <w:rFonts w:ascii="宋体" w:hAnsi="宋体"/>
                <w:color w:val="auto"/>
                <w:sz w:val="24"/>
                <w:highlight w:val="none"/>
              </w:rPr>
            </w:pPr>
            <w:r>
              <w:rPr>
                <w:rFonts w:hint="eastAsia" w:ascii="宋体" w:hAnsi="宋体"/>
                <w:b/>
                <w:bCs/>
                <w:color w:val="auto"/>
                <w:sz w:val="24"/>
                <w:highlight w:val="none"/>
              </w:rPr>
              <w:t>输液分组：</w:t>
            </w:r>
            <w:r>
              <w:rPr>
                <w:rFonts w:hint="eastAsia" w:ascii="宋体" w:hAnsi="宋体"/>
                <w:color w:val="auto"/>
                <w:sz w:val="24"/>
                <w:highlight w:val="none"/>
              </w:rPr>
              <w:t>支持计划分组，支持组内排序。</w:t>
            </w:r>
          </w:p>
          <w:p>
            <w:pPr>
              <w:spacing w:line="360" w:lineRule="auto"/>
              <w:rPr>
                <w:rFonts w:ascii="宋体" w:hAnsi="宋体"/>
                <w:color w:val="auto"/>
                <w:sz w:val="24"/>
                <w:highlight w:val="none"/>
              </w:rPr>
            </w:pPr>
            <w:r>
              <w:rPr>
                <w:rFonts w:hint="eastAsia" w:ascii="宋体" w:hAnsi="宋体"/>
                <w:b/>
                <w:bCs/>
                <w:color w:val="auto"/>
                <w:sz w:val="24"/>
                <w:highlight w:val="none"/>
              </w:rPr>
              <w:t>输液分组取消：</w:t>
            </w:r>
            <w:r>
              <w:rPr>
                <w:rFonts w:hint="eastAsia" w:ascii="宋体" w:hAnsi="宋体"/>
                <w:color w:val="auto"/>
                <w:sz w:val="24"/>
                <w:highlight w:val="none"/>
              </w:rPr>
              <w:t>支持取消分组，取消排序。</w:t>
            </w:r>
          </w:p>
          <w:p>
            <w:pPr>
              <w:spacing w:line="360" w:lineRule="auto"/>
              <w:rPr>
                <w:rFonts w:ascii="宋体" w:hAnsi="宋体"/>
                <w:color w:val="auto"/>
                <w:sz w:val="24"/>
                <w:highlight w:val="none"/>
              </w:rPr>
            </w:pPr>
            <w:r>
              <w:rPr>
                <w:rFonts w:hint="eastAsia" w:ascii="宋体" w:hAnsi="宋体"/>
                <w:b/>
                <w:bCs/>
                <w:color w:val="auto"/>
                <w:sz w:val="24"/>
                <w:highlight w:val="none"/>
              </w:rPr>
              <w:t>输液补费：</w:t>
            </w:r>
            <w:r>
              <w:rPr>
                <w:rFonts w:hint="eastAsia" w:ascii="宋体" w:hAnsi="宋体"/>
                <w:color w:val="auto"/>
                <w:sz w:val="24"/>
                <w:highlight w:val="none"/>
              </w:rPr>
              <w:t>支持输液补费，如果需要补费，护士可以直接进行补费。</w:t>
            </w:r>
          </w:p>
          <w:p>
            <w:pPr>
              <w:spacing w:line="360" w:lineRule="auto"/>
              <w:rPr>
                <w:rFonts w:ascii="宋体" w:hAnsi="宋体"/>
                <w:color w:val="auto"/>
                <w:sz w:val="24"/>
                <w:highlight w:val="none"/>
              </w:rPr>
            </w:pPr>
            <w:r>
              <w:rPr>
                <w:rFonts w:hint="eastAsia" w:ascii="宋体" w:hAnsi="宋体"/>
                <w:b/>
                <w:bCs/>
                <w:color w:val="auto"/>
                <w:sz w:val="24"/>
                <w:highlight w:val="none"/>
              </w:rPr>
              <w:t>输液预付费记费：</w:t>
            </w:r>
            <w:r>
              <w:rPr>
                <w:rFonts w:hint="eastAsia" w:ascii="宋体" w:hAnsi="宋体"/>
                <w:color w:val="auto"/>
                <w:sz w:val="24"/>
                <w:highlight w:val="none"/>
              </w:rPr>
              <w:t>支持预交金计费。</w:t>
            </w:r>
          </w:p>
          <w:p>
            <w:pPr>
              <w:spacing w:line="360" w:lineRule="auto"/>
              <w:rPr>
                <w:rFonts w:ascii="宋体" w:hAnsi="宋体"/>
                <w:color w:val="auto"/>
                <w:sz w:val="24"/>
                <w:highlight w:val="none"/>
              </w:rPr>
            </w:pPr>
            <w:r>
              <w:rPr>
                <w:rFonts w:hint="eastAsia" w:ascii="宋体" w:hAnsi="宋体"/>
                <w:b/>
                <w:bCs/>
                <w:color w:val="auto"/>
                <w:sz w:val="24"/>
                <w:highlight w:val="none"/>
              </w:rPr>
              <w:t>打印患者条码：支持</w:t>
            </w:r>
            <w:r>
              <w:rPr>
                <w:rFonts w:hint="eastAsia" w:ascii="宋体" w:hAnsi="宋体"/>
                <w:color w:val="auto"/>
                <w:sz w:val="24"/>
                <w:highlight w:val="none"/>
              </w:rPr>
              <w:t>病人身份及输液袋条码标签的生成：将病人的输液信息形成附带条形码的双联输液标签（病人腕带和瓶贴），使病人身份与药物产生唯一关联标时。</w:t>
            </w:r>
          </w:p>
          <w:p>
            <w:pPr>
              <w:spacing w:line="360" w:lineRule="auto"/>
              <w:rPr>
                <w:rFonts w:ascii="宋体" w:hAnsi="宋体"/>
                <w:color w:val="auto"/>
                <w:sz w:val="24"/>
                <w:highlight w:val="none"/>
              </w:rPr>
            </w:pPr>
            <w:r>
              <w:rPr>
                <w:rFonts w:hint="eastAsia" w:ascii="宋体" w:hAnsi="宋体"/>
                <w:b/>
                <w:bCs/>
                <w:color w:val="auto"/>
                <w:sz w:val="24"/>
                <w:highlight w:val="none"/>
              </w:rPr>
              <w:t>患者病历查看：</w:t>
            </w:r>
            <w:r>
              <w:rPr>
                <w:rFonts w:hint="eastAsia" w:ascii="宋体" w:hAnsi="宋体"/>
                <w:color w:val="auto"/>
                <w:sz w:val="24"/>
                <w:highlight w:val="none"/>
              </w:rPr>
              <w:t>支持患者病历查看，支持多种就诊信息查看。</w:t>
            </w:r>
          </w:p>
          <w:p>
            <w:pPr>
              <w:spacing w:line="360" w:lineRule="auto"/>
              <w:rPr>
                <w:rFonts w:ascii="宋体" w:hAnsi="宋体"/>
                <w:color w:val="auto"/>
                <w:sz w:val="24"/>
                <w:highlight w:val="none"/>
              </w:rPr>
            </w:pPr>
            <w:r>
              <w:rPr>
                <w:rFonts w:hint="eastAsia" w:ascii="宋体" w:hAnsi="宋体"/>
                <w:b/>
                <w:bCs/>
                <w:color w:val="auto"/>
                <w:sz w:val="24"/>
                <w:highlight w:val="none"/>
              </w:rPr>
              <w:t>诊间结算：</w:t>
            </w:r>
            <w:r>
              <w:rPr>
                <w:rFonts w:hint="eastAsia" w:ascii="宋体" w:hAnsi="宋体"/>
                <w:color w:val="auto"/>
                <w:sz w:val="24"/>
                <w:highlight w:val="none"/>
              </w:rPr>
              <w:t>支持诊间结算，打印付款凭证。</w:t>
            </w:r>
          </w:p>
          <w:p>
            <w:pPr>
              <w:spacing w:line="360" w:lineRule="auto"/>
              <w:rPr>
                <w:rFonts w:ascii="宋体" w:hAnsi="宋体"/>
                <w:b/>
                <w:bCs/>
                <w:color w:val="auto"/>
                <w:sz w:val="24"/>
                <w:highlight w:val="none"/>
              </w:rPr>
            </w:pPr>
            <w:r>
              <w:rPr>
                <w:rFonts w:hint="eastAsia" w:ascii="宋体" w:hAnsi="宋体"/>
                <w:b/>
                <w:bCs/>
                <w:color w:val="auto"/>
                <w:sz w:val="24"/>
                <w:highlight w:val="none"/>
              </w:rPr>
              <w:t>（2）输液执行</w:t>
            </w:r>
          </w:p>
          <w:p>
            <w:pPr>
              <w:spacing w:line="360" w:lineRule="auto"/>
              <w:rPr>
                <w:rFonts w:ascii="宋体" w:hAnsi="宋体"/>
                <w:color w:val="auto"/>
                <w:sz w:val="24"/>
                <w:highlight w:val="none"/>
              </w:rPr>
            </w:pPr>
            <w:r>
              <w:rPr>
                <w:rFonts w:hint="eastAsia" w:ascii="宋体" w:hAnsi="宋体"/>
                <w:b/>
                <w:bCs/>
                <w:color w:val="auto"/>
                <w:sz w:val="24"/>
                <w:highlight w:val="none"/>
              </w:rPr>
              <w:t>诊间结算：</w:t>
            </w:r>
            <w:r>
              <w:rPr>
                <w:rFonts w:hint="eastAsia" w:ascii="宋体" w:hAnsi="宋体"/>
                <w:color w:val="auto"/>
                <w:sz w:val="24"/>
                <w:highlight w:val="none"/>
              </w:rPr>
              <w:t>支持诊间结算。</w:t>
            </w:r>
          </w:p>
          <w:p>
            <w:pPr>
              <w:spacing w:line="360" w:lineRule="auto"/>
              <w:rPr>
                <w:rFonts w:ascii="宋体" w:hAnsi="宋体"/>
                <w:color w:val="auto"/>
                <w:sz w:val="24"/>
                <w:highlight w:val="none"/>
              </w:rPr>
            </w:pPr>
            <w:r>
              <w:rPr>
                <w:rFonts w:hint="eastAsia" w:ascii="宋体" w:hAnsi="宋体"/>
                <w:b/>
                <w:bCs/>
                <w:color w:val="auto"/>
                <w:sz w:val="24"/>
                <w:highlight w:val="none"/>
              </w:rPr>
              <w:t>打印付款凭证：</w:t>
            </w:r>
            <w:r>
              <w:rPr>
                <w:rFonts w:hint="eastAsia" w:ascii="宋体" w:hAnsi="宋体"/>
                <w:color w:val="auto"/>
                <w:sz w:val="24"/>
                <w:highlight w:val="none"/>
              </w:rPr>
              <w:t>支持打印付款凭证。</w:t>
            </w:r>
          </w:p>
          <w:p>
            <w:pPr>
              <w:spacing w:line="360" w:lineRule="auto"/>
              <w:rPr>
                <w:rFonts w:ascii="宋体" w:hAnsi="宋体"/>
                <w:color w:val="auto"/>
                <w:sz w:val="24"/>
                <w:highlight w:val="none"/>
              </w:rPr>
            </w:pPr>
            <w:r>
              <w:rPr>
                <w:rFonts w:hint="eastAsia" w:ascii="宋体" w:hAnsi="宋体"/>
                <w:b/>
                <w:bCs/>
                <w:color w:val="auto"/>
                <w:sz w:val="24"/>
                <w:highlight w:val="none"/>
              </w:rPr>
              <w:t>输液执行：</w:t>
            </w:r>
            <w:r>
              <w:rPr>
                <w:rFonts w:hint="eastAsia" w:ascii="宋体" w:hAnsi="宋体"/>
                <w:color w:val="auto"/>
                <w:sz w:val="24"/>
                <w:highlight w:val="none"/>
              </w:rPr>
              <w:t>支持输液执行，可配置和选择执行状态，并记录执行人和执行时间，指出备注信息。</w:t>
            </w:r>
          </w:p>
          <w:p>
            <w:pPr>
              <w:spacing w:line="360" w:lineRule="auto"/>
              <w:rPr>
                <w:rFonts w:ascii="宋体" w:hAnsi="宋体"/>
                <w:color w:val="auto"/>
                <w:sz w:val="24"/>
                <w:highlight w:val="none"/>
              </w:rPr>
            </w:pPr>
            <w:r>
              <w:rPr>
                <w:rFonts w:hint="eastAsia" w:ascii="宋体" w:hAnsi="宋体"/>
                <w:b/>
                <w:bCs/>
                <w:color w:val="auto"/>
                <w:sz w:val="24"/>
                <w:highlight w:val="none"/>
              </w:rPr>
              <w:t>取消登记：</w:t>
            </w:r>
            <w:r>
              <w:rPr>
                <w:rFonts w:hint="eastAsia" w:ascii="宋体" w:hAnsi="宋体"/>
                <w:color w:val="auto"/>
                <w:sz w:val="24"/>
                <w:highlight w:val="none"/>
              </w:rPr>
              <w:t>支持取消登记，支持登记逆流程。</w:t>
            </w:r>
          </w:p>
          <w:p>
            <w:pPr>
              <w:spacing w:line="360" w:lineRule="auto"/>
              <w:rPr>
                <w:rFonts w:ascii="宋体" w:hAnsi="宋体"/>
                <w:color w:val="auto"/>
                <w:sz w:val="24"/>
                <w:highlight w:val="none"/>
              </w:rPr>
            </w:pPr>
            <w:r>
              <w:rPr>
                <w:rFonts w:hint="eastAsia" w:ascii="宋体" w:hAnsi="宋体"/>
                <w:b/>
                <w:bCs/>
                <w:color w:val="auto"/>
                <w:sz w:val="24"/>
                <w:highlight w:val="none"/>
              </w:rPr>
              <w:t>皮试结果录入：</w:t>
            </w:r>
            <w:r>
              <w:rPr>
                <w:rFonts w:hint="eastAsia" w:ascii="宋体" w:hAnsi="宋体"/>
                <w:color w:val="auto"/>
                <w:sz w:val="24"/>
                <w:highlight w:val="none"/>
              </w:rPr>
              <w:t>支持皮试结果录入，记录过敏情况及严重程度，记录药品批号，皮试时间。</w:t>
            </w:r>
          </w:p>
          <w:p>
            <w:pPr>
              <w:spacing w:line="360" w:lineRule="auto"/>
              <w:rPr>
                <w:rFonts w:ascii="宋体" w:hAnsi="宋体"/>
                <w:b/>
                <w:bCs/>
                <w:color w:val="auto"/>
                <w:sz w:val="24"/>
                <w:highlight w:val="none"/>
              </w:rPr>
            </w:pPr>
            <w:r>
              <w:rPr>
                <w:rFonts w:hint="eastAsia" w:ascii="宋体" w:hAnsi="宋体"/>
                <w:b/>
                <w:bCs/>
                <w:color w:val="auto"/>
                <w:sz w:val="24"/>
                <w:highlight w:val="none"/>
              </w:rPr>
              <w:t>（3）输液查询</w:t>
            </w:r>
          </w:p>
          <w:p>
            <w:pPr>
              <w:spacing w:line="360" w:lineRule="auto"/>
              <w:rPr>
                <w:rFonts w:ascii="宋体" w:hAnsi="宋体"/>
                <w:color w:val="auto"/>
                <w:sz w:val="24"/>
                <w:highlight w:val="none"/>
              </w:rPr>
            </w:pPr>
            <w:r>
              <w:rPr>
                <w:rFonts w:hint="eastAsia" w:ascii="宋体" w:hAnsi="宋体"/>
                <w:b/>
                <w:bCs/>
                <w:color w:val="auto"/>
                <w:sz w:val="24"/>
                <w:highlight w:val="none"/>
              </w:rPr>
              <w:t>治疗单预览：</w:t>
            </w:r>
            <w:r>
              <w:rPr>
                <w:rFonts w:hint="eastAsia" w:ascii="宋体" w:hAnsi="宋体"/>
                <w:color w:val="auto"/>
                <w:sz w:val="24"/>
                <w:highlight w:val="none"/>
              </w:rPr>
              <w:t>支持治疗单预览，支持病历及医嘱内容预览。</w:t>
            </w:r>
          </w:p>
          <w:p>
            <w:pPr>
              <w:pStyle w:val="201"/>
              <w:spacing w:before="0" w:line="360" w:lineRule="auto"/>
              <w:ind w:left="0" w:right="105" w:rightChars="50" w:firstLine="482"/>
              <w:rPr>
                <w:rFonts w:ascii="宋体" w:hAnsi="宋体" w:eastAsia="宋体"/>
                <w:color w:val="auto"/>
                <w:spacing w:val="-1"/>
                <w:sz w:val="24"/>
                <w:highlight w:val="none"/>
                <w:lang w:val="zh-CN" w:eastAsia="zh-CN" w:bidi="zh-CN"/>
              </w:rPr>
            </w:pPr>
            <w:r>
              <w:rPr>
                <w:rFonts w:hint="eastAsia" w:ascii="宋体" w:hAnsi="宋体" w:eastAsia="宋体"/>
                <w:b/>
                <w:bCs/>
                <w:color w:val="auto"/>
                <w:sz w:val="24"/>
                <w:highlight w:val="none"/>
                <w:lang w:eastAsia="zh-CN"/>
              </w:rPr>
              <w:t>打印治疗单：</w:t>
            </w:r>
            <w:r>
              <w:rPr>
                <w:rFonts w:hint="eastAsia" w:ascii="宋体" w:hAnsi="宋体" w:eastAsia="宋体"/>
                <w:color w:val="auto"/>
                <w:sz w:val="24"/>
                <w:highlight w:val="none"/>
                <w:lang w:eastAsia="zh-CN"/>
              </w:rPr>
              <w:t>支持治疗单打印，支持单独打印和批量打印。</w:t>
            </w:r>
          </w:p>
        </w:tc>
      </w:tr>
    </w:tbl>
    <w:p>
      <w:pPr>
        <w:pStyle w:val="6"/>
        <w:numPr>
          <w:ilvl w:val="3"/>
          <w:numId w:val="8"/>
        </w:numPr>
        <w:spacing w:before="280" w:after="290" w:line="376" w:lineRule="auto"/>
        <w:rPr>
          <w:rFonts w:ascii="宋体" w:hAnsi="宋体"/>
          <w:color w:val="auto"/>
          <w:szCs w:val="24"/>
          <w:highlight w:val="none"/>
        </w:rPr>
      </w:pPr>
      <w:bookmarkStart w:id="601" w:name="_Toc30754"/>
      <w:r>
        <w:rPr>
          <w:rFonts w:hint="eastAsia" w:ascii="宋体" w:hAnsi="宋体"/>
          <w:color w:val="auto"/>
          <w:szCs w:val="24"/>
          <w:highlight w:val="none"/>
        </w:rPr>
        <w:t>门急诊应急系统</w:t>
      </w:r>
      <w:bookmarkEnd w:id="601"/>
    </w:p>
    <w:p>
      <w:pPr>
        <w:pStyle w:val="8"/>
        <w:ind w:firstLine="480"/>
        <w:rPr>
          <w:rFonts w:ascii="宋体" w:hAnsi="宋体"/>
          <w:color w:val="auto"/>
          <w:szCs w:val="24"/>
          <w:highlight w:val="none"/>
        </w:rPr>
      </w:pPr>
      <w:r>
        <w:rPr>
          <w:rFonts w:hint="eastAsia" w:ascii="宋体" w:hAnsi="宋体"/>
          <w:color w:val="auto"/>
          <w:szCs w:val="24"/>
          <w:highlight w:val="none"/>
        </w:rPr>
        <w:t>门急诊应急系统需满足以下功能：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6"/>
        <w:gridCol w:w="73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706" w:type="dxa"/>
            <w:shd w:val="clear" w:color="auto" w:fill="4471C4"/>
          </w:tcPr>
          <w:p>
            <w:pPr>
              <w:autoSpaceDE w:val="0"/>
              <w:autoSpaceDN w:val="0"/>
              <w:spacing w:before="27" w:line="360" w:lineRule="auto"/>
              <w:ind w:left="292"/>
              <w:jc w:val="center"/>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系统</w:t>
            </w:r>
          </w:p>
        </w:tc>
        <w:tc>
          <w:tcPr>
            <w:tcW w:w="7361" w:type="dxa"/>
            <w:shd w:val="clear" w:color="auto" w:fill="4471C4"/>
          </w:tcPr>
          <w:p>
            <w:pPr>
              <w:autoSpaceDE w:val="0"/>
              <w:autoSpaceDN w:val="0"/>
              <w:spacing w:before="27" w:line="360" w:lineRule="auto"/>
              <w:ind w:left="2807" w:right="2798"/>
              <w:jc w:val="center"/>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706" w:type="dxa"/>
            <w:vAlign w:val="center"/>
          </w:tcPr>
          <w:p>
            <w:pPr>
              <w:autoSpaceDE w:val="0"/>
              <w:autoSpaceDN w:val="0"/>
              <w:spacing w:line="360" w:lineRule="auto"/>
              <w:ind w:left="125" w:right="103" w:rightChars="49"/>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门急诊应急系统</w:t>
            </w:r>
          </w:p>
        </w:tc>
        <w:tc>
          <w:tcPr>
            <w:tcW w:w="7361" w:type="dxa"/>
          </w:tcPr>
          <w:p>
            <w:pPr>
              <w:pStyle w:val="130"/>
              <w:ind w:firstLine="0"/>
              <w:rPr>
                <w:rFonts w:ascii="宋体" w:hAnsi="宋体"/>
                <w:b/>
                <w:color w:val="auto"/>
                <w:szCs w:val="24"/>
                <w:highlight w:val="none"/>
              </w:rPr>
            </w:pPr>
            <w:r>
              <w:rPr>
                <w:rFonts w:hint="eastAsia" w:ascii="宋体" w:hAnsi="宋体"/>
                <w:b/>
                <w:color w:val="auto"/>
                <w:szCs w:val="24"/>
                <w:highlight w:val="none"/>
              </w:rPr>
              <w:t>（1）应急同步配置</w:t>
            </w:r>
            <w:r>
              <w:rPr>
                <w:rFonts w:hint="eastAsia" w:ascii="宋体" w:hAnsi="宋体"/>
                <w:b/>
                <w:color w:val="auto"/>
                <w:szCs w:val="24"/>
                <w:highlight w:val="none"/>
              </w:rPr>
              <w:tab/>
            </w:r>
          </w:p>
          <w:p>
            <w:pPr>
              <w:pStyle w:val="130"/>
              <w:ind w:firstLine="0"/>
              <w:rPr>
                <w:rFonts w:ascii="宋体" w:hAnsi="宋体"/>
                <w:color w:val="auto"/>
                <w:szCs w:val="24"/>
                <w:highlight w:val="none"/>
              </w:rPr>
            </w:pPr>
            <w:r>
              <w:rPr>
                <w:rFonts w:hint="eastAsia" w:ascii="宋体" w:hAnsi="宋体"/>
                <w:b/>
                <w:color w:val="auto"/>
                <w:szCs w:val="24"/>
                <w:highlight w:val="none"/>
              </w:rPr>
              <w:t>配置同步数据：</w:t>
            </w:r>
            <w:r>
              <w:rPr>
                <w:rFonts w:hint="eastAsia" w:ascii="宋体" w:hAnsi="宋体"/>
                <w:color w:val="auto"/>
                <w:szCs w:val="24"/>
                <w:highlight w:val="none"/>
              </w:rPr>
              <w:t>支持从主库同步到应急系统库的数据，包括同步的表、列，及记录过滤条件等。</w:t>
            </w:r>
          </w:p>
          <w:p>
            <w:pPr>
              <w:pStyle w:val="130"/>
              <w:ind w:firstLine="0"/>
              <w:rPr>
                <w:rFonts w:ascii="宋体" w:hAnsi="宋体"/>
                <w:color w:val="auto"/>
                <w:szCs w:val="24"/>
                <w:highlight w:val="none"/>
              </w:rPr>
            </w:pPr>
            <w:r>
              <w:rPr>
                <w:rFonts w:hint="eastAsia" w:ascii="宋体" w:hAnsi="宋体"/>
                <w:b/>
                <w:color w:val="auto"/>
                <w:szCs w:val="24"/>
                <w:highlight w:val="none"/>
              </w:rPr>
              <w:t>配置同步周期：</w:t>
            </w:r>
            <w:r>
              <w:rPr>
                <w:rFonts w:hint="eastAsia" w:ascii="宋体" w:hAnsi="宋体"/>
                <w:color w:val="auto"/>
                <w:szCs w:val="24"/>
                <w:highlight w:val="none"/>
              </w:rPr>
              <w:t>支持配置数据同步的周期，支持配置同步频率、同步时间，及同步任务有效期等。</w:t>
            </w:r>
          </w:p>
          <w:p>
            <w:pPr>
              <w:pStyle w:val="130"/>
              <w:ind w:firstLine="0"/>
              <w:rPr>
                <w:rFonts w:ascii="宋体" w:hAnsi="宋体"/>
                <w:b/>
                <w:color w:val="auto"/>
                <w:szCs w:val="24"/>
                <w:highlight w:val="none"/>
              </w:rPr>
            </w:pPr>
            <w:r>
              <w:rPr>
                <w:rFonts w:hint="eastAsia" w:ascii="宋体" w:hAnsi="宋体"/>
                <w:b/>
                <w:color w:val="auto"/>
                <w:szCs w:val="24"/>
                <w:highlight w:val="none"/>
              </w:rPr>
              <w:t>（2）客户端设置</w:t>
            </w:r>
          </w:p>
          <w:p>
            <w:pPr>
              <w:pStyle w:val="130"/>
              <w:ind w:firstLine="0"/>
              <w:rPr>
                <w:rFonts w:ascii="宋体" w:hAnsi="宋体"/>
                <w:b/>
                <w:color w:val="auto"/>
                <w:szCs w:val="24"/>
                <w:highlight w:val="none"/>
              </w:rPr>
            </w:pPr>
            <w:r>
              <w:rPr>
                <w:rFonts w:hint="eastAsia" w:ascii="宋体" w:hAnsi="宋体"/>
                <w:b/>
                <w:color w:val="auto"/>
                <w:szCs w:val="24"/>
                <w:highlight w:val="none"/>
              </w:rPr>
              <w:t>数据同步：</w:t>
            </w:r>
          </w:p>
          <w:p>
            <w:pPr>
              <w:pStyle w:val="130"/>
              <w:ind w:firstLine="0"/>
              <w:rPr>
                <w:rFonts w:ascii="宋体" w:hAnsi="宋体"/>
                <w:color w:val="auto"/>
                <w:szCs w:val="24"/>
                <w:highlight w:val="none"/>
              </w:rPr>
            </w:pPr>
            <w:r>
              <w:rPr>
                <w:rFonts w:ascii="宋体" w:hAnsi="宋体"/>
                <w:color w:val="auto"/>
                <w:szCs w:val="24"/>
                <w:highlight w:val="none"/>
              </w:rPr>
              <w:t>1</w:t>
            </w:r>
            <w:r>
              <w:rPr>
                <w:rFonts w:hint="eastAsia" w:ascii="宋体" w:hAnsi="宋体"/>
                <w:color w:val="auto"/>
                <w:szCs w:val="24"/>
                <w:highlight w:val="none"/>
              </w:rPr>
              <w:t>、支持配置同步数据源，支持各表同步配置。</w:t>
            </w:r>
          </w:p>
          <w:p>
            <w:pPr>
              <w:pStyle w:val="130"/>
              <w:ind w:firstLine="0"/>
              <w:rPr>
                <w:rFonts w:ascii="宋体" w:hAnsi="宋体"/>
                <w:color w:val="auto"/>
                <w:szCs w:val="24"/>
                <w:highlight w:val="none"/>
              </w:rPr>
            </w:pPr>
            <w:r>
              <w:rPr>
                <w:rFonts w:ascii="宋体" w:hAnsi="宋体"/>
                <w:color w:val="auto"/>
                <w:szCs w:val="24"/>
                <w:highlight w:val="none"/>
              </w:rPr>
              <w:t>2</w:t>
            </w:r>
            <w:r>
              <w:rPr>
                <w:rFonts w:hint="eastAsia" w:ascii="宋体" w:hAnsi="宋体"/>
                <w:color w:val="auto"/>
                <w:szCs w:val="24"/>
                <w:highlight w:val="none"/>
              </w:rPr>
              <w:t>、支持自动同步和手动同步两种模式。</w:t>
            </w:r>
          </w:p>
          <w:p>
            <w:pPr>
              <w:pStyle w:val="130"/>
              <w:ind w:firstLine="0"/>
              <w:rPr>
                <w:rFonts w:ascii="宋体" w:hAnsi="宋体"/>
                <w:color w:val="auto"/>
                <w:szCs w:val="24"/>
                <w:highlight w:val="none"/>
              </w:rPr>
            </w:pPr>
            <w:r>
              <w:rPr>
                <w:rFonts w:ascii="宋体" w:hAnsi="宋体"/>
                <w:color w:val="auto"/>
                <w:szCs w:val="24"/>
                <w:highlight w:val="none"/>
              </w:rPr>
              <w:t>3</w:t>
            </w:r>
            <w:r>
              <w:rPr>
                <w:rFonts w:hint="eastAsia" w:ascii="宋体" w:hAnsi="宋体"/>
                <w:color w:val="auto"/>
                <w:szCs w:val="24"/>
                <w:highlight w:val="none"/>
              </w:rPr>
              <w:t>、支持同步历史查看。</w:t>
            </w:r>
          </w:p>
          <w:p>
            <w:pPr>
              <w:pStyle w:val="130"/>
              <w:ind w:firstLine="0"/>
              <w:rPr>
                <w:rFonts w:ascii="宋体" w:hAnsi="宋体"/>
                <w:b/>
                <w:color w:val="auto"/>
                <w:szCs w:val="24"/>
                <w:highlight w:val="none"/>
              </w:rPr>
            </w:pPr>
            <w:r>
              <w:rPr>
                <w:rFonts w:hint="eastAsia" w:ascii="宋体" w:hAnsi="宋体"/>
                <w:b/>
                <w:color w:val="auto"/>
                <w:szCs w:val="24"/>
                <w:highlight w:val="none"/>
              </w:rPr>
              <w:t>（3）挂号</w:t>
            </w:r>
          </w:p>
          <w:p>
            <w:pPr>
              <w:pStyle w:val="130"/>
              <w:ind w:firstLine="0"/>
              <w:rPr>
                <w:rFonts w:ascii="宋体" w:hAnsi="宋体"/>
                <w:b/>
                <w:color w:val="auto"/>
                <w:szCs w:val="24"/>
                <w:highlight w:val="none"/>
              </w:rPr>
            </w:pPr>
            <w:r>
              <w:rPr>
                <w:rFonts w:hint="eastAsia" w:ascii="宋体" w:hAnsi="宋体"/>
                <w:b/>
                <w:color w:val="auto"/>
                <w:szCs w:val="24"/>
                <w:highlight w:val="none"/>
              </w:rPr>
              <w:t>挂号：</w:t>
            </w:r>
          </w:p>
          <w:p>
            <w:pPr>
              <w:pStyle w:val="130"/>
              <w:ind w:firstLine="0"/>
              <w:rPr>
                <w:rFonts w:ascii="宋体" w:hAnsi="宋体"/>
                <w:color w:val="auto"/>
                <w:szCs w:val="24"/>
                <w:highlight w:val="none"/>
              </w:rPr>
            </w:pPr>
            <w:r>
              <w:rPr>
                <w:rFonts w:hint="eastAsia" w:ascii="宋体" w:hAnsi="宋体"/>
                <w:color w:val="auto"/>
                <w:szCs w:val="24"/>
                <w:highlight w:val="none"/>
              </w:rPr>
              <w:t>1、支持已有患者和新患者注册的挂号和收费。</w:t>
            </w:r>
          </w:p>
          <w:p>
            <w:pPr>
              <w:pStyle w:val="130"/>
              <w:ind w:firstLine="0"/>
              <w:rPr>
                <w:rFonts w:ascii="宋体" w:hAnsi="宋体"/>
                <w:color w:val="auto"/>
                <w:szCs w:val="24"/>
                <w:highlight w:val="none"/>
              </w:rPr>
            </w:pPr>
            <w:r>
              <w:rPr>
                <w:rFonts w:hint="eastAsia" w:ascii="宋体" w:hAnsi="宋体"/>
                <w:color w:val="auto"/>
                <w:szCs w:val="24"/>
                <w:highlight w:val="none"/>
              </w:rPr>
              <w:t>2、支持患者信息查询。</w:t>
            </w:r>
          </w:p>
          <w:p>
            <w:pPr>
              <w:pStyle w:val="130"/>
              <w:ind w:firstLine="0"/>
              <w:rPr>
                <w:rFonts w:ascii="宋体" w:hAnsi="宋体"/>
                <w:b/>
                <w:color w:val="auto"/>
                <w:szCs w:val="24"/>
                <w:highlight w:val="none"/>
              </w:rPr>
            </w:pPr>
            <w:r>
              <w:rPr>
                <w:rFonts w:hint="eastAsia" w:ascii="宋体" w:hAnsi="宋体"/>
                <w:b/>
                <w:color w:val="auto"/>
                <w:szCs w:val="24"/>
                <w:highlight w:val="none"/>
              </w:rPr>
              <w:t>（4）医生站</w:t>
            </w:r>
          </w:p>
          <w:p>
            <w:pPr>
              <w:pStyle w:val="130"/>
              <w:ind w:firstLine="0"/>
              <w:rPr>
                <w:rFonts w:ascii="宋体" w:hAnsi="宋体"/>
                <w:b/>
                <w:color w:val="auto"/>
                <w:szCs w:val="24"/>
                <w:highlight w:val="none"/>
              </w:rPr>
            </w:pPr>
            <w:r>
              <w:rPr>
                <w:rFonts w:hint="eastAsia" w:ascii="宋体" w:hAnsi="宋体"/>
                <w:b/>
                <w:color w:val="auto"/>
                <w:szCs w:val="24"/>
                <w:highlight w:val="none"/>
              </w:rPr>
              <w:t>接诊：</w:t>
            </w:r>
          </w:p>
          <w:p>
            <w:pPr>
              <w:pStyle w:val="130"/>
              <w:ind w:firstLine="0"/>
              <w:rPr>
                <w:rFonts w:ascii="宋体" w:hAnsi="宋体"/>
                <w:color w:val="auto"/>
                <w:szCs w:val="24"/>
                <w:highlight w:val="none"/>
              </w:rPr>
            </w:pPr>
            <w:r>
              <w:rPr>
                <w:rFonts w:hint="eastAsia" w:ascii="宋体" w:hAnsi="宋体"/>
                <w:color w:val="auto"/>
                <w:szCs w:val="24"/>
                <w:highlight w:val="none"/>
              </w:rPr>
              <w:t>1、支持提供应急医生站功能。</w:t>
            </w:r>
          </w:p>
          <w:p>
            <w:pPr>
              <w:pStyle w:val="130"/>
              <w:ind w:firstLine="0"/>
              <w:rPr>
                <w:rFonts w:ascii="宋体" w:hAnsi="宋体"/>
                <w:color w:val="auto"/>
                <w:szCs w:val="24"/>
                <w:highlight w:val="none"/>
              </w:rPr>
            </w:pPr>
            <w:r>
              <w:rPr>
                <w:rFonts w:hint="eastAsia" w:ascii="宋体" w:hAnsi="宋体"/>
                <w:color w:val="auto"/>
                <w:szCs w:val="24"/>
                <w:highlight w:val="none"/>
              </w:rPr>
              <w:t>2、支持扫描患者号条条码，加载患者基本信息。</w:t>
            </w:r>
          </w:p>
          <w:p>
            <w:pPr>
              <w:pStyle w:val="130"/>
              <w:ind w:firstLine="0"/>
              <w:rPr>
                <w:rFonts w:ascii="宋体" w:hAnsi="宋体"/>
                <w:b/>
                <w:color w:val="auto"/>
                <w:szCs w:val="24"/>
                <w:highlight w:val="none"/>
              </w:rPr>
            </w:pPr>
            <w:r>
              <w:rPr>
                <w:rFonts w:hint="eastAsia" w:ascii="宋体" w:hAnsi="宋体"/>
                <w:b/>
                <w:color w:val="auto"/>
                <w:szCs w:val="24"/>
                <w:highlight w:val="none"/>
              </w:rPr>
              <w:t>（5）收费</w:t>
            </w:r>
            <w:r>
              <w:rPr>
                <w:rFonts w:hint="eastAsia" w:ascii="宋体" w:hAnsi="宋体"/>
                <w:b/>
                <w:color w:val="auto"/>
                <w:szCs w:val="24"/>
                <w:highlight w:val="none"/>
              </w:rPr>
              <w:tab/>
            </w:r>
          </w:p>
          <w:p>
            <w:pPr>
              <w:pStyle w:val="130"/>
              <w:ind w:firstLine="0"/>
              <w:rPr>
                <w:rFonts w:ascii="宋体" w:hAnsi="宋体"/>
                <w:b/>
                <w:color w:val="auto"/>
                <w:szCs w:val="24"/>
                <w:highlight w:val="none"/>
              </w:rPr>
            </w:pPr>
            <w:r>
              <w:rPr>
                <w:rFonts w:hint="eastAsia" w:ascii="宋体" w:hAnsi="宋体"/>
                <w:b/>
                <w:color w:val="auto"/>
                <w:szCs w:val="24"/>
                <w:highlight w:val="none"/>
              </w:rPr>
              <w:t>收费：</w:t>
            </w:r>
          </w:p>
          <w:p>
            <w:pPr>
              <w:pStyle w:val="130"/>
              <w:ind w:firstLine="0"/>
              <w:rPr>
                <w:rFonts w:ascii="宋体" w:hAnsi="宋体"/>
                <w:color w:val="auto"/>
                <w:szCs w:val="24"/>
                <w:highlight w:val="none"/>
              </w:rPr>
            </w:pPr>
            <w:r>
              <w:rPr>
                <w:rFonts w:hint="eastAsia" w:ascii="宋体" w:hAnsi="宋体"/>
                <w:color w:val="auto"/>
                <w:szCs w:val="24"/>
                <w:highlight w:val="none"/>
              </w:rPr>
              <w:t>1、支持提供应急系统收费功能。</w:t>
            </w:r>
          </w:p>
          <w:p>
            <w:pPr>
              <w:pStyle w:val="130"/>
              <w:ind w:firstLine="0"/>
              <w:rPr>
                <w:rFonts w:ascii="宋体" w:hAnsi="宋体"/>
                <w:color w:val="auto"/>
                <w:szCs w:val="24"/>
                <w:highlight w:val="none"/>
              </w:rPr>
            </w:pPr>
            <w:r>
              <w:rPr>
                <w:rFonts w:hint="eastAsia" w:ascii="宋体" w:hAnsi="宋体"/>
                <w:color w:val="auto"/>
                <w:szCs w:val="24"/>
                <w:highlight w:val="none"/>
              </w:rPr>
              <w:t>2、支持应急医生站医嘱收费和收费处直接开立收费两种模式。</w:t>
            </w:r>
          </w:p>
          <w:p>
            <w:pPr>
              <w:pStyle w:val="130"/>
              <w:ind w:firstLine="0"/>
              <w:rPr>
                <w:rFonts w:ascii="宋体" w:hAnsi="宋体"/>
                <w:b/>
                <w:color w:val="auto"/>
                <w:szCs w:val="24"/>
                <w:highlight w:val="none"/>
              </w:rPr>
            </w:pPr>
            <w:r>
              <w:rPr>
                <w:rFonts w:hint="eastAsia" w:ascii="宋体" w:hAnsi="宋体"/>
                <w:b/>
                <w:color w:val="auto"/>
                <w:szCs w:val="24"/>
                <w:highlight w:val="none"/>
              </w:rPr>
              <w:t>（6）查询</w:t>
            </w:r>
            <w:r>
              <w:rPr>
                <w:rFonts w:hint="eastAsia" w:ascii="宋体" w:hAnsi="宋体"/>
                <w:b/>
                <w:color w:val="auto"/>
                <w:szCs w:val="24"/>
                <w:highlight w:val="none"/>
              </w:rPr>
              <w:tab/>
            </w:r>
          </w:p>
          <w:p>
            <w:pPr>
              <w:pStyle w:val="130"/>
              <w:ind w:firstLine="0"/>
              <w:rPr>
                <w:rFonts w:ascii="宋体" w:hAnsi="宋体"/>
                <w:color w:val="auto"/>
                <w:szCs w:val="24"/>
                <w:highlight w:val="none"/>
              </w:rPr>
            </w:pPr>
            <w:r>
              <w:rPr>
                <w:rFonts w:hint="eastAsia" w:ascii="宋体" w:hAnsi="宋体"/>
                <w:b/>
                <w:color w:val="auto"/>
                <w:szCs w:val="24"/>
                <w:highlight w:val="none"/>
              </w:rPr>
              <w:t>查询服务价表：</w:t>
            </w:r>
            <w:r>
              <w:rPr>
                <w:rFonts w:hint="eastAsia" w:ascii="宋体" w:hAnsi="宋体"/>
                <w:color w:val="auto"/>
                <w:szCs w:val="24"/>
                <w:highlight w:val="none"/>
              </w:rPr>
              <w:t>支持项目价格查询。</w:t>
            </w:r>
          </w:p>
          <w:p>
            <w:pPr>
              <w:pStyle w:val="130"/>
              <w:ind w:firstLine="0"/>
              <w:rPr>
                <w:rFonts w:ascii="宋体" w:hAnsi="宋体"/>
                <w:color w:val="auto"/>
                <w:szCs w:val="24"/>
                <w:highlight w:val="none"/>
              </w:rPr>
            </w:pPr>
            <w:r>
              <w:rPr>
                <w:rFonts w:hint="eastAsia" w:ascii="宋体" w:hAnsi="宋体"/>
                <w:b/>
                <w:color w:val="auto"/>
                <w:szCs w:val="24"/>
                <w:highlight w:val="none"/>
              </w:rPr>
              <w:t>费用核对：</w:t>
            </w:r>
            <w:r>
              <w:rPr>
                <w:rFonts w:hint="eastAsia" w:ascii="宋体" w:hAnsi="宋体"/>
                <w:color w:val="auto"/>
                <w:szCs w:val="24"/>
                <w:highlight w:val="none"/>
              </w:rPr>
              <w:t>支持按时间段，查询费用发生时间、费用类型、金额、关联患者、关联服务等，用于费用核对。</w:t>
            </w:r>
          </w:p>
          <w:p>
            <w:pPr>
              <w:pStyle w:val="130"/>
              <w:ind w:firstLine="0"/>
              <w:rPr>
                <w:rFonts w:ascii="宋体" w:hAnsi="宋体"/>
                <w:b/>
                <w:color w:val="auto"/>
                <w:szCs w:val="24"/>
                <w:highlight w:val="none"/>
              </w:rPr>
            </w:pPr>
            <w:r>
              <w:rPr>
                <w:rFonts w:hint="eastAsia" w:ascii="宋体" w:hAnsi="宋体"/>
                <w:b/>
                <w:color w:val="auto"/>
                <w:szCs w:val="24"/>
                <w:highlight w:val="none"/>
              </w:rPr>
              <w:t>（7）上传</w:t>
            </w:r>
          </w:p>
          <w:p>
            <w:pPr>
              <w:pStyle w:val="130"/>
              <w:ind w:firstLine="0"/>
              <w:rPr>
                <w:rFonts w:ascii="宋体" w:hAnsi="宋体"/>
                <w:b/>
                <w:color w:val="auto"/>
                <w:szCs w:val="24"/>
                <w:highlight w:val="none"/>
              </w:rPr>
            </w:pPr>
            <w:r>
              <w:rPr>
                <w:rFonts w:hint="eastAsia" w:ascii="宋体" w:hAnsi="宋体"/>
                <w:b/>
                <w:color w:val="auto"/>
                <w:szCs w:val="24"/>
                <w:highlight w:val="none"/>
              </w:rPr>
              <w:t>上传配置：</w:t>
            </w:r>
          </w:p>
          <w:p>
            <w:pPr>
              <w:pStyle w:val="130"/>
              <w:ind w:firstLine="0"/>
              <w:rPr>
                <w:rFonts w:ascii="宋体" w:hAnsi="宋体"/>
                <w:color w:val="auto"/>
                <w:szCs w:val="24"/>
                <w:highlight w:val="none"/>
              </w:rPr>
            </w:pPr>
            <w:r>
              <w:rPr>
                <w:rFonts w:hint="eastAsia" w:ascii="宋体" w:hAnsi="宋体"/>
                <w:color w:val="auto"/>
                <w:szCs w:val="24"/>
                <w:highlight w:val="none"/>
              </w:rPr>
              <w:t>1、支持用于将应急系统客户端本地数据，回传给医院信息系统主库。</w:t>
            </w:r>
          </w:p>
          <w:p>
            <w:pPr>
              <w:pStyle w:val="130"/>
              <w:ind w:firstLine="0"/>
              <w:rPr>
                <w:rFonts w:ascii="宋体" w:hAnsi="宋体"/>
                <w:color w:val="auto"/>
                <w:szCs w:val="24"/>
                <w:highlight w:val="none"/>
              </w:rPr>
            </w:pPr>
            <w:r>
              <w:rPr>
                <w:rFonts w:hint="eastAsia" w:ascii="宋体" w:hAnsi="宋体"/>
                <w:color w:val="auto"/>
                <w:szCs w:val="24"/>
                <w:highlight w:val="none"/>
              </w:rPr>
              <w:t>2、支持维护上传服务器信息。</w:t>
            </w:r>
          </w:p>
          <w:p>
            <w:pPr>
              <w:pStyle w:val="130"/>
              <w:ind w:firstLine="0"/>
              <w:rPr>
                <w:rFonts w:ascii="宋体" w:hAnsi="宋体"/>
                <w:b/>
                <w:color w:val="auto"/>
                <w:szCs w:val="24"/>
                <w:highlight w:val="none"/>
              </w:rPr>
            </w:pPr>
            <w:r>
              <w:rPr>
                <w:rFonts w:hint="eastAsia" w:ascii="宋体" w:hAnsi="宋体"/>
                <w:b/>
                <w:color w:val="auto"/>
                <w:szCs w:val="24"/>
                <w:highlight w:val="none"/>
              </w:rPr>
              <w:t>数据上传：</w:t>
            </w:r>
          </w:p>
          <w:p>
            <w:pPr>
              <w:pStyle w:val="130"/>
              <w:ind w:firstLine="0"/>
              <w:rPr>
                <w:rFonts w:ascii="宋体" w:hAnsi="宋体"/>
                <w:color w:val="auto"/>
                <w:szCs w:val="24"/>
                <w:highlight w:val="none"/>
              </w:rPr>
            </w:pPr>
            <w:r>
              <w:rPr>
                <w:rFonts w:hint="eastAsia" w:ascii="宋体" w:hAnsi="宋体"/>
                <w:color w:val="auto"/>
                <w:szCs w:val="24"/>
                <w:highlight w:val="none"/>
              </w:rPr>
              <w:t>1、支持患者信息表、就诊信息表、记账明细表、结算单表、销售单表，支持选择要上传的内容。</w:t>
            </w:r>
          </w:p>
          <w:p>
            <w:pPr>
              <w:pStyle w:val="130"/>
              <w:ind w:firstLine="0"/>
              <w:rPr>
                <w:rFonts w:ascii="宋体" w:hAnsi="宋体"/>
                <w:color w:val="auto"/>
                <w:szCs w:val="24"/>
                <w:highlight w:val="none"/>
              </w:rPr>
            </w:pPr>
            <w:r>
              <w:rPr>
                <w:rFonts w:hint="eastAsia" w:ascii="宋体" w:hAnsi="宋体"/>
                <w:color w:val="auto"/>
                <w:szCs w:val="24"/>
                <w:highlight w:val="none"/>
              </w:rPr>
              <w:t>2、支持未上报数据表名、记录数、最近上报日期等显示，支持显示上报进度条。</w:t>
            </w:r>
          </w:p>
          <w:p>
            <w:pPr>
              <w:pStyle w:val="130"/>
              <w:ind w:firstLine="0"/>
              <w:rPr>
                <w:rFonts w:ascii="宋体" w:hAnsi="宋体"/>
                <w:b/>
                <w:color w:val="auto"/>
                <w:szCs w:val="24"/>
                <w:highlight w:val="none"/>
              </w:rPr>
            </w:pPr>
            <w:r>
              <w:rPr>
                <w:rFonts w:hint="eastAsia" w:ascii="宋体" w:hAnsi="宋体"/>
                <w:b/>
                <w:color w:val="auto"/>
                <w:szCs w:val="24"/>
                <w:highlight w:val="none"/>
              </w:rPr>
              <w:t>（8）应急数据上报</w:t>
            </w:r>
          </w:p>
          <w:p>
            <w:pPr>
              <w:pStyle w:val="130"/>
              <w:ind w:firstLine="0"/>
              <w:rPr>
                <w:rFonts w:ascii="宋体" w:hAnsi="宋体"/>
                <w:b/>
                <w:color w:val="auto"/>
                <w:szCs w:val="24"/>
                <w:highlight w:val="none"/>
              </w:rPr>
            </w:pPr>
            <w:r>
              <w:rPr>
                <w:rFonts w:hint="eastAsia" w:ascii="宋体" w:hAnsi="宋体"/>
                <w:b/>
                <w:color w:val="auto"/>
                <w:szCs w:val="24"/>
                <w:highlight w:val="none"/>
              </w:rPr>
              <w:t>待上报数据：</w:t>
            </w:r>
          </w:p>
          <w:p>
            <w:pPr>
              <w:pStyle w:val="130"/>
              <w:ind w:firstLine="0"/>
              <w:rPr>
                <w:rFonts w:ascii="宋体" w:hAnsi="宋体"/>
                <w:color w:val="auto"/>
                <w:szCs w:val="24"/>
                <w:highlight w:val="none"/>
              </w:rPr>
            </w:pPr>
            <w:r>
              <w:rPr>
                <w:rFonts w:hint="eastAsia" w:ascii="宋体" w:hAnsi="宋体"/>
                <w:color w:val="auto"/>
                <w:szCs w:val="24"/>
                <w:highlight w:val="none"/>
              </w:rPr>
              <w:t>1、支持用于对应急系统客户端上报数据的审核和上报。</w:t>
            </w:r>
          </w:p>
          <w:p>
            <w:pPr>
              <w:pStyle w:val="130"/>
              <w:ind w:firstLine="0"/>
              <w:rPr>
                <w:rFonts w:ascii="宋体" w:hAnsi="宋体"/>
                <w:color w:val="auto"/>
                <w:szCs w:val="24"/>
                <w:highlight w:val="none"/>
              </w:rPr>
            </w:pPr>
            <w:r>
              <w:rPr>
                <w:rFonts w:hint="eastAsia" w:ascii="宋体" w:hAnsi="宋体"/>
                <w:color w:val="auto"/>
                <w:szCs w:val="24"/>
                <w:highlight w:val="none"/>
              </w:rPr>
              <w:t>2、支持全部上报和部分上报。</w:t>
            </w:r>
          </w:p>
          <w:p>
            <w:pPr>
              <w:pStyle w:val="130"/>
              <w:ind w:firstLine="0"/>
              <w:rPr>
                <w:rFonts w:ascii="宋体" w:hAnsi="宋体"/>
                <w:color w:val="auto"/>
                <w:szCs w:val="24"/>
                <w:highlight w:val="none"/>
              </w:rPr>
            </w:pPr>
            <w:r>
              <w:rPr>
                <w:rFonts w:hint="eastAsia" w:ascii="宋体" w:hAnsi="宋体"/>
                <w:b/>
                <w:color w:val="auto"/>
                <w:szCs w:val="24"/>
                <w:highlight w:val="none"/>
              </w:rPr>
              <w:t>已上报数据：</w:t>
            </w:r>
            <w:r>
              <w:rPr>
                <w:rFonts w:hint="eastAsia" w:ascii="宋体" w:hAnsi="宋体"/>
                <w:color w:val="auto"/>
                <w:szCs w:val="24"/>
                <w:highlight w:val="none"/>
              </w:rPr>
              <w:t>支持查询已上报记录。</w:t>
            </w:r>
          </w:p>
          <w:p>
            <w:pPr>
              <w:pStyle w:val="201"/>
              <w:spacing w:line="360" w:lineRule="auto"/>
              <w:ind w:left="0" w:right="105" w:rightChars="50" w:firstLine="482"/>
              <w:rPr>
                <w:rFonts w:ascii="宋体" w:hAnsi="宋体" w:eastAsia="宋体"/>
                <w:color w:val="auto"/>
                <w:spacing w:val="-4"/>
                <w:sz w:val="24"/>
                <w:highlight w:val="none"/>
                <w:lang w:eastAsia="zh-CN"/>
              </w:rPr>
            </w:pPr>
            <w:r>
              <w:rPr>
                <w:rFonts w:hint="eastAsia" w:ascii="宋体" w:hAnsi="宋体" w:eastAsia="宋体"/>
                <w:b/>
                <w:color w:val="auto"/>
                <w:sz w:val="24"/>
                <w:highlight w:val="none"/>
                <w:lang w:eastAsia="zh-CN"/>
              </w:rPr>
              <w:t>上报历史：</w:t>
            </w:r>
            <w:r>
              <w:rPr>
                <w:rFonts w:hint="eastAsia" w:ascii="宋体" w:hAnsi="宋体" w:eastAsia="宋体"/>
                <w:color w:val="auto"/>
                <w:sz w:val="24"/>
                <w:highlight w:val="none"/>
                <w:lang w:eastAsia="zh-CN"/>
              </w:rPr>
              <w:t>支持查询上报历史，含上报时间、上报人、是否成功等信息。</w:t>
            </w:r>
          </w:p>
        </w:tc>
      </w:tr>
    </w:tbl>
    <w:p>
      <w:pPr>
        <w:pStyle w:val="6"/>
        <w:numPr>
          <w:ilvl w:val="3"/>
          <w:numId w:val="8"/>
        </w:numPr>
        <w:spacing w:before="280" w:after="290" w:line="376" w:lineRule="auto"/>
        <w:rPr>
          <w:rFonts w:ascii="宋体" w:hAnsi="宋体"/>
          <w:color w:val="auto"/>
          <w:szCs w:val="24"/>
          <w:highlight w:val="none"/>
        </w:rPr>
      </w:pPr>
      <w:bookmarkStart w:id="602" w:name="_Toc18995"/>
      <w:r>
        <w:rPr>
          <w:rFonts w:hint="eastAsia" w:ascii="宋体" w:hAnsi="宋体"/>
          <w:color w:val="auto"/>
          <w:szCs w:val="24"/>
          <w:highlight w:val="none"/>
        </w:rPr>
        <w:t>结构化病历编辑器</w:t>
      </w:r>
      <w:bookmarkEnd w:id="602"/>
    </w:p>
    <w:p>
      <w:pPr>
        <w:spacing w:line="360" w:lineRule="auto"/>
        <w:ind w:firstLine="480" w:firstLineChars="200"/>
        <w:rPr>
          <w:rFonts w:ascii="宋体" w:hAnsi="宋体"/>
          <w:color w:val="auto"/>
          <w:sz w:val="24"/>
          <w:highlight w:val="none"/>
          <w:lang w:bidi="ar"/>
        </w:rPr>
      </w:pPr>
      <w:r>
        <w:rPr>
          <w:rFonts w:ascii="宋体" w:hAnsi="宋体"/>
          <w:color w:val="auto"/>
          <w:sz w:val="24"/>
          <w:highlight w:val="none"/>
          <w:lang w:bidi="ar"/>
        </w:rPr>
        <w:t xml:space="preserve">所见即可得的结构化电子病历编辑器，是结构化电子病历系统的实现基础，对结构化病历数据的采集、整理、存储提供技术支撑，并提供符合临床和管理要求的书写特性。 </w:t>
      </w:r>
    </w:p>
    <w:p>
      <w:pPr>
        <w:spacing w:line="360" w:lineRule="auto"/>
        <w:ind w:firstLine="480" w:firstLineChars="200"/>
        <w:rPr>
          <w:rFonts w:ascii="宋体" w:hAnsi="宋体"/>
          <w:color w:val="auto"/>
          <w:sz w:val="24"/>
          <w:highlight w:val="none"/>
          <w:lang w:bidi="ar"/>
        </w:rPr>
      </w:pPr>
      <w:r>
        <w:rPr>
          <w:rFonts w:hint="eastAsia" w:ascii="宋体" w:hAnsi="宋体"/>
          <w:color w:val="auto"/>
          <w:sz w:val="24"/>
          <w:highlight w:val="none"/>
          <w:lang w:bidi="ar"/>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trPr>
        <w:tc>
          <w:tcPr>
            <w:tcW w:w="1980"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7087"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6"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olor w:val="auto"/>
                <w:sz w:val="24"/>
                <w:highlight w:val="none"/>
              </w:rPr>
              <w:t>结构化病历编辑器</w:t>
            </w:r>
          </w:p>
        </w:tc>
        <w:tc>
          <w:tcPr>
            <w:tcW w:w="7087" w:type="dxa"/>
          </w:tcPr>
          <w:p>
            <w:pPr>
              <w:pStyle w:val="201"/>
              <w:numPr>
                <w:ilvl w:val="0"/>
                <w:numId w:val="9"/>
              </w:numPr>
              <w:spacing w:before="0" w:line="360" w:lineRule="auto"/>
              <w:ind w:left="368"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支持信息共享及自动填充，新建和打开病历时，自动提取患者基本信息填充到病历。</w:t>
            </w:r>
          </w:p>
          <w:p>
            <w:pPr>
              <w:pStyle w:val="201"/>
              <w:numPr>
                <w:ilvl w:val="0"/>
                <w:numId w:val="9"/>
              </w:numPr>
              <w:spacing w:before="0" w:line="360" w:lineRule="auto"/>
              <w:ind w:left="368"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支持保存病历时自动检查病历中的缺陷，并给出标记提示，检查必须输入的内容是否已输入，对于未输入的以红点标记。</w:t>
            </w:r>
          </w:p>
          <w:p>
            <w:pPr>
              <w:pStyle w:val="201"/>
              <w:numPr>
                <w:ilvl w:val="0"/>
                <w:numId w:val="9"/>
              </w:numPr>
              <w:spacing w:before="0" w:line="360" w:lineRule="auto"/>
              <w:ind w:left="368"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支持自动过滤患者特征无关信息，例如患者为男性时，自动隐藏月经史信息；患者年龄小于16岁（可自定义）隐藏婚育史信息等。</w:t>
            </w:r>
          </w:p>
          <w:p>
            <w:pPr>
              <w:pStyle w:val="201"/>
              <w:numPr>
                <w:ilvl w:val="0"/>
                <w:numId w:val="9"/>
              </w:numPr>
              <w:spacing w:before="0" w:line="360" w:lineRule="auto"/>
              <w:ind w:left="368"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支持病历内容自动校验，支持输入域对内容进行自动校验，校验失败时做出提示。</w:t>
            </w:r>
          </w:p>
          <w:p>
            <w:pPr>
              <w:pStyle w:val="201"/>
              <w:numPr>
                <w:ilvl w:val="0"/>
                <w:numId w:val="9"/>
              </w:numPr>
              <w:spacing w:before="0" w:line="360" w:lineRule="auto"/>
              <w:ind w:left="368"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支持脚本语言辅助病历书写。</w:t>
            </w:r>
          </w:p>
          <w:p>
            <w:pPr>
              <w:pStyle w:val="201"/>
              <w:numPr>
                <w:ilvl w:val="0"/>
                <w:numId w:val="9"/>
              </w:numPr>
              <w:spacing w:before="0" w:line="360" w:lineRule="auto"/>
              <w:ind w:left="368"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支持关联内容隐藏控制：如“吸烟史”的值为“无”，则“吸烟史”后续相关输入域自动隐藏，无须输入也不参与输入合法性校验。</w:t>
            </w:r>
          </w:p>
          <w:p>
            <w:pPr>
              <w:pStyle w:val="201"/>
              <w:numPr>
                <w:ilvl w:val="0"/>
                <w:numId w:val="9"/>
              </w:numPr>
              <w:spacing w:before="0" w:line="360" w:lineRule="auto"/>
              <w:ind w:left="368"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支持内容自动拼接，可设置多个输入域内容自动拼接。</w:t>
            </w:r>
          </w:p>
          <w:p>
            <w:pPr>
              <w:pStyle w:val="201"/>
              <w:numPr>
                <w:ilvl w:val="0"/>
                <w:numId w:val="9"/>
              </w:numPr>
              <w:spacing w:before="0" w:line="360" w:lineRule="auto"/>
              <w:ind w:left="368"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支持自动计算时间，可根据入院时间和出院时间自动计算住院天数等。</w:t>
            </w:r>
          </w:p>
          <w:p>
            <w:pPr>
              <w:pStyle w:val="201"/>
              <w:numPr>
                <w:ilvl w:val="0"/>
                <w:numId w:val="9"/>
              </w:numPr>
              <w:spacing w:before="0" w:line="360" w:lineRule="auto"/>
              <w:ind w:left="368"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支持输入域自动计算：支持自动求和，平方等数学计算，可根据住院天数，自动计算关联费用，可根据护理项目自动计算护理评分等。</w:t>
            </w:r>
          </w:p>
          <w:p>
            <w:pPr>
              <w:pStyle w:val="201"/>
              <w:numPr>
                <w:ilvl w:val="0"/>
                <w:numId w:val="9"/>
              </w:numPr>
              <w:spacing w:before="0" w:line="360" w:lineRule="auto"/>
              <w:ind w:left="368"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支持输入内容自动同步：一式三联类型的病历中，自动同步编辑三联中的相同输入域、表格在宽高调整时自动同步关联表等。</w:t>
            </w:r>
          </w:p>
          <w:p>
            <w:pPr>
              <w:pStyle w:val="201"/>
              <w:numPr>
                <w:ilvl w:val="0"/>
                <w:numId w:val="9"/>
              </w:numPr>
              <w:spacing w:before="0" w:line="360" w:lineRule="auto"/>
              <w:ind w:left="368"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支持选择项自动同步，可设置多个选择项的选中状态同步，可单向关联，也可双向关联。</w:t>
            </w:r>
          </w:p>
          <w:p>
            <w:pPr>
              <w:pStyle w:val="201"/>
              <w:numPr>
                <w:ilvl w:val="0"/>
                <w:numId w:val="9"/>
              </w:numPr>
              <w:spacing w:before="0" w:line="360" w:lineRule="auto"/>
              <w:ind w:left="368"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支持标尺图形联动，可将输入值以刻度尺（精度可设置）形态展示，并随输入值动态变化。</w:t>
            </w:r>
          </w:p>
          <w:p>
            <w:pPr>
              <w:pStyle w:val="201"/>
              <w:numPr>
                <w:ilvl w:val="0"/>
                <w:numId w:val="9"/>
              </w:numPr>
              <w:spacing w:before="0" w:line="360" w:lineRule="auto"/>
              <w:ind w:left="368"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支持专用医学表达式，支持医学多种医学表达式，月经公式、瞳孔图、光定位图、胎心图、标尺，牙位图等。</w:t>
            </w:r>
          </w:p>
          <w:p>
            <w:pPr>
              <w:pStyle w:val="201"/>
              <w:numPr>
                <w:ilvl w:val="0"/>
                <w:numId w:val="9"/>
              </w:numPr>
              <w:spacing w:before="0" w:line="360" w:lineRule="auto"/>
              <w:ind w:left="368"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支持病历留痕/变更履历，支持留痕模式，可以查看修改履历，病历保存后会自动生产修改痕迹，方便查看病历变更情况。</w:t>
            </w:r>
          </w:p>
          <w:p>
            <w:pPr>
              <w:pStyle w:val="201"/>
              <w:numPr>
                <w:ilvl w:val="0"/>
                <w:numId w:val="9"/>
              </w:numPr>
              <w:spacing w:before="0" w:line="360" w:lineRule="auto"/>
              <w:ind w:left="368"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支持XML标准，从而方便转换为符合CDA医疗数据交换标准的XML文档，从而可被其他符合标准的编辑器系统兼容，以及科研应用支持留痕模式，可以查看修改履历。</w:t>
            </w:r>
          </w:p>
          <w:p>
            <w:pPr>
              <w:pStyle w:val="201"/>
              <w:numPr>
                <w:ilvl w:val="0"/>
                <w:numId w:val="9"/>
              </w:numPr>
              <w:spacing w:before="0" w:line="360" w:lineRule="auto"/>
              <w:ind w:left="368"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支持提供运维、客户开发二次接口，可以通过多种方式进行二次开发，提供链接元素，可以直接编写SQL语句进行数据库访问取值，以实现元素的定制开发。</w:t>
            </w:r>
          </w:p>
          <w:p>
            <w:pPr>
              <w:pStyle w:val="201"/>
              <w:numPr>
                <w:ilvl w:val="0"/>
                <w:numId w:val="9"/>
              </w:numPr>
              <w:spacing w:before="0" w:line="360" w:lineRule="auto"/>
              <w:ind w:left="368"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支持写病历时引用医嘱、检查、检验等。</w:t>
            </w:r>
          </w:p>
          <w:p>
            <w:pPr>
              <w:pStyle w:val="201"/>
              <w:numPr>
                <w:ilvl w:val="0"/>
                <w:numId w:val="9"/>
              </w:numPr>
              <w:spacing w:before="0" w:line="360" w:lineRule="auto"/>
              <w:ind w:left="368"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支持病历元素可根据不同业务场景，实现不可见、不打印的细粒度控制。</w:t>
            </w:r>
          </w:p>
          <w:p>
            <w:pPr>
              <w:pStyle w:val="201"/>
              <w:numPr>
                <w:ilvl w:val="0"/>
                <w:numId w:val="9"/>
              </w:numPr>
              <w:spacing w:before="0" w:line="360" w:lineRule="auto"/>
              <w:ind w:left="368"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支持打印时动态产生二维码（基于住院号、就诊编码等患者就诊信息），可供移动医疗APP实现扫码业务。</w:t>
            </w:r>
          </w:p>
        </w:tc>
      </w:tr>
    </w:tbl>
    <w:p>
      <w:pPr>
        <w:pStyle w:val="6"/>
        <w:numPr>
          <w:ilvl w:val="3"/>
          <w:numId w:val="8"/>
        </w:numPr>
        <w:spacing w:before="280" w:after="290" w:line="376" w:lineRule="auto"/>
        <w:rPr>
          <w:rFonts w:ascii="宋体" w:hAnsi="宋体"/>
          <w:color w:val="auto"/>
          <w:szCs w:val="24"/>
          <w:highlight w:val="none"/>
        </w:rPr>
      </w:pPr>
      <w:bookmarkStart w:id="603" w:name="_Toc14204"/>
      <w:r>
        <w:rPr>
          <w:rFonts w:hint="eastAsia" w:ascii="宋体" w:hAnsi="宋体"/>
          <w:color w:val="auto"/>
          <w:szCs w:val="24"/>
          <w:highlight w:val="none"/>
        </w:rPr>
        <w:t>门诊电子病历</w:t>
      </w:r>
      <w:bookmarkEnd w:id="603"/>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按照《病历书写基本规范》要求，支持病历书写及时完整、规范。主要内容包括初诊电子病历、复诊电子病历急诊电子病历、电子传染病报告、电子出生证明和电子死亡医学证明等。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系统需满足以下功能：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980" w:type="dxa"/>
            <w:shd w:val="clear" w:color="auto" w:fill="4471C4"/>
            <w:vAlign w:val="center"/>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7087"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80" w:type="dxa"/>
            <w:vAlign w:val="center"/>
          </w:tcPr>
          <w:p>
            <w:pPr>
              <w:autoSpaceDE w:val="0"/>
              <w:autoSpaceDN w:val="0"/>
              <w:spacing w:line="360" w:lineRule="auto"/>
              <w:ind w:left="125" w:right="103" w:rightChars="49"/>
              <w:jc w:val="center"/>
              <w:rPr>
                <w:rFonts w:ascii="宋体" w:hAnsi="宋体" w:cs="仿宋"/>
                <w:b/>
                <w:color w:val="auto"/>
                <w:sz w:val="24"/>
                <w:highlight w:val="none"/>
                <w:lang w:bidi="zh-CN"/>
              </w:rPr>
            </w:pPr>
            <w:r>
              <w:rPr>
                <w:rFonts w:hint="eastAsia" w:ascii="宋体" w:hAnsi="宋体" w:cs="仿宋"/>
                <w:b/>
                <w:color w:val="auto"/>
                <w:sz w:val="24"/>
                <w:highlight w:val="none"/>
              </w:rPr>
              <w:t>病历模板管理</w:t>
            </w:r>
          </w:p>
        </w:tc>
        <w:tc>
          <w:tcPr>
            <w:tcW w:w="7087" w:type="dxa"/>
            <w:vAlign w:val="center"/>
          </w:tcPr>
          <w:p>
            <w:pPr>
              <w:spacing w:line="360" w:lineRule="auto"/>
              <w:rPr>
                <w:rFonts w:ascii="宋体" w:hAnsi="宋体"/>
                <w:b/>
                <w:bCs/>
                <w:color w:val="auto"/>
                <w:sz w:val="24"/>
                <w:highlight w:val="none"/>
              </w:rPr>
            </w:pPr>
            <w:r>
              <w:rPr>
                <w:rFonts w:hint="eastAsia" w:ascii="宋体" w:hAnsi="宋体"/>
                <w:b/>
                <w:bCs/>
                <w:color w:val="auto"/>
                <w:sz w:val="24"/>
                <w:highlight w:val="none"/>
              </w:rPr>
              <w:t>（1）门急诊医生站</w:t>
            </w:r>
          </w:p>
          <w:p>
            <w:pPr>
              <w:spacing w:line="360" w:lineRule="auto"/>
              <w:rPr>
                <w:rFonts w:ascii="宋体" w:hAnsi="宋体"/>
                <w:color w:val="auto"/>
                <w:sz w:val="24"/>
                <w:highlight w:val="none"/>
              </w:rPr>
            </w:pPr>
            <w:r>
              <w:rPr>
                <w:rFonts w:hint="eastAsia" w:ascii="宋体" w:hAnsi="宋体"/>
                <w:b/>
                <w:bCs/>
                <w:color w:val="auto"/>
                <w:sz w:val="24"/>
                <w:highlight w:val="none"/>
              </w:rPr>
              <w:t>病历书写：支持</w:t>
            </w:r>
            <w:r>
              <w:rPr>
                <w:rFonts w:hint="eastAsia" w:ascii="宋体" w:hAnsi="宋体"/>
                <w:color w:val="auto"/>
                <w:sz w:val="24"/>
                <w:highlight w:val="none"/>
              </w:rPr>
              <w:t>门诊病历结构化书写。</w:t>
            </w:r>
          </w:p>
          <w:p>
            <w:pPr>
              <w:spacing w:line="360" w:lineRule="auto"/>
              <w:rPr>
                <w:rFonts w:ascii="宋体" w:hAnsi="宋体"/>
                <w:color w:val="auto"/>
                <w:sz w:val="24"/>
                <w:highlight w:val="none"/>
              </w:rPr>
            </w:pPr>
            <w:r>
              <w:rPr>
                <w:rFonts w:hint="eastAsia" w:ascii="宋体" w:hAnsi="宋体"/>
                <w:b/>
                <w:bCs/>
                <w:color w:val="auto"/>
                <w:sz w:val="24"/>
                <w:highlight w:val="none"/>
              </w:rPr>
              <w:t>病历签署、患者签署：</w:t>
            </w:r>
            <w:r>
              <w:rPr>
                <w:rFonts w:hint="eastAsia" w:ascii="宋体" w:hAnsi="宋体"/>
                <w:color w:val="auto"/>
                <w:sz w:val="24"/>
                <w:highlight w:val="none"/>
              </w:rPr>
              <w:t>支持对病历进行医生、患者签名并提交。</w:t>
            </w:r>
          </w:p>
          <w:p>
            <w:pPr>
              <w:spacing w:line="360" w:lineRule="auto"/>
              <w:rPr>
                <w:rFonts w:ascii="宋体" w:hAnsi="宋体"/>
                <w:color w:val="auto"/>
                <w:sz w:val="24"/>
                <w:highlight w:val="none"/>
              </w:rPr>
            </w:pPr>
            <w:r>
              <w:rPr>
                <w:rFonts w:hint="eastAsia" w:ascii="宋体" w:hAnsi="宋体"/>
                <w:b/>
                <w:bCs/>
                <w:color w:val="auto"/>
                <w:sz w:val="24"/>
                <w:highlight w:val="none"/>
              </w:rPr>
              <w:t>病历内容校验：</w:t>
            </w:r>
            <w:r>
              <w:rPr>
                <w:rFonts w:hint="eastAsia" w:ascii="宋体" w:hAnsi="宋体"/>
                <w:color w:val="auto"/>
                <w:sz w:val="24"/>
                <w:highlight w:val="none"/>
              </w:rPr>
              <w:t>支持病历保存，提交，打印的时候进行校验（例：必填项）。</w:t>
            </w:r>
          </w:p>
          <w:p>
            <w:pPr>
              <w:spacing w:line="360" w:lineRule="auto"/>
              <w:rPr>
                <w:rFonts w:ascii="宋体" w:hAnsi="宋体"/>
                <w:color w:val="auto"/>
                <w:sz w:val="24"/>
                <w:highlight w:val="none"/>
              </w:rPr>
            </w:pPr>
            <w:r>
              <w:rPr>
                <w:rFonts w:hint="eastAsia" w:ascii="宋体" w:hAnsi="宋体"/>
                <w:b/>
                <w:bCs/>
                <w:color w:val="auto"/>
                <w:sz w:val="24"/>
                <w:highlight w:val="none"/>
              </w:rPr>
              <w:t>病历引用：</w:t>
            </w:r>
            <w:r>
              <w:rPr>
                <w:rFonts w:hint="eastAsia" w:ascii="宋体" w:hAnsi="宋体"/>
                <w:color w:val="auto"/>
                <w:sz w:val="24"/>
                <w:highlight w:val="none"/>
              </w:rPr>
              <w:t>支持对不用病历中的相同元素内容进行引用。</w:t>
            </w:r>
          </w:p>
          <w:p>
            <w:pPr>
              <w:spacing w:line="360" w:lineRule="auto"/>
              <w:rPr>
                <w:rFonts w:ascii="宋体" w:hAnsi="宋体"/>
                <w:color w:val="auto"/>
                <w:sz w:val="24"/>
                <w:highlight w:val="none"/>
              </w:rPr>
            </w:pPr>
            <w:r>
              <w:rPr>
                <w:rFonts w:hint="eastAsia" w:ascii="宋体" w:hAnsi="宋体"/>
                <w:b/>
                <w:bCs/>
                <w:color w:val="auto"/>
                <w:sz w:val="24"/>
                <w:highlight w:val="none"/>
              </w:rPr>
              <w:t>病历留痕查看：</w:t>
            </w:r>
            <w:r>
              <w:rPr>
                <w:rFonts w:hint="eastAsia" w:ascii="宋体" w:hAnsi="宋体"/>
                <w:color w:val="auto"/>
                <w:sz w:val="24"/>
                <w:highlight w:val="none"/>
              </w:rPr>
              <w:t>支持查看修改痕迹。</w:t>
            </w:r>
          </w:p>
          <w:p>
            <w:pPr>
              <w:spacing w:line="360" w:lineRule="auto"/>
              <w:rPr>
                <w:rFonts w:ascii="宋体" w:hAnsi="宋体"/>
                <w:color w:val="auto"/>
                <w:sz w:val="24"/>
                <w:highlight w:val="none"/>
              </w:rPr>
            </w:pPr>
            <w:r>
              <w:rPr>
                <w:rFonts w:hint="eastAsia" w:ascii="宋体" w:hAnsi="宋体"/>
                <w:b/>
                <w:bCs/>
                <w:color w:val="auto"/>
                <w:sz w:val="24"/>
                <w:highlight w:val="none"/>
              </w:rPr>
              <w:t>病历刷值：</w:t>
            </w:r>
            <w:r>
              <w:rPr>
                <w:rFonts w:hint="eastAsia" w:ascii="宋体" w:hAnsi="宋体"/>
                <w:color w:val="auto"/>
                <w:sz w:val="24"/>
                <w:highlight w:val="none"/>
              </w:rPr>
              <w:t>支持自动刷入内容（例：患者信息），也可手动刷入更新内容。</w:t>
            </w:r>
          </w:p>
          <w:p>
            <w:pPr>
              <w:spacing w:line="360" w:lineRule="auto"/>
              <w:rPr>
                <w:rFonts w:ascii="宋体" w:hAnsi="宋体"/>
                <w:color w:val="auto"/>
                <w:sz w:val="24"/>
                <w:highlight w:val="none"/>
              </w:rPr>
            </w:pPr>
            <w:r>
              <w:rPr>
                <w:rFonts w:hint="eastAsia" w:ascii="宋体" w:hAnsi="宋体"/>
                <w:b/>
                <w:bCs/>
                <w:color w:val="auto"/>
                <w:sz w:val="24"/>
                <w:highlight w:val="none"/>
              </w:rPr>
              <w:t>病历打印：</w:t>
            </w:r>
            <w:r>
              <w:rPr>
                <w:rFonts w:hint="eastAsia" w:ascii="宋体" w:hAnsi="宋体"/>
                <w:color w:val="auto"/>
                <w:sz w:val="24"/>
                <w:highlight w:val="none"/>
              </w:rPr>
              <w:t>支持病历打印</w:t>
            </w:r>
          </w:p>
          <w:p>
            <w:pPr>
              <w:spacing w:line="360" w:lineRule="auto"/>
              <w:rPr>
                <w:rFonts w:ascii="宋体" w:hAnsi="宋体"/>
                <w:b/>
                <w:bCs/>
                <w:color w:val="auto"/>
                <w:sz w:val="24"/>
                <w:highlight w:val="none"/>
              </w:rPr>
            </w:pPr>
            <w:r>
              <w:rPr>
                <w:rFonts w:hint="eastAsia" w:ascii="宋体" w:hAnsi="宋体"/>
                <w:b/>
                <w:bCs/>
                <w:color w:val="auto"/>
                <w:sz w:val="24"/>
                <w:highlight w:val="none"/>
              </w:rPr>
              <w:t>专科模板推荐：</w:t>
            </w:r>
          </w:p>
          <w:p>
            <w:pPr>
              <w:spacing w:line="360" w:lineRule="auto"/>
              <w:rPr>
                <w:rFonts w:ascii="宋体" w:hAnsi="宋体"/>
                <w:color w:val="auto"/>
                <w:sz w:val="24"/>
                <w:highlight w:val="none"/>
              </w:rPr>
            </w:pPr>
            <w:r>
              <w:rPr>
                <w:rFonts w:hint="eastAsia" w:ascii="宋体" w:hAnsi="宋体"/>
                <w:color w:val="auto"/>
                <w:sz w:val="24"/>
                <w:highlight w:val="none"/>
              </w:rPr>
              <w:t>1、支持专科模板推荐，可根据全院统一指标和专科指标权重（例如诊断、年龄），为门诊医生推荐最匹配病历模板。</w:t>
            </w:r>
          </w:p>
          <w:p>
            <w:pPr>
              <w:spacing w:line="360" w:lineRule="auto"/>
              <w:rPr>
                <w:rFonts w:ascii="宋体" w:hAnsi="宋体"/>
                <w:color w:val="auto"/>
                <w:sz w:val="24"/>
                <w:highlight w:val="none"/>
              </w:rPr>
            </w:pPr>
            <w:r>
              <w:rPr>
                <w:rFonts w:hint="eastAsia" w:ascii="宋体" w:hAnsi="宋体"/>
                <w:color w:val="auto"/>
                <w:sz w:val="24"/>
                <w:highlight w:val="none"/>
              </w:rPr>
              <w:t>2、支持推荐权重以及匹配的条件支持客户自定义。</w:t>
            </w:r>
          </w:p>
          <w:p>
            <w:pPr>
              <w:spacing w:line="360" w:lineRule="auto"/>
              <w:rPr>
                <w:rFonts w:ascii="宋体" w:hAnsi="宋体"/>
                <w:color w:val="auto"/>
                <w:sz w:val="24"/>
                <w:highlight w:val="none"/>
              </w:rPr>
            </w:pPr>
            <w:r>
              <w:rPr>
                <w:rFonts w:hint="eastAsia" w:ascii="宋体" w:hAnsi="宋体"/>
                <w:b/>
                <w:bCs/>
                <w:color w:val="auto"/>
                <w:sz w:val="24"/>
                <w:highlight w:val="none"/>
              </w:rPr>
              <w:t>历史病历：</w:t>
            </w:r>
            <w:r>
              <w:rPr>
                <w:rFonts w:hint="eastAsia" w:ascii="宋体" w:hAnsi="宋体"/>
                <w:color w:val="auto"/>
                <w:sz w:val="24"/>
                <w:highlight w:val="none"/>
              </w:rPr>
              <w:t>支持查看，回写历史病历的内容。</w:t>
            </w:r>
          </w:p>
          <w:p>
            <w:pPr>
              <w:spacing w:line="360" w:lineRule="auto"/>
              <w:rPr>
                <w:rFonts w:ascii="宋体" w:hAnsi="宋体"/>
                <w:color w:val="auto"/>
                <w:sz w:val="24"/>
                <w:highlight w:val="none"/>
              </w:rPr>
            </w:pPr>
            <w:r>
              <w:rPr>
                <w:rFonts w:hint="eastAsia" w:ascii="宋体" w:hAnsi="宋体"/>
                <w:b/>
                <w:bCs/>
                <w:color w:val="auto"/>
                <w:sz w:val="24"/>
                <w:highlight w:val="none"/>
              </w:rPr>
              <w:t>病历个人知识库：</w:t>
            </w:r>
            <w:r>
              <w:rPr>
                <w:rFonts w:hint="eastAsia" w:ascii="宋体" w:hAnsi="宋体"/>
                <w:color w:val="auto"/>
                <w:sz w:val="24"/>
                <w:highlight w:val="none"/>
              </w:rPr>
              <w:t>支持从个人知识库回写到病历中。</w:t>
            </w:r>
          </w:p>
          <w:p>
            <w:pPr>
              <w:spacing w:line="360" w:lineRule="auto"/>
              <w:rPr>
                <w:rFonts w:ascii="宋体" w:hAnsi="宋体"/>
                <w:color w:val="auto"/>
                <w:sz w:val="24"/>
                <w:highlight w:val="none"/>
              </w:rPr>
            </w:pPr>
            <w:r>
              <w:rPr>
                <w:rFonts w:hint="eastAsia" w:ascii="宋体" w:hAnsi="宋体"/>
                <w:b/>
                <w:bCs/>
                <w:color w:val="auto"/>
                <w:sz w:val="24"/>
                <w:highlight w:val="none"/>
              </w:rPr>
              <w:t>传染病报卡：</w:t>
            </w:r>
            <w:r>
              <w:rPr>
                <w:rFonts w:hint="eastAsia" w:ascii="宋体" w:hAnsi="宋体"/>
                <w:color w:val="auto"/>
                <w:sz w:val="24"/>
                <w:highlight w:val="none"/>
              </w:rPr>
              <w:t>支持编辑、上报传染病报卡。</w:t>
            </w:r>
          </w:p>
          <w:p>
            <w:pPr>
              <w:spacing w:line="360" w:lineRule="auto"/>
              <w:rPr>
                <w:rFonts w:ascii="宋体" w:hAnsi="宋体"/>
                <w:color w:val="auto"/>
                <w:sz w:val="24"/>
                <w:highlight w:val="none"/>
              </w:rPr>
            </w:pPr>
            <w:r>
              <w:rPr>
                <w:rFonts w:hint="eastAsia" w:ascii="宋体" w:hAnsi="宋体"/>
                <w:b/>
                <w:bCs/>
                <w:color w:val="auto"/>
                <w:sz w:val="24"/>
                <w:highlight w:val="none"/>
              </w:rPr>
              <w:t>死亡医学证明：</w:t>
            </w:r>
            <w:r>
              <w:rPr>
                <w:rFonts w:hint="eastAsia" w:ascii="宋体" w:hAnsi="宋体"/>
                <w:color w:val="auto"/>
                <w:sz w:val="24"/>
                <w:highlight w:val="none"/>
              </w:rPr>
              <w:t>支持编辑、提交死亡医学证明。</w:t>
            </w:r>
          </w:p>
          <w:p>
            <w:pPr>
              <w:pStyle w:val="201"/>
              <w:spacing w:before="0" w:line="360" w:lineRule="auto"/>
              <w:ind w:left="0" w:right="105" w:rightChars="50" w:firstLine="482"/>
              <w:rPr>
                <w:rFonts w:ascii="宋体" w:hAnsi="宋体" w:eastAsia="宋体"/>
                <w:color w:val="auto"/>
                <w:sz w:val="24"/>
                <w:highlight w:val="none"/>
                <w:lang w:val="zh-CN" w:eastAsia="zh-CN" w:bidi="zh-CN"/>
              </w:rPr>
            </w:pPr>
            <w:r>
              <w:rPr>
                <w:rFonts w:hint="eastAsia" w:ascii="宋体" w:hAnsi="宋体" w:eastAsia="宋体"/>
                <w:b/>
                <w:bCs/>
                <w:color w:val="auto"/>
                <w:sz w:val="24"/>
                <w:highlight w:val="none"/>
                <w:lang w:eastAsia="zh-CN"/>
              </w:rPr>
              <w:t>牙周组织检查表：</w:t>
            </w:r>
            <w:r>
              <w:rPr>
                <w:rFonts w:hint="eastAsia" w:ascii="宋体" w:hAnsi="宋体" w:eastAsia="宋体"/>
                <w:color w:val="auto"/>
                <w:sz w:val="24"/>
                <w:highlight w:val="none"/>
                <w:lang w:eastAsia="zh-CN"/>
              </w:rPr>
              <w:t>支持编辑、打印牙周组织检查表。</w:t>
            </w:r>
          </w:p>
          <w:p>
            <w:pPr>
              <w:spacing w:line="360" w:lineRule="auto"/>
              <w:rPr>
                <w:rFonts w:ascii="宋体" w:hAnsi="宋体"/>
                <w:b/>
                <w:bCs/>
                <w:color w:val="auto"/>
                <w:sz w:val="24"/>
                <w:highlight w:val="none"/>
              </w:rPr>
            </w:pPr>
            <w:r>
              <w:rPr>
                <w:rFonts w:hint="eastAsia" w:ascii="宋体" w:hAnsi="宋体"/>
                <w:b/>
                <w:bCs/>
                <w:color w:val="auto"/>
                <w:sz w:val="24"/>
                <w:highlight w:val="none"/>
              </w:rPr>
              <w:t>（2）门诊病历补打</w:t>
            </w:r>
          </w:p>
          <w:p>
            <w:pPr>
              <w:spacing w:line="360" w:lineRule="auto"/>
              <w:rPr>
                <w:rFonts w:ascii="宋体" w:hAnsi="宋体"/>
                <w:color w:val="auto"/>
                <w:sz w:val="24"/>
                <w:highlight w:val="none"/>
              </w:rPr>
            </w:pPr>
            <w:r>
              <w:rPr>
                <w:rFonts w:hint="eastAsia" w:ascii="宋体" w:hAnsi="宋体"/>
                <w:b/>
                <w:bCs/>
                <w:color w:val="auto"/>
                <w:sz w:val="24"/>
                <w:highlight w:val="none"/>
              </w:rPr>
              <w:t>补打病历：</w:t>
            </w:r>
            <w:r>
              <w:rPr>
                <w:rFonts w:hint="eastAsia" w:ascii="宋体" w:hAnsi="宋体"/>
                <w:color w:val="auto"/>
                <w:sz w:val="24"/>
                <w:highlight w:val="none"/>
              </w:rPr>
              <w:t>支持对已打印的病历进行补打。</w:t>
            </w:r>
          </w:p>
          <w:p>
            <w:pPr>
              <w:spacing w:line="360" w:lineRule="auto"/>
              <w:rPr>
                <w:rFonts w:ascii="宋体" w:hAnsi="宋体"/>
                <w:color w:val="auto"/>
                <w:sz w:val="24"/>
                <w:highlight w:val="none"/>
              </w:rPr>
            </w:pPr>
            <w:r>
              <w:rPr>
                <w:rFonts w:hint="eastAsia" w:ascii="宋体" w:hAnsi="宋体"/>
                <w:b/>
                <w:bCs/>
                <w:color w:val="auto"/>
                <w:sz w:val="24"/>
                <w:highlight w:val="none"/>
              </w:rPr>
              <w:t>补打临床单据：</w:t>
            </w:r>
            <w:r>
              <w:rPr>
                <w:rFonts w:hint="eastAsia" w:ascii="宋体" w:hAnsi="宋体"/>
                <w:color w:val="auto"/>
                <w:sz w:val="24"/>
                <w:highlight w:val="none"/>
              </w:rPr>
              <w:t>支持对诊断证明、休假证明等进行打印。</w:t>
            </w:r>
          </w:p>
          <w:p>
            <w:pPr>
              <w:spacing w:line="360" w:lineRule="auto"/>
              <w:rPr>
                <w:rFonts w:ascii="宋体" w:hAnsi="宋体"/>
                <w:b/>
                <w:bCs/>
                <w:color w:val="auto"/>
                <w:sz w:val="24"/>
                <w:highlight w:val="none"/>
              </w:rPr>
            </w:pPr>
            <w:r>
              <w:rPr>
                <w:rFonts w:hint="eastAsia" w:ascii="宋体" w:hAnsi="宋体"/>
                <w:b/>
                <w:bCs/>
                <w:color w:val="auto"/>
                <w:sz w:val="24"/>
                <w:highlight w:val="none"/>
              </w:rPr>
              <w:t>（3）门诊病历召回</w:t>
            </w:r>
          </w:p>
          <w:p>
            <w:pPr>
              <w:spacing w:line="360" w:lineRule="auto"/>
              <w:rPr>
                <w:rFonts w:ascii="宋体" w:hAnsi="宋体"/>
                <w:color w:val="auto"/>
                <w:sz w:val="24"/>
                <w:highlight w:val="none"/>
              </w:rPr>
            </w:pPr>
            <w:r>
              <w:rPr>
                <w:rFonts w:hint="eastAsia" w:ascii="宋体" w:hAnsi="宋体"/>
                <w:b/>
                <w:bCs/>
                <w:color w:val="auto"/>
                <w:sz w:val="24"/>
                <w:highlight w:val="none"/>
              </w:rPr>
              <w:t>门诊病历召回申请：</w:t>
            </w:r>
            <w:r>
              <w:rPr>
                <w:rFonts w:hint="eastAsia" w:ascii="宋体" w:hAnsi="宋体"/>
                <w:color w:val="auto"/>
                <w:sz w:val="24"/>
                <w:highlight w:val="none"/>
              </w:rPr>
              <w:t>支持按照就诊时间范围、科室、多个条码号、多个患者姓名查询门诊患者列表。</w:t>
            </w:r>
          </w:p>
          <w:p>
            <w:pPr>
              <w:spacing w:line="360" w:lineRule="auto"/>
              <w:rPr>
                <w:rFonts w:ascii="宋体" w:hAnsi="宋体"/>
                <w:b/>
                <w:bCs/>
                <w:color w:val="auto"/>
                <w:sz w:val="24"/>
                <w:highlight w:val="none"/>
              </w:rPr>
            </w:pPr>
            <w:r>
              <w:rPr>
                <w:rFonts w:hint="eastAsia" w:ascii="宋体" w:hAnsi="宋体"/>
                <w:b/>
                <w:bCs/>
                <w:color w:val="auto"/>
                <w:sz w:val="24"/>
                <w:highlight w:val="none"/>
              </w:rPr>
              <w:t>门诊病历召回审核：</w:t>
            </w:r>
          </w:p>
          <w:p>
            <w:pPr>
              <w:spacing w:line="360" w:lineRule="auto"/>
              <w:rPr>
                <w:rFonts w:ascii="宋体" w:hAnsi="宋体"/>
                <w:color w:val="auto"/>
                <w:sz w:val="24"/>
                <w:highlight w:val="none"/>
              </w:rPr>
            </w:pPr>
            <w:r>
              <w:rPr>
                <w:rFonts w:hint="eastAsia" w:ascii="宋体" w:hAnsi="宋体"/>
                <w:color w:val="auto"/>
                <w:sz w:val="24"/>
                <w:highlight w:val="none"/>
              </w:rPr>
              <w:t>1、支持按照就诊时间范围、申请科室、条码号、申请人查询借阅审批列表。</w:t>
            </w:r>
          </w:p>
          <w:p>
            <w:pPr>
              <w:spacing w:line="360" w:lineRule="auto"/>
              <w:rPr>
                <w:rFonts w:ascii="宋体" w:hAnsi="宋体"/>
                <w:color w:val="auto"/>
                <w:sz w:val="24"/>
                <w:highlight w:val="none"/>
              </w:rPr>
            </w:pPr>
            <w:r>
              <w:rPr>
                <w:rFonts w:hint="eastAsia" w:ascii="宋体" w:hAnsi="宋体"/>
                <w:color w:val="auto"/>
                <w:sz w:val="24"/>
                <w:highlight w:val="none"/>
              </w:rPr>
              <w:t>2、支持审核通过、驳回。</w:t>
            </w:r>
          </w:p>
          <w:p>
            <w:pPr>
              <w:spacing w:line="360" w:lineRule="auto"/>
              <w:rPr>
                <w:rFonts w:ascii="宋体" w:hAnsi="宋体"/>
                <w:color w:val="auto"/>
                <w:sz w:val="24"/>
                <w:highlight w:val="none"/>
              </w:rPr>
            </w:pPr>
            <w:r>
              <w:rPr>
                <w:rFonts w:hint="eastAsia" w:ascii="宋体" w:hAnsi="宋体"/>
                <w:b/>
                <w:bCs/>
                <w:color w:val="auto"/>
                <w:sz w:val="24"/>
                <w:highlight w:val="none"/>
              </w:rPr>
              <w:t>门诊病历召回查询：</w:t>
            </w:r>
            <w:r>
              <w:rPr>
                <w:rFonts w:hint="eastAsia" w:ascii="宋体" w:hAnsi="宋体"/>
                <w:color w:val="auto"/>
                <w:sz w:val="24"/>
                <w:highlight w:val="none"/>
              </w:rPr>
              <w:t>支持按照审批状态、审批时间范围、条码号、患者姓名查看已召回列表。</w:t>
            </w:r>
          </w:p>
          <w:p>
            <w:pPr>
              <w:spacing w:line="360" w:lineRule="auto"/>
              <w:rPr>
                <w:rFonts w:ascii="宋体" w:hAnsi="宋体"/>
                <w:b/>
                <w:bCs/>
                <w:color w:val="auto"/>
                <w:sz w:val="24"/>
                <w:highlight w:val="none"/>
              </w:rPr>
            </w:pPr>
            <w:r>
              <w:rPr>
                <w:rFonts w:hint="eastAsia" w:ascii="宋体" w:hAnsi="宋体"/>
                <w:b/>
                <w:bCs/>
                <w:color w:val="auto"/>
                <w:sz w:val="24"/>
                <w:highlight w:val="none"/>
              </w:rPr>
              <w:t>（4）门诊病历结构化检索</w:t>
            </w:r>
          </w:p>
          <w:p>
            <w:pPr>
              <w:spacing w:line="360" w:lineRule="auto"/>
              <w:rPr>
                <w:rFonts w:ascii="宋体" w:hAnsi="宋体"/>
                <w:color w:val="auto"/>
                <w:sz w:val="24"/>
                <w:highlight w:val="none"/>
              </w:rPr>
            </w:pPr>
            <w:r>
              <w:rPr>
                <w:rFonts w:hint="eastAsia" w:ascii="宋体" w:hAnsi="宋体"/>
                <w:b/>
                <w:bCs/>
                <w:color w:val="auto"/>
                <w:sz w:val="24"/>
                <w:highlight w:val="none"/>
              </w:rPr>
              <w:t>门诊病历结构化检索：</w:t>
            </w:r>
            <w:r>
              <w:rPr>
                <w:rFonts w:hint="eastAsia" w:ascii="宋体" w:hAnsi="宋体"/>
                <w:color w:val="auto"/>
                <w:sz w:val="24"/>
                <w:highlight w:val="none"/>
              </w:rPr>
              <w:t>支持根据病历元素、病历类型等进行病历检索。</w:t>
            </w:r>
          </w:p>
          <w:p>
            <w:pPr>
              <w:spacing w:line="360" w:lineRule="auto"/>
              <w:rPr>
                <w:rFonts w:ascii="宋体" w:hAnsi="宋体"/>
                <w:b/>
                <w:bCs/>
                <w:color w:val="auto"/>
                <w:sz w:val="24"/>
                <w:highlight w:val="none"/>
              </w:rPr>
            </w:pPr>
            <w:r>
              <w:rPr>
                <w:rFonts w:hint="eastAsia" w:ascii="宋体" w:hAnsi="宋体"/>
                <w:b/>
                <w:bCs/>
                <w:color w:val="auto"/>
                <w:sz w:val="24"/>
                <w:highlight w:val="none"/>
              </w:rPr>
              <w:t>（5）门诊电子病历浏览</w:t>
            </w:r>
          </w:p>
          <w:p>
            <w:pPr>
              <w:spacing w:line="360" w:lineRule="auto"/>
              <w:rPr>
                <w:rFonts w:ascii="宋体" w:hAnsi="宋体"/>
                <w:color w:val="auto"/>
                <w:sz w:val="24"/>
                <w:highlight w:val="none"/>
              </w:rPr>
            </w:pPr>
            <w:r>
              <w:rPr>
                <w:rFonts w:hint="eastAsia" w:ascii="宋体" w:hAnsi="宋体"/>
                <w:b/>
                <w:bCs/>
                <w:color w:val="auto"/>
                <w:sz w:val="24"/>
                <w:highlight w:val="none"/>
              </w:rPr>
              <w:t>就诊时间轴：</w:t>
            </w:r>
            <w:r>
              <w:rPr>
                <w:rFonts w:hint="eastAsia" w:ascii="宋体" w:hAnsi="宋体"/>
                <w:color w:val="auto"/>
                <w:sz w:val="24"/>
                <w:highlight w:val="none"/>
              </w:rPr>
              <w:t>支持根据就诊时间轴代入上次就诊病历信息。</w:t>
            </w:r>
          </w:p>
          <w:p>
            <w:pPr>
              <w:spacing w:line="360" w:lineRule="auto"/>
              <w:rPr>
                <w:rFonts w:ascii="宋体" w:hAnsi="宋体"/>
                <w:color w:val="auto"/>
                <w:sz w:val="24"/>
                <w:highlight w:val="none"/>
              </w:rPr>
            </w:pPr>
            <w:r>
              <w:rPr>
                <w:rFonts w:hint="eastAsia" w:ascii="宋体" w:hAnsi="宋体"/>
                <w:b/>
                <w:bCs/>
                <w:color w:val="auto"/>
                <w:sz w:val="24"/>
                <w:highlight w:val="none"/>
              </w:rPr>
              <w:t>查看操作日志：</w:t>
            </w:r>
            <w:r>
              <w:rPr>
                <w:rFonts w:hint="eastAsia" w:ascii="宋体" w:hAnsi="宋体"/>
                <w:color w:val="auto"/>
                <w:sz w:val="24"/>
                <w:highlight w:val="none"/>
              </w:rPr>
              <w:t>支持查看病历的新增、删除、修改记录。</w:t>
            </w:r>
          </w:p>
          <w:p>
            <w:pPr>
              <w:pStyle w:val="201"/>
              <w:spacing w:before="0" w:line="360" w:lineRule="auto"/>
              <w:ind w:left="0" w:right="105" w:rightChars="50" w:firstLine="482"/>
              <w:rPr>
                <w:rFonts w:ascii="宋体" w:hAnsi="宋体" w:eastAsia="宋体"/>
                <w:color w:val="auto"/>
                <w:sz w:val="24"/>
                <w:highlight w:val="none"/>
                <w:lang w:val="zh-CN" w:eastAsia="zh-CN" w:bidi="zh-CN"/>
              </w:rPr>
            </w:pPr>
            <w:r>
              <w:rPr>
                <w:rFonts w:hint="eastAsia" w:ascii="宋体" w:hAnsi="宋体" w:eastAsia="宋体"/>
                <w:b/>
                <w:bCs/>
                <w:color w:val="auto"/>
                <w:sz w:val="24"/>
                <w:highlight w:val="none"/>
                <w:lang w:eastAsia="zh-CN"/>
              </w:rPr>
              <w:t>查看病历留痕：</w:t>
            </w:r>
            <w:r>
              <w:rPr>
                <w:rFonts w:hint="eastAsia" w:ascii="宋体" w:hAnsi="宋体" w:eastAsia="宋体"/>
                <w:color w:val="auto"/>
                <w:sz w:val="24"/>
                <w:highlight w:val="none"/>
                <w:lang w:eastAsia="zh-CN"/>
              </w:rPr>
              <w:t>支持查看修改痕迹。</w:t>
            </w:r>
          </w:p>
        </w:tc>
      </w:tr>
    </w:tbl>
    <w:p>
      <w:pPr>
        <w:pStyle w:val="6"/>
        <w:numPr>
          <w:ilvl w:val="3"/>
          <w:numId w:val="8"/>
        </w:numPr>
        <w:spacing w:before="280" w:after="290" w:line="376" w:lineRule="auto"/>
        <w:rPr>
          <w:rFonts w:ascii="宋体" w:hAnsi="宋体"/>
          <w:color w:val="auto"/>
          <w:szCs w:val="24"/>
          <w:highlight w:val="none"/>
        </w:rPr>
      </w:pPr>
      <w:bookmarkStart w:id="604" w:name="_Toc29662"/>
      <w:r>
        <w:rPr>
          <w:rFonts w:hint="eastAsia" w:ascii="宋体" w:hAnsi="宋体"/>
          <w:color w:val="auto"/>
          <w:szCs w:val="24"/>
          <w:highlight w:val="none"/>
        </w:rPr>
        <w:t>住院电子病历</w:t>
      </w:r>
      <w:bookmarkEnd w:id="604"/>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按照《病历书写基本规范》要求，确保病历书写及时完整、规范。内容包括住院病案首页及附页、入院记录、病程记录、知情同意书、病危（重）通知书、出院记录、电子传染病报告、电子死亡医学证明等。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trPr>
        <w:tc>
          <w:tcPr>
            <w:tcW w:w="1980"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7087"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住院电子病历</w:t>
            </w:r>
          </w:p>
        </w:tc>
        <w:tc>
          <w:tcPr>
            <w:tcW w:w="7087" w:type="dxa"/>
          </w:tcPr>
          <w:p>
            <w:pPr>
              <w:spacing w:line="360" w:lineRule="auto"/>
              <w:rPr>
                <w:rFonts w:ascii="宋体" w:hAnsi="宋体"/>
                <w:color w:val="auto"/>
                <w:sz w:val="24"/>
                <w:highlight w:val="none"/>
              </w:rPr>
            </w:pPr>
            <w:r>
              <w:rPr>
                <w:rFonts w:hint="eastAsia" w:ascii="宋体" w:hAnsi="宋体"/>
                <w:b/>
                <w:bCs/>
                <w:color w:val="auto"/>
                <w:sz w:val="24"/>
                <w:highlight w:val="none"/>
              </w:rPr>
              <w:t>住院病历：</w:t>
            </w:r>
            <w:r>
              <w:rPr>
                <w:rFonts w:hint="eastAsia" w:ascii="宋体" w:hAnsi="宋体"/>
                <w:color w:val="auto"/>
                <w:sz w:val="24"/>
                <w:highlight w:val="none"/>
              </w:rPr>
              <w:t>支持住院病历书写、编辑、删除、提交、打印功能。</w:t>
            </w:r>
          </w:p>
          <w:p>
            <w:pPr>
              <w:spacing w:line="360" w:lineRule="auto"/>
              <w:rPr>
                <w:rFonts w:ascii="宋体" w:hAnsi="宋体"/>
                <w:color w:val="auto"/>
                <w:sz w:val="24"/>
                <w:highlight w:val="none"/>
              </w:rPr>
            </w:pPr>
            <w:r>
              <w:rPr>
                <w:rFonts w:hint="eastAsia" w:ascii="宋体" w:hAnsi="宋体"/>
                <w:color w:val="auto"/>
                <w:sz w:val="24"/>
                <w:highlight w:val="none"/>
              </w:rPr>
              <w:t>1）支持全部住院医疗文书的规范处理，包括：住院病历、入院记录、首次病程、病程记录、上级医生查房记录、术前讨论、术前小结、抢救记录、麻醉术前讨论、手术记录术后病程记录、诊疗操作记录、会诊记录、交班记录、死亡记录、出院小结和病案首页以及各种病例讨论记录、术后随访记录、手术安全核查记录等。</w:t>
            </w:r>
          </w:p>
          <w:p>
            <w:pPr>
              <w:spacing w:line="360" w:lineRule="auto"/>
              <w:rPr>
                <w:rFonts w:ascii="宋体" w:hAnsi="宋体"/>
                <w:color w:val="auto"/>
                <w:sz w:val="24"/>
                <w:highlight w:val="none"/>
              </w:rPr>
            </w:pPr>
            <w:r>
              <w:rPr>
                <w:rFonts w:hint="eastAsia" w:ascii="宋体" w:hAnsi="宋体"/>
                <w:color w:val="auto"/>
                <w:sz w:val="24"/>
                <w:highlight w:val="none"/>
              </w:rPr>
              <w:t>2）支持按照配置规则，自动生成病历书写任务。</w:t>
            </w:r>
          </w:p>
          <w:p>
            <w:pPr>
              <w:spacing w:line="360" w:lineRule="auto"/>
              <w:rPr>
                <w:rFonts w:ascii="宋体" w:hAnsi="宋体"/>
                <w:color w:val="auto"/>
                <w:sz w:val="24"/>
                <w:highlight w:val="none"/>
              </w:rPr>
            </w:pPr>
            <w:r>
              <w:rPr>
                <w:rFonts w:hint="eastAsia" w:ascii="宋体" w:hAnsi="宋体"/>
                <w:color w:val="auto"/>
                <w:sz w:val="24"/>
                <w:highlight w:val="none"/>
              </w:rPr>
              <w:t>3）支持住院诊断直接带入病历。</w:t>
            </w:r>
          </w:p>
          <w:p>
            <w:pPr>
              <w:spacing w:line="360" w:lineRule="auto"/>
              <w:rPr>
                <w:rFonts w:ascii="宋体" w:hAnsi="宋体"/>
                <w:color w:val="auto"/>
                <w:sz w:val="24"/>
                <w:highlight w:val="none"/>
              </w:rPr>
            </w:pPr>
            <w:r>
              <w:rPr>
                <w:rFonts w:hint="eastAsia" w:ascii="宋体" w:hAnsi="宋体"/>
                <w:color w:val="auto"/>
                <w:sz w:val="24"/>
                <w:highlight w:val="none"/>
              </w:rPr>
              <w:t>4）支持病历模板选择，三级审批功能，病历修改痕迹保留，并可由医院选择病历修改痕迹是否在打印件上显示。</w:t>
            </w:r>
          </w:p>
          <w:p>
            <w:pPr>
              <w:spacing w:line="360" w:lineRule="auto"/>
              <w:rPr>
                <w:rFonts w:ascii="宋体" w:hAnsi="宋体"/>
                <w:color w:val="auto"/>
                <w:sz w:val="24"/>
                <w:highlight w:val="none"/>
              </w:rPr>
            </w:pPr>
            <w:r>
              <w:rPr>
                <w:rFonts w:hint="eastAsia" w:ascii="宋体" w:hAnsi="宋体"/>
                <w:color w:val="auto"/>
                <w:sz w:val="24"/>
                <w:highlight w:val="none"/>
              </w:rPr>
              <w:t>5）病历模板：支持提供完整的医疗文档模板库，医疗文档模板支持快速结构化录入，并可由医生进行个性化修改和扩展，支持医学经验积累，支持表格和画图功能。结构化模版能够根据用户的选择灵活切换不同详细级别、以及不同表现形式的模版样式。</w:t>
            </w:r>
          </w:p>
          <w:p>
            <w:pPr>
              <w:spacing w:line="360" w:lineRule="auto"/>
              <w:rPr>
                <w:rFonts w:ascii="宋体" w:hAnsi="宋体"/>
                <w:color w:val="auto"/>
                <w:sz w:val="24"/>
                <w:highlight w:val="none"/>
              </w:rPr>
            </w:pPr>
            <w:r>
              <w:rPr>
                <w:rFonts w:hint="eastAsia" w:ascii="宋体" w:hAnsi="宋体"/>
                <w:color w:val="auto"/>
                <w:sz w:val="24"/>
                <w:highlight w:val="none"/>
              </w:rPr>
              <w:t>6）在病历编辑中支持并演示本次和既往病历、医嘱、检查、检验、过敏、护理、诊断、图表、公式、符号、康复评定等信息的快速写入病历，提高效率及质量；病历系统有多种智能化病历质控规则，支持病历自动质控功能。</w:t>
            </w:r>
          </w:p>
          <w:p>
            <w:pPr>
              <w:spacing w:line="360" w:lineRule="auto"/>
              <w:rPr>
                <w:rFonts w:ascii="宋体" w:hAnsi="宋体"/>
                <w:color w:val="auto"/>
                <w:sz w:val="24"/>
                <w:highlight w:val="none"/>
              </w:rPr>
            </w:pPr>
            <w:r>
              <w:rPr>
                <w:rFonts w:hint="eastAsia" w:ascii="宋体" w:hAnsi="宋体"/>
                <w:b/>
                <w:bCs/>
                <w:color w:val="auto"/>
                <w:sz w:val="24"/>
                <w:highlight w:val="none"/>
              </w:rPr>
              <w:t>病历内容校验：</w:t>
            </w:r>
            <w:r>
              <w:rPr>
                <w:rFonts w:hint="eastAsia" w:ascii="宋体" w:hAnsi="宋体"/>
                <w:color w:val="auto"/>
                <w:sz w:val="24"/>
                <w:highlight w:val="none"/>
              </w:rPr>
              <w:t>支持病历保存，提交，打印的时候进行校验（例：必填项）。</w:t>
            </w:r>
          </w:p>
          <w:p>
            <w:pPr>
              <w:spacing w:line="360" w:lineRule="auto"/>
              <w:rPr>
                <w:rFonts w:ascii="宋体" w:hAnsi="宋体"/>
                <w:color w:val="auto"/>
                <w:sz w:val="24"/>
                <w:highlight w:val="none"/>
              </w:rPr>
            </w:pPr>
            <w:r>
              <w:rPr>
                <w:rFonts w:hint="eastAsia" w:ascii="宋体" w:hAnsi="宋体"/>
                <w:b/>
                <w:bCs/>
                <w:color w:val="auto"/>
                <w:sz w:val="24"/>
                <w:highlight w:val="none"/>
              </w:rPr>
              <w:t>病历引用：</w:t>
            </w:r>
            <w:r>
              <w:rPr>
                <w:rFonts w:hint="eastAsia" w:ascii="宋体" w:hAnsi="宋体"/>
                <w:color w:val="auto"/>
                <w:sz w:val="24"/>
                <w:highlight w:val="none"/>
              </w:rPr>
              <w:t>支持对不用病历中的相同元素内容进行引用。</w:t>
            </w:r>
          </w:p>
          <w:p>
            <w:pPr>
              <w:spacing w:line="360" w:lineRule="auto"/>
              <w:rPr>
                <w:rFonts w:ascii="宋体" w:hAnsi="宋体"/>
                <w:color w:val="auto"/>
                <w:sz w:val="24"/>
                <w:highlight w:val="none"/>
              </w:rPr>
            </w:pPr>
            <w:r>
              <w:rPr>
                <w:rFonts w:hint="eastAsia" w:ascii="宋体" w:hAnsi="宋体"/>
                <w:b/>
                <w:bCs/>
                <w:color w:val="auto"/>
                <w:sz w:val="24"/>
                <w:highlight w:val="none"/>
              </w:rPr>
              <w:t>病历留痕查看：</w:t>
            </w:r>
            <w:r>
              <w:rPr>
                <w:rFonts w:hint="eastAsia" w:ascii="宋体" w:hAnsi="宋体"/>
                <w:color w:val="auto"/>
                <w:sz w:val="24"/>
                <w:highlight w:val="none"/>
              </w:rPr>
              <w:t>支持病历修改痕迹保留，并可由医院选择病历修改痕迹是否在打印件上显示。</w:t>
            </w:r>
          </w:p>
          <w:p>
            <w:pPr>
              <w:spacing w:line="360" w:lineRule="auto"/>
              <w:rPr>
                <w:rFonts w:ascii="宋体" w:hAnsi="宋体"/>
                <w:color w:val="auto"/>
                <w:sz w:val="24"/>
                <w:highlight w:val="none"/>
              </w:rPr>
            </w:pPr>
            <w:r>
              <w:rPr>
                <w:rFonts w:hint="eastAsia" w:ascii="宋体" w:hAnsi="宋体"/>
                <w:b/>
                <w:bCs/>
                <w:color w:val="auto"/>
                <w:sz w:val="24"/>
                <w:highlight w:val="none"/>
              </w:rPr>
              <w:t>病历刷值：</w:t>
            </w:r>
            <w:r>
              <w:rPr>
                <w:rFonts w:hint="eastAsia" w:ascii="宋体" w:hAnsi="宋体"/>
                <w:color w:val="auto"/>
                <w:sz w:val="24"/>
                <w:highlight w:val="none"/>
              </w:rPr>
              <w:t>支持自动刷入内容（例：患者信息），也可手动刷入更新内容。</w:t>
            </w:r>
          </w:p>
          <w:p>
            <w:pPr>
              <w:spacing w:line="360" w:lineRule="auto"/>
              <w:rPr>
                <w:rFonts w:ascii="宋体" w:hAnsi="宋体"/>
                <w:color w:val="auto"/>
                <w:sz w:val="24"/>
                <w:highlight w:val="none"/>
              </w:rPr>
            </w:pPr>
            <w:r>
              <w:rPr>
                <w:rFonts w:hint="eastAsia" w:ascii="宋体" w:hAnsi="宋体"/>
                <w:b/>
                <w:bCs/>
                <w:color w:val="auto"/>
                <w:sz w:val="24"/>
                <w:highlight w:val="none"/>
              </w:rPr>
              <w:t>病历打印：</w:t>
            </w:r>
            <w:r>
              <w:rPr>
                <w:rFonts w:hint="eastAsia" w:ascii="宋体" w:hAnsi="宋体"/>
                <w:color w:val="auto"/>
                <w:sz w:val="24"/>
                <w:highlight w:val="none"/>
              </w:rPr>
              <w:t>支持病历打印。</w:t>
            </w:r>
          </w:p>
          <w:p>
            <w:pPr>
              <w:spacing w:line="360" w:lineRule="auto"/>
              <w:rPr>
                <w:rFonts w:ascii="宋体" w:hAnsi="宋体"/>
                <w:color w:val="auto"/>
                <w:sz w:val="24"/>
                <w:highlight w:val="none"/>
              </w:rPr>
            </w:pPr>
            <w:r>
              <w:rPr>
                <w:rFonts w:hint="eastAsia" w:ascii="宋体" w:hAnsi="宋体"/>
                <w:b/>
                <w:bCs/>
                <w:color w:val="auto"/>
                <w:sz w:val="24"/>
                <w:highlight w:val="none"/>
              </w:rPr>
              <w:t>历史病历：</w:t>
            </w:r>
            <w:r>
              <w:rPr>
                <w:rFonts w:hint="eastAsia" w:ascii="宋体" w:hAnsi="宋体"/>
                <w:color w:val="auto"/>
                <w:sz w:val="24"/>
                <w:highlight w:val="none"/>
              </w:rPr>
              <w:t>支持查看，回写历史病历的内容。</w:t>
            </w:r>
          </w:p>
          <w:p>
            <w:pPr>
              <w:spacing w:line="360" w:lineRule="auto"/>
              <w:rPr>
                <w:rFonts w:ascii="宋体" w:hAnsi="宋体"/>
                <w:color w:val="auto"/>
                <w:sz w:val="24"/>
                <w:highlight w:val="none"/>
              </w:rPr>
            </w:pPr>
            <w:r>
              <w:rPr>
                <w:rFonts w:hint="eastAsia" w:ascii="宋体" w:hAnsi="宋体"/>
                <w:b/>
                <w:bCs/>
                <w:color w:val="auto"/>
                <w:sz w:val="24"/>
                <w:highlight w:val="none"/>
              </w:rPr>
              <w:t>病历个人知识库：</w:t>
            </w:r>
            <w:r>
              <w:rPr>
                <w:rFonts w:hint="eastAsia" w:ascii="宋体" w:hAnsi="宋体"/>
                <w:color w:val="auto"/>
                <w:sz w:val="24"/>
                <w:highlight w:val="none"/>
              </w:rPr>
              <w:t>支持从个人知识库回写到病历中。</w:t>
            </w:r>
          </w:p>
          <w:p>
            <w:pPr>
              <w:spacing w:line="360" w:lineRule="auto"/>
              <w:rPr>
                <w:rFonts w:ascii="宋体" w:hAnsi="宋体"/>
                <w:color w:val="auto"/>
                <w:sz w:val="24"/>
                <w:highlight w:val="none"/>
              </w:rPr>
            </w:pPr>
            <w:r>
              <w:rPr>
                <w:rFonts w:hint="eastAsia" w:ascii="宋体" w:hAnsi="宋体"/>
                <w:b/>
                <w:bCs/>
                <w:color w:val="auto"/>
                <w:sz w:val="24"/>
                <w:highlight w:val="none"/>
              </w:rPr>
              <w:t>病历待书写任务：支持</w:t>
            </w:r>
            <w:r>
              <w:rPr>
                <w:rFonts w:hint="eastAsia" w:ascii="宋体" w:hAnsi="宋体"/>
                <w:color w:val="auto"/>
                <w:sz w:val="24"/>
                <w:highlight w:val="none"/>
              </w:rPr>
              <w:t>提供病历书写任务配置，可以按照就诊状态、病历状态、诊断、医嘱等，自动生成书写任务，支持任务超时提醒。</w:t>
            </w:r>
          </w:p>
          <w:p>
            <w:pPr>
              <w:spacing w:line="360" w:lineRule="auto"/>
              <w:rPr>
                <w:rFonts w:ascii="宋体" w:hAnsi="宋体"/>
                <w:color w:val="auto"/>
                <w:sz w:val="24"/>
                <w:highlight w:val="none"/>
              </w:rPr>
            </w:pPr>
            <w:r>
              <w:rPr>
                <w:rFonts w:hint="eastAsia" w:ascii="宋体" w:hAnsi="宋体"/>
                <w:b/>
                <w:bCs/>
                <w:color w:val="auto"/>
                <w:sz w:val="24"/>
                <w:highlight w:val="none"/>
              </w:rPr>
              <w:t>质控整改通知列表：</w:t>
            </w:r>
            <w:r>
              <w:rPr>
                <w:rFonts w:hint="eastAsia" w:ascii="宋体" w:hAnsi="宋体"/>
                <w:color w:val="auto"/>
                <w:sz w:val="24"/>
                <w:highlight w:val="none"/>
              </w:rPr>
              <w:t>支持根据质控整改通知列表跳转到整改页面进行病历整改。</w:t>
            </w:r>
          </w:p>
          <w:p>
            <w:pPr>
              <w:spacing w:line="360" w:lineRule="auto"/>
              <w:rPr>
                <w:rFonts w:ascii="宋体" w:hAnsi="宋体"/>
                <w:b/>
                <w:bCs/>
                <w:color w:val="auto"/>
                <w:sz w:val="24"/>
                <w:highlight w:val="none"/>
              </w:rPr>
            </w:pPr>
            <w:r>
              <w:rPr>
                <w:rFonts w:hint="eastAsia" w:ascii="宋体" w:hAnsi="宋体"/>
                <w:b/>
                <w:bCs/>
                <w:color w:val="auto"/>
                <w:sz w:val="24"/>
                <w:highlight w:val="none"/>
              </w:rPr>
              <w:t>住院病历召回</w:t>
            </w:r>
          </w:p>
          <w:p>
            <w:pPr>
              <w:spacing w:line="360" w:lineRule="auto"/>
              <w:rPr>
                <w:rFonts w:ascii="宋体" w:hAnsi="宋体"/>
                <w:color w:val="auto"/>
                <w:sz w:val="24"/>
                <w:highlight w:val="none"/>
              </w:rPr>
            </w:pPr>
            <w:r>
              <w:rPr>
                <w:rFonts w:hint="eastAsia" w:ascii="宋体" w:hAnsi="宋体"/>
                <w:b/>
                <w:bCs/>
                <w:color w:val="auto"/>
                <w:sz w:val="24"/>
                <w:highlight w:val="none"/>
              </w:rPr>
              <w:t>住院病历召回申请：</w:t>
            </w:r>
            <w:r>
              <w:rPr>
                <w:rFonts w:hint="eastAsia" w:ascii="宋体" w:hAnsi="宋体"/>
                <w:color w:val="auto"/>
                <w:sz w:val="24"/>
                <w:highlight w:val="none"/>
              </w:rPr>
              <w:t>支持按照患者姓名查询患者列表并申请召回。</w:t>
            </w:r>
          </w:p>
          <w:p>
            <w:pPr>
              <w:spacing w:line="360" w:lineRule="auto"/>
              <w:rPr>
                <w:rFonts w:ascii="宋体" w:hAnsi="宋体"/>
                <w:b/>
                <w:bCs/>
                <w:color w:val="auto"/>
                <w:sz w:val="24"/>
                <w:highlight w:val="none"/>
              </w:rPr>
            </w:pPr>
            <w:r>
              <w:rPr>
                <w:rFonts w:hint="eastAsia" w:ascii="宋体" w:hAnsi="宋体"/>
                <w:b/>
                <w:bCs/>
                <w:color w:val="auto"/>
                <w:sz w:val="24"/>
                <w:highlight w:val="none"/>
              </w:rPr>
              <w:t>住院病历召回科室审核：</w:t>
            </w:r>
          </w:p>
          <w:p>
            <w:pPr>
              <w:spacing w:line="360" w:lineRule="auto"/>
              <w:rPr>
                <w:rFonts w:ascii="宋体" w:hAnsi="宋体"/>
                <w:color w:val="auto"/>
                <w:sz w:val="24"/>
                <w:highlight w:val="none"/>
              </w:rPr>
            </w:pPr>
            <w:r>
              <w:rPr>
                <w:rFonts w:hint="eastAsia" w:ascii="宋体" w:hAnsi="宋体"/>
                <w:color w:val="auto"/>
                <w:sz w:val="24"/>
                <w:highlight w:val="none"/>
              </w:rPr>
              <w:t>1、支持科室进行病历召回审核。</w:t>
            </w:r>
          </w:p>
          <w:p>
            <w:pPr>
              <w:spacing w:line="360" w:lineRule="auto"/>
              <w:rPr>
                <w:rFonts w:ascii="宋体" w:hAnsi="宋体"/>
                <w:color w:val="auto"/>
                <w:sz w:val="24"/>
                <w:highlight w:val="none"/>
              </w:rPr>
            </w:pPr>
            <w:r>
              <w:rPr>
                <w:rFonts w:hint="eastAsia" w:ascii="宋体" w:hAnsi="宋体"/>
                <w:color w:val="auto"/>
                <w:sz w:val="24"/>
                <w:highlight w:val="none"/>
              </w:rPr>
              <w:t>2、支持审核通过或驳回。</w:t>
            </w:r>
          </w:p>
          <w:p>
            <w:pPr>
              <w:spacing w:line="360" w:lineRule="auto"/>
              <w:rPr>
                <w:rFonts w:ascii="宋体" w:hAnsi="宋体"/>
                <w:color w:val="auto"/>
                <w:sz w:val="24"/>
                <w:highlight w:val="none"/>
              </w:rPr>
            </w:pPr>
            <w:r>
              <w:rPr>
                <w:rFonts w:hint="eastAsia" w:ascii="宋体" w:hAnsi="宋体"/>
                <w:color w:val="auto"/>
                <w:sz w:val="24"/>
                <w:highlight w:val="none"/>
              </w:rPr>
              <w:t>3、支持查看患者病历。</w:t>
            </w:r>
          </w:p>
          <w:p>
            <w:pPr>
              <w:spacing w:line="360" w:lineRule="auto"/>
              <w:rPr>
                <w:rFonts w:ascii="宋体" w:hAnsi="宋体"/>
                <w:color w:val="auto"/>
                <w:sz w:val="24"/>
                <w:highlight w:val="none"/>
              </w:rPr>
            </w:pPr>
            <w:r>
              <w:rPr>
                <w:rFonts w:hint="eastAsia" w:ascii="宋体" w:hAnsi="宋体"/>
                <w:color w:val="auto"/>
                <w:sz w:val="24"/>
                <w:highlight w:val="none"/>
              </w:rPr>
              <w:t>4、支持查看召回申原因。</w:t>
            </w:r>
          </w:p>
          <w:p>
            <w:pPr>
              <w:spacing w:line="360" w:lineRule="auto"/>
              <w:rPr>
                <w:rFonts w:ascii="宋体" w:hAnsi="宋体"/>
                <w:b/>
                <w:bCs/>
                <w:color w:val="auto"/>
                <w:sz w:val="24"/>
                <w:highlight w:val="none"/>
              </w:rPr>
            </w:pPr>
            <w:r>
              <w:rPr>
                <w:rFonts w:hint="eastAsia" w:ascii="宋体" w:hAnsi="宋体"/>
                <w:b/>
                <w:bCs/>
                <w:color w:val="auto"/>
                <w:sz w:val="24"/>
                <w:highlight w:val="none"/>
              </w:rPr>
              <w:t>住院病历召回审核：</w:t>
            </w:r>
          </w:p>
          <w:p>
            <w:pPr>
              <w:spacing w:line="360" w:lineRule="auto"/>
              <w:rPr>
                <w:rFonts w:ascii="宋体" w:hAnsi="宋体"/>
                <w:color w:val="auto"/>
                <w:sz w:val="24"/>
                <w:highlight w:val="none"/>
              </w:rPr>
            </w:pPr>
            <w:r>
              <w:rPr>
                <w:rFonts w:hint="eastAsia" w:ascii="宋体" w:hAnsi="宋体"/>
                <w:color w:val="auto"/>
                <w:sz w:val="24"/>
                <w:highlight w:val="none"/>
              </w:rPr>
              <w:t>1、支持按照患者姓名、住院号、召回状态查询申请列表。</w:t>
            </w:r>
          </w:p>
          <w:p>
            <w:pPr>
              <w:spacing w:line="360" w:lineRule="auto"/>
              <w:rPr>
                <w:rFonts w:ascii="宋体" w:hAnsi="宋体"/>
                <w:color w:val="auto"/>
                <w:sz w:val="24"/>
                <w:highlight w:val="none"/>
              </w:rPr>
            </w:pPr>
            <w:r>
              <w:rPr>
                <w:rFonts w:hint="eastAsia" w:ascii="宋体" w:hAnsi="宋体"/>
                <w:color w:val="auto"/>
                <w:sz w:val="24"/>
                <w:highlight w:val="none"/>
              </w:rPr>
              <w:t>2、支持审核通过或驳回患者的申请。</w:t>
            </w:r>
          </w:p>
          <w:p>
            <w:pPr>
              <w:spacing w:line="360" w:lineRule="auto"/>
              <w:rPr>
                <w:rFonts w:ascii="宋体" w:hAnsi="宋体"/>
                <w:color w:val="auto"/>
                <w:sz w:val="24"/>
                <w:highlight w:val="none"/>
              </w:rPr>
            </w:pPr>
            <w:r>
              <w:rPr>
                <w:rFonts w:hint="eastAsia" w:ascii="宋体" w:hAnsi="宋体"/>
                <w:b/>
                <w:bCs/>
                <w:color w:val="auto"/>
                <w:sz w:val="24"/>
                <w:highlight w:val="none"/>
              </w:rPr>
              <w:t>住院病历结构化检索：</w:t>
            </w:r>
            <w:r>
              <w:rPr>
                <w:rFonts w:hint="eastAsia" w:ascii="宋体" w:hAnsi="宋体"/>
                <w:color w:val="auto"/>
                <w:sz w:val="24"/>
                <w:highlight w:val="none"/>
              </w:rPr>
              <w:t>支持根据病历元素、病历类型等进行病历检索。</w:t>
            </w:r>
          </w:p>
          <w:p>
            <w:pPr>
              <w:spacing w:line="360" w:lineRule="auto"/>
              <w:rPr>
                <w:rFonts w:ascii="宋体" w:hAnsi="宋体"/>
                <w:color w:val="auto"/>
                <w:sz w:val="24"/>
                <w:highlight w:val="none"/>
              </w:rPr>
            </w:pPr>
            <w:r>
              <w:rPr>
                <w:rFonts w:hint="eastAsia" w:ascii="宋体" w:hAnsi="宋体"/>
                <w:b/>
                <w:bCs/>
                <w:color w:val="auto"/>
                <w:sz w:val="24"/>
                <w:highlight w:val="none"/>
              </w:rPr>
              <w:t>就诊时间轴：</w:t>
            </w:r>
            <w:r>
              <w:rPr>
                <w:rFonts w:hint="eastAsia" w:ascii="宋体" w:hAnsi="宋体"/>
                <w:color w:val="auto"/>
                <w:sz w:val="24"/>
                <w:highlight w:val="none"/>
              </w:rPr>
              <w:t>支持查看历史就诊病历。</w:t>
            </w:r>
          </w:p>
          <w:p>
            <w:pPr>
              <w:spacing w:line="360" w:lineRule="auto"/>
              <w:rPr>
                <w:rFonts w:ascii="宋体" w:hAnsi="宋体"/>
                <w:color w:val="auto"/>
                <w:sz w:val="24"/>
                <w:highlight w:val="none"/>
              </w:rPr>
            </w:pPr>
            <w:r>
              <w:rPr>
                <w:rFonts w:hint="eastAsia" w:ascii="宋体" w:hAnsi="宋体"/>
                <w:b/>
                <w:bCs/>
                <w:color w:val="auto"/>
                <w:sz w:val="24"/>
                <w:highlight w:val="none"/>
              </w:rPr>
              <w:t>查看操作日志：</w:t>
            </w:r>
            <w:r>
              <w:rPr>
                <w:rFonts w:hint="eastAsia" w:ascii="宋体" w:hAnsi="宋体"/>
                <w:color w:val="auto"/>
                <w:sz w:val="24"/>
                <w:highlight w:val="none"/>
              </w:rPr>
              <w:t>支持查看病历的新增、删除、修改记录。</w:t>
            </w:r>
          </w:p>
          <w:p>
            <w:pPr>
              <w:pStyle w:val="201"/>
              <w:spacing w:before="0" w:line="360" w:lineRule="auto"/>
              <w:ind w:left="0"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查看病历留痕：</w:t>
            </w:r>
            <w:r>
              <w:rPr>
                <w:rFonts w:hint="eastAsia" w:ascii="宋体" w:hAnsi="宋体" w:eastAsia="宋体"/>
                <w:color w:val="auto"/>
                <w:sz w:val="24"/>
                <w:highlight w:val="none"/>
                <w:lang w:eastAsia="zh-CN"/>
              </w:rPr>
              <w:t>支持查看修改痕迹。</w:t>
            </w:r>
          </w:p>
        </w:tc>
      </w:tr>
    </w:tbl>
    <w:p>
      <w:pPr>
        <w:pStyle w:val="6"/>
        <w:numPr>
          <w:ilvl w:val="3"/>
          <w:numId w:val="8"/>
        </w:numPr>
        <w:spacing w:before="280" w:after="290" w:line="376" w:lineRule="auto"/>
        <w:rPr>
          <w:rFonts w:ascii="宋体" w:hAnsi="宋体"/>
          <w:color w:val="auto"/>
          <w:szCs w:val="24"/>
          <w:highlight w:val="none"/>
        </w:rPr>
      </w:pPr>
      <w:bookmarkStart w:id="605" w:name="_Toc26102"/>
      <w:r>
        <w:rPr>
          <w:rFonts w:hint="eastAsia" w:ascii="宋体" w:hAnsi="宋体"/>
          <w:color w:val="auto"/>
          <w:szCs w:val="24"/>
          <w:highlight w:val="none"/>
        </w:rPr>
        <w:t>病历质控系统</w:t>
      </w:r>
      <w:bookmarkEnd w:id="605"/>
    </w:p>
    <w:p>
      <w:pPr>
        <w:pStyle w:val="8"/>
        <w:ind w:firstLine="480"/>
        <w:rPr>
          <w:rFonts w:ascii="宋体" w:hAnsi="宋体"/>
          <w:color w:val="auto"/>
          <w:szCs w:val="24"/>
          <w:highlight w:val="none"/>
        </w:rPr>
      </w:pPr>
      <w:r>
        <w:rPr>
          <w:rFonts w:hint="eastAsia" w:ascii="宋体" w:hAnsi="宋体"/>
          <w:color w:val="auto"/>
          <w:szCs w:val="24"/>
          <w:highlight w:val="none"/>
        </w:rPr>
        <w:t>病历质控系统需满足以下功能：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trPr>
        <w:tc>
          <w:tcPr>
            <w:tcW w:w="1980"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7087"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1980" w:type="dxa"/>
            <w:vAlign w:val="center"/>
          </w:tcPr>
          <w:p>
            <w:pPr>
              <w:spacing w:line="360" w:lineRule="auto"/>
              <w:ind w:left="9" w:right="33"/>
              <w:rPr>
                <w:rFonts w:ascii="宋体" w:hAnsi="宋体" w:cs="仿宋"/>
                <w:b/>
                <w:bCs/>
                <w:color w:val="auto"/>
                <w:sz w:val="24"/>
                <w:highlight w:val="none"/>
                <w:lang w:bidi="zh-CN"/>
              </w:rPr>
            </w:pPr>
            <w:r>
              <w:rPr>
                <w:rFonts w:hint="eastAsia" w:ascii="宋体" w:hAnsi="宋体"/>
                <w:b/>
                <w:color w:val="auto"/>
                <w:sz w:val="24"/>
                <w:highlight w:val="none"/>
              </w:rPr>
              <w:t>病历质控系统</w:t>
            </w:r>
          </w:p>
        </w:tc>
        <w:tc>
          <w:tcPr>
            <w:tcW w:w="7087" w:type="dxa"/>
          </w:tcPr>
          <w:p>
            <w:pPr>
              <w:spacing w:line="360" w:lineRule="auto"/>
              <w:rPr>
                <w:rFonts w:ascii="宋体" w:hAnsi="宋体"/>
                <w:b/>
                <w:bCs/>
                <w:color w:val="auto"/>
                <w:sz w:val="24"/>
                <w:highlight w:val="none"/>
              </w:rPr>
            </w:pPr>
            <w:r>
              <w:rPr>
                <w:rFonts w:hint="eastAsia" w:ascii="宋体" w:hAnsi="宋体"/>
                <w:b/>
                <w:bCs/>
                <w:color w:val="auto"/>
                <w:sz w:val="24"/>
                <w:highlight w:val="none"/>
              </w:rPr>
              <w:t>（1）门诊部质控</w:t>
            </w:r>
          </w:p>
          <w:p>
            <w:pPr>
              <w:spacing w:line="360" w:lineRule="auto"/>
              <w:rPr>
                <w:rFonts w:ascii="宋体" w:hAnsi="宋体"/>
                <w:color w:val="auto"/>
                <w:sz w:val="24"/>
                <w:highlight w:val="none"/>
              </w:rPr>
            </w:pPr>
            <w:r>
              <w:rPr>
                <w:rFonts w:hint="eastAsia" w:ascii="宋体" w:hAnsi="宋体"/>
                <w:b/>
                <w:bCs/>
                <w:color w:val="auto"/>
                <w:sz w:val="24"/>
                <w:highlight w:val="none"/>
              </w:rPr>
              <w:t>门诊部抽查规则：</w:t>
            </w:r>
            <w:r>
              <w:rPr>
                <w:rFonts w:hint="eastAsia" w:ascii="宋体" w:hAnsi="宋体"/>
                <w:color w:val="auto"/>
                <w:sz w:val="24"/>
                <w:highlight w:val="none"/>
              </w:rPr>
              <w:t>支持门诊部制定质控计划并下发门诊科室。</w:t>
            </w:r>
          </w:p>
          <w:p>
            <w:pPr>
              <w:spacing w:line="360" w:lineRule="auto"/>
              <w:rPr>
                <w:rFonts w:ascii="宋体" w:hAnsi="宋体"/>
                <w:color w:val="auto"/>
                <w:sz w:val="24"/>
                <w:highlight w:val="none"/>
              </w:rPr>
            </w:pPr>
            <w:r>
              <w:rPr>
                <w:rFonts w:hint="eastAsia" w:ascii="宋体" w:hAnsi="宋体"/>
                <w:b/>
                <w:bCs/>
                <w:color w:val="auto"/>
                <w:sz w:val="24"/>
                <w:highlight w:val="none"/>
              </w:rPr>
              <w:t>门诊部质控：</w:t>
            </w:r>
            <w:r>
              <w:rPr>
                <w:rFonts w:hint="eastAsia" w:ascii="宋体" w:hAnsi="宋体"/>
                <w:color w:val="auto"/>
                <w:sz w:val="24"/>
                <w:highlight w:val="none"/>
              </w:rPr>
              <w:t>支持门诊科室提交的质控工作进行上级质控。</w:t>
            </w:r>
          </w:p>
          <w:p>
            <w:pPr>
              <w:spacing w:line="360" w:lineRule="auto"/>
              <w:rPr>
                <w:rFonts w:ascii="宋体" w:hAnsi="宋体"/>
                <w:color w:val="auto"/>
                <w:sz w:val="24"/>
                <w:highlight w:val="none"/>
              </w:rPr>
            </w:pPr>
            <w:r>
              <w:rPr>
                <w:rFonts w:hint="eastAsia" w:ascii="宋体" w:hAnsi="宋体"/>
                <w:b/>
                <w:bCs/>
                <w:color w:val="auto"/>
                <w:sz w:val="24"/>
                <w:highlight w:val="none"/>
              </w:rPr>
              <w:t>门诊部质控记录：</w:t>
            </w:r>
            <w:r>
              <w:rPr>
                <w:rFonts w:hint="eastAsia" w:ascii="宋体" w:hAnsi="宋体"/>
                <w:color w:val="auto"/>
                <w:sz w:val="24"/>
                <w:highlight w:val="none"/>
              </w:rPr>
              <w:t>支持查看门诊部的质控记录。</w:t>
            </w:r>
          </w:p>
          <w:p>
            <w:pPr>
              <w:spacing w:line="360" w:lineRule="auto"/>
              <w:rPr>
                <w:rFonts w:ascii="宋体" w:hAnsi="宋体"/>
                <w:b/>
                <w:bCs/>
                <w:color w:val="auto"/>
                <w:sz w:val="24"/>
                <w:highlight w:val="none"/>
              </w:rPr>
            </w:pPr>
            <w:r>
              <w:rPr>
                <w:rFonts w:hint="eastAsia" w:ascii="宋体" w:hAnsi="宋体"/>
                <w:b/>
                <w:bCs/>
                <w:color w:val="auto"/>
                <w:sz w:val="24"/>
                <w:highlight w:val="none"/>
              </w:rPr>
              <w:t>（2）门诊科室质控</w:t>
            </w:r>
          </w:p>
          <w:p>
            <w:pPr>
              <w:spacing w:line="360" w:lineRule="auto"/>
              <w:rPr>
                <w:rFonts w:ascii="宋体" w:hAnsi="宋体"/>
                <w:color w:val="auto"/>
                <w:sz w:val="24"/>
                <w:highlight w:val="none"/>
              </w:rPr>
            </w:pPr>
            <w:r>
              <w:rPr>
                <w:rFonts w:hint="eastAsia" w:ascii="宋体" w:hAnsi="宋体"/>
                <w:b/>
                <w:bCs/>
                <w:color w:val="auto"/>
                <w:sz w:val="24"/>
                <w:highlight w:val="none"/>
              </w:rPr>
              <w:t>门诊科室质控抽查：</w:t>
            </w:r>
            <w:r>
              <w:rPr>
                <w:rFonts w:hint="eastAsia" w:ascii="宋体" w:hAnsi="宋体"/>
                <w:color w:val="auto"/>
                <w:sz w:val="24"/>
                <w:highlight w:val="none"/>
              </w:rPr>
              <w:t>支持科室制定质控计划，下发到本科室。</w:t>
            </w:r>
          </w:p>
          <w:p>
            <w:pPr>
              <w:spacing w:line="360" w:lineRule="auto"/>
              <w:rPr>
                <w:rFonts w:ascii="宋体" w:hAnsi="宋体"/>
                <w:color w:val="auto"/>
                <w:sz w:val="24"/>
                <w:highlight w:val="none"/>
              </w:rPr>
            </w:pPr>
            <w:r>
              <w:rPr>
                <w:rFonts w:hint="eastAsia" w:ascii="宋体" w:hAnsi="宋体"/>
                <w:b/>
                <w:bCs/>
                <w:color w:val="auto"/>
                <w:sz w:val="24"/>
                <w:highlight w:val="none"/>
              </w:rPr>
              <w:t>门诊科室质控：</w:t>
            </w:r>
            <w:r>
              <w:rPr>
                <w:rFonts w:hint="eastAsia" w:ascii="宋体" w:hAnsi="宋体"/>
                <w:color w:val="auto"/>
                <w:sz w:val="24"/>
                <w:highlight w:val="none"/>
              </w:rPr>
              <w:t>支持对门诊部制定的质控计划或自行抽查的病历进行质控。</w:t>
            </w:r>
          </w:p>
          <w:p>
            <w:pPr>
              <w:spacing w:line="360" w:lineRule="auto"/>
              <w:rPr>
                <w:rFonts w:ascii="宋体" w:hAnsi="宋体"/>
                <w:color w:val="auto"/>
                <w:sz w:val="24"/>
                <w:highlight w:val="none"/>
              </w:rPr>
            </w:pPr>
            <w:r>
              <w:rPr>
                <w:rFonts w:hint="eastAsia" w:ascii="宋体" w:hAnsi="宋体"/>
                <w:b/>
                <w:bCs/>
                <w:color w:val="auto"/>
                <w:sz w:val="24"/>
                <w:highlight w:val="none"/>
              </w:rPr>
              <w:t>门诊科室质控记录：</w:t>
            </w:r>
            <w:r>
              <w:rPr>
                <w:rFonts w:hint="eastAsia" w:ascii="宋体" w:hAnsi="宋体"/>
                <w:color w:val="auto"/>
                <w:sz w:val="24"/>
                <w:highlight w:val="none"/>
              </w:rPr>
              <w:t>支持查看本科室的质控记录。</w:t>
            </w:r>
          </w:p>
          <w:p>
            <w:pPr>
              <w:spacing w:line="360" w:lineRule="auto"/>
              <w:rPr>
                <w:rFonts w:ascii="宋体" w:hAnsi="宋体"/>
                <w:b/>
                <w:bCs/>
                <w:color w:val="auto"/>
                <w:sz w:val="24"/>
                <w:highlight w:val="none"/>
              </w:rPr>
            </w:pPr>
            <w:r>
              <w:rPr>
                <w:rFonts w:hint="eastAsia" w:ascii="宋体" w:hAnsi="宋体"/>
                <w:b/>
                <w:bCs/>
                <w:color w:val="auto"/>
                <w:sz w:val="24"/>
                <w:highlight w:val="none"/>
              </w:rPr>
              <w:t>（3）住院病历科室质控</w:t>
            </w:r>
          </w:p>
          <w:p>
            <w:pPr>
              <w:spacing w:line="360" w:lineRule="auto"/>
              <w:rPr>
                <w:rFonts w:ascii="宋体" w:hAnsi="宋体"/>
                <w:b/>
                <w:bCs/>
                <w:color w:val="auto"/>
                <w:sz w:val="24"/>
                <w:highlight w:val="none"/>
              </w:rPr>
            </w:pPr>
            <w:r>
              <w:rPr>
                <w:rFonts w:hint="eastAsia" w:ascii="宋体" w:hAnsi="宋体"/>
                <w:b/>
                <w:bCs/>
                <w:color w:val="auto"/>
                <w:sz w:val="24"/>
                <w:highlight w:val="none"/>
              </w:rPr>
              <w:t>科室质控工作：</w:t>
            </w:r>
          </w:p>
          <w:p>
            <w:pPr>
              <w:spacing w:line="360" w:lineRule="auto"/>
              <w:rPr>
                <w:rFonts w:ascii="宋体" w:hAnsi="宋体"/>
                <w:color w:val="auto"/>
                <w:sz w:val="24"/>
                <w:highlight w:val="none"/>
              </w:rPr>
            </w:pPr>
            <w:r>
              <w:rPr>
                <w:rFonts w:hint="eastAsia" w:ascii="宋体" w:hAnsi="宋体"/>
                <w:color w:val="auto"/>
                <w:sz w:val="24"/>
                <w:highlight w:val="none"/>
              </w:rPr>
              <w:t>1、支持科室质控。</w:t>
            </w:r>
          </w:p>
          <w:p>
            <w:pPr>
              <w:spacing w:line="360" w:lineRule="auto"/>
              <w:rPr>
                <w:rFonts w:ascii="宋体" w:hAnsi="宋体"/>
                <w:color w:val="auto"/>
                <w:sz w:val="24"/>
                <w:highlight w:val="none"/>
              </w:rPr>
            </w:pPr>
            <w:r>
              <w:rPr>
                <w:rFonts w:hint="eastAsia" w:ascii="宋体" w:hAnsi="宋体"/>
                <w:color w:val="auto"/>
                <w:sz w:val="24"/>
                <w:highlight w:val="none"/>
              </w:rPr>
              <w:t>2、支持通过住院号、患者姓名查询住院患者完成环节质控的记录。</w:t>
            </w:r>
          </w:p>
          <w:p>
            <w:pPr>
              <w:spacing w:line="360" w:lineRule="auto"/>
              <w:rPr>
                <w:rFonts w:ascii="宋体" w:hAnsi="宋体"/>
                <w:b/>
                <w:bCs/>
                <w:color w:val="auto"/>
                <w:sz w:val="24"/>
                <w:highlight w:val="none"/>
              </w:rPr>
            </w:pPr>
            <w:r>
              <w:rPr>
                <w:rFonts w:hint="eastAsia" w:ascii="宋体" w:hAnsi="宋体"/>
                <w:b/>
                <w:bCs/>
                <w:color w:val="auto"/>
                <w:sz w:val="24"/>
                <w:highlight w:val="none"/>
              </w:rPr>
              <w:t>科室质控追踪：</w:t>
            </w:r>
          </w:p>
          <w:p>
            <w:pPr>
              <w:spacing w:line="360" w:lineRule="auto"/>
              <w:rPr>
                <w:rFonts w:ascii="宋体" w:hAnsi="宋体"/>
                <w:color w:val="auto"/>
                <w:sz w:val="24"/>
                <w:highlight w:val="none"/>
              </w:rPr>
            </w:pPr>
            <w:r>
              <w:rPr>
                <w:rFonts w:hint="eastAsia" w:ascii="宋体" w:hAnsi="宋体"/>
                <w:color w:val="auto"/>
                <w:sz w:val="24"/>
                <w:highlight w:val="none"/>
              </w:rPr>
              <w:t>1、支持科室质控整改结果跟踪。</w:t>
            </w:r>
          </w:p>
          <w:p>
            <w:pPr>
              <w:spacing w:line="360" w:lineRule="auto"/>
              <w:rPr>
                <w:rFonts w:ascii="宋体" w:hAnsi="宋体"/>
                <w:color w:val="auto"/>
                <w:sz w:val="24"/>
                <w:highlight w:val="none"/>
              </w:rPr>
            </w:pPr>
            <w:r>
              <w:rPr>
                <w:rFonts w:hint="eastAsia" w:ascii="宋体" w:hAnsi="宋体"/>
                <w:color w:val="auto"/>
                <w:sz w:val="24"/>
                <w:highlight w:val="none"/>
              </w:rPr>
              <w:t>2、支持通过通知书状态、患者姓名、整改医生等，查询发送整改通知的记录。</w:t>
            </w:r>
          </w:p>
          <w:p>
            <w:pPr>
              <w:spacing w:line="360" w:lineRule="auto"/>
              <w:rPr>
                <w:rFonts w:ascii="宋体" w:hAnsi="宋体"/>
                <w:color w:val="auto"/>
                <w:sz w:val="24"/>
                <w:highlight w:val="none"/>
              </w:rPr>
            </w:pPr>
            <w:r>
              <w:rPr>
                <w:rFonts w:hint="eastAsia" w:ascii="宋体" w:hAnsi="宋体"/>
                <w:color w:val="auto"/>
                <w:sz w:val="24"/>
                <w:highlight w:val="none"/>
              </w:rPr>
              <w:t>3、支持对已整改记录进行整改审核。根据整改情况，进行再整改、审核通过、扣分处理。</w:t>
            </w:r>
          </w:p>
          <w:p>
            <w:pPr>
              <w:spacing w:line="360" w:lineRule="auto"/>
              <w:rPr>
                <w:rFonts w:ascii="宋体" w:hAnsi="宋体"/>
                <w:color w:val="auto"/>
                <w:sz w:val="24"/>
                <w:highlight w:val="none"/>
              </w:rPr>
            </w:pPr>
            <w:r>
              <w:rPr>
                <w:rFonts w:hint="eastAsia" w:ascii="宋体" w:hAnsi="宋体"/>
                <w:color w:val="auto"/>
                <w:sz w:val="24"/>
                <w:highlight w:val="none"/>
              </w:rPr>
              <w:t>4、支持如果选择再整改，完成本次审批后，支持自动生成整改通知。</w:t>
            </w:r>
          </w:p>
          <w:p>
            <w:pPr>
              <w:spacing w:line="360" w:lineRule="auto"/>
              <w:rPr>
                <w:rFonts w:ascii="宋体" w:hAnsi="宋体"/>
                <w:b/>
                <w:bCs/>
                <w:color w:val="auto"/>
                <w:sz w:val="24"/>
                <w:highlight w:val="none"/>
              </w:rPr>
            </w:pPr>
            <w:r>
              <w:rPr>
                <w:rFonts w:hint="eastAsia" w:ascii="宋体" w:hAnsi="宋体"/>
                <w:b/>
                <w:bCs/>
                <w:color w:val="auto"/>
                <w:sz w:val="24"/>
                <w:highlight w:val="none"/>
              </w:rPr>
              <w:t>科室质控查询：</w:t>
            </w:r>
          </w:p>
          <w:p>
            <w:pPr>
              <w:spacing w:line="360" w:lineRule="auto"/>
              <w:rPr>
                <w:rFonts w:ascii="宋体" w:hAnsi="宋体"/>
                <w:color w:val="auto"/>
                <w:sz w:val="24"/>
                <w:highlight w:val="none"/>
              </w:rPr>
            </w:pPr>
            <w:r>
              <w:rPr>
                <w:rFonts w:hint="eastAsia" w:ascii="宋体" w:hAnsi="宋体"/>
                <w:color w:val="auto"/>
                <w:sz w:val="24"/>
                <w:highlight w:val="none"/>
              </w:rPr>
              <w:t>1、支持科室质控查询。</w:t>
            </w:r>
          </w:p>
          <w:p>
            <w:pPr>
              <w:spacing w:line="360" w:lineRule="auto"/>
              <w:rPr>
                <w:rFonts w:ascii="宋体" w:hAnsi="宋体"/>
                <w:color w:val="auto"/>
                <w:sz w:val="24"/>
                <w:highlight w:val="none"/>
              </w:rPr>
            </w:pPr>
            <w:r>
              <w:rPr>
                <w:rFonts w:hint="eastAsia" w:ascii="宋体" w:hAnsi="宋体"/>
                <w:color w:val="auto"/>
                <w:sz w:val="24"/>
                <w:highlight w:val="none"/>
              </w:rPr>
              <w:t>2、支持通过质控科室、住院号、患者姓名查询提交了科室质控记录。</w:t>
            </w:r>
          </w:p>
          <w:p>
            <w:pPr>
              <w:spacing w:line="360" w:lineRule="auto"/>
              <w:rPr>
                <w:rFonts w:ascii="宋体" w:hAnsi="宋体"/>
                <w:color w:val="auto"/>
                <w:sz w:val="24"/>
                <w:highlight w:val="none"/>
              </w:rPr>
            </w:pPr>
            <w:r>
              <w:rPr>
                <w:rFonts w:hint="eastAsia" w:ascii="宋体" w:hAnsi="宋体"/>
                <w:color w:val="auto"/>
                <w:sz w:val="24"/>
                <w:highlight w:val="none"/>
              </w:rPr>
              <w:t>3、支持查看该质控记录对应全部缺陷处理情况、扣分标准、扣分次数等。</w:t>
            </w:r>
          </w:p>
          <w:p>
            <w:pPr>
              <w:spacing w:line="360" w:lineRule="auto"/>
              <w:rPr>
                <w:rFonts w:ascii="宋体" w:hAnsi="宋体"/>
                <w:b/>
                <w:bCs/>
                <w:color w:val="auto"/>
                <w:sz w:val="24"/>
                <w:highlight w:val="none"/>
              </w:rPr>
            </w:pPr>
            <w:r>
              <w:rPr>
                <w:rFonts w:hint="eastAsia" w:ascii="宋体" w:hAnsi="宋体"/>
                <w:b/>
                <w:bCs/>
                <w:color w:val="auto"/>
                <w:sz w:val="24"/>
                <w:highlight w:val="none"/>
              </w:rPr>
              <w:t>科室质控超时审核：</w:t>
            </w:r>
          </w:p>
          <w:p>
            <w:pPr>
              <w:spacing w:line="360" w:lineRule="auto"/>
              <w:rPr>
                <w:rFonts w:ascii="宋体" w:hAnsi="宋体"/>
                <w:color w:val="auto"/>
                <w:sz w:val="24"/>
                <w:highlight w:val="none"/>
              </w:rPr>
            </w:pPr>
            <w:r>
              <w:rPr>
                <w:rFonts w:hint="eastAsia" w:ascii="宋体" w:hAnsi="宋体"/>
                <w:color w:val="auto"/>
                <w:sz w:val="24"/>
                <w:highlight w:val="none"/>
              </w:rPr>
              <w:t>1、支持可是超时审核。</w:t>
            </w:r>
          </w:p>
          <w:p>
            <w:pPr>
              <w:spacing w:line="360" w:lineRule="auto"/>
              <w:rPr>
                <w:rFonts w:ascii="宋体" w:hAnsi="宋体"/>
                <w:color w:val="auto"/>
                <w:sz w:val="24"/>
                <w:highlight w:val="none"/>
              </w:rPr>
            </w:pPr>
            <w:r>
              <w:rPr>
                <w:rFonts w:hint="eastAsia" w:ascii="宋体" w:hAnsi="宋体"/>
                <w:color w:val="auto"/>
                <w:sz w:val="24"/>
                <w:highlight w:val="none"/>
              </w:rPr>
              <w:t>2、支持整改超时申请记录审批，审批通过，可以继续整改；审批未通过，按扣分处理。</w:t>
            </w:r>
          </w:p>
          <w:p>
            <w:pPr>
              <w:spacing w:line="360" w:lineRule="auto"/>
              <w:rPr>
                <w:rFonts w:ascii="宋体" w:hAnsi="宋体"/>
                <w:b/>
                <w:bCs/>
                <w:color w:val="auto"/>
                <w:sz w:val="24"/>
                <w:highlight w:val="none"/>
              </w:rPr>
            </w:pPr>
            <w:r>
              <w:rPr>
                <w:rFonts w:hint="eastAsia" w:ascii="宋体" w:hAnsi="宋体"/>
                <w:b/>
                <w:bCs/>
                <w:color w:val="auto"/>
                <w:sz w:val="24"/>
                <w:highlight w:val="none"/>
              </w:rPr>
              <w:t>（4）住院病历环节质控</w:t>
            </w:r>
          </w:p>
          <w:p>
            <w:pPr>
              <w:spacing w:line="360" w:lineRule="auto"/>
              <w:rPr>
                <w:rFonts w:ascii="宋体" w:hAnsi="宋体"/>
                <w:b/>
                <w:bCs/>
                <w:color w:val="auto"/>
                <w:sz w:val="24"/>
                <w:highlight w:val="none"/>
              </w:rPr>
            </w:pPr>
            <w:r>
              <w:rPr>
                <w:rFonts w:hint="eastAsia" w:ascii="宋体" w:hAnsi="宋体"/>
                <w:b/>
                <w:bCs/>
                <w:color w:val="auto"/>
                <w:sz w:val="24"/>
                <w:highlight w:val="none"/>
              </w:rPr>
              <w:t>环节质控工作：</w:t>
            </w:r>
          </w:p>
          <w:p>
            <w:pPr>
              <w:spacing w:line="360" w:lineRule="auto"/>
              <w:rPr>
                <w:rFonts w:ascii="宋体" w:hAnsi="宋体"/>
                <w:color w:val="auto"/>
                <w:sz w:val="24"/>
                <w:highlight w:val="none"/>
              </w:rPr>
            </w:pPr>
            <w:r>
              <w:rPr>
                <w:rFonts w:hint="eastAsia" w:ascii="宋体" w:hAnsi="宋体"/>
                <w:color w:val="auto"/>
                <w:sz w:val="24"/>
                <w:highlight w:val="none"/>
              </w:rPr>
              <w:t>1、支持环节质控。</w:t>
            </w:r>
          </w:p>
          <w:p>
            <w:pPr>
              <w:spacing w:line="360" w:lineRule="auto"/>
              <w:rPr>
                <w:rFonts w:ascii="宋体" w:hAnsi="宋体"/>
                <w:color w:val="auto"/>
                <w:sz w:val="24"/>
                <w:highlight w:val="none"/>
              </w:rPr>
            </w:pPr>
            <w:r>
              <w:rPr>
                <w:rFonts w:hint="eastAsia" w:ascii="宋体" w:hAnsi="宋体"/>
                <w:color w:val="auto"/>
                <w:sz w:val="24"/>
                <w:highlight w:val="none"/>
              </w:rPr>
              <w:t>3、支持对患者每一篇病历按照事先维护的质控项目对比，不满足项提交缺陷。</w:t>
            </w:r>
          </w:p>
          <w:p>
            <w:pPr>
              <w:spacing w:line="360" w:lineRule="auto"/>
              <w:rPr>
                <w:rFonts w:ascii="宋体" w:hAnsi="宋体"/>
                <w:color w:val="auto"/>
                <w:sz w:val="24"/>
                <w:highlight w:val="none"/>
              </w:rPr>
            </w:pPr>
            <w:r>
              <w:rPr>
                <w:rFonts w:hint="eastAsia" w:ascii="宋体" w:hAnsi="宋体"/>
                <w:color w:val="auto"/>
                <w:sz w:val="24"/>
                <w:highlight w:val="none"/>
              </w:rPr>
              <w:t>4、完成本次质控后，支持自动生成整改通知。</w:t>
            </w:r>
          </w:p>
          <w:p>
            <w:pPr>
              <w:spacing w:line="360" w:lineRule="auto"/>
              <w:rPr>
                <w:rFonts w:ascii="宋体" w:hAnsi="宋体"/>
                <w:b/>
                <w:bCs/>
                <w:color w:val="auto"/>
                <w:sz w:val="24"/>
                <w:highlight w:val="none"/>
              </w:rPr>
            </w:pPr>
            <w:r>
              <w:rPr>
                <w:rFonts w:hint="eastAsia" w:ascii="宋体" w:hAnsi="宋体"/>
                <w:b/>
                <w:bCs/>
                <w:color w:val="auto"/>
                <w:sz w:val="24"/>
                <w:highlight w:val="none"/>
              </w:rPr>
              <w:t>环节质控追踪：</w:t>
            </w:r>
          </w:p>
          <w:p>
            <w:pPr>
              <w:spacing w:line="360" w:lineRule="auto"/>
              <w:rPr>
                <w:rFonts w:ascii="宋体" w:hAnsi="宋体"/>
                <w:color w:val="auto"/>
                <w:sz w:val="24"/>
                <w:highlight w:val="none"/>
              </w:rPr>
            </w:pPr>
            <w:r>
              <w:rPr>
                <w:rFonts w:hint="eastAsia" w:ascii="宋体" w:hAnsi="宋体"/>
                <w:color w:val="auto"/>
                <w:sz w:val="24"/>
                <w:highlight w:val="none"/>
              </w:rPr>
              <w:t>1、支持环节质控整改结果跟踪。</w:t>
            </w:r>
          </w:p>
          <w:p>
            <w:pPr>
              <w:spacing w:line="360" w:lineRule="auto"/>
              <w:rPr>
                <w:rFonts w:ascii="宋体" w:hAnsi="宋体"/>
                <w:color w:val="auto"/>
                <w:sz w:val="24"/>
                <w:highlight w:val="none"/>
              </w:rPr>
            </w:pPr>
            <w:r>
              <w:rPr>
                <w:rFonts w:hint="eastAsia" w:ascii="宋体" w:hAnsi="宋体"/>
                <w:color w:val="auto"/>
                <w:sz w:val="24"/>
                <w:highlight w:val="none"/>
              </w:rPr>
              <w:t>2、支持通过患者姓名、整改医生、通知书状态查询提交了整改通知的记录。</w:t>
            </w:r>
          </w:p>
          <w:p>
            <w:pPr>
              <w:spacing w:line="360" w:lineRule="auto"/>
              <w:rPr>
                <w:rFonts w:ascii="宋体" w:hAnsi="宋体"/>
                <w:b/>
                <w:bCs/>
                <w:color w:val="auto"/>
                <w:sz w:val="24"/>
                <w:highlight w:val="none"/>
              </w:rPr>
            </w:pPr>
            <w:r>
              <w:rPr>
                <w:rFonts w:hint="eastAsia" w:ascii="宋体" w:hAnsi="宋体"/>
                <w:b/>
                <w:bCs/>
                <w:color w:val="auto"/>
                <w:sz w:val="24"/>
                <w:highlight w:val="none"/>
              </w:rPr>
              <w:t>环节质控查询：</w:t>
            </w:r>
          </w:p>
          <w:p>
            <w:pPr>
              <w:spacing w:line="360" w:lineRule="auto"/>
              <w:rPr>
                <w:rFonts w:ascii="宋体" w:hAnsi="宋体"/>
                <w:color w:val="auto"/>
                <w:sz w:val="24"/>
                <w:highlight w:val="none"/>
              </w:rPr>
            </w:pPr>
            <w:r>
              <w:rPr>
                <w:rFonts w:hint="eastAsia" w:ascii="宋体" w:hAnsi="宋体"/>
                <w:color w:val="auto"/>
                <w:sz w:val="24"/>
                <w:highlight w:val="none"/>
              </w:rPr>
              <w:t>1、支持环节质控查询。</w:t>
            </w:r>
          </w:p>
          <w:p>
            <w:pPr>
              <w:spacing w:line="360" w:lineRule="auto"/>
              <w:rPr>
                <w:rFonts w:ascii="宋体" w:hAnsi="宋体"/>
                <w:color w:val="auto"/>
                <w:sz w:val="24"/>
                <w:highlight w:val="none"/>
              </w:rPr>
            </w:pPr>
            <w:r>
              <w:rPr>
                <w:rFonts w:hint="eastAsia" w:ascii="宋体" w:hAnsi="宋体"/>
                <w:color w:val="auto"/>
                <w:sz w:val="24"/>
                <w:highlight w:val="none"/>
              </w:rPr>
              <w:t>2、支持通过质控科室、住院号、患者姓名查询提交的环节质控记录。</w:t>
            </w:r>
          </w:p>
          <w:p>
            <w:pPr>
              <w:spacing w:line="360" w:lineRule="auto"/>
              <w:rPr>
                <w:rFonts w:ascii="宋体" w:hAnsi="宋体"/>
                <w:color w:val="auto"/>
                <w:sz w:val="24"/>
                <w:highlight w:val="none"/>
              </w:rPr>
            </w:pPr>
            <w:r>
              <w:rPr>
                <w:rFonts w:hint="eastAsia" w:ascii="宋体" w:hAnsi="宋体"/>
                <w:color w:val="auto"/>
                <w:sz w:val="24"/>
                <w:highlight w:val="none"/>
              </w:rPr>
              <w:t>3、选择记录，支持查看该质控记录对应全部缺陷处理情况、扣分标准、扣分次数等。</w:t>
            </w:r>
          </w:p>
          <w:p>
            <w:pPr>
              <w:spacing w:line="360" w:lineRule="auto"/>
              <w:rPr>
                <w:rFonts w:ascii="宋体" w:hAnsi="宋体"/>
                <w:b/>
                <w:bCs/>
                <w:color w:val="auto"/>
                <w:sz w:val="24"/>
                <w:highlight w:val="none"/>
              </w:rPr>
            </w:pPr>
            <w:r>
              <w:rPr>
                <w:rFonts w:hint="eastAsia" w:ascii="宋体" w:hAnsi="宋体"/>
                <w:b/>
                <w:bCs/>
                <w:color w:val="auto"/>
                <w:sz w:val="24"/>
                <w:highlight w:val="none"/>
              </w:rPr>
              <w:t>环节质控超时审核：</w:t>
            </w:r>
          </w:p>
          <w:p>
            <w:pPr>
              <w:spacing w:line="360" w:lineRule="auto"/>
              <w:rPr>
                <w:rFonts w:ascii="宋体" w:hAnsi="宋体"/>
                <w:color w:val="auto"/>
                <w:sz w:val="24"/>
                <w:highlight w:val="none"/>
              </w:rPr>
            </w:pPr>
            <w:r>
              <w:rPr>
                <w:rFonts w:hint="eastAsia" w:ascii="宋体" w:hAnsi="宋体"/>
                <w:color w:val="auto"/>
                <w:sz w:val="24"/>
                <w:highlight w:val="none"/>
              </w:rPr>
              <w:t>1、支持环节超时审核。</w:t>
            </w:r>
          </w:p>
          <w:p>
            <w:pPr>
              <w:spacing w:line="360" w:lineRule="auto"/>
              <w:rPr>
                <w:rFonts w:ascii="宋体" w:hAnsi="宋体"/>
                <w:color w:val="auto"/>
                <w:sz w:val="24"/>
                <w:highlight w:val="none"/>
              </w:rPr>
            </w:pPr>
            <w:r>
              <w:rPr>
                <w:rFonts w:hint="eastAsia" w:ascii="宋体" w:hAnsi="宋体"/>
                <w:color w:val="auto"/>
                <w:sz w:val="24"/>
                <w:highlight w:val="none"/>
              </w:rPr>
              <w:t>2、支持整改超时申请记录审批，审批通过，可以继续整改；审批未通过，按扣分处理。</w:t>
            </w:r>
          </w:p>
          <w:p>
            <w:pPr>
              <w:spacing w:line="360" w:lineRule="auto"/>
              <w:rPr>
                <w:rFonts w:ascii="宋体" w:hAnsi="宋体"/>
                <w:b/>
                <w:bCs/>
                <w:color w:val="auto"/>
                <w:sz w:val="24"/>
                <w:highlight w:val="none"/>
              </w:rPr>
            </w:pPr>
            <w:r>
              <w:rPr>
                <w:rFonts w:hint="eastAsia" w:ascii="宋体" w:hAnsi="宋体"/>
                <w:b/>
                <w:bCs/>
                <w:color w:val="auto"/>
                <w:sz w:val="24"/>
                <w:highlight w:val="none"/>
              </w:rPr>
              <w:t>（5）住院病历终末质控</w:t>
            </w:r>
          </w:p>
          <w:p>
            <w:pPr>
              <w:spacing w:line="360" w:lineRule="auto"/>
              <w:rPr>
                <w:rFonts w:ascii="宋体" w:hAnsi="宋体"/>
                <w:b/>
                <w:bCs/>
                <w:color w:val="auto"/>
                <w:sz w:val="24"/>
                <w:highlight w:val="none"/>
              </w:rPr>
            </w:pPr>
            <w:r>
              <w:rPr>
                <w:rFonts w:hint="eastAsia" w:ascii="宋体" w:hAnsi="宋体"/>
                <w:b/>
                <w:bCs/>
                <w:color w:val="auto"/>
                <w:sz w:val="24"/>
                <w:highlight w:val="none"/>
              </w:rPr>
              <w:t>终末质控工作：</w:t>
            </w:r>
          </w:p>
          <w:p>
            <w:pPr>
              <w:spacing w:line="360" w:lineRule="auto"/>
              <w:rPr>
                <w:rFonts w:ascii="宋体" w:hAnsi="宋体"/>
                <w:color w:val="auto"/>
                <w:sz w:val="24"/>
                <w:highlight w:val="none"/>
              </w:rPr>
            </w:pPr>
            <w:r>
              <w:rPr>
                <w:rFonts w:hint="eastAsia" w:ascii="宋体" w:hAnsi="宋体"/>
                <w:color w:val="auto"/>
                <w:sz w:val="24"/>
                <w:highlight w:val="none"/>
              </w:rPr>
              <w:t>1、支持对已出院患者进行病历终末质控。</w:t>
            </w:r>
          </w:p>
          <w:p>
            <w:pPr>
              <w:spacing w:line="360" w:lineRule="auto"/>
              <w:rPr>
                <w:rFonts w:ascii="宋体" w:hAnsi="宋体"/>
                <w:color w:val="auto"/>
                <w:sz w:val="24"/>
                <w:highlight w:val="none"/>
              </w:rPr>
            </w:pPr>
            <w:r>
              <w:rPr>
                <w:rFonts w:hint="eastAsia" w:ascii="宋体" w:hAnsi="宋体"/>
                <w:color w:val="auto"/>
                <w:sz w:val="24"/>
                <w:highlight w:val="none"/>
              </w:rPr>
              <w:t>2、支持通过患者姓名、科室、住院号、入院时间查询住院患者完成环节质控的记录。</w:t>
            </w:r>
          </w:p>
          <w:p>
            <w:pPr>
              <w:spacing w:line="360" w:lineRule="auto"/>
              <w:rPr>
                <w:rFonts w:ascii="宋体" w:hAnsi="宋体"/>
                <w:color w:val="auto"/>
                <w:sz w:val="24"/>
                <w:highlight w:val="none"/>
              </w:rPr>
            </w:pPr>
            <w:r>
              <w:rPr>
                <w:rFonts w:hint="eastAsia" w:ascii="宋体" w:hAnsi="宋体"/>
                <w:color w:val="auto"/>
                <w:sz w:val="24"/>
                <w:highlight w:val="none"/>
              </w:rPr>
              <w:t>3、支持对患者每一篇病历按照事先维护的质控项目对比，不满足项提交缺陷。</w:t>
            </w:r>
          </w:p>
          <w:p>
            <w:pPr>
              <w:spacing w:line="360" w:lineRule="auto"/>
              <w:rPr>
                <w:rFonts w:ascii="宋体" w:hAnsi="宋体"/>
                <w:color w:val="auto"/>
                <w:sz w:val="24"/>
                <w:highlight w:val="none"/>
              </w:rPr>
            </w:pPr>
            <w:r>
              <w:rPr>
                <w:rFonts w:hint="eastAsia" w:ascii="宋体" w:hAnsi="宋体"/>
                <w:color w:val="auto"/>
                <w:sz w:val="24"/>
                <w:highlight w:val="none"/>
              </w:rPr>
              <w:t>4、完成本次质控后，支持自动生成整改通知。</w:t>
            </w:r>
          </w:p>
          <w:p>
            <w:pPr>
              <w:spacing w:line="360" w:lineRule="auto"/>
              <w:rPr>
                <w:rFonts w:ascii="宋体" w:hAnsi="宋体"/>
                <w:b/>
                <w:bCs/>
                <w:color w:val="auto"/>
                <w:sz w:val="24"/>
                <w:highlight w:val="none"/>
              </w:rPr>
            </w:pPr>
            <w:r>
              <w:rPr>
                <w:rFonts w:hint="eastAsia" w:ascii="宋体" w:hAnsi="宋体"/>
                <w:b/>
                <w:bCs/>
                <w:color w:val="auto"/>
                <w:sz w:val="24"/>
                <w:highlight w:val="none"/>
              </w:rPr>
              <w:t>终末质控追踪：</w:t>
            </w:r>
          </w:p>
          <w:p>
            <w:pPr>
              <w:spacing w:line="360" w:lineRule="auto"/>
              <w:rPr>
                <w:rFonts w:ascii="宋体" w:hAnsi="宋体"/>
                <w:color w:val="auto"/>
                <w:sz w:val="24"/>
                <w:highlight w:val="none"/>
              </w:rPr>
            </w:pPr>
            <w:r>
              <w:rPr>
                <w:rFonts w:hint="eastAsia" w:ascii="宋体" w:hAnsi="宋体"/>
                <w:color w:val="auto"/>
                <w:sz w:val="24"/>
                <w:highlight w:val="none"/>
              </w:rPr>
              <w:t>1、支持终末质控整改结果跟踪。</w:t>
            </w:r>
          </w:p>
          <w:p>
            <w:pPr>
              <w:spacing w:line="360" w:lineRule="auto"/>
              <w:rPr>
                <w:rFonts w:ascii="宋体" w:hAnsi="宋体"/>
                <w:color w:val="auto"/>
                <w:sz w:val="24"/>
                <w:highlight w:val="none"/>
              </w:rPr>
            </w:pPr>
            <w:r>
              <w:rPr>
                <w:rFonts w:hint="eastAsia" w:ascii="宋体" w:hAnsi="宋体"/>
                <w:color w:val="auto"/>
                <w:sz w:val="24"/>
                <w:highlight w:val="none"/>
              </w:rPr>
              <w:t>2、支持通过通知书状态、患者姓名、整改医生等，查询发送整改通知的记录。</w:t>
            </w:r>
          </w:p>
          <w:p>
            <w:pPr>
              <w:spacing w:line="360" w:lineRule="auto"/>
              <w:rPr>
                <w:rFonts w:ascii="宋体" w:hAnsi="宋体"/>
                <w:color w:val="auto"/>
                <w:sz w:val="24"/>
                <w:highlight w:val="none"/>
              </w:rPr>
            </w:pPr>
            <w:r>
              <w:rPr>
                <w:rFonts w:hint="eastAsia" w:ascii="宋体" w:hAnsi="宋体"/>
                <w:color w:val="auto"/>
                <w:sz w:val="24"/>
                <w:highlight w:val="none"/>
              </w:rPr>
              <w:t>3、支持对已整改记录进行整改审核。根据整改情况，进行再整改、审核通过、扣分处理。</w:t>
            </w:r>
          </w:p>
          <w:p>
            <w:pPr>
              <w:spacing w:line="360" w:lineRule="auto"/>
              <w:rPr>
                <w:rFonts w:ascii="宋体" w:hAnsi="宋体"/>
                <w:color w:val="auto"/>
                <w:sz w:val="24"/>
                <w:highlight w:val="none"/>
              </w:rPr>
            </w:pPr>
            <w:r>
              <w:rPr>
                <w:rFonts w:hint="eastAsia" w:ascii="宋体" w:hAnsi="宋体"/>
                <w:color w:val="auto"/>
                <w:sz w:val="24"/>
                <w:highlight w:val="none"/>
              </w:rPr>
              <w:t>4、支持自动生成整改通知。</w:t>
            </w:r>
          </w:p>
          <w:p>
            <w:pPr>
              <w:spacing w:line="360" w:lineRule="auto"/>
              <w:rPr>
                <w:rFonts w:ascii="宋体" w:hAnsi="宋体"/>
                <w:b/>
                <w:bCs/>
                <w:color w:val="auto"/>
                <w:sz w:val="24"/>
                <w:highlight w:val="none"/>
              </w:rPr>
            </w:pPr>
            <w:r>
              <w:rPr>
                <w:rFonts w:hint="eastAsia" w:ascii="宋体" w:hAnsi="宋体"/>
                <w:b/>
                <w:bCs/>
                <w:color w:val="auto"/>
                <w:sz w:val="24"/>
                <w:highlight w:val="none"/>
              </w:rPr>
              <w:t>终末质控查询：</w:t>
            </w:r>
          </w:p>
          <w:p>
            <w:pPr>
              <w:spacing w:line="360" w:lineRule="auto"/>
              <w:rPr>
                <w:rFonts w:ascii="宋体" w:hAnsi="宋体"/>
                <w:color w:val="auto"/>
                <w:sz w:val="24"/>
                <w:highlight w:val="none"/>
              </w:rPr>
            </w:pPr>
            <w:r>
              <w:rPr>
                <w:rFonts w:hint="eastAsia" w:ascii="宋体" w:hAnsi="宋体"/>
                <w:color w:val="auto"/>
                <w:sz w:val="24"/>
                <w:highlight w:val="none"/>
              </w:rPr>
              <w:t>1、支持终末质控查询。</w:t>
            </w:r>
          </w:p>
          <w:p>
            <w:pPr>
              <w:spacing w:line="360" w:lineRule="auto"/>
              <w:rPr>
                <w:rFonts w:ascii="宋体" w:hAnsi="宋体"/>
                <w:color w:val="auto"/>
                <w:sz w:val="24"/>
                <w:highlight w:val="none"/>
              </w:rPr>
            </w:pPr>
            <w:r>
              <w:rPr>
                <w:rFonts w:hint="eastAsia" w:ascii="宋体" w:hAnsi="宋体"/>
                <w:color w:val="auto"/>
                <w:sz w:val="24"/>
                <w:highlight w:val="none"/>
              </w:rPr>
              <w:t>2、支持通过质控科室、住院号、患者姓名查询提交的终末质控记录。</w:t>
            </w:r>
          </w:p>
          <w:p>
            <w:pPr>
              <w:spacing w:line="360" w:lineRule="auto"/>
              <w:rPr>
                <w:rFonts w:ascii="宋体" w:hAnsi="宋体"/>
                <w:color w:val="auto"/>
                <w:sz w:val="24"/>
                <w:highlight w:val="none"/>
              </w:rPr>
            </w:pPr>
            <w:r>
              <w:rPr>
                <w:rFonts w:hint="eastAsia" w:ascii="宋体" w:hAnsi="宋体"/>
                <w:color w:val="auto"/>
                <w:sz w:val="24"/>
                <w:highlight w:val="none"/>
              </w:rPr>
              <w:t>3、支持查看该质控记录对应全部缺陷处理情况、扣分标准、扣分次数等。</w:t>
            </w:r>
          </w:p>
          <w:p>
            <w:pPr>
              <w:spacing w:line="360" w:lineRule="auto"/>
              <w:rPr>
                <w:rFonts w:ascii="宋体" w:hAnsi="宋体"/>
                <w:b/>
                <w:bCs/>
                <w:color w:val="auto"/>
                <w:sz w:val="24"/>
                <w:highlight w:val="none"/>
              </w:rPr>
            </w:pPr>
            <w:r>
              <w:rPr>
                <w:rFonts w:hint="eastAsia" w:ascii="宋体" w:hAnsi="宋体"/>
                <w:b/>
                <w:bCs/>
                <w:color w:val="auto"/>
                <w:sz w:val="24"/>
                <w:highlight w:val="none"/>
              </w:rPr>
              <w:t>终末质控超时审核：</w:t>
            </w:r>
          </w:p>
          <w:p>
            <w:pPr>
              <w:spacing w:line="360" w:lineRule="auto"/>
              <w:rPr>
                <w:rFonts w:ascii="宋体" w:hAnsi="宋体"/>
                <w:color w:val="auto"/>
                <w:sz w:val="24"/>
                <w:highlight w:val="none"/>
              </w:rPr>
            </w:pPr>
            <w:r>
              <w:rPr>
                <w:rFonts w:hint="eastAsia" w:ascii="宋体" w:hAnsi="宋体"/>
                <w:color w:val="auto"/>
                <w:sz w:val="24"/>
                <w:highlight w:val="none"/>
              </w:rPr>
              <w:t>1、支持终末超时审核。</w:t>
            </w:r>
          </w:p>
          <w:p>
            <w:pPr>
              <w:spacing w:line="360" w:lineRule="auto"/>
              <w:rPr>
                <w:rFonts w:ascii="宋体" w:hAnsi="宋体"/>
                <w:color w:val="auto"/>
                <w:sz w:val="24"/>
                <w:highlight w:val="none"/>
              </w:rPr>
            </w:pPr>
            <w:r>
              <w:rPr>
                <w:rFonts w:hint="eastAsia" w:ascii="宋体" w:hAnsi="宋体"/>
                <w:color w:val="auto"/>
                <w:sz w:val="24"/>
                <w:highlight w:val="none"/>
              </w:rPr>
              <w:t>2、支持整改超时申请记录审批，审批通过，可以继续整改；审批未通过，按扣分处理。</w:t>
            </w:r>
          </w:p>
          <w:p>
            <w:pPr>
              <w:spacing w:line="360" w:lineRule="auto"/>
              <w:rPr>
                <w:rFonts w:ascii="宋体" w:hAnsi="宋体"/>
                <w:b/>
                <w:bCs/>
                <w:color w:val="auto"/>
                <w:sz w:val="24"/>
                <w:highlight w:val="none"/>
              </w:rPr>
            </w:pPr>
            <w:r>
              <w:rPr>
                <w:rFonts w:hint="eastAsia" w:ascii="宋体" w:hAnsi="宋体"/>
                <w:b/>
                <w:bCs/>
                <w:color w:val="auto"/>
                <w:sz w:val="24"/>
                <w:highlight w:val="none"/>
              </w:rPr>
              <w:t>终末质控评分：</w:t>
            </w:r>
          </w:p>
          <w:p>
            <w:pPr>
              <w:spacing w:line="360" w:lineRule="auto"/>
              <w:rPr>
                <w:rFonts w:ascii="宋体" w:hAnsi="宋体"/>
                <w:color w:val="auto"/>
                <w:sz w:val="24"/>
                <w:highlight w:val="none"/>
              </w:rPr>
            </w:pPr>
            <w:r>
              <w:rPr>
                <w:rFonts w:hint="eastAsia" w:ascii="宋体" w:hAnsi="宋体"/>
                <w:color w:val="auto"/>
                <w:sz w:val="24"/>
                <w:highlight w:val="none"/>
              </w:rPr>
              <w:t>1、支持终末质控评分。</w:t>
            </w:r>
          </w:p>
          <w:p>
            <w:pPr>
              <w:spacing w:line="360" w:lineRule="auto"/>
              <w:rPr>
                <w:rFonts w:ascii="宋体" w:hAnsi="宋体"/>
                <w:color w:val="auto"/>
                <w:sz w:val="24"/>
                <w:highlight w:val="none"/>
              </w:rPr>
            </w:pPr>
            <w:r>
              <w:rPr>
                <w:rFonts w:hint="eastAsia" w:ascii="宋体" w:hAnsi="宋体"/>
                <w:color w:val="auto"/>
                <w:sz w:val="24"/>
                <w:highlight w:val="none"/>
              </w:rPr>
              <w:t>2、支持通过质控科室、住院号、患者姓名查询提交了终末质控记录。</w:t>
            </w:r>
          </w:p>
          <w:p>
            <w:pPr>
              <w:spacing w:line="360" w:lineRule="auto"/>
              <w:rPr>
                <w:rFonts w:ascii="宋体" w:hAnsi="宋体"/>
                <w:b/>
                <w:bCs/>
                <w:color w:val="auto"/>
                <w:sz w:val="24"/>
                <w:highlight w:val="none"/>
              </w:rPr>
            </w:pPr>
            <w:r>
              <w:rPr>
                <w:rFonts w:hint="eastAsia" w:ascii="宋体" w:hAnsi="宋体"/>
                <w:b/>
                <w:bCs/>
                <w:color w:val="auto"/>
                <w:sz w:val="24"/>
                <w:highlight w:val="none"/>
              </w:rPr>
              <w:t>（</w:t>
            </w:r>
            <w:r>
              <w:rPr>
                <w:rFonts w:ascii="宋体" w:hAnsi="宋体"/>
                <w:b/>
                <w:bCs/>
                <w:color w:val="auto"/>
                <w:sz w:val="24"/>
                <w:highlight w:val="none"/>
              </w:rPr>
              <w:t>6</w:t>
            </w:r>
            <w:r>
              <w:rPr>
                <w:rFonts w:hint="eastAsia" w:ascii="宋体" w:hAnsi="宋体"/>
                <w:b/>
                <w:bCs/>
                <w:color w:val="auto"/>
                <w:sz w:val="24"/>
                <w:highlight w:val="none"/>
              </w:rPr>
              <w:t>）病案首页质控</w:t>
            </w:r>
          </w:p>
          <w:p>
            <w:pPr>
              <w:spacing w:line="360" w:lineRule="auto"/>
              <w:rPr>
                <w:rFonts w:ascii="宋体" w:hAnsi="宋体"/>
                <w:b/>
                <w:bCs/>
                <w:color w:val="auto"/>
                <w:sz w:val="24"/>
                <w:highlight w:val="none"/>
              </w:rPr>
            </w:pPr>
            <w:r>
              <w:rPr>
                <w:rFonts w:hint="eastAsia" w:ascii="宋体" w:hAnsi="宋体"/>
                <w:b/>
                <w:bCs/>
                <w:color w:val="auto"/>
                <w:sz w:val="24"/>
                <w:highlight w:val="none"/>
              </w:rPr>
              <w:t>病案首页质控工作：</w:t>
            </w:r>
          </w:p>
          <w:p>
            <w:pPr>
              <w:spacing w:line="360" w:lineRule="auto"/>
              <w:rPr>
                <w:rFonts w:ascii="宋体" w:hAnsi="宋体"/>
                <w:color w:val="auto"/>
                <w:sz w:val="24"/>
                <w:highlight w:val="none"/>
              </w:rPr>
            </w:pPr>
            <w:r>
              <w:rPr>
                <w:rFonts w:hint="eastAsia" w:ascii="宋体" w:hAnsi="宋体"/>
                <w:color w:val="auto"/>
                <w:sz w:val="24"/>
                <w:highlight w:val="none"/>
              </w:rPr>
              <w:t>1、支持病案首页质控。</w:t>
            </w:r>
          </w:p>
          <w:p>
            <w:pPr>
              <w:spacing w:line="360" w:lineRule="auto"/>
              <w:rPr>
                <w:rFonts w:ascii="宋体" w:hAnsi="宋体"/>
                <w:color w:val="auto"/>
                <w:sz w:val="24"/>
                <w:highlight w:val="none"/>
              </w:rPr>
            </w:pPr>
            <w:r>
              <w:rPr>
                <w:rFonts w:hint="eastAsia" w:ascii="宋体" w:hAnsi="宋体"/>
                <w:color w:val="auto"/>
                <w:sz w:val="24"/>
                <w:highlight w:val="none"/>
              </w:rPr>
              <w:t>2、支持通过患者姓名、科室、住院号、是否已质控、首页是否已提交、出院时间查询急诊患者完成质控的记录。</w:t>
            </w:r>
          </w:p>
          <w:p>
            <w:pPr>
              <w:spacing w:line="360" w:lineRule="auto"/>
              <w:rPr>
                <w:rFonts w:ascii="宋体" w:hAnsi="宋体"/>
                <w:color w:val="auto"/>
                <w:sz w:val="24"/>
                <w:highlight w:val="none"/>
              </w:rPr>
            </w:pPr>
            <w:r>
              <w:rPr>
                <w:rFonts w:hint="eastAsia" w:ascii="宋体" w:hAnsi="宋体"/>
                <w:color w:val="auto"/>
                <w:sz w:val="24"/>
                <w:highlight w:val="none"/>
              </w:rPr>
              <w:t>3、支持对患者病案首页按照事先维护的质控项目对比，不满足项提交缺陷。</w:t>
            </w:r>
          </w:p>
          <w:p>
            <w:pPr>
              <w:spacing w:line="360" w:lineRule="auto"/>
              <w:rPr>
                <w:rFonts w:ascii="宋体" w:hAnsi="宋体"/>
                <w:b/>
                <w:bCs/>
                <w:color w:val="auto"/>
                <w:sz w:val="24"/>
                <w:highlight w:val="none"/>
              </w:rPr>
            </w:pPr>
            <w:r>
              <w:rPr>
                <w:rFonts w:hint="eastAsia" w:ascii="宋体" w:hAnsi="宋体"/>
                <w:b/>
                <w:bCs/>
                <w:color w:val="auto"/>
                <w:sz w:val="24"/>
                <w:highlight w:val="none"/>
              </w:rPr>
              <w:t>病案首页驳回修订：</w:t>
            </w:r>
          </w:p>
          <w:p>
            <w:pPr>
              <w:spacing w:line="360" w:lineRule="auto"/>
              <w:rPr>
                <w:rFonts w:ascii="宋体" w:hAnsi="宋体"/>
                <w:color w:val="auto"/>
                <w:sz w:val="24"/>
                <w:highlight w:val="none"/>
              </w:rPr>
            </w:pPr>
            <w:r>
              <w:rPr>
                <w:rFonts w:hint="eastAsia" w:ascii="宋体" w:hAnsi="宋体"/>
                <w:color w:val="auto"/>
                <w:sz w:val="24"/>
                <w:highlight w:val="none"/>
              </w:rPr>
              <w:t>1、支持病案首页驳回修订。</w:t>
            </w:r>
          </w:p>
          <w:p>
            <w:pPr>
              <w:spacing w:line="360" w:lineRule="auto"/>
              <w:rPr>
                <w:rFonts w:ascii="宋体" w:hAnsi="宋体"/>
                <w:color w:val="auto"/>
                <w:sz w:val="24"/>
                <w:highlight w:val="none"/>
              </w:rPr>
            </w:pPr>
            <w:r>
              <w:rPr>
                <w:rFonts w:hint="eastAsia" w:ascii="宋体" w:hAnsi="宋体"/>
                <w:color w:val="auto"/>
                <w:sz w:val="24"/>
                <w:highlight w:val="none"/>
              </w:rPr>
              <w:t>2、支持提交整改缺陷，完成质控后，病历提交者自动收到驳回通知。</w:t>
            </w:r>
          </w:p>
          <w:p>
            <w:pPr>
              <w:spacing w:line="360" w:lineRule="auto"/>
              <w:rPr>
                <w:rFonts w:ascii="宋体" w:hAnsi="宋体"/>
                <w:color w:val="auto"/>
                <w:sz w:val="24"/>
                <w:highlight w:val="none"/>
              </w:rPr>
            </w:pPr>
            <w:r>
              <w:rPr>
                <w:rFonts w:hint="eastAsia" w:ascii="宋体" w:hAnsi="宋体"/>
                <w:color w:val="auto"/>
                <w:sz w:val="24"/>
                <w:highlight w:val="none"/>
              </w:rPr>
              <w:t>3、支持接到通知后，根据缺陷修改病安首页，完成修订。</w:t>
            </w:r>
          </w:p>
          <w:p>
            <w:pPr>
              <w:spacing w:line="360" w:lineRule="auto"/>
              <w:rPr>
                <w:rFonts w:ascii="宋体" w:hAnsi="宋体"/>
                <w:b/>
                <w:bCs/>
                <w:color w:val="auto"/>
                <w:sz w:val="24"/>
                <w:highlight w:val="none"/>
              </w:rPr>
            </w:pPr>
            <w:r>
              <w:rPr>
                <w:rFonts w:hint="eastAsia" w:ascii="宋体" w:hAnsi="宋体"/>
                <w:b/>
                <w:bCs/>
                <w:color w:val="auto"/>
                <w:sz w:val="24"/>
                <w:highlight w:val="none"/>
              </w:rPr>
              <w:t>病案首页驳回记录：</w:t>
            </w:r>
          </w:p>
          <w:p>
            <w:pPr>
              <w:spacing w:line="360" w:lineRule="auto"/>
              <w:rPr>
                <w:rFonts w:ascii="宋体" w:hAnsi="宋体"/>
                <w:color w:val="auto"/>
                <w:sz w:val="24"/>
                <w:highlight w:val="none"/>
              </w:rPr>
            </w:pPr>
            <w:r>
              <w:rPr>
                <w:rFonts w:hint="eastAsia" w:ascii="宋体" w:hAnsi="宋体"/>
                <w:color w:val="auto"/>
                <w:sz w:val="24"/>
                <w:highlight w:val="none"/>
              </w:rPr>
              <w:t>1、支持病案首页驳回记录查询。</w:t>
            </w:r>
          </w:p>
          <w:p>
            <w:pPr>
              <w:spacing w:line="360" w:lineRule="auto"/>
              <w:rPr>
                <w:rFonts w:ascii="宋体" w:hAnsi="宋体"/>
                <w:color w:val="auto"/>
                <w:sz w:val="24"/>
                <w:highlight w:val="none"/>
              </w:rPr>
            </w:pPr>
            <w:r>
              <w:rPr>
                <w:rFonts w:hint="eastAsia" w:ascii="宋体" w:hAnsi="宋体"/>
                <w:color w:val="auto"/>
                <w:sz w:val="24"/>
                <w:highlight w:val="none"/>
              </w:rPr>
              <w:t>2、支持通过住院号、患者姓名、出院科室、出院时间、整改状态查询提交了病案首页驳回记录。</w:t>
            </w:r>
          </w:p>
          <w:p>
            <w:pPr>
              <w:spacing w:line="360" w:lineRule="auto"/>
              <w:rPr>
                <w:rFonts w:ascii="宋体" w:hAnsi="宋体"/>
                <w:color w:val="auto"/>
                <w:sz w:val="24"/>
                <w:highlight w:val="none"/>
              </w:rPr>
            </w:pPr>
            <w:r>
              <w:rPr>
                <w:rFonts w:hint="eastAsia" w:ascii="宋体" w:hAnsi="宋体"/>
                <w:color w:val="auto"/>
                <w:sz w:val="24"/>
                <w:highlight w:val="none"/>
              </w:rPr>
              <w:t>3、支持查看该患者病案首页。</w:t>
            </w:r>
          </w:p>
          <w:p>
            <w:pPr>
              <w:spacing w:line="360" w:lineRule="auto"/>
              <w:rPr>
                <w:rFonts w:ascii="宋体" w:hAnsi="宋体"/>
                <w:b/>
                <w:bCs/>
                <w:color w:val="auto"/>
                <w:sz w:val="24"/>
                <w:highlight w:val="none"/>
              </w:rPr>
            </w:pPr>
            <w:r>
              <w:rPr>
                <w:rFonts w:hint="eastAsia" w:ascii="宋体" w:hAnsi="宋体"/>
                <w:b/>
                <w:bCs/>
                <w:color w:val="auto"/>
                <w:sz w:val="24"/>
                <w:highlight w:val="none"/>
              </w:rPr>
              <w:t>病案首页缺陷查询：</w:t>
            </w:r>
          </w:p>
          <w:p>
            <w:pPr>
              <w:spacing w:line="360" w:lineRule="auto"/>
              <w:rPr>
                <w:rFonts w:ascii="宋体" w:hAnsi="宋体"/>
                <w:color w:val="auto"/>
                <w:sz w:val="24"/>
                <w:highlight w:val="none"/>
              </w:rPr>
            </w:pPr>
            <w:r>
              <w:rPr>
                <w:rFonts w:hint="eastAsia" w:ascii="宋体" w:hAnsi="宋体"/>
                <w:color w:val="auto"/>
                <w:sz w:val="24"/>
                <w:highlight w:val="none"/>
              </w:rPr>
              <w:t>1、支持病案首页缺陷查询。</w:t>
            </w:r>
          </w:p>
          <w:p>
            <w:pPr>
              <w:spacing w:line="360" w:lineRule="auto"/>
              <w:rPr>
                <w:rFonts w:ascii="宋体" w:hAnsi="宋体"/>
                <w:color w:val="auto"/>
                <w:sz w:val="24"/>
                <w:highlight w:val="none"/>
              </w:rPr>
            </w:pPr>
            <w:r>
              <w:rPr>
                <w:rFonts w:hint="eastAsia" w:ascii="宋体" w:hAnsi="宋体"/>
                <w:color w:val="auto"/>
                <w:sz w:val="24"/>
                <w:highlight w:val="none"/>
              </w:rPr>
              <w:t>2、支持通过病案号、质控时间、出院科室查询提交了病案首页驳回记录。</w:t>
            </w:r>
          </w:p>
          <w:p>
            <w:pPr>
              <w:spacing w:line="360" w:lineRule="auto"/>
              <w:rPr>
                <w:rFonts w:ascii="宋体" w:hAnsi="宋体"/>
                <w:color w:val="auto"/>
                <w:sz w:val="24"/>
                <w:highlight w:val="none"/>
              </w:rPr>
            </w:pPr>
            <w:r>
              <w:rPr>
                <w:rFonts w:hint="eastAsia" w:ascii="宋体" w:hAnsi="宋体"/>
                <w:color w:val="auto"/>
                <w:sz w:val="24"/>
                <w:highlight w:val="none"/>
              </w:rPr>
              <w:t>3、支持查看该患者病案首页缺陷明细。</w:t>
            </w:r>
          </w:p>
          <w:p>
            <w:pPr>
              <w:spacing w:line="360" w:lineRule="auto"/>
              <w:rPr>
                <w:rFonts w:ascii="宋体" w:hAnsi="宋体"/>
                <w:b/>
                <w:bCs/>
                <w:color w:val="auto"/>
                <w:sz w:val="24"/>
                <w:highlight w:val="none"/>
              </w:rPr>
            </w:pPr>
            <w:r>
              <w:rPr>
                <w:rFonts w:hint="eastAsia" w:ascii="宋体" w:hAnsi="宋体"/>
                <w:b/>
                <w:bCs/>
                <w:color w:val="auto"/>
                <w:sz w:val="24"/>
                <w:highlight w:val="none"/>
              </w:rPr>
              <w:t>（8）病历整改</w:t>
            </w:r>
          </w:p>
          <w:p>
            <w:pPr>
              <w:spacing w:line="360" w:lineRule="auto"/>
              <w:rPr>
                <w:rFonts w:ascii="宋体" w:hAnsi="宋体"/>
                <w:b/>
                <w:bCs/>
                <w:color w:val="auto"/>
                <w:sz w:val="24"/>
                <w:highlight w:val="none"/>
              </w:rPr>
            </w:pPr>
            <w:r>
              <w:rPr>
                <w:rFonts w:hint="eastAsia" w:ascii="宋体" w:hAnsi="宋体"/>
                <w:b/>
                <w:bCs/>
                <w:color w:val="auto"/>
                <w:sz w:val="24"/>
                <w:highlight w:val="none"/>
              </w:rPr>
              <w:t>质控整改通知：</w:t>
            </w:r>
          </w:p>
          <w:p>
            <w:pPr>
              <w:spacing w:line="360" w:lineRule="auto"/>
              <w:rPr>
                <w:rFonts w:ascii="宋体" w:hAnsi="宋体"/>
                <w:color w:val="auto"/>
                <w:sz w:val="24"/>
                <w:highlight w:val="none"/>
              </w:rPr>
            </w:pPr>
            <w:r>
              <w:rPr>
                <w:rFonts w:hint="eastAsia" w:ascii="宋体" w:hAnsi="宋体"/>
                <w:color w:val="auto"/>
                <w:sz w:val="24"/>
                <w:highlight w:val="none"/>
              </w:rPr>
              <w:t>1、支持环节质控整改、科室质控整改、终末质控整改、急诊病历质控整改、专科专病质控整改通知接收。</w:t>
            </w:r>
          </w:p>
          <w:p>
            <w:pPr>
              <w:spacing w:line="360" w:lineRule="auto"/>
              <w:rPr>
                <w:rFonts w:ascii="宋体" w:hAnsi="宋体"/>
                <w:color w:val="auto"/>
                <w:sz w:val="24"/>
                <w:highlight w:val="none"/>
              </w:rPr>
            </w:pPr>
            <w:r>
              <w:rPr>
                <w:rFonts w:hint="eastAsia" w:ascii="宋体" w:hAnsi="宋体"/>
                <w:color w:val="auto"/>
                <w:sz w:val="24"/>
                <w:highlight w:val="none"/>
              </w:rPr>
              <w:t>2、支持提交整改缺陷，完成质控后，病历提交者自动收到整改通知。</w:t>
            </w:r>
          </w:p>
          <w:p>
            <w:pPr>
              <w:spacing w:line="360" w:lineRule="auto"/>
              <w:rPr>
                <w:rFonts w:ascii="宋体" w:hAnsi="宋体"/>
                <w:color w:val="auto"/>
                <w:sz w:val="24"/>
                <w:highlight w:val="none"/>
              </w:rPr>
            </w:pPr>
            <w:r>
              <w:rPr>
                <w:rFonts w:hint="eastAsia" w:ascii="宋体" w:hAnsi="宋体"/>
                <w:color w:val="auto"/>
                <w:sz w:val="24"/>
                <w:highlight w:val="none"/>
              </w:rPr>
              <w:t>3、支持接到通知后，根据缺陷修改病历，完成整改。</w:t>
            </w:r>
          </w:p>
          <w:p>
            <w:pPr>
              <w:spacing w:line="360" w:lineRule="auto"/>
              <w:rPr>
                <w:rFonts w:ascii="宋体" w:hAnsi="宋体"/>
                <w:color w:val="auto"/>
                <w:sz w:val="24"/>
                <w:highlight w:val="none"/>
              </w:rPr>
            </w:pPr>
            <w:r>
              <w:rPr>
                <w:rFonts w:hint="eastAsia" w:ascii="宋体" w:hAnsi="宋体"/>
                <w:color w:val="auto"/>
                <w:sz w:val="24"/>
                <w:highlight w:val="none"/>
              </w:rPr>
              <w:t>4、支持超时申请，审批同意可继续整改，未同意，按扣分处理。</w:t>
            </w:r>
          </w:p>
          <w:p>
            <w:pPr>
              <w:spacing w:line="360" w:lineRule="auto"/>
              <w:rPr>
                <w:rFonts w:ascii="宋体" w:hAnsi="宋体"/>
                <w:b/>
                <w:bCs/>
                <w:color w:val="auto"/>
                <w:sz w:val="24"/>
                <w:highlight w:val="none"/>
              </w:rPr>
            </w:pPr>
            <w:r>
              <w:rPr>
                <w:rFonts w:hint="eastAsia" w:ascii="宋体" w:hAnsi="宋体"/>
                <w:b/>
                <w:bCs/>
                <w:color w:val="auto"/>
                <w:sz w:val="24"/>
                <w:highlight w:val="none"/>
              </w:rPr>
              <w:t>（9）质控计划</w:t>
            </w:r>
          </w:p>
          <w:p>
            <w:pPr>
              <w:spacing w:line="360" w:lineRule="auto"/>
              <w:rPr>
                <w:rFonts w:ascii="宋体" w:hAnsi="宋体"/>
                <w:b/>
                <w:bCs/>
                <w:color w:val="auto"/>
                <w:sz w:val="24"/>
                <w:highlight w:val="none"/>
              </w:rPr>
            </w:pPr>
            <w:r>
              <w:rPr>
                <w:rFonts w:hint="eastAsia" w:ascii="宋体" w:hAnsi="宋体"/>
                <w:b/>
                <w:bCs/>
                <w:color w:val="auto"/>
                <w:sz w:val="24"/>
                <w:highlight w:val="none"/>
              </w:rPr>
              <w:t>住院病历质控计划：</w:t>
            </w:r>
          </w:p>
          <w:p>
            <w:pPr>
              <w:spacing w:line="360" w:lineRule="auto"/>
              <w:rPr>
                <w:rFonts w:ascii="宋体" w:hAnsi="宋体"/>
                <w:color w:val="auto"/>
                <w:sz w:val="24"/>
                <w:highlight w:val="none"/>
              </w:rPr>
            </w:pPr>
            <w:r>
              <w:rPr>
                <w:rFonts w:hint="eastAsia" w:ascii="宋体" w:hAnsi="宋体"/>
                <w:color w:val="auto"/>
                <w:sz w:val="24"/>
                <w:highlight w:val="none"/>
              </w:rPr>
              <w:t>1、支持对住院病历制定质控计划，质控类型包括环节质控、科室质控、终末质控、专科专病质控。</w:t>
            </w:r>
          </w:p>
          <w:p>
            <w:pPr>
              <w:spacing w:line="360" w:lineRule="auto"/>
              <w:rPr>
                <w:rFonts w:ascii="宋体" w:hAnsi="宋体"/>
                <w:color w:val="auto"/>
                <w:sz w:val="24"/>
                <w:highlight w:val="none"/>
              </w:rPr>
            </w:pPr>
            <w:r>
              <w:rPr>
                <w:rFonts w:hint="eastAsia" w:ascii="宋体" w:hAnsi="宋体"/>
                <w:color w:val="auto"/>
                <w:sz w:val="24"/>
                <w:highlight w:val="none"/>
              </w:rPr>
              <w:t>2、支持通过患者姓名、住院号、科室、在院标志、入院时间、出院时间、医疗服务、诊断、抽查医生数、抽查份数、科室质控标志、环节质控标志、终末质控标志、专科专病质控标志条件查询待计划列表。</w:t>
            </w:r>
          </w:p>
          <w:p>
            <w:pPr>
              <w:spacing w:line="360" w:lineRule="auto"/>
              <w:rPr>
                <w:rFonts w:ascii="宋体" w:hAnsi="宋体"/>
                <w:color w:val="auto"/>
                <w:sz w:val="24"/>
                <w:highlight w:val="none"/>
              </w:rPr>
            </w:pPr>
            <w:r>
              <w:rPr>
                <w:rFonts w:hint="eastAsia" w:ascii="宋体" w:hAnsi="宋体"/>
                <w:color w:val="auto"/>
                <w:sz w:val="24"/>
                <w:highlight w:val="none"/>
              </w:rPr>
              <w:t>3、支持勾选待计划患者进行计划编制，可选择质控类型、质控人员、计划开始、结束时间等。</w:t>
            </w:r>
          </w:p>
        </w:tc>
      </w:tr>
    </w:tbl>
    <w:p>
      <w:pPr>
        <w:pStyle w:val="6"/>
        <w:numPr>
          <w:ilvl w:val="3"/>
          <w:numId w:val="8"/>
        </w:numPr>
        <w:spacing w:before="280" w:after="290" w:line="376" w:lineRule="auto"/>
        <w:rPr>
          <w:rFonts w:ascii="宋体" w:hAnsi="宋体"/>
          <w:color w:val="auto"/>
          <w:szCs w:val="24"/>
          <w:highlight w:val="none"/>
        </w:rPr>
      </w:pPr>
      <w:bookmarkStart w:id="606" w:name="_Toc15916"/>
      <w:r>
        <w:rPr>
          <w:rFonts w:hint="eastAsia" w:ascii="宋体" w:hAnsi="宋体"/>
          <w:color w:val="auto"/>
          <w:szCs w:val="24"/>
          <w:highlight w:val="none"/>
        </w:rPr>
        <w:t>电子病历浏览</w:t>
      </w:r>
      <w:r>
        <w:rPr>
          <w:rFonts w:ascii="宋体" w:hAnsi="宋体"/>
          <w:color w:val="auto"/>
          <w:szCs w:val="24"/>
          <w:highlight w:val="none"/>
        </w:rPr>
        <w:t>WEB版</w:t>
      </w:r>
      <w:bookmarkEnd w:id="606"/>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电子病历浏览</w:t>
      </w:r>
      <w:r>
        <w:rPr>
          <w:rFonts w:ascii="宋体" w:hAnsi="宋体"/>
          <w:color w:val="auto"/>
          <w:sz w:val="24"/>
          <w:highlight w:val="none"/>
        </w:rPr>
        <w:t>WEB版</w:t>
      </w:r>
      <w:r>
        <w:rPr>
          <w:rFonts w:hint="eastAsia" w:ascii="宋体" w:hAnsi="宋体"/>
          <w:color w:val="auto"/>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trPr>
        <w:tc>
          <w:tcPr>
            <w:tcW w:w="1980"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7087"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b/>
                <w:color w:val="auto"/>
                <w:sz w:val="24"/>
                <w:highlight w:val="none"/>
              </w:rPr>
              <w:t>电子病历浏览</w:t>
            </w:r>
            <w:r>
              <w:rPr>
                <w:rFonts w:ascii="宋体" w:hAnsi="宋体"/>
                <w:b/>
                <w:color w:val="auto"/>
                <w:sz w:val="24"/>
                <w:highlight w:val="none"/>
              </w:rPr>
              <w:t>WEB版</w:t>
            </w:r>
          </w:p>
        </w:tc>
        <w:tc>
          <w:tcPr>
            <w:tcW w:w="7087" w:type="dxa"/>
          </w:tcPr>
          <w:p>
            <w:pPr>
              <w:spacing w:line="360" w:lineRule="auto"/>
              <w:rPr>
                <w:rFonts w:ascii="宋体" w:hAnsi="宋体"/>
                <w:color w:val="auto"/>
                <w:sz w:val="24"/>
                <w:highlight w:val="none"/>
              </w:rPr>
            </w:pPr>
            <w:r>
              <w:rPr>
                <w:rFonts w:hint="eastAsia" w:ascii="宋体" w:hAnsi="宋体"/>
                <w:b/>
                <w:bCs/>
                <w:color w:val="auto"/>
                <w:sz w:val="24"/>
                <w:highlight w:val="none"/>
              </w:rPr>
              <w:t>PDF查看：</w:t>
            </w:r>
            <w:r>
              <w:rPr>
                <w:rFonts w:hint="eastAsia" w:ascii="宋体" w:hAnsi="宋体"/>
                <w:color w:val="auto"/>
                <w:sz w:val="24"/>
                <w:highlight w:val="none"/>
              </w:rPr>
              <w:t>支持用浏览器查看pdf格式的病历。</w:t>
            </w:r>
          </w:p>
          <w:p>
            <w:pPr>
              <w:spacing w:line="360" w:lineRule="auto"/>
              <w:rPr>
                <w:rFonts w:ascii="宋体" w:hAnsi="宋体"/>
                <w:color w:val="auto"/>
                <w:sz w:val="24"/>
                <w:highlight w:val="none"/>
              </w:rPr>
            </w:pPr>
            <w:r>
              <w:rPr>
                <w:rFonts w:hint="eastAsia" w:ascii="宋体" w:hAnsi="宋体"/>
                <w:b/>
                <w:bCs/>
                <w:color w:val="auto"/>
                <w:sz w:val="24"/>
                <w:highlight w:val="none"/>
              </w:rPr>
              <w:t>数字签名验签信息显示：</w:t>
            </w:r>
            <w:r>
              <w:rPr>
                <w:rFonts w:hint="eastAsia" w:ascii="宋体" w:hAnsi="宋体"/>
                <w:color w:val="auto"/>
                <w:sz w:val="24"/>
                <w:highlight w:val="none"/>
              </w:rPr>
              <w:t>支持数字签名验签信息显示。</w:t>
            </w:r>
          </w:p>
        </w:tc>
      </w:tr>
    </w:tbl>
    <w:p>
      <w:pPr>
        <w:pStyle w:val="6"/>
        <w:numPr>
          <w:ilvl w:val="3"/>
          <w:numId w:val="8"/>
        </w:numPr>
        <w:spacing w:before="280" w:after="290" w:line="376" w:lineRule="auto"/>
        <w:rPr>
          <w:rFonts w:ascii="宋体" w:hAnsi="宋体"/>
          <w:color w:val="auto"/>
          <w:szCs w:val="24"/>
          <w:highlight w:val="none"/>
        </w:rPr>
      </w:pPr>
      <w:bookmarkStart w:id="607" w:name="_Toc32127"/>
      <w:r>
        <w:rPr>
          <w:rFonts w:hint="eastAsia" w:ascii="宋体" w:hAnsi="宋体"/>
          <w:color w:val="auto"/>
          <w:szCs w:val="24"/>
          <w:highlight w:val="none"/>
        </w:rPr>
        <w:t>药师工作站（前置审方系统）</w:t>
      </w:r>
      <w:bookmarkEnd w:id="607"/>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药师工作站，帮助药师在医生开完处方（医嘱）后，患者缴费前完成处方（医嘱）实时审查并干预，及时发现潜在的不合理用药问题，预防药物不良事件的发生，促进临床合理用药工作。</w:t>
      </w:r>
    </w:p>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trPr>
        <w:tc>
          <w:tcPr>
            <w:tcW w:w="1980"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7087"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审方功能</w:t>
            </w:r>
          </w:p>
        </w:tc>
        <w:tc>
          <w:tcPr>
            <w:tcW w:w="7087" w:type="dxa"/>
          </w:tcPr>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支持医生开具处方时，系统自动进行合理用药实时审核，存在不合理用药时给与警示或自动拦截；</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支持对于系统审核未通过而医生继续提交的问题处方，审方药师可查看处方及问题信息，可进行在线反馈和干预；</w:t>
            </w:r>
          </w:p>
          <w:p>
            <w:pPr>
              <w:pStyle w:val="201"/>
              <w:numPr>
                <w:ilvl w:val="0"/>
                <w:numId w:val="9"/>
              </w:numPr>
              <w:spacing w:before="0"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支持对于严重不合理处方，药师可选择拒绝发药；对于医生执意要提交的处方，系统以“双签”进行标记。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审核指标</w:t>
            </w:r>
          </w:p>
        </w:tc>
        <w:tc>
          <w:tcPr>
            <w:tcW w:w="7087" w:type="dxa"/>
          </w:tcPr>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支持用法用量：剂量范围、给药途径、肝损剂量、肾损计量；</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支持药物过敏：交叉过敏、成分过敏；</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支持诊断相关：超适应症、禁忌症、不良反应；</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支持药物与检验检查：检验异常值不适宜药品、检验检查申请单；</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支持药物配伍：配伍禁忌、配伍浓度、钾离子监测、TPN审查；</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支持特定人群：性别用药、成人用药、老人、儿童、妊娠期/哺乳期妇女用药；</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支持抗菌药物管理：越权用药、围手术期用药、细菌耐药率提示；</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支持跨科室、跨处方、跨时段联合审查：药物相互作用、重复用药、累积剂量、日限制量；</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支持规范性审查：处方填写规范、门诊输液；</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支持医保用药审查：根据本地医保规则进行用药审查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系统配置</w:t>
            </w:r>
          </w:p>
        </w:tc>
        <w:tc>
          <w:tcPr>
            <w:tcW w:w="7087" w:type="dxa"/>
          </w:tcPr>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支持可按科室分配处方审核任务，可选择个人自主获取任务或等待系统主动分配任务；</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支持可设置重点关注科室/医生/药品/疾病；</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支持可设置双签模式，可根据实际情况对药师医生双签通过模式进行设置；</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支持可设置药师审方时间，提高效率；</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支持可设置监测标准，设置需要人工审查的问题（处方）医嘱的审查项目和问题严重程度；</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支持可设置自动干预模式。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统计指标</w:t>
            </w:r>
          </w:p>
        </w:tc>
        <w:tc>
          <w:tcPr>
            <w:tcW w:w="7087" w:type="dxa"/>
          </w:tcPr>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支持处方审核率</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支持处方干预率</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支持处方合理率。</w:t>
            </w:r>
          </w:p>
        </w:tc>
      </w:tr>
    </w:tbl>
    <w:p>
      <w:pPr>
        <w:pStyle w:val="6"/>
        <w:numPr>
          <w:ilvl w:val="3"/>
          <w:numId w:val="8"/>
        </w:numPr>
        <w:spacing w:before="280" w:after="290" w:line="376" w:lineRule="auto"/>
        <w:rPr>
          <w:rFonts w:ascii="宋体" w:hAnsi="宋体"/>
          <w:color w:val="auto"/>
          <w:szCs w:val="24"/>
          <w:highlight w:val="none"/>
        </w:rPr>
      </w:pPr>
      <w:bookmarkStart w:id="608" w:name="_Toc11605"/>
      <w:r>
        <w:rPr>
          <w:rFonts w:hint="eastAsia" w:ascii="宋体" w:hAnsi="宋体"/>
          <w:color w:val="auto"/>
          <w:szCs w:val="24"/>
          <w:highlight w:val="none"/>
        </w:rPr>
        <w:t>临床路径系统</w:t>
      </w:r>
      <w:bookmarkEnd w:id="608"/>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按照《医疗机构临床路径管理指导原则》，实现疾病的规范化医疗服务。实现设定临床路径与单病种的质控指标，定期对质控指标统计、对质控指标偏差进行分析，不断完善临床路径和单病种管理。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trPr>
        <w:tc>
          <w:tcPr>
            <w:tcW w:w="1980"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7087"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6"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olor w:val="auto"/>
                <w:sz w:val="24"/>
                <w:highlight w:val="none"/>
              </w:rPr>
              <w:t>临床路径系统</w:t>
            </w:r>
          </w:p>
        </w:tc>
        <w:tc>
          <w:tcPr>
            <w:tcW w:w="7087" w:type="dxa"/>
          </w:tcPr>
          <w:p>
            <w:pPr>
              <w:spacing w:line="360" w:lineRule="auto"/>
              <w:rPr>
                <w:rFonts w:ascii="宋体" w:hAnsi="宋体"/>
                <w:b/>
                <w:bCs/>
                <w:color w:val="auto"/>
                <w:sz w:val="24"/>
                <w:highlight w:val="none"/>
              </w:rPr>
            </w:pPr>
            <w:r>
              <w:rPr>
                <w:rFonts w:hint="eastAsia" w:ascii="宋体" w:hAnsi="宋体"/>
                <w:b/>
                <w:bCs/>
                <w:color w:val="auto"/>
                <w:sz w:val="24"/>
                <w:highlight w:val="none"/>
              </w:rPr>
              <w:t>（1）系统设置</w:t>
            </w:r>
          </w:p>
          <w:p>
            <w:pPr>
              <w:spacing w:line="360" w:lineRule="auto"/>
              <w:rPr>
                <w:rFonts w:ascii="宋体" w:hAnsi="宋体"/>
                <w:color w:val="auto"/>
                <w:sz w:val="24"/>
                <w:highlight w:val="none"/>
              </w:rPr>
            </w:pPr>
            <w:r>
              <w:rPr>
                <w:rFonts w:hint="eastAsia" w:ascii="宋体" w:hAnsi="宋体"/>
                <w:color w:val="auto"/>
                <w:sz w:val="24"/>
                <w:highlight w:val="none"/>
              </w:rPr>
              <w:t>临床路径元素类型：支持临床路径元素类型配置。</w:t>
            </w:r>
          </w:p>
          <w:p>
            <w:pPr>
              <w:spacing w:line="360" w:lineRule="auto"/>
              <w:rPr>
                <w:rFonts w:ascii="宋体" w:hAnsi="宋体"/>
                <w:b/>
                <w:bCs/>
                <w:color w:val="auto"/>
                <w:sz w:val="24"/>
                <w:highlight w:val="none"/>
              </w:rPr>
            </w:pPr>
            <w:r>
              <w:rPr>
                <w:rFonts w:hint="eastAsia" w:ascii="宋体" w:hAnsi="宋体"/>
                <w:b/>
                <w:bCs/>
                <w:color w:val="auto"/>
                <w:sz w:val="24"/>
                <w:highlight w:val="none"/>
              </w:rPr>
              <w:t>（2）路径管理</w:t>
            </w:r>
          </w:p>
          <w:p>
            <w:pPr>
              <w:spacing w:line="360" w:lineRule="auto"/>
              <w:rPr>
                <w:rFonts w:ascii="宋体" w:hAnsi="宋体"/>
                <w:color w:val="auto"/>
                <w:sz w:val="24"/>
                <w:highlight w:val="none"/>
              </w:rPr>
            </w:pPr>
            <w:r>
              <w:rPr>
                <w:rFonts w:hint="eastAsia" w:ascii="宋体" w:hAnsi="宋体"/>
                <w:color w:val="auto"/>
                <w:sz w:val="24"/>
                <w:highlight w:val="none"/>
              </w:rPr>
              <w:t>临床路径管理：</w:t>
            </w:r>
          </w:p>
          <w:p>
            <w:pPr>
              <w:spacing w:line="360" w:lineRule="auto"/>
              <w:rPr>
                <w:rFonts w:ascii="宋体" w:hAnsi="宋体"/>
                <w:color w:val="auto"/>
                <w:sz w:val="24"/>
                <w:highlight w:val="none"/>
              </w:rPr>
            </w:pPr>
            <w:r>
              <w:rPr>
                <w:rFonts w:hint="eastAsia" w:ascii="宋体" w:hAnsi="宋体"/>
                <w:color w:val="auto"/>
                <w:sz w:val="24"/>
                <w:highlight w:val="none"/>
              </w:rPr>
              <w:t>1、支持临床路径管理的新增、复制、升级、编辑、删除操作。</w:t>
            </w:r>
          </w:p>
          <w:p>
            <w:pPr>
              <w:spacing w:line="360" w:lineRule="auto"/>
              <w:rPr>
                <w:rFonts w:ascii="宋体" w:hAnsi="宋体"/>
                <w:color w:val="auto"/>
                <w:sz w:val="24"/>
                <w:highlight w:val="none"/>
              </w:rPr>
            </w:pPr>
            <w:r>
              <w:rPr>
                <w:rFonts w:hint="eastAsia" w:ascii="宋体" w:hAnsi="宋体"/>
                <w:color w:val="auto"/>
                <w:sz w:val="24"/>
                <w:highlight w:val="none"/>
              </w:rPr>
              <w:t>2、支持临床路径以列表的形式显示。</w:t>
            </w:r>
          </w:p>
          <w:p>
            <w:pPr>
              <w:spacing w:line="360" w:lineRule="auto"/>
              <w:rPr>
                <w:rFonts w:ascii="宋体" w:hAnsi="宋体"/>
                <w:color w:val="auto"/>
                <w:sz w:val="24"/>
                <w:highlight w:val="none"/>
              </w:rPr>
            </w:pPr>
            <w:r>
              <w:rPr>
                <w:rFonts w:hint="eastAsia" w:ascii="宋体" w:hAnsi="宋体"/>
                <w:color w:val="auto"/>
                <w:sz w:val="24"/>
                <w:highlight w:val="none"/>
              </w:rPr>
              <w:t>3、支持临床路径的查询功能，可根据计划所属类型、试用范围、路径名称、状态进行筛选。</w:t>
            </w:r>
          </w:p>
          <w:p>
            <w:pPr>
              <w:spacing w:line="360" w:lineRule="auto"/>
              <w:rPr>
                <w:rFonts w:ascii="宋体" w:hAnsi="宋体"/>
                <w:color w:val="auto"/>
                <w:sz w:val="24"/>
                <w:highlight w:val="none"/>
              </w:rPr>
            </w:pPr>
            <w:r>
              <w:rPr>
                <w:rFonts w:hint="eastAsia" w:ascii="宋体" w:hAnsi="宋体"/>
                <w:color w:val="auto"/>
                <w:sz w:val="24"/>
                <w:highlight w:val="none"/>
              </w:rPr>
              <w:t>4、支持临床路径的启用和停用。</w:t>
            </w:r>
          </w:p>
          <w:p>
            <w:pPr>
              <w:spacing w:line="360" w:lineRule="auto"/>
              <w:rPr>
                <w:rFonts w:ascii="宋体" w:hAnsi="宋体"/>
                <w:color w:val="auto"/>
                <w:sz w:val="24"/>
                <w:highlight w:val="none"/>
              </w:rPr>
            </w:pPr>
            <w:r>
              <w:rPr>
                <w:rFonts w:hint="eastAsia" w:ascii="宋体" w:hAnsi="宋体"/>
                <w:color w:val="auto"/>
                <w:sz w:val="24"/>
                <w:highlight w:val="none"/>
              </w:rPr>
              <w:t>5、支持直观图形化和传统表格化模式，内容覆盖医嘱、病历、护理，可无缝跳转至病历和医嘱系统。</w:t>
            </w:r>
          </w:p>
          <w:p>
            <w:pPr>
              <w:spacing w:line="360" w:lineRule="auto"/>
              <w:rPr>
                <w:rFonts w:ascii="宋体" w:hAnsi="宋体"/>
                <w:b/>
                <w:bCs/>
                <w:color w:val="auto"/>
                <w:sz w:val="24"/>
                <w:highlight w:val="none"/>
              </w:rPr>
            </w:pPr>
            <w:r>
              <w:rPr>
                <w:rFonts w:hint="eastAsia" w:ascii="宋体" w:hAnsi="宋体"/>
                <w:b/>
                <w:bCs/>
                <w:color w:val="auto"/>
                <w:sz w:val="24"/>
                <w:highlight w:val="none"/>
              </w:rPr>
              <w:t>（3）路径质控</w:t>
            </w:r>
          </w:p>
          <w:p>
            <w:pPr>
              <w:spacing w:line="360" w:lineRule="auto"/>
              <w:rPr>
                <w:rFonts w:ascii="宋体" w:hAnsi="宋体"/>
                <w:b/>
                <w:bCs/>
                <w:color w:val="auto"/>
                <w:sz w:val="24"/>
                <w:highlight w:val="none"/>
              </w:rPr>
            </w:pPr>
            <w:r>
              <w:rPr>
                <w:rFonts w:hint="eastAsia" w:ascii="宋体" w:hAnsi="宋体"/>
                <w:b/>
                <w:bCs/>
                <w:color w:val="auto"/>
                <w:sz w:val="24"/>
                <w:highlight w:val="none"/>
              </w:rPr>
              <w:t>病种实施情况统计：</w:t>
            </w:r>
          </w:p>
          <w:p>
            <w:pPr>
              <w:spacing w:line="360" w:lineRule="auto"/>
              <w:rPr>
                <w:rFonts w:ascii="宋体" w:hAnsi="宋体"/>
                <w:color w:val="auto"/>
                <w:sz w:val="24"/>
                <w:highlight w:val="none"/>
              </w:rPr>
            </w:pPr>
            <w:r>
              <w:rPr>
                <w:rFonts w:hint="eastAsia" w:ascii="宋体" w:hAnsi="宋体"/>
                <w:color w:val="auto"/>
                <w:sz w:val="24"/>
                <w:highlight w:val="none"/>
              </w:rPr>
              <w:t>1、支持查看病种实施情况，病种实施情况以列表的行是显示。</w:t>
            </w:r>
          </w:p>
          <w:p>
            <w:pPr>
              <w:spacing w:line="360" w:lineRule="auto"/>
              <w:rPr>
                <w:rFonts w:ascii="宋体" w:hAnsi="宋体"/>
                <w:color w:val="auto"/>
                <w:sz w:val="24"/>
                <w:highlight w:val="none"/>
              </w:rPr>
            </w:pPr>
            <w:r>
              <w:rPr>
                <w:rFonts w:hint="eastAsia" w:ascii="宋体" w:hAnsi="宋体"/>
                <w:color w:val="auto"/>
                <w:sz w:val="24"/>
                <w:highlight w:val="none"/>
              </w:rPr>
              <w:t>2、支持统计表的打印和导出。</w:t>
            </w:r>
          </w:p>
          <w:p>
            <w:pPr>
              <w:spacing w:line="360" w:lineRule="auto"/>
              <w:rPr>
                <w:rFonts w:ascii="宋体" w:hAnsi="宋体"/>
                <w:b/>
                <w:bCs/>
                <w:color w:val="auto"/>
                <w:sz w:val="24"/>
                <w:highlight w:val="none"/>
              </w:rPr>
            </w:pPr>
            <w:r>
              <w:rPr>
                <w:rFonts w:hint="eastAsia" w:ascii="宋体" w:hAnsi="宋体"/>
                <w:b/>
                <w:bCs/>
                <w:color w:val="auto"/>
                <w:sz w:val="24"/>
                <w:highlight w:val="none"/>
              </w:rPr>
              <w:t>变异原因统计：</w:t>
            </w:r>
          </w:p>
          <w:p>
            <w:pPr>
              <w:spacing w:line="360" w:lineRule="auto"/>
              <w:rPr>
                <w:rFonts w:ascii="宋体" w:hAnsi="宋体"/>
                <w:color w:val="auto"/>
                <w:sz w:val="24"/>
                <w:highlight w:val="none"/>
              </w:rPr>
            </w:pPr>
            <w:r>
              <w:rPr>
                <w:rFonts w:hint="eastAsia" w:ascii="宋体" w:hAnsi="宋体"/>
                <w:color w:val="auto"/>
                <w:sz w:val="24"/>
                <w:highlight w:val="none"/>
              </w:rPr>
              <w:t>1、支持查看临床路径变异原因，原因以列表的行是显示。</w:t>
            </w:r>
          </w:p>
          <w:p>
            <w:pPr>
              <w:spacing w:line="360" w:lineRule="auto"/>
              <w:rPr>
                <w:rFonts w:ascii="宋体" w:hAnsi="宋体"/>
                <w:color w:val="auto"/>
                <w:sz w:val="24"/>
                <w:highlight w:val="none"/>
              </w:rPr>
            </w:pPr>
            <w:r>
              <w:rPr>
                <w:rFonts w:hint="eastAsia" w:ascii="宋体" w:hAnsi="宋体"/>
                <w:color w:val="auto"/>
                <w:sz w:val="24"/>
                <w:highlight w:val="none"/>
              </w:rPr>
              <w:t>2、支持统计表的打印和导出。</w:t>
            </w:r>
          </w:p>
          <w:p>
            <w:pPr>
              <w:spacing w:line="360" w:lineRule="auto"/>
              <w:rPr>
                <w:rFonts w:ascii="宋体" w:hAnsi="宋体"/>
                <w:color w:val="auto"/>
                <w:sz w:val="24"/>
                <w:highlight w:val="none"/>
              </w:rPr>
            </w:pPr>
            <w:r>
              <w:rPr>
                <w:rFonts w:hint="eastAsia" w:ascii="宋体" w:hAnsi="宋体"/>
                <w:b/>
                <w:bCs/>
                <w:color w:val="auto"/>
                <w:sz w:val="24"/>
                <w:highlight w:val="none"/>
              </w:rPr>
              <w:t>患者路径查询：</w:t>
            </w:r>
            <w:r>
              <w:rPr>
                <w:rFonts w:hint="eastAsia" w:ascii="宋体" w:hAnsi="宋体"/>
                <w:color w:val="auto"/>
                <w:sz w:val="24"/>
                <w:highlight w:val="none"/>
              </w:rPr>
              <w:t>支持患者路径查询。</w:t>
            </w:r>
          </w:p>
          <w:p>
            <w:pPr>
              <w:pStyle w:val="201"/>
              <w:spacing w:before="0" w:line="360" w:lineRule="auto"/>
              <w:ind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临床路径工作量统计：</w:t>
            </w:r>
            <w:r>
              <w:rPr>
                <w:rFonts w:hint="eastAsia" w:ascii="宋体" w:hAnsi="宋体" w:eastAsia="宋体"/>
                <w:color w:val="auto"/>
                <w:sz w:val="24"/>
                <w:highlight w:val="none"/>
                <w:lang w:eastAsia="zh-CN"/>
              </w:rPr>
              <w:t>支持路径工作量统计。</w:t>
            </w:r>
          </w:p>
        </w:tc>
      </w:tr>
    </w:tbl>
    <w:p>
      <w:pPr>
        <w:pStyle w:val="6"/>
        <w:numPr>
          <w:ilvl w:val="3"/>
          <w:numId w:val="8"/>
        </w:numPr>
        <w:spacing w:before="280" w:after="290" w:line="376" w:lineRule="auto"/>
        <w:rPr>
          <w:rFonts w:ascii="宋体" w:hAnsi="宋体"/>
          <w:color w:val="auto"/>
          <w:szCs w:val="24"/>
          <w:highlight w:val="none"/>
        </w:rPr>
      </w:pPr>
      <w:bookmarkStart w:id="609" w:name="_Toc17237"/>
      <w:r>
        <w:rPr>
          <w:rFonts w:hint="eastAsia" w:ascii="宋体" w:hAnsi="宋体"/>
          <w:color w:val="auto"/>
          <w:szCs w:val="24"/>
          <w:highlight w:val="none"/>
        </w:rPr>
        <w:t>会诊管理系统</w:t>
      </w:r>
      <w:bookmarkEnd w:id="609"/>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管理会诊医嘱的开立、提交会诊申请单、会诊安排、会诊通知、会诊签到、会诊意见提交、会诊结束，整个闭环流程。</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2" w:hRule="atLeast"/>
          <w:tblHeader/>
        </w:trPr>
        <w:tc>
          <w:tcPr>
            <w:tcW w:w="1980"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7087"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会诊管理</w:t>
            </w:r>
          </w:p>
        </w:tc>
        <w:tc>
          <w:tcPr>
            <w:tcW w:w="7087" w:type="dxa"/>
          </w:tcPr>
          <w:p>
            <w:pPr>
              <w:spacing w:line="360" w:lineRule="auto"/>
              <w:rPr>
                <w:rFonts w:ascii="宋体" w:hAnsi="宋体"/>
                <w:b/>
                <w:bCs/>
                <w:color w:val="auto"/>
                <w:sz w:val="24"/>
                <w:highlight w:val="none"/>
              </w:rPr>
            </w:pPr>
            <w:r>
              <w:rPr>
                <w:rFonts w:hint="eastAsia" w:ascii="宋体" w:hAnsi="宋体"/>
                <w:b/>
                <w:bCs/>
                <w:color w:val="auto"/>
                <w:sz w:val="24"/>
                <w:highlight w:val="none"/>
              </w:rPr>
              <w:t>（1）住院医生站</w:t>
            </w:r>
          </w:p>
          <w:p>
            <w:pPr>
              <w:spacing w:line="360" w:lineRule="auto"/>
              <w:rPr>
                <w:rFonts w:ascii="宋体" w:hAnsi="宋体"/>
                <w:color w:val="auto"/>
                <w:sz w:val="24"/>
                <w:highlight w:val="none"/>
              </w:rPr>
            </w:pPr>
            <w:r>
              <w:rPr>
                <w:rFonts w:hint="eastAsia" w:ascii="宋体" w:hAnsi="宋体"/>
                <w:b/>
                <w:bCs/>
                <w:color w:val="auto"/>
                <w:sz w:val="24"/>
                <w:highlight w:val="none"/>
              </w:rPr>
              <w:t>会诊申请：</w:t>
            </w:r>
            <w:r>
              <w:rPr>
                <w:rFonts w:hint="eastAsia" w:ascii="宋体" w:hAnsi="宋体"/>
                <w:color w:val="auto"/>
                <w:sz w:val="24"/>
                <w:highlight w:val="none"/>
              </w:rPr>
              <w:t>支持会诊申请流程。</w:t>
            </w:r>
          </w:p>
          <w:p>
            <w:pPr>
              <w:spacing w:line="360" w:lineRule="auto"/>
              <w:rPr>
                <w:rFonts w:ascii="宋体" w:hAnsi="宋体"/>
                <w:b/>
                <w:bCs/>
                <w:color w:val="auto"/>
                <w:sz w:val="24"/>
                <w:highlight w:val="none"/>
              </w:rPr>
            </w:pPr>
            <w:r>
              <w:rPr>
                <w:rFonts w:hint="eastAsia" w:ascii="宋体" w:hAnsi="宋体"/>
                <w:b/>
                <w:bCs/>
                <w:color w:val="auto"/>
                <w:sz w:val="24"/>
                <w:highlight w:val="none"/>
              </w:rPr>
              <w:t>会诊应答：</w:t>
            </w:r>
          </w:p>
          <w:p>
            <w:pPr>
              <w:spacing w:line="360" w:lineRule="auto"/>
              <w:rPr>
                <w:rFonts w:ascii="宋体" w:hAnsi="宋体"/>
                <w:color w:val="auto"/>
                <w:sz w:val="24"/>
                <w:highlight w:val="none"/>
              </w:rPr>
            </w:pPr>
            <w:r>
              <w:rPr>
                <w:rFonts w:hint="eastAsia" w:ascii="宋体" w:hAnsi="宋体"/>
                <w:color w:val="auto"/>
                <w:sz w:val="24"/>
                <w:highlight w:val="none"/>
              </w:rPr>
              <w:t>1、支持会诊应答。</w:t>
            </w:r>
          </w:p>
          <w:p>
            <w:pPr>
              <w:spacing w:line="360" w:lineRule="auto"/>
              <w:rPr>
                <w:rFonts w:ascii="宋体" w:hAnsi="宋体"/>
                <w:color w:val="auto"/>
                <w:sz w:val="24"/>
                <w:highlight w:val="none"/>
              </w:rPr>
            </w:pPr>
            <w:r>
              <w:rPr>
                <w:rFonts w:hint="eastAsia" w:ascii="宋体" w:hAnsi="宋体"/>
                <w:color w:val="auto"/>
                <w:sz w:val="24"/>
                <w:highlight w:val="none"/>
              </w:rPr>
              <w:t>2、支持通过申请时间、待应答/已应答，查询会诊申请记录。</w:t>
            </w:r>
          </w:p>
          <w:p>
            <w:pPr>
              <w:spacing w:line="360" w:lineRule="auto"/>
              <w:rPr>
                <w:rFonts w:ascii="宋体" w:hAnsi="宋体"/>
                <w:color w:val="auto"/>
                <w:sz w:val="24"/>
                <w:highlight w:val="none"/>
              </w:rPr>
            </w:pPr>
            <w:r>
              <w:rPr>
                <w:rFonts w:hint="eastAsia" w:ascii="宋体" w:hAnsi="宋体"/>
                <w:color w:val="auto"/>
                <w:sz w:val="24"/>
                <w:highlight w:val="none"/>
              </w:rPr>
              <w:t>3、支持会诊申请单、患者信息、患者病历、会诊审批信息查看。</w:t>
            </w:r>
          </w:p>
          <w:p>
            <w:pPr>
              <w:spacing w:line="360" w:lineRule="auto"/>
              <w:rPr>
                <w:rFonts w:ascii="宋体" w:hAnsi="宋体"/>
                <w:color w:val="auto"/>
                <w:sz w:val="24"/>
                <w:highlight w:val="none"/>
              </w:rPr>
            </w:pPr>
            <w:r>
              <w:rPr>
                <w:rFonts w:hint="eastAsia" w:ascii="宋体" w:hAnsi="宋体"/>
                <w:color w:val="auto"/>
                <w:sz w:val="24"/>
                <w:highlight w:val="none"/>
              </w:rPr>
              <w:t>会诊记录：支持提交，完成会诊记录。</w:t>
            </w:r>
          </w:p>
          <w:p>
            <w:pPr>
              <w:spacing w:line="360" w:lineRule="auto"/>
              <w:rPr>
                <w:rFonts w:ascii="宋体" w:hAnsi="宋体"/>
                <w:b/>
                <w:bCs/>
                <w:color w:val="auto"/>
                <w:sz w:val="24"/>
                <w:highlight w:val="none"/>
              </w:rPr>
            </w:pPr>
            <w:r>
              <w:rPr>
                <w:rFonts w:hint="eastAsia" w:ascii="宋体" w:hAnsi="宋体"/>
                <w:b/>
                <w:bCs/>
                <w:color w:val="auto"/>
                <w:sz w:val="24"/>
                <w:highlight w:val="none"/>
              </w:rPr>
              <w:t>（2）诊疗管理</w:t>
            </w:r>
          </w:p>
          <w:p>
            <w:pPr>
              <w:spacing w:line="360" w:lineRule="auto"/>
              <w:rPr>
                <w:rFonts w:ascii="宋体" w:hAnsi="宋体"/>
                <w:b/>
                <w:bCs/>
                <w:color w:val="auto"/>
                <w:sz w:val="24"/>
                <w:highlight w:val="none"/>
              </w:rPr>
            </w:pPr>
            <w:r>
              <w:rPr>
                <w:rFonts w:hint="eastAsia" w:ascii="宋体" w:hAnsi="宋体"/>
                <w:b/>
                <w:bCs/>
                <w:color w:val="auto"/>
                <w:sz w:val="24"/>
                <w:highlight w:val="none"/>
              </w:rPr>
              <w:t>会诊医务部审批：</w:t>
            </w:r>
          </w:p>
          <w:p>
            <w:pPr>
              <w:spacing w:line="360" w:lineRule="auto"/>
              <w:rPr>
                <w:rFonts w:ascii="宋体" w:hAnsi="宋体"/>
                <w:color w:val="auto"/>
                <w:sz w:val="24"/>
                <w:highlight w:val="none"/>
              </w:rPr>
            </w:pPr>
            <w:r>
              <w:rPr>
                <w:rFonts w:hint="eastAsia" w:ascii="宋体" w:hAnsi="宋体"/>
                <w:color w:val="auto"/>
                <w:sz w:val="24"/>
                <w:highlight w:val="none"/>
              </w:rPr>
              <w:t>1、支持会诊科室审批（同意或驳回）。</w:t>
            </w:r>
          </w:p>
          <w:p>
            <w:pPr>
              <w:spacing w:line="360" w:lineRule="auto"/>
              <w:rPr>
                <w:rFonts w:ascii="宋体" w:hAnsi="宋体"/>
                <w:color w:val="auto"/>
                <w:sz w:val="24"/>
                <w:highlight w:val="none"/>
              </w:rPr>
            </w:pPr>
            <w:r>
              <w:rPr>
                <w:rFonts w:hint="eastAsia" w:ascii="宋体" w:hAnsi="宋体"/>
                <w:color w:val="auto"/>
                <w:sz w:val="24"/>
                <w:highlight w:val="none"/>
              </w:rPr>
              <w:t>2、支持通过申请时间、待审批/已审批，查询会诊申请记录。</w:t>
            </w:r>
          </w:p>
          <w:p>
            <w:pPr>
              <w:spacing w:line="360" w:lineRule="auto"/>
              <w:rPr>
                <w:rFonts w:ascii="宋体" w:hAnsi="宋体"/>
                <w:color w:val="auto"/>
                <w:sz w:val="24"/>
                <w:highlight w:val="none"/>
              </w:rPr>
            </w:pPr>
            <w:r>
              <w:rPr>
                <w:rFonts w:hint="eastAsia" w:ascii="宋体" w:hAnsi="宋体"/>
                <w:color w:val="auto"/>
                <w:sz w:val="24"/>
                <w:highlight w:val="none"/>
              </w:rPr>
              <w:t>3、支持会诊申请单、患者信息、患者病历、会诊审批信息查看。</w:t>
            </w:r>
          </w:p>
          <w:p>
            <w:pPr>
              <w:spacing w:line="360" w:lineRule="auto"/>
              <w:rPr>
                <w:rFonts w:ascii="宋体" w:hAnsi="宋体"/>
                <w:b/>
                <w:bCs/>
                <w:color w:val="auto"/>
                <w:sz w:val="24"/>
                <w:highlight w:val="none"/>
              </w:rPr>
            </w:pPr>
            <w:r>
              <w:rPr>
                <w:rFonts w:hint="eastAsia" w:ascii="宋体" w:hAnsi="宋体"/>
                <w:b/>
                <w:bCs/>
                <w:color w:val="auto"/>
                <w:sz w:val="24"/>
                <w:highlight w:val="none"/>
              </w:rPr>
              <w:t>（3）住院医生站</w:t>
            </w:r>
          </w:p>
          <w:p>
            <w:pPr>
              <w:spacing w:line="360" w:lineRule="auto"/>
              <w:rPr>
                <w:rFonts w:ascii="宋体" w:hAnsi="宋体"/>
                <w:color w:val="auto"/>
                <w:sz w:val="24"/>
                <w:highlight w:val="none"/>
              </w:rPr>
            </w:pPr>
            <w:r>
              <w:rPr>
                <w:rFonts w:hint="eastAsia" w:ascii="宋体" w:hAnsi="宋体"/>
                <w:b/>
                <w:bCs/>
                <w:color w:val="auto"/>
                <w:sz w:val="24"/>
                <w:highlight w:val="none"/>
              </w:rPr>
              <w:t>会诊患者列表（受邀方）：</w:t>
            </w:r>
            <w:r>
              <w:rPr>
                <w:rFonts w:hint="eastAsia" w:ascii="宋体" w:hAnsi="宋体"/>
                <w:color w:val="auto"/>
                <w:sz w:val="24"/>
                <w:highlight w:val="none"/>
              </w:rPr>
              <w:t>支持会诊患者列表（受邀方）查询会诊患者。</w:t>
            </w:r>
          </w:p>
          <w:p>
            <w:pPr>
              <w:pStyle w:val="201"/>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会诊患者列表（邀请方）：</w:t>
            </w:r>
            <w:r>
              <w:rPr>
                <w:rFonts w:hint="eastAsia" w:ascii="宋体" w:hAnsi="宋体" w:eastAsia="宋体"/>
                <w:color w:val="auto"/>
                <w:sz w:val="24"/>
                <w:highlight w:val="none"/>
                <w:lang w:eastAsia="zh-CN"/>
              </w:rPr>
              <w:t>支持会诊患者列表（邀请方）查询会诊患者。</w:t>
            </w:r>
          </w:p>
        </w:tc>
      </w:tr>
    </w:tbl>
    <w:p>
      <w:pPr>
        <w:rPr>
          <w:rFonts w:ascii="宋体" w:hAnsi="宋体"/>
          <w:color w:val="auto"/>
          <w:sz w:val="24"/>
          <w:highlight w:val="none"/>
        </w:rPr>
      </w:pPr>
    </w:p>
    <w:p>
      <w:pPr>
        <w:pStyle w:val="6"/>
        <w:numPr>
          <w:ilvl w:val="3"/>
          <w:numId w:val="8"/>
        </w:numPr>
        <w:spacing w:before="280" w:after="290" w:line="376" w:lineRule="auto"/>
        <w:rPr>
          <w:rFonts w:ascii="宋体" w:hAnsi="宋体"/>
          <w:color w:val="auto"/>
          <w:szCs w:val="24"/>
          <w:highlight w:val="none"/>
        </w:rPr>
      </w:pPr>
      <w:bookmarkStart w:id="610" w:name="_Toc1021"/>
      <w:r>
        <w:rPr>
          <w:rFonts w:hint="eastAsia" w:ascii="宋体" w:hAnsi="宋体"/>
          <w:color w:val="auto"/>
          <w:szCs w:val="24"/>
          <w:highlight w:val="none"/>
        </w:rPr>
        <w:t>移动查房系统</w:t>
      </w:r>
      <w:bookmarkEnd w:id="610"/>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针对查房的业务需求，建立移动查房系统，通过移动终端实现医生移动查房，支持通过无线网络的平板电脑或其他类型的手持移动终端，实现医生调阅患者本 次或历史就诊信息，查看各种病人信息、生命体征数据、检查检验报告、调阅病人的医学影像资料等。支持医生可以在病人床旁直接下达医嘱等工作的实时记录，同时也支持医生查房时可进行查房记录的书写等多元化操作。</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trPr>
        <w:tc>
          <w:tcPr>
            <w:tcW w:w="1980"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7087"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运行平台</w:t>
            </w:r>
          </w:p>
        </w:tc>
        <w:tc>
          <w:tcPr>
            <w:tcW w:w="7087" w:type="dxa"/>
          </w:tcPr>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rPr>
              <w:t>医生查房系统同时支持在苹果IPAD、Andriod 平板及 Windows 平板电脑上的部署和使用,以方便日后用户需要更换不同系统终端的需要。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患者列表和基本信息查询</w:t>
            </w:r>
          </w:p>
        </w:tc>
        <w:tc>
          <w:tcPr>
            <w:tcW w:w="7087" w:type="dxa"/>
          </w:tcPr>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病人列表列出所有本病区的在院病人，主要信息包括床号、姓名、危重级别和体温异常、呼吸异常、血压异常、用药过敏信息、欠费信息、是否为临床路径病人等异常值信息显示，可以根据异常状态类别进行自动筛选出具有异常值的患者。</w:t>
            </w:r>
          </w:p>
          <w:p>
            <w:pPr>
              <w:pStyle w:val="201"/>
              <w:numPr>
                <w:ilvl w:val="0"/>
                <w:numId w:val="9"/>
              </w:numPr>
              <w:spacing w:before="0"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 xml:space="preserve"> 支持显示病人的详细信息，信息包括姓名、床号、住院号、性别、年龄、费用余额、入院日期、主要诊断、主治医生、护理级别、病人状态、所属病区、所属科室等病人档案详细信息。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体征数据查看</w:t>
            </w:r>
          </w:p>
        </w:tc>
        <w:tc>
          <w:tcPr>
            <w:tcW w:w="7087" w:type="dxa"/>
          </w:tcPr>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支持展现病人一段时间内的各项生命体征数据，并以趋势图形式展现患者体征的变化情况。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电子病历查看</w:t>
            </w:r>
          </w:p>
        </w:tc>
        <w:tc>
          <w:tcPr>
            <w:tcW w:w="7087" w:type="dxa"/>
          </w:tcPr>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支持查询病人已创建的各类电子病历文件，包括病案首页、入院记录、病程记录、手术记录、护理记录等信息。</w:t>
            </w:r>
          </w:p>
          <w:p>
            <w:pPr>
              <w:pStyle w:val="201"/>
              <w:numPr>
                <w:ilvl w:val="0"/>
                <w:numId w:val="9"/>
              </w:numPr>
              <w:spacing w:before="0"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支持显示护士站已经录入的文书列表和具体文书内容；医生在第一时间能够及时了解到护理方面的相关信息。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医嘱信息查询</w:t>
            </w:r>
          </w:p>
        </w:tc>
        <w:tc>
          <w:tcPr>
            <w:tcW w:w="7087" w:type="dxa"/>
          </w:tcPr>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支持查询单个病人的有效的医嘱信息，包括医嘱的名称、规格、用法、频次、剂量、开停嘱时间、开停嘱医生等信息。</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支持按照医嘱的类别（全部、长期、临时、检验、检查等）来过滤查询；</w:t>
            </w:r>
          </w:p>
          <w:p>
            <w:pPr>
              <w:pStyle w:val="201"/>
              <w:numPr>
                <w:ilvl w:val="0"/>
                <w:numId w:val="9"/>
              </w:numPr>
              <w:spacing w:before="0"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支持以医嘱本样式和医嘱信息列表的形式直观的显示长期及临时医嘱的开、停日期，避免医生重复开医嘱或未及时停医嘱的情况发生。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检查报告查看</w:t>
            </w:r>
          </w:p>
        </w:tc>
        <w:tc>
          <w:tcPr>
            <w:tcW w:w="7087" w:type="dxa"/>
          </w:tcPr>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支持患者的各类检查报告单的查询，通过与医院系统的对接， 实现患者的各类影像检查图像的放大缩小，医生可以实时查看检查报告图像及检查诊断结果信息。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检验报告查看</w:t>
            </w:r>
          </w:p>
        </w:tc>
        <w:tc>
          <w:tcPr>
            <w:tcW w:w="7087" w:type="dxa"/>
          </w:tcPr>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支持患者的各类检验报告单的查询，在查询界面上显示经过医技检验科室已经发布的报告信息，直观显示化验结果。对化验报告中的超出普通标准的指标以显著的方式显示提醒医生。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患者信息集成显示</w:t>
            </w:r>
          </w:p>
        </w:tc>
        <w:tc>
          <w:tcPr>
            <w:tcW w:w="7087" w:type="dxa"/>
          </w:tcPr>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支持将患者体征信息、各类医嘱、病历文书、检验及检查报告信息在一个界面上集成显示，方便医生在查房时能快速了解患者目前状态，提高查房效率。</w:t>
            </w:r>
          </w:p>
          <w:p>
            <w:pPr>
              <w:pStyle w:val="201"/>
              <w:numPr>
                <w:ilvl w:val="0"/>
                <w:numId w:val="9"/>
              </w:numPr>
              <w:spacing w:before="0"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支持所有查房界面支持自由缩放，方便医生查看各类信息。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电子医嘱</w:t>
            </w:r>
          </w:p>
        </w:tc>
        <w:tc>
          <w:tcPr>
            <w:tcW w:w="7087" w:type="dxa"/>
          </w:tcPr>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支持对单个病人录入药物医嘱,诊疗医嘱,嘱托医嘱等医嘱下达功能。</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支持长期医嘱、临时医嘱、急诊医嘱、出院带药等多种医嘱类型。</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支持具备医嘱助手功能，支持医生维护日常开嘱的药品组套信息，以便医生在患者床旁，通过点选医嘱组套方式，实现临床开嘱功能。</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支持根据医生权限，实现抗菌药物的医嘱下达功能，支持抗菌药物的申请。</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支持根据医嘱状态，实现医嘱作废、医嘱退回、医嘱重整、医嘱停嘱等业务功能。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申请单</w:t>
            </w:r>
          </w:p>
        </w:tc>
        <w:tc>
          <w:tcPr>
            <w:tcW w:w="7087" w:type="dxa"/>
          </w:tcPr>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支持检验单开单：提供检验申请单开单功能，开单成功后并自动生成检验申请单对应的临时医嘱。支持检验单重开、修改、删除等功能。</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支持检查单开单：提供检查申请单开单功能，开单成功后并自动生成检查申请单对应的临时医嘱。支持检查单重开、修改、删除等功能。</w:t>
            </w:r>
          </w:p>
        </w:tc>
      </w:tr>
    </w:tbl>
    <w:p>
      <w:pPr>
        <w:pStyle w:val="6"/>
        <w:numPr>
          <w:ilvl w:val="3"/>
          <w:numId w:val="8"/>
        </w:numPr>
        <w:spacing w:before="280" w:after="290" w:line="376" w:lineRule="auto"/>
        <w:rPr>
          <w:rFonts w:ascii="宋体" w:hAnsi="宋体"/>
          <w:color w:val="auto"/>
          <w:szCs w:val="24"/>
          <w:highlight w:val="none"/>
        </w:rPr>
      </w:pPr>
      <w:bookmarkStart w:id="611" w:name="_Toc8319"/>
      <w:r>
        <w:rPr>
          <w:rFonts w:hint="eastAsia" w:ascii="宋体" w:hAnsi="宋体"/>
          <w:color w:val="auto"/>
          <w:szCs w:val="24"/>
          <w:highlight w:val="none"/>
        </w:rPr>
        <w:t>移动护理系统</w:t>
      </w:r>
      <w:bookmarkEnd w:id="611"/>
    </w:p>
    <w:p>
      <w:pPr>
        <w:pStyle w:val="8"/>
        <w:ind w:firstLine="480"/>
        <w:rPr>
          <w:rFonts w:ascii="宋体" w:hAnsi="宋体"/>
          <w:color w:val="auto"/>
          <w:szCs w:val="24"/>
          <w:highlight w:val="none"/>
        </w:rPr>
      </w:pPr>
      <w:r>
        <w:rPr>
          <w:rFonts w:hint="eastAsia" w:ascii="宋体" w:hAnsi="宋体"/>
          <w:color w:val="auto"/>
          <w:szCs w:val="24"/>
          <w:highlight w:val="none"/>
        </w:rPr>
        <w:t>以电子病历六级及互联互通5级乙等测评的要求对移动护理系统进行改造升级，内容包括但不限于：</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6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blHeader/>
        </w:trPr>
        <w:tc>
          <w:tcPr>
            <w:tcW w:w="2153"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模块</w:t>
            </w:r>
          </w:p>
        </w:tc>
        <w:tc>
          <w:tcPr>
            <w:tcW w:w="6914"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olor w:val="auto"/>
                <w:sz w:val="24"/>
                <w:highlight w:val="none"/>
              </w:rPr>
              <w:t>移动护理系统维护</w:t>
            </w:r>
          </w:p>
        </w:tc>
        <w:tc>
          <w:tcPr>
            <w:tcW w:w="6914" w:type="dxa"/>
            <w:vAlign w:val="center"/>
          </w:tcPr>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支持生命体征、护理处置可通过移动设备自动导入相应记录单；</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支持支持治疗过程中的评估有记录；</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支持治疗评估能够利用检验、检查的数据；</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支持新医嘱和医嘱变更可及时通知护士；</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支持可根据病人病情和评估情况，对护理级别或护理措施给出建议；</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支持具有查询既往病历记录数据、检查检验结果等供评估时参考的功能；</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支持医嘱执行记录可供全院共享；</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支持系统能够根据体征数据自动完成设定的护理评估</w:t>
            </w:r>
          </w:p>
        </w:tc>
      </w:tr>
    </w:tbl>
    <w:p>
      <w:pPr>
        <w:pStyle w:val="8"/>
        <w:ind w:firstLine="480"/>
        <w:rPr>
          <w:rFonts w:ascii="宋体" w:hAnsi="宋体"/>
          <w:color w:val="auto"/>
          <w:szCs w:val="24"/>
          <w:highlight w:val="none"/>
        </w:rPr>
      </w:pPr>
    </w:p>
    <w:p>
      <w:pPr>
        <w:pStyle w:val="6"/>
        <w:numPr>
          <w:ilvl w:val="3"/>
          <w:numId w:val="8"/>
        </w:numPr>
        <w:spacing w:before="280" w:after="290" w:line="376" w:lineRule="auto"/>
        <w:rPr>
          <w:rFonts w:ascii="宋体" w:hAnsi="宋体"/>
          <w:color w:val="auto"/>
          <w:szCs w:val="24"/>
          <w:highlight w:val="none"/>
        </w:rPr>
      </w:pPr>
      <w:bookmarkStart w:id="612" w:name="_Toc15416"/>
      <w:r>
        <w:rPr>
          <w:rFonts w:hint="eastAsia" w:ascii="宋体" w:hAnsi="宋体"/>
          <w:color w:val="auto"/>
          <w:szCs w:val="24"/>
          <w:highlight w:val="none"/>
        </w:rPr>
        <w:t>医技管理系统</w:t>
      </w:r>
      <w:bookmarkEnd w:id="612"/>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医技管理系统需满足以下功能：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trPr>
        <w:tc>
          <w:tcPr>
            <w:tcW w:w="1980"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7087"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医技管理</w:t>
            </w:r>
          </w:p>
        </w:tc>
        <w:tc>
          <w:tcPr>
            <w:tcW w:w="7087" w:type="dxa"/>
          </w:tcPr>
          <w:p>
            <w:pPr>
              <w:spacing w:line="360" w:lineRule="auto"/>
              <w:rPr>
                <w:rFonts w:ascii="宋体" w:hAnsi="宋体"/>
                <w:b/>
                <w:bCs/>
                <w:color w:val="auto"/>
                <w:sz w:val="24"/>
                <w:highlight w:val="none"/>
              </w:rPr>
            </w:pPr>
            <w:r>
              <w:rPr>
                <w:rFonts w:hint="eastAsia" w:ascii="宋体" w:hAnsi="宋体"/>
                <w:b/>
                <w:bCs/>
                <w:color w:val="auto"/>
                <w:sz w:val="24"/>
                <w:highlight w:val="none"/>
              </w:rPr>
              <w:t>（1）医技医生工作站</w:t>
            </w:r>
          </w:p>
          <w:p>
            <w:pPr>
              <w:spacing w:line="360" w:lineRule="auto"/>
              <w:rPr>
                <w:rFonts w:ascii="宋体" w:hAnsi="宋体"/>
                <w:b/>
                <w:bCs/>
                <w:color w:val="auto"/>
                <w:sz w:val="24"/>
                <w:highlight w:val="none"/>
              </w:rPr>
            </w:pPr>
            <w:r>
              <w:rPr>
                <w:rFonts w:hint="eastAsia" w:ascii="宋体" w:hAnsi="宋体"/>
                <w:b/>
                <w:bCs/>
                <w:color w:val="auto"/>
                <w:sz w:val="24"/>
                <w:highlight w:val="none"/>
              </w:rPr>
              <w:t>医技执行：</w:t>
            </w:r>
          </w:p>
          <w:p>
            <w:pPr>
              <w:spacing w:line="360" w:lineRule="auto"/>
              <w:rPr>
                <w:rFonts w:ascii="宋体" w:hAnsi="宋体"/>
                <w:color w:val="auto"/>
                <w:sz w:val="24"/>
                <w:highlight w:val="none"/>
              </w:rPr>
            </w:pPr>
            <w:r>
              <w:rPr>
                <w:rFonts w:hint="eastAsia" w:ascii="宋体" w:hAnsi="宋体"/>
                <w:color w:val="auto"/>
                <w:sz w:val="24"/>
                <w:highlight w:val="none"/>
              </w:rPr>
              <w:t>1、支持对检查、检验、诊疗，进行执行确认操作。</w:t>
            </w:r>
          </w:p>
          <w:p>
            <w:pPr>
              <w:spacing w:line="360" w:lineRule="auto"/>
              <w:rPr>
                <w:rFonts w:ascii="宋体" w:hAnsi="宋体"/>
                <w:color w:val="auto"/>
                <w:sz w:val="24"/>
                <w:highlight w:val="none"/>
              </w:rPr>
            </w:pPr>
            <w:r>
              <w:rPr>
                <w:rFonts w:hint="eastAsia" w:ascii="宋体" w:hAnsi="宋体"/>
                <w:color w:val="auto"/>
                <w:sz w:val="24"/>
                <w:highlight w:val="none"/>
              </w:rPr>
              <w:t>2、支持交过费的医技项目才会在此节点显示出来。</w:t>
            </w:r>
          </w:p>
          <w:p>
            <w:pPr>
              <w:spacing w:line="360" w:lineRule="auto"/>
              <w:rPr>
                <w:rFonts w:ascii="宋体" w:hAnsi="宋体"/>
                <w:color w:val="auto"/>
                <w:sz w:val="24"/>
                <w:highlight w:val="none"/>
              </w:rPr>
            </w:pPr>
            <w:r>
              <w:rPr>
                <w:rFonts w:hint="eastAsia" w:ascii="宋体" w:hAnsi="宋体"/>
                <w:color w:val="auto"/>
                <w:sz w:val="24"/>
                <w:highlight w:val="none"/>
              </w:rPr>
              <w:t>3、支持按门诊和住院对检查、检验、诊疗进行分类筛选。</w:t>
            </w:r>
          </w:p>
          <w:p>
            <w:pPr>
              <w:spacing w:line="360" w:lineRule="auto"/>
              <w:rPr>
                <w:rFonts w:ascii="宋体" w:hAnsi="宋体"/>
                <w:b/>
                <w:bCs/>
                <w:color w:val="auto"/>
                <w:sz w:val="24"/>
                <w:highlight w:val="none"/>
              </w:rPr>
            </w:pPr>
            <w:r>
              <w:rPr>
                <w:rFonts w:hint="eastAsia" w:ascii="宋体" w:hAnsi="宋体"/>
                <w:b/>
                <w:bCs/>
                <w:color w:val="auto"/>
                <w:sz w:val="24"/>
                <w:highlight w:val="none"/>
              </w:rPr>
              <w:t>医技取消执行：</w:t>
            </w:r>
          </w:p>
          <w:p>
            <w:pPr>
              <w:spacing w:line="360" w:lineRule="auto"/>
              <w:rPr>
                <w:rFonts w:ascii="宋体" w:hAnsi="宋体"/>
                <w:color w:val="auto"/>
                <w:sz w:val="24"/>
                <w:highlight w:val="none"/>
              </w:rPr>
            </w:pPr>
            <w:r>
              <w:rPr>
                <w:rFonts w:hint="eastAsia" w:ascii="宋体" w:hAnsi="宋体"/>
                <w:color w:val="auto"/>
                <w:sz w:val="24"/>
                <w:highlight w:val="none"/>
              </w:rPr>
              <w:t>1、支持对执行确认后的检查、检验、诊疗，进行执行取消操作。</w:t>
            </w:r>
          </w:p>
          <w:p>
            <w:pPr>
              <w:spacing w:line="360" w:lineRule="auto"/>
              <w:rPr>
                <w:rFonts w:ascii="宋体" w:hAnsi="宋体"/>
                <w:color w:val="auto"/>
                <w:sz w:val="24"/>
                <w:highlight w:val="none"/>
              </w:rPr>
            </w:pPr>
            <w:r>
              <w:rPr>
                <w:rFonts w:hint="eastAsia" w:ascii="宋体" w:hAnsi="宋体"/>
                <w:color w:val="auto"/>
                <w:sz w:val="24"/>
                <w:highlight w:val="none"/>
              </w:rPr>
              <w:t>2、支持按门诊和住院对检查、检验、诊疗进行分类筛选。</w:t>
            </w:r>
          </w:p>
          <w:p>
            <w:pPr>
              <w:spacing w:line="360" w:lineRule="auto"/>
              <w:rPr>
                <w:rFonts w:ascii="宋体" w:hAnsi="宋体"/>
                <w:color w:val="auto"/>
                <w:sz w:val="24"/>
                <w:highlight w:val="none"/>
              </w:rPr>
            </w:pPr>
            <w:r>
              <w:rPr>
                <w:rFonts w:hint="eastAsia" w:ascii="宋体" w:hAnsi="宋体"/>
                <w:b/>
                <w:bCs/>
                <w:color w:val="auto"/>
                <w:sz w:val="24"/>
                <w:highlight w:val="none"/>
              </w:rPr>
              <w:t>拒绝执行：</w:t>
            </w:r>
            <w:r>
              <w:rPr>
                <w:rFonts w:hint="eastAsia" w:ascii="宋体" w:hAnsi="宋体"/>
                <w:color w:val="auto"/>
                <w:sz w:val="24"/>
                <w:highlight w:val="none"/>
              </w:rPr>
              <w:t>支持对执行确认后的检查、检验、诊疗，进行执行拒绝操作。</w:t>
            </w:r>
          </w:p>
          <w:p>
            <w:pPr>
              <w:spacing w:line="360" w:lineRule="auto"/>
              <w:rPr>
                <w:rFonts w:ascii="宋体" w:hAnsi="宋体"/>
                <w:color w:val="auto"/>
                <w:sz w:val="24"/>
                <w:highlight w:val="none"/>
              </w:rPr>
            </w:pPr>
            <w:r>
              <w:rPr>
                <w:rFonts w:hint="eastAsia" w:ascii="宋体" w:hAnsi="宋体"/>
                <w:b/>
                <w:bCs/>
                <w:color w:val="auto"/>
                <w:sz w:val="24"/>
                <w:highlight w:val="none"/>
              </w:rPr>
              <w:t>门诊医技批量执行：</w:t>
            </w:r>
            <w:r>
              <w:rPr>
                <w:rFonts w:hint="eastAsia" w:ascii="宋体" w:hAnsi="宋体"/>
                <w:color w:val="auto"/>
                <w:sz w:val="24"/>
                <w:highlight w:val="none"/>
              </w:rPr>
              <w:t>支持门诊医技批量执行/单独执行。</w:t>
            </w:r>
          </w:p>
          <w:p>
            <w:pPr>
              <w:spacing w:line="360" w:lineRule="auto"/>
              <w:rPr>
                <w:rFonts w:ascii="宋体" w:hAnsi="宋体"/>
                <w:color w:val="auto"/>
                <w:sz w:val="24"/>
                <w:highlight w:val="none"/>
              </w:rPr>
            </w:pPr>
            <w:r>
              <w:rPr>
                <w:rFonts w:hint="eastAsia" w:ascii="宋体" w:hAnsi="宋体"/>
                <w:b/>
                <w:bCs/>
                <w:color w:val="auto"/>
                <w:sz w:val="24"/>
                <w:highlight w:val="none"/>
              </w:rPr>
              <w:t>住院医技批量执行：</w:t>
            </w:r>
            <w:r>
              <w:rPr>
                <w:rFonts w:hint="eastAsia" w:ascii="宋体" w:hAnsi="宋体"/>
                <w:color w:val="auto"/>
                <w:sz w:val="24"/>
                <w:highlight w:val="none"/>
              </w:rPr>
              <w:t>支持住院医技批量执行/单独执行。</w:t>
            </w:r>
          </w:p>
          <w:p>
            <w:pPr>
              <w:spacing w:line="360" w:lineRule="auto"/>
              <w:rPr>
                <w:rFonts w:ascii="宋体" w:hAnsi="宋体"/>
                <w:color w:val="auto"/>
                <w:sz w:val="24"/>
                <w:highlight w:val="none"/>
              </w:rPr>
            </w:pPr>
            <w:r>
              <w:rPr>
                <w:rFonts w:hint="eastAsia" w:ascii="宋体" w:hAnsi="宋体"/>
                <w:b/>
                <w:bCs/>
                <w:color w:val="auto"/>
                <w:sz w:val="24"/>
                <w:highlight w:val="none"/>
              </w:rPr>
              <w:t>可退费数量确认：</w:t>
            </w:r>
            <w:r>
              <w:rPr>
                <w:rFonts w:hint="eastAsia" w:ascii="宋体" w:hAnsi="宋体"/>
                <w:color w:val="auto"/>
                <w:sz w:val="24"/>
                <w:highlight w:val="none"/>
              </w:rPr>
              <w:t>支持维护人工退费科室的物品实行退费数量确认。</w:t>
            </w:r>
          </w:p>
          <w:p>
            <w:pPr>
              <w:spacing w:line="360" w:lineRule="auto"/>
              <w:rPr>
                <w:rFonts w:ascii="宋体" w:hAnsi="宋体"/>
                <w:color w:val="auto"/>
                <w:sz w:val="24"/>
                <w:highlight w:val="none"/>
              </w:rPr>
            </w:pPr>
            <w:r>
              <w:rPr>
                <w:rFonts w:hint="eastAsia" w:ascii="宋体" w:hAnsi="宋体"/>
                <w:b/>
                <w:bCs/>
                <w:color w:val="auto"/>
                <w:sz w:val="24"/>
                <w:highlight w:val="none"/>
              </w:rPr>
              <w:t>住院医技退费申请：</w:t>
            </w:r>
            <w:r>
              <w:rPr>
                <w:rFonts w:hint="eastAsia" w:ascii="宋体" w:hAnsi="宋体"/>
                <w:color w:val="auto"/>
                <w:sz w:val="24"/>
                <w:highlight w:val="none"/>
              </w:rPr>
              <w:t>支持对住院需要退费的医技申请退费操作。</w:t>
            </w:r>
          </w:p>
          <w:p>
            <w:pPr>
              <w:spacing w:line="360" w:lineRule="auto"/>
              <w:rPr>
                <w:rFonts w:ascii="宋体" w:hAnsi="宋体"/>
                <w:b/>
                <w:bCs/>
                <w:color w:val="auto"/>
                <w:sz w:val="24"/>
                <w:highlight w:val="none"/>
              </w:rPr>
            </w:pPr>
            <w:r>
              <w:rPr>
                <w:rFonts w:hint="eastAsia" w:ascii="宋体" w:hAnsi="宋体"/>
                <w:b/>
                <w:bCs/>
                <w:color w:val="auto"/>
                <w:sz w:val="24"/>
                <w:highlight w:val="none"/>
              </w:rPr>
              <w:t>医技补录项目-药品</w:t>
            </w:r>
            <w:r>
              <w:rPr>
                <w:rFonts w:hint="eastAsia" w:ascii="宋体" w:hAnsi="宋体"/>
                <w:b/>
                <w:bCs/>
                <w:color w:val="auto"/>
                <w:sz w:val="24"/>
                <w:highlight w:val="none"/>
              </w:rPr>
              <w:tab/>
            </w:r>
            <w:r>
              <w:rPr>
                <w:rFonts w:hint="eastAsia" w:ascii="宋体" w:hAnsi="宋体"/>
                <w:b/>
                <w:bCs/>
                <w:color w:val="auto"/>
                <w:sz w:val="24"/>
                <w:highlight w:val="none"/>
              </w:rPr>
              <w:t>：</w:t>
            </w:r>
          </w:p>
          <w:p>
            <w:pPr>
              <w:spacing w:line="360" w:lineRule="auto"/>
              <w:rPr>
                <w:rFonts w:ascii="宋体" w:hAnsi="宋体"/>
                <w:color w:val="auto"/>
                <w:sz w:val="24"/>
                <w:highlight w:val="none"/>
              </w:rPr>
            </w:pPr>
            <w:r>
              <w:rPr>
                <w:rFonts w:hint="eastAsia" w:ascii="宋体" w:hAnsi="宋体"/>
                <w:color w:val="auto"/>
                <w:sz w:val="24"/>
                <w:highlight w:val="none"/>
              </w:rPr>
              <w:t>1、支持对药品进行补录操作。</w:t>
            </w:r>
          </w:p>
          <w:p>
            <w:pPr>
              <w:spacing w:line="360" w:lineRule="auto"/>
              <w:rPr>
                <w:rFonts w:ascii="宋体" w:hAnsi="宋体"/>
                <w:color w:val="auto"/>
                <w:sz w:val="24"/>
                <w:highlight w:val="none"/>
              </w:rPr>
            </w:pPr>
            <w:r>
              <w:rPr>
                <w:rFonts w:hint="eastAsia" w:ascii="宋体" w:hAnsi="宋体"/>
                <w:color w:val="auto"/>
                <w:sz w:val="24"/>
                <w:highlight w:val="none"/>
              </w:rPr>
              <w:t>2、支持按门诊和住院对医技项目进行分类筛选。</w:t>
            </w:r>
          </w:p>
          <w:p>
            <w:pPr>
              <w:spacing w:line="360" w:lineRule="auto"/>
              <w:rPr>
                <w:rFonts w:ascii="宋体" w:hAnsi="宋体"/>
                <w:b/>
                <w:bCs/>
                <w:color w:val="auto"/>
                <w:sz w:val="24"/>
                <w:highlight w:val="none"/>
              </w:rPr>
            </w:pPr>
            <w:r>
              <w:rPr>
                <w:rFonts w:hint="eastAsia" w:ascii="宋体" w:hAnsi="宋体"/>
                <w:b/>
                <w:bCs/>
                <w:color w:val="auto"/>
                <w:sz w:val="24"/>
                <w:highlight w:val="none"/>
              </w:rPr>
              <w:t>医技补录项目-治疗</w:t>
            </w:r>
            <w:r>
              <w:rPr>
                <w:rFonts w:hint="eastAsia" w:ascii="宋体" w:hAnsi="宋体"/>
                <w:b/>
                <w:bCs/>
                <w:color w:val="auto"/>
                <w:sz w:val="24"/>
                <w:highlight w:val="none"/>
              </w:rPr>
              <w:tab/>
            </w:r>
            <w:r>
              <w:rPr>
                <w:rFonts w:hint="eastAsia" w:ascii="宋体" w:hAnsi="宋体"/>
                <w:b/>
                <w:bCs/>
                <w:color w:val="auto"/>
                <w:sz w:val="24"/>
                <w:highlight w:val="none"/>
              </w:rPr>
              <w:t>：</w:t>
            </w:r>
          </w:p>
          <w:p>
            <w:pPr>
              <w:spacing w:line="360" w:lineRule="auto"/>
              <w:rPr>
                <w:rFonts w:ascii="宋体" w:hAnsi="宋体"/>
                <w:color w:val="auto"/>
                <w:sz w:val="24"/>
                <w:highlight w:val="none"/>
              </w:rPr>
            </w:pPr>
            <w:r>
              <w:rPr>
                <w:rFonts w:hint="eastAsia" w:ascii="宋体" w:hAnsi="宋体"/>
                <w:color w:val="auto"/>
                <w:sz w:val="24"/>
                <w:highlight w:val="none"/>
              </w:rPr>
              <w:t>1、支持对检查、检验、诊疗，进行补录操作。</w:t>
            </w:r>
          </w:p>
          <w:p>
            <w:pPr>
              <w:spacing w:line="360" w:lineRule="auto"/>
              <w:rPr>
                <w:rFonts w:ascii="宋体" w:hAnsi="宋体"/>
                <w:color w:val="auto"/>
                <w:sz w:val="24"/>
                <w:highlight w:val="none"/>
              </w:rPr>
            </w:pPr>
            <w:r>
              <w:rPr>
                <w:rFonts w:hint="eastAsia" w:ascii="宋体" w:hAnsi="宋体"/>
                <w:color w:val="auto"/>
                <w:sz w:val="24"/>
                <w:highlight w:val="none"/>
              </w:rPr>
              <w:t>2、支持按门诊和住院对医技项目进行分类筛选。</w:t>
            </w:r>
          </w:p>
          <w:p>
            <w:pPr>
              <w:spacing w:line="360" w:lineRule="auto"/>
              <w:rPr>
                <w:rFonts w:ascii="宋体" w:hAnsi="宋体"/>
                <w:color w:val="auto"/>
                <w:sz w:val="24"/>
                <w:highlight w:val="none"/>
              </w:rPr>
            </w:pPr>
            <w:r>
              <w:rPr>
                <w:rFonts w:hint="eastAsia" w:ascii="宋体" w:hAnsi="宋体"/>
                <w:b/>
                <w:bCs/>
                <w:color w:val="auto"/>
                <w:sz w:val="24"/>
                <w:highlight w:val="none"/>
              </w:rPr>
              <w:t>手动记账：</w:t>
            </w:r>
            <w:r>
              <w:rPr>
                <w:rFonts w:hint="eastAsia" w:ascii="宋体" w:hAnsi="宋体"/>
                <w:color w:val="auto"/>
                <w:sz w:val="24"/>
                <w:highlight w:val="none"/>
              </w:rPr>
              <w:t>支持医嘱手动记账。</w:t>
            </w:r>
          </w:p>
          <w:p>
            <w:pPr>
              <w:spacing w:line="360" w:lineRule="auto"/>
              <w:rPr>
                <w:rFonts w:ascii="宋体" w:hAnsi="宋体"/>
                <w:b/>
                <w:bCs/>
                <w:color w:val="auto"/>
                <w:sz w:val="24"/>
                <w:highlight w:val="none"/>
              </w:rPr>
            </w:pPr>
            <w:r>
              <w:rPr>
                <w:rFonts w:hint="eastAsia" w:ascii="宋体" w:hAnsi="宋体"/>
                <w:b/>
                <w:bCs/>
                <w:color w:val="auto"/>
                <w:sz w:val="24"/>
                <w:highlight w:val="none"/>
              </w:rPr>
              <w:t>（2）查询统计</w:t>
            </w:r>
          </w:p>
          <w:p>
            <w:pPr>
              <w:spacing w:line="360" w:lineRule="auto"/>
              <w:rPr>
                <w:rFonts w:ascii="宋体" w:hAnsi="宋体"/>
                <w:color w:val="auto"/>
                <w:sz w:val="24"/>
                <w:highlight w:val="none"/>
              </w:rPr>
            </w:pPr>
            <w:r>
              <w:rPr>
                <w:rFonts w:hint="eastAsia" w:ascii="宋体" w:hAnsi="宋体"/>
                <w:b/>
                <w:bCs/>
                <w:color w:val="auto"/>
                <w:sz w:val="24"/>
                <w:highlight w:val="none"/>
              </w:rPr>
              <w:t>执行技师工作量统计：</w:t>
            </w:r>
            <w:r>
              <w:rPr>
                <w:rFonts w:hint="eastAsia" w:ascii="宋体" w:hAnsi="宋体"/>
                <w:color w:val="auto"/>
                <w:sz w:val="24"/>
                <w:highlight w:val="none"/>
              </w:rPr>
              <w:t>支持技师按项目统计工作量。</w:t>
            </w:r>
          </w:p>
          <w:p>
            <w:pPr>
              <w:spacing w:line="360" w:lineRule="auto"/>
              <w:rPr>
                <w:rFonts w:ascii="宋体" w:hAnsi="宋体"/>
                <w:color w:val="auto"/>
                <w:sz w:val="24"/>
                <w:highlight w:val="none"/>
              </w:rPr>
            </w:pPr>
            <w:r>
              <w:rPr>
                <w:rFonts w:hint="eastAsia" w:ascii="宋体" w:hAnsi="宋体"/>
                <w:b/>
                <w:bCs/>
                <w:color w:val="auto"/>
                <w:sz w:val="24"/>
                <w:highlight w:val="none"/>
              </w:rPr>
              <w:t>科室转执行统计：</w:t>
            </w:r>
            <w:r>
              <w:rPr>
                <w:rFonts w:hint="eastAsia" w:ascii="宋体" w:hAnsi="宋体"/>
                <w:color w:val="auto"/>
                <w:sz w:val="24"/>
                <w:highlight w:val="none"/>
              </w:rPr>
              <w:t>支持转执行的医嘱统计。</w:t>
            </w:r>
          </w:p>
          <w:p>
            <w:pPr>
              <w:spacing w:line="360" w:lineRule="auto"/>
              <w:rPr>
                <w:rFonts w:ascii="宋体" w:hAnsi="宋体"/>
                <w:b/>
                <w:bCs/>
                <w:color w:val="auto"/>
                <w:sz w:val="24"/>
                <w:highlight w:val="none"/>
              </w:rPr>
            </w:pPr>
            <w:r>
              <w:rPr>
                <w:rFonts w:hint="eastAsia" w:ascii="宋体" w:hAnsi="宋体"/>
                <w:b/>
                <w:bCs/>
                <w:color w:val="auto"/>
                <w:sz w:val="24"/>
                <w:highlight w:val="none"/>
              </w:rPr>
              <w:t>医技补费查询：</w:t>
            </w:r>
          </w:p>
          <w:p>
            <w:pPr>
              <w:spacing w:line="360" w:lineRule="auto"/>
              <w:rPr>
                <w:rFonts w:ascii="宋体" w:hAnsi="宋体"/>
                <w:color w:val="auto"/>
                <w:sz w:val="24"/>
                <w:highlight w:val="none"/>
              </w:rPr>
            </w:pPr>
            <w:r>
              <w:rPr>
                <w:rFonts w:hint="eastAsia" w:ascii="宋体" w:hAnsi="宋体"/>
                <w:color w:val="auto"/>
                <w:sz w:val="24"/>
                <w:highlight w:val="none"/>
              </w:rPr>
              <w:t>1、支持用于医技补费的查询。</w:t>
            </w:r>
          </w:p>
          <w:p>
            <w:pPr>
              <w:spacing w:line="360" w:lineRule="auto"/>
              <w:rPr>
                <w:rFonts w:ascii="宋体" w:hAnsi="宋体"/>
                <w:color w:val="auto"/>
                <w:sz w:val="24"/>
                <w:highlight w:val="none"/>
              </w:rPr>
            </w:pPr>
            <w:r>
              <w:rPr>
                <w:rFonts w:hint="eastAsia" w:ascii="宋体" w:hAnsi="宋体"/>
                <w:color w:val="auto"/>
                <w:sz w:val="24"/>
                <w:highlight w:val="none"/>
              </w:rPr>
              <w:t>2、支持根据就诊类型、患者、补录日期、补录科室、补录项目、就诊卡号等进行查询。</w:t>
            </w:r>
          </w:p>
          <w:p>
            <w:pPr>
              <w:spacing w:line="360" w:lineRule="auto"/>
              <w:rPr>
                <w:rFonts w:ascii="宋体" w:hAnsi="宋体"/>
                <w:color w:val="auto"/>
                <w:sz w:val="24"/>
                <w:highlight w:val="none"/>
              </w:rPr>
            </w:pPr>
            <w:r>
              <w:rPr>
                <w:rFonts w:hint="eastAsia" w:ascii="宋体" w:hAnsi="宋体"/>
                <w:color w:val="auto"/>
                <w:sz w:val="24"/>
                <w:highlight w:val="none"/>
              </w:rPr>
              <w:t>3、支持将查询结果显示在医技补录列表。</w:t>
            </w:r>
          </w:p>
          <w:p>
            <w:pPr>
              <w:spacing w:line="360" w:lineRule="auto"/>
              <w:rPr>
                <w:rFonts w:ascii="宋体" w:hAnsi="宋体"/>
                <w:b/>
                <w:bCs/>
                <w:color w:val="auto"/>
                <w:sz w:val="24"/>
                <w:highlight w:val="none"/>
              </w:rPr>
            </w:pPr>
            <w:r>
              <w:rPr>
                <w:rFonts w:hint="eastAsia" w:ascii="宋体" w:hAnsi="宋体"/>
                <w:b/>
                <w:bCs/>
                <w:color w:val="auto"/>
                <w:sz w:val="24"/>
                <w:highlight w:val="none"/>
              </w:rPr>
              <w:t>医技统领单查询：</w:t>
            </w:r>
          </w:p>
          <w:p>
            <w:pPr>
              <w:spacing w:line="360" w:lineRule="auto"/>
              <w:rPr>
                <w:rFonts w:ascii="宋体" w:hAnsi="宋体"/>
                <w:color w:val="auto"/>
                <w:sz w:val="24"/>
                <w:highlight w:val="none"/>
              </w:rPr>
            </w:pPr>
            <w:r>
              <w:rPr>
                <w:rFonts w:hint="eastAsia" w:ascii="宋体" w:hAnsi="宋体"/>
                <w:color w:val="auto"/>
                <w:sz w:val="24"/>
                <w:highlight w:val="none"/>
              </w:rPr>
              <w:t>1、支持用于医技统领单的查询。</w:t>
            </w:r>
          </w:p>
          <w:p>
            <w:pPr>
              <w:spacing w:line="360" w:lineRule="auto"/>
              <w:rPr>
                <w:rFonts w:ascii="宋体" w:hAnsi="宋体"/>
                <w:color w:val="auto"/>
                <w:sz w:val="24"/>
                <w:highlight w:val="none"/>
              </w:rPr>
            </w:pPr>
            <w:r>
              <w:rPr>
                <w:rFonts w:hint="eastAsia" w:ascii="宋体" w:hAnsi="宋体"/>
                <w:color w:val="auto"/>
                <w:sz w:val="24"/>
                <w:highlight w:val="none"/>
              </w:rPr>
              <w:t>2、支持根据申请日期、床号、患者姓名等进行查询。</w:t>
            </w:r>
          </w:p>
          <w:p>
            <w:pPr>
              <w:spacing w:line="360" w:lineRule="auto"/>
              <w:rPr>
                <w:rFonts w:ascii="宋体" w:hAnsi="宋体"/>
                <w:color w:val="auto"/>
                <w:sz w:val="24"/>
                <w:highlight w:val="none"/>
              </w:rPr>
            </w:pPr>
            <w:r>
              <w:rPr>
                <w:rFonts w:hint="eastAsia" w:ascii="宋体" w:hAnsi="宋体"/>
                <w:color w:val="auto"/>
                <w:sz w:val="24"/>
                <w:highlight w:val="none"/>
              </w:rPr>
              <w:t>3、支持将查询结果显示在医技统领列表。</w:t>
            </w:r>
          </w:p>
          <w:p>
            <w:pPr>
              <w:spacing w:line="360" w:lineRule="auto"/>
              <w:rPr>
                <w:rFonts w:ascii="宋体" w:hAnsi="宋体"/>
                <w:b/>
                <w:bCs/>
                <w:color w:val="auto"/>
                <w:sz w:val="24"/>
                <w:highlight w:val="none"/>
              </w:rPr>
            </w:pPr>
            <w:r>
              <w:rPr>
                <w:rFonts w:hint="eastAsia" w:ascii="宋体" w:hAnsi="宋体"/>
                <w:b/>
                <w:bCs/>
                <w:color w:val="auto"/>
                <w:sz w:val="24"/>
                <w:highlight w:val="none"/>
              </w:rPr>
              <w:t>医技项目工作量查询：</w:t>
            </w:r>
          </w:p>
          <w:p>
            <w:pPr>
              <w:spacing w:line="360" w:lineRule="auto"/>
              <w:rPr>
                <w:rFonts w:ascii="宋体" w:hAnsi="宋体"/>
                <w:color w:val="auto"/>
                <w:sz w:val="24"/>
                <w:highlight w:val="none"/>
              </w:rPr>
            </w:pPr>
            <w:r>
              <w:rPr>
                <w:rFonts w:hint="eastAsia" w:ascii="宋体" w:hAnsi="宋体"/>
                <w:color w:val="auto"/>
                <w:sz w:val="24"/>
                <w:highlight w:val="none"/>
              </w:rPr>
              <w:t>1、支持用于医技项目和对应科室的查询。</w:t>
            </w:r>
          </w:p>
          <w:p>
            <w:pPr>
              <w:spacing w:line="360" w:lineRule="auto"/>
              <w:rPr>
                <w:rFonts w:ascii="宋体" w:hAnsi="宋体"/>
                <w:color w:val="auto"/>
                <w:sz w:val="24"/>
                <w:highlight w:val="none"/>
              </w:rPr>
            </w:pPr>
            <w:r>
              <w:rPr>
                <w:rFonts w:hint="eastAsia" w:ascii="宋体" w:hAnsi="宋体"/>
                <w:color w:val="auto"/>
                <w:sz w:val="24"/>
                <w:highlight w:val="none"/>
              </w:rPr>
              <w:t>2、支持根据日期、操作员、门诊/住院、执行科室、服务项目等进行查询。</w:t>
            </w:r>
          </w:p>
          <w:p>
            <w:pPr>
              <w:spacing w:line="360" w:lineRule="auto"/>
              <w:rPr>
                <w:rFonts w:ascii="宋体" w:hAnsi="宋体"/>
                <w:color w:val="auto"/>
                <w:sz w:val="24"/>
                <w:highlight w:val="none"/>
              </w:rPr>
            </w:pPr>
            <w:r>
              <w:rPr>
                <w:rFonts w:hint="eastAsia" w:ascii="宋体" w:hAnsi="宋体"/>
                <w:color w:val="auto"/>
                <w:sz w:val="24"/>
                <w:highlight w:val="none"/>
              </w:rPr>
              <w:t>3、支持将查询结果显示在医技工作量统计列表。</w:t>
            </w:r>
          </w:p>
        </w:tc>
      </w:tr>
    </w:tbl>
    <w:p>
      <w:pPr>
        <w:pStyle w:val="6"/>
        <w:numPr>
          <w:ilvl w:val="3"/>
          <w:numId w:val="8"/>
        </w:numPr>
        <w:spacing w:before="280" w:after="290" w:line="376" w:lineRule="auto"/>
        <w:rPr>
          <w:rFonts w:ascii="宋体" w:hAnsi="宋体" w:cs="宋体"/>
          <w:color w:val="auto"/>
          <w:kern w:val="0"/>
          <w:szCs w:val="24"/>
          <w:highlight w:val="none"/>
          <w:lang w:bidi="ug-CN"/>
        </w:rPr>
      </w:pPr>
      <w:bookmarkStart w:id="613" w:name="_Toc12098"/>
      <w:r>
        <w:rPr>
          <w:rFonts w:hint="eastAsia" w:ascii="宋体" w:hAnsi="宋体" w:cs="宋体"/>
          <w:color w:val="auto"/>
          <w:kern w:val="0"/>
          <w:szCs w:val="24"/>
          <w:highlight w:val="none"/>
          <w:lang w:bidi="ug-CN"/>
        </w:rPr>
        <w:t>血液透析管理系统</w:t>
      </w:r>
      <w:bookmarkEnd w:id="613"/>
    </w:p>
    <w:p>
      <w:pPr>
        <w:spacing w:line="360" w:lineRule="auto"/>
        <w:ind w:firstLine="480" w:firstLineChars="200"/>
        <w:rPr>
          <w:rFonts w:ascii="宋体" w:hAnsi="宋体"/>
          <w:color w:val="auto"/>
          <w:sz w:val="24"/>
          <w:highlight w:val="none"/>
        </w:rPr>
      </w:pPr>
      <w:r>
        <w:rPr>
          <w:rFonts w:ascii="宋体" w:hAnsi="宋体"/>
          <w:color w:val="auto"/>
          <w:sz w:val="24"/>
          <w:highlight w:val="none"/>
        </w:rPr>
        <w:t>血液透析管理系统</w:t>
      </w:r>
      <w:r>
        <w:rPr>
          <w:rFonts w:hint="eastAsia" w:ascii="宋体" w:hAnsi="宋体"/>
          <w:color w:val="auto"/>
          <w:sz w:val="24"/>
          <w:highlight w:val="none"/>
        </w:rPr>
        <w:t>支持运用</w:t>
      </w:r>
      <w:r>
        <w:rPr>
          <w:rFonts w:ascii="宋体" w:hAnsi="宋体"/>
          <w:color w:val="auto"/>
          <w:sz w:val="24"/>
          <w:highlight w:val="none"/>
        </w:rPr>
        <w:t>计算机技术和医学相结合，通过设计透析医疗过程的流程化管理方案，实现透析医疗过程的流程式管理以及对病人病情的实时监控，解决医疗信息共享、透析跟踪、实时监控等一系列的问题，为医护人员及时诊断病情、制定优良的医疗方案提供了强有力的支持和帮助</w:t>
      </w:r>
      <w:r>
        <w:rPr>
          <w:rFonts w:hint="eastAsia" w:ascii="宋体" w:hAnsi="宋体"/>
          <w:color w:val="auto"/>
          <w:sz w:val="24"/>
          <w:highlight w:val="none"/>
        </w:rPr>
        <w:t>，需要满足以下功能：</w:t>
      </w:r>
    </w:p>
    <w:tbl>
      <w:tblPr>
        <w:tblStyle w:val="43"/>
        <w:tblW w:w="9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7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dxa"/>
            <w:shd w:val="clear" w:color="auto" w:fill="5B9BD5"/>
            <w:vAlign w:val="center"/>
          </w:tcPr>
          <w:p>
            <w:pPr>
              <w:spacing w:line="360" w:lineRule="auto"/>
              <w:ind w:firstLine="65"/>
              <w:jc w:val="center"/>
              <w:rPr>
                <w:rFonts w:ascii="宋体" w:hAnsi="宋体" w:cs="宋体"/>
                <w:b/>
                <w:bCs/>
                <w:color w:val="auto"/>
                <w:sz w:val="24"/>
                <w:highlight w:val="none"/>
              </w:rPr>
            </w:pPr>
            <w:r>
              <w:rPr>
                <w:rFonts w:hint="eastAsia" w:ascii="宋体" w:hAnsi="宋体" w:cs="宋体"/>
                <w:b/>
                <w:bCs/>
                <w:color w:val="auto"/>
                <w:sz w:val="24"/>
                <w:highlight w:val="none"/>
              </w:rPr>
              <w:t>模块</w:t>
            </w:r>
          </w:p>
        </w:tc>
        <w:tc>
          <w:tcPr>
            <w:tcW w:w="7533" w:type="dxa"/>
            <w:shd w:val="clear" w:color="auto" w:fill="5B9BD5"/>
            <w:vAlign w:val="center"/>
          </w:tcPr>
          <w:p>
            <w:pPr>
              <w:spacing w:line="360" w:lineRule="auto"/>
              <w:ind w:firstLine="65"/>
              <w:jc w:val="center"/>
              <w:rPr>
                <w:rFonts w:ascii="宋体" w:hAnsi="宋体" w:cs="宋体"/>
                <w:b/>
                <w:bCs/>
                <w:color w:val="auto"/>
                <w:sz w:val="24"/>
                <w:highlight w:val="none"/>
              </w:rPr>
            </w:pPr>
            <w:r>
              <w:rPr>
                <w:rFonts w:hint="eastAsia" w:ascii="宋体" w:hAnsi="宋体" w:cs="宋体"/>
                <w:b/>
                <w:bCs/>
                <w:color w:val="auto"/>
                <w:sz w:val="24"/>
                <w:highlight w:val="none"/>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dxa"/>
            <w:vAlign w:val="center"/>
          </w:tcPr>
          <w:p>
            <w:pPr>
              <w:spacing w:line="360" w:lineRule="auto"/>
              <w:ind w:firstLine="65"/>
              <w:jc w:val="center"/>
              <w:rPr>
                <w:rFonts w:ascii="宋体" w:hAnsi="宋体" w:cs="宋体"/>
                <w:color w:val="auto"/>
                <w:sz w:val="24"/>
                <w:highlight w:val="none"/>
              </w:rPr>
            </w:pPr>
            <w:r>
              <w:rPr>
                <w:rFonts w:hint="eastAsia" w:ascii="宋体" w:hAnsi="宋体" w:cs="宋体"/>
                <w:color w:val="auto"/>
                <w:sz w:val="24"/>
                <w:highlight w:val="none"/>
              </w:rPr>
              <w:t>透析流程管理</w:t>
            </w:r>
          </w:p>
        </w:tc>
        <w:tc>
          <w:tcPr>
            <w:tcW w:w="75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支持把每个患者的常规透析治疗按照时间顺序分成以下流程：透前称量、制定处方、确认处方、透析上机、交叉核对、透中护理、透后护理。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dxa"/>
            <w:vAlign w:val="center"/>
          </w:tcPr>
          <w:p>
            <w:pPr>
              <w:spacing w:line="360" w:lineRule="auto"/>
              <w:ind w:firstLine="65"/>
              <w:jc w:val="center"/>
              <w:rPr>
                <w:rFonts w:ascii="宋体" w:hAnsi="宋体" w:cs="宋体"/>
                <w:color w:val="auto"/>
                <w:sz w:val="24"/>
                <w:highlight w:val="none"/>
              </w:rPr>
            </w:pPr>
            <w:r>
              <w:rPr>
                <w:rFonts w:hint="eastAsia" w:ascii="宋体" w:hAnsi="宋体" w:cs="宋体"/>
                <w:color w:val="auto"/>
                <w:sz w:val="24"/>
                <w:highlight w:val="none"/>
              </w:rPr>
              <w:t>电子病历</w:t>
            </w:r>
          </w:p>
        </w:tc>
        <w:tc>
          <w:tcPr>
            <w:tcW w:w="7533" w:type="dxa"/>
          </w:tcPr>
          <w:p>
            <w:pPr>
              <w:topLinePunct/>
              <w:adjustRightInd w:val="0"/>
              <w:spacing w:line="360" w:lineRule="auto"/>
              <w:rPr>
                <w:rFonts w:ascii="宋体" w:hAnsi="宋体" w:cs="宋体"/>
                <w:color w:val="auto"/>
                <w:sz w:val="24"/>
                <w:highlight w:val="none"/>
              </w:rPr>
            </w:pPr>
            <w:r>
              <w:rPr>
                <w:rFonts w:hint="eastAsia" w:ascii="宋体" w:hAnsi="宋体" w:cs="宋体"/>
                <w:color w:val="auto"/>
                <w:sz w:val="24"/>
                <w:highlight w:val="none"/>
              </w:rPr>
              <w:t>支持包含以下几个部分：基本信息、诊断信息、通路信息、透析信息、化验检查信息、主任查房、医嘱信息、转归、阶段小结、营养评估、个人统计（透析体重、血压、IDWG）等；</w:t>
            </w:r>
          </w:p>
          <w:p>
            <w:pPr>
              <w:spacing w:line="360" w:lineRule="auto"/>
              <w:rPr>
                <w:rFonts w:ascii="宋体" w:hAnsi="宋体" w:cs="宋体"/>
                <w:color w:val="auto"/>
                <w:sz w:val="24"/>
                <w:highlight w:val="none"/>
              </w:rPr>
            </w:pPr>
            <w:r>
              <w:rPr>
                <w:rFonts w:hint="eastAsia" w:ascii="宋体" w:hAnsi="宋体" w:cs="宋体"/>
                <w:color w:val="auto"/>
                <w:sz w:val="24"/>
                <w:highlight w:val="none"/>
              </w:rPr>
              <w:t>阶段小结：支持查看患者的透析充分性评估小结(当获取到患者的透前、透后血尿素数据后，在次日早上即可自动生成新的阶段小结)；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dxa"/>
            <w:vAlign w:val="center"/>
          </w:tcPr>
          <w:p>
            <w:pPr>
              <w:spacing w:line="360" w:lineRule="auto"/>
              <w:ind w:firstLine="65"/>
              <w:jc w:val="center"/>
              <w:rPr>
                <w:rFonts w:ascii="宋体" w:hAnsi="宋体" w:cs="宋体"/>
                <w:color w:val="auto"/>
                <w:sz w:val="24"/>
                <w:highlight w:val="none"/>
              </w:rPr>
            </w:pPr>
            <w:r>
              <w:rPr>
                <w:rFonts w:hint="eastAsia" w:ascii="宋体" w:hAnsi="宋体" w:cs="宋体"/>
                <w:color w:val="auto"/>
                <w:sz w:val="24"/>
                <w:highlight w:val="none"/>
              </w:rPr>
              <w:t>费用管理</w:t>
            </w:r>
          </w:p>
        </w:tc>
        <w:tc>
          <w:tcPr>
            <w:tcW w:w="75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支持根据患者透析过程中使用的耗材及护士护理所产生的费用，自动进行计费汇总。</w:t>
            </w:r>
          </w:p>
          <w:p>
            <w:pPr>
              <w:spacing w:line="360" w:lineRule="auto"/>
              <w:rPr>
                <w:rFonts w:ascii="宋体" w:hAnsi="宋体" w:cs="宋体"/>
                <w:color w:val="auto"/>
                <w:sz w:val="24"/>
                <w:highlight w:val="none"/>
              </w:rPr>
            </w:pPr>
            <w:r>
              <w:rPr>
                <w:rFonts w:hint="eastAsia" w:ascii="宋体" w:hAnsi="宋体" w:cs="宋体"/>
                <w:color w:val="auto"/>
                <w:sz w:val="24"/>
                <w:highlight w:val="none"/>
              </w:rPr>
              <w:t>支持通过查询患者在某一段时间内透析所产生的费用明细，下月初预收取标准透析费和上月辅助治疗生成的收费；</w:t>
            </w:r>
          </w:p>
          <w:p>
            <w:pPr>
              <w:spacing w:line="360" w:lineRule="auto"/>
              <w:rPr>
                <w:rFonts w:ascii="宋体" w:hAnsi="宋体" w:cs="宋体"/>
                <w:color w:val="auto"/>
                <w:sz w:val="24"/>
                <w:highlight w:val="none"/>
              </w:rPr>
            </w:pPr>
            <w:r>
              <w:rPr>
                <w:rFonts w:hint="eastAsia" w:ascii="宋体" w:hAnsi="宋体" w:cs="宋体"/>
                <w:color w:val="auto"/>
                <w:sz w:val="24"/>
                <w:highlight w:val="none"/>
              </w:rPr>
              <w:t>支持预警功能：科室可以针对所有患者设定费用预警值，当患者费用达到预警值时，系统自动进行预警提示；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dxa"/>
            <w:vAlign w:val="center"/>
          </w:tcPr>
          <w:p>
            <w:pPr>
              <w:spacing w:line="360" w:lineRule="auto"/>
              <w:ind w:firstLine="65"/>
              <w:jc w:val="center"/>
              <w:rPr>
                <w:rFonts w:ascii="宋体" w:hAnsi="宋体" w:cs="宋体"/>
                <w:color w:val="auto"/>
                <w:sz w:val="24"/>
                <w:highlight w:val="none"/>
              </w:rPr>
            </w:pPr>
            <w:r>
              <w:rPr>
                <w:rFonts w:hint="eastAsia" w:ascii="宋体" w:hAnsi="宋体" w:cs="宋体"/>
                <w:color w:val="auto"/>
                <w:sz w:val="24"/>
                <w:highlight w:val="none"/>
              </w:rPr>
              <w:t>药品及耗材管理</w:t>
            </w:r>
          </w:p>
        </w:tc>
        <w:tc>
          <w:tcPr>
            <w:tcW w:w="75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支持科室内部的耗材、药品使用管理，包括出库、入库、盘点等数据的记录和后期统计功能；</w:t>
            </w:r>
          </w:p>
          <w:p>
            <w:pPr>
              <w:spacing w:line="360" w:lineRule="auto"/>
              <w:rPr>
                <w:rFonts w:ascii="宋体" w:hAnsi="宋体" w:cs="宋体"/>
                <w:color w:val="auto"/>
                <w:sz w:val="24"/>
                <w:highlight w:val="none"/>
              </w:rPr>
            </w:pPr>
            <w:r>
              <w:rPr>
                <w:rFonts w:hint="eastAsia" w:ascii="宋体" w:hAnsi="宋体" w:cs="宋体"/>
                <w:color w:val="auto"/>
                <w:sz w:val="24"/>
                <w:highlight w:val="none"/>
              </w:rPr>
              <w:t>支持可查看当日各班次的所有患者透析所用耗材汇总情况，也可查看具体患者的使用耗材；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dxa"/>
            <w:vMerge w:val="restart"/>
            <w:vAlign w:val="center"/>
          </w:tcPr>
          <w:p>
            <w:pPr>
              <w:spacing w:line="360" w:lineRule="auto"/>
              <w:ind w:firstLine="65"/>
              <w:jc w:val="center"/>
              <w:rPr>
                <w:rFonts w:ascii="宋体" w:hAnsi="宋体" w:cs="宋体"/>
                <w:color w:val="auto"/>
                <w:sz w:val="24"/>
                <w:highlight w:val="none"/>
              </w:rPr>
            </w:pPr>
            <w:r>
              <w:rPr>
                <w:rFonts w:hint="eastAsia" w:ascii="宋体" w:hAnsi="宋体" w:cs="宋体"/>
                <w:color w:val="auto"/>
                <w:sz w:val="24"/>
                <w:highlight w:val="none"/>
              </w:rPr>
              <w:t>排床管理</w:t>
            </w:r>
          </w:p>
        </w:tc>
        <w:tc>
          <w:tcPr>
            <w:tcW w:w="75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智能排床：支持根据患者透析周期和科室透析班次，实现系统智能排床，提供排床增删改查功能。常规透析排床可根据单双周自动生成；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dxa"/>
            <w:vMerge w:val="continue"/>
            <w:vAlign w:val="center"/>
          </w:tcPr>
          <w:p>
            <w:pPr>
              <w:spacing w:line="360" w:lineRule="auto"/>
              <w:ind w:firstLine="65"/>
              <w:jc w:val="center"/>
              <w:rPr>
                <w:rFonts w:ascii="宋体" w:hAnsi="宋体" w:cs="宋体"/>
                <w:color w:val="auto"/>
                <w:sz w:val="24"/>
                <w:highlight w:val="none"/>
              </w:rPr>
            </w:pPr>
          </w:p>
        </w:tc>
        <w:tc>
          <w:tcPr>
            <w:tcW w:w="75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感染控制：支持阳性患者不能排在阴性透析区，阴性患者不能排在阳性透析区，通过患者标识来区分出阳性患者；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dxa"/>
            <w:vMerge w:val="continue"/>
            <w:vAlign w:val="center"/>
          </w:tcPr>
          <w:p>
            <w:pPr>
              <w:spacing w:line="360" w:lineRule="auto"/>
              <w:ind w:firstLine="65"/>
              <w:jc w:val="center"/>
              <w:rPr>
                <w:rFonts w:ascii="宋体" w:hAnsi="宋体" w:cs="宋体"/>
                <w:color w:val="auto"/>
                <w:sz w:val="24"/>
                <w:highlight w:val="none"/>
              </w:rPr>
            </w:pPr>
          </w:p>
        </w:tc>
        <w:tc>
          <w:tcPr>
            <w:tcW w:w="75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排床显示：支持排床信息实时显示在血透室大屏上，需要加星号保护患者隐私；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dxa"/>
            <w:vMerge w:val="continue"/>
            <w:vAlign w:val="center"/>
          </w:tcPr>
          <w:p>
            <w:pPr>
              <w:spacing w:line="360" w:lineRule="auto"/>
              <w:ind w:firstLine="65"/>
              <w:jc w:val="center"/>
              <w:rPr>
                <w:rFonts w:ascii="宋体" w:hAnsi="宋体" w:cs="宋体"/>
                <w:color w:val="auto"/>
                <w:sz w:val="24"/>
                <w:highlight w:val="none"/>
              </w:rPr>
            </w:pPr>
          </w:p>
        </w:tc>
        <w:tc>
          <w:tcPr>
            <w:tcW w:w="75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排床个性化设置：支持排床护士可以根根据实际需要对患者进行特殊符号或者颜色标识，同时排床时可以指定患者的透析耗材；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dxa"/>
            <w:vAlign w:val="center"/>
          </w:tcPr>
          <w:p>
            <w:pPr>
              <w:spacing w:line="360" w:lineRule="auto"/>
              <w:ind w:firstLine="65"/>
              <w:jc w:val="center"/>
              <w:rPr>
                <w:rFonts w:ascii="宋体" w:hAnsi="宋体" w:cs="宋体"/>
                <w:color w:val="auto"/>
                <w:sz w:val="24"/>
                <w:highlight w:val="none"/>
              </w:rPr>
            </w:pPr>
            <w:r>
              <w:rPr>
                <w:rFonts w:hint="eastAsia" w:ascii="宋体" w:hAnsi="宋体" w:cs="宋体"/>
                <w:color w:val="auto"/>
                <w:sz w:val="24"/>
                <w:highlight w:val="none"/>
              </w:rPr>
              <w:t>设备管理</w:t>
            </w:r>
          </w:p>
        </w:tc>
        <w:tc>
          <w:tcPr>
            <w:tcW w:w="7533" w:type="dxa"/>
          </w:tcPr>
          <w:p>
            <w:pPr>
              <w:tabs>
                <w:tab w:val="left" w:pos="900"/>
                <w:tab w:val="left" w:pos="3813"/>
              </w:tabs>
              <w:spacing w:line="360" w:lineRule="auto"/>
              <w:rPr>
                <w:rFonts w:ascii="宋体" w:hAnsi="宋体" w:cs="宋体"/>
                <w:color w:val="auto"/>
                <w:sz w:val="24"/>
                <w:highlight w:val="none"/>
              </w:rPr>
            </w:pPr>
            <w:r>
              <w:rPr>
                <w:rFonts w:hint="eastAsia" w:ascii="宋体" w:hAnsi="宋体" w:cs="宋体"/>
                <w:color w:val="auto"/>
                <w:sz w:val="24"/>
                <w:highlight w:val="none"/>
              </w:rPr>
              <w:t>支持对科室设备有总体统计数据及分类详细信息，包括名称、品牌、型号、序列号、安装日期、使用时间、金额等；</w:t>
            </w:r>
          </w:p>
          <w:p>
            <w:pPr>
              <w:spacing w:line="360" w:lineRule="auto"/>
              <w:rPr>
                <w:rFonts w:ascii="宋体" w:hAnsi="宋体" w:cs="宋体"/>
                <w:color w:val="auto"/>
                <w:sz w:val="24"/>
                <w:highlight w:val="none"/>
              </w:rPr>
            </w:pPr>
            <w:r>
              <w:rPr>
                <w:rFonts w:hint="eastAsia" w:ascii="宋体" w:hAnsi="宋体" w:cs="宋体"/>
                <w:color w:val="auto"/>
                <w:sz w:val="24"/>
                <w:highlight w:val="none"/>
              </w:rPr>
              <w:t>支持快捷的记录透析机和水处理设备的维修、保养、报废、细菌、内毒素培养和化学污染物等信息；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dxa"/>
            <w:vAlign w:val="center"/>
          </w:tcPr>
          <w:p>
            <w:pPr>
              <w:spacing w:line="360" w:lineRule="auto"/>
              <w:ind w:firstLine="65"/>
              <w:jc w:val="center"/>
              <w:rPr>
                <w:rFonts w:ascii="宋体" w:hAnsi="宋体" w:cs="宋体"/>
                <w:color w:val="auto"/>
                <w:sz w:val="24"/>
                <w:highlight w:val="none"/>
              </w:rPr>
            </w:pPr>
            <w:r>
              <w:rPr>
                <w:rFonts w:hint="eastAsia" w:ascii="宋体" w:hAnsi="宋体" w:cs="宋体"/>
                <w:color w:val="auto"/>
                <w:sz w:val="24"/>
                <w:highlight w:val="none"/>
              </w:rPr>
              <w:t>报表统计</w:t>
            </w:r>
          </w:p>
        </w:tc>
        <w:tc>
          <w:tcPr>
            <w:tcW w:w="75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支持实际临床需要，可以定制各种报表；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dxa"/>
            <w:vAlign w:val="center"/>
          </w:tcPr>
          <w:p>
            <w:pPr>
              <w:spacing w:line="360" w:lineRule="auto"/>
              <w:ind w:firstLine="65"/>
              <w:jc w:val="center"/>
              <w:rPr>
                <w:rFonts w:ascii="宋体" w:hAnsi="宋体" w:cs="宋体"/>
                <w:color w:val="auto"/>
                <w:sz w:val="24"/>
                <w:highlight w:val="none"/>
              </w:rPr>
            </w:pPr>
            <w:r>
              <w:rPr>
                <w:rFonts w:hint="eastAsia" w:ascii="宋体" w:hAnsi="宋体" w:cs="宋体"/>
                <w:color w:val="auto"/>
                <w:sz w:val="24"/>
                <w:highlight w:val="none"/>
              </w:rPr>
              <w:t>检验提醒</w:t>
            </w:r>
          </w:p>
        </w:tc>
        <w:tc>
          <w:tcPr>
            <w:tcW w:w="75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支持对于定期透析患者需要有各种检验、检查信息查询和提醒功能；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dxa"/>
            <w:vAlign w:val="center"/>
          </w:tcPr>
          <w:p>
            <w:pPr>
              <w:spacing w:line="360" w:lineRule="auto"/>
              <w:ind w:firstLine="65"/>
              <w:jc w:val="center"/>
              <w:rPr>
                <w:rFonts w:ascii="宋体" w:hAnsi="宋体" w:cs="宋体"/>
                <w:color w:val="auto"/>
                <w:sz w:val="24"/>
                <w:highlight w:val="none"/>
              </w:rPr>
            </w:pPr>
            <w:r>
              <w:rPr>
                <w:rFonts w:hint="eastAsia" w:ascii="宋体" w:hAnsi="宋体" w:cs="宋体"/>
                <w:color w:val="auto"/>
                <w:sz w:val="24"/>
                <w:highlight w:val="none"/>
              </w:rPr>
              <w:t>接口设计</w:t>
            </w:r>
          </w:p>
        </w:tc>
        <w:tc>
          <w:tcPr>
            <w:tcW w:w="7533" w:type="dxa"/>
          </w:tcPr>
          <w:p>
            <w:pPr>
              <w:tabs>
                <w:tab w:val="left" w:pos="900"/>
                <w:tab w:val="left" w:pos="3813"/>
              </w:tabs>
              <w:spacing w:line="360" w:lineRule="auto"/>
              <w:rPr>
                <w:rFonts w:ascii="宋体" w:hAnsi="宋体" w:cs="宋体"/>
                <w:color w:val="auto"/>
                <w:sz w:val="24"/>
                <w:highlight w:val="none"/>
              </w:rPr>
            </w:pPr>
            <w:r>
              <w:rPr>
                <w:rFonts w:hint="eastAsia" w:ascii="宋体" w:hAnsi="宋体" w:cs="宋体"/>
                <w:color w:val="auto"/>
                <w:sz w:val="24"/>
                <w:highlight w:val="none"/>
              </w:rPr>
              <w:t>支持HIS、LIS或者集成平台系统的对接工作，实现：</w:t>
            </w:r>
          </w:p>
          <w:p>
            <w:pPr>
              <w:tabs>
                <w:tab w:val="left" w:pos="900"/>
                <w:tab w:val="left" w:pos="3813"/>
              </w:tabs>
              <w:spacing w:line="360" w:lineRule="auto"/>
              <w:ind w:firstLine="65"/>
              <w:rPr>
                <w:rFonts w:ascii="宋体" w:hAnsi="宋体" w:cs="宋体"/>
                <w:color w:val="auto"/>
                <w:sz w:val="24"/>
                <w:highlight w:val="none"/>
              </w:rPr>
            </w:pPr>
            <w:r>
              <w:rPr>
                <w:rFonts w:hint="eastAsia" w:ascii="宋体" w:hAnsi="宋体" w:cs="宋体"/>
                <w:color w:val="auto"/>
                <w:sz w:val="24"/>
                <w:highlight w:val="none"/>
              </w:rPr>
              <w:t>1.采集患者的基本信息、检查化验信息；</w:t>
            </w:r>
          </w:p>
          <w:p>
            <w:pPr>
              <w:spacing w:line="360" w:lineRule="auto"/>
              <w:ind w:firstLine="65"/>
              <w:rPr>
                <w:rFonts w:ascii="宋体" w:hAnsi="宋体" w:cs="宋体"/>
                <w:color w:val="auto"/>
                <w:sz w:val="24"/>
                <w:highlight w:val="none"/>
              </w:rPr>
            </w:pPr>
            <w:r>
              <w:rPr>
                <w:rFonts w:hint="eastAsia" w:ascii="宋体" w:hAnsi="宋体" w:cs="宋体"/>
                <w:color w:val="auto"/>
                <w:sz w:val="24"/>
                <w:highlight w:val="none"/>
              </w:rPr>
              <w:t>2.与主流数据库实现无缝对接，如Oracle、SqlServer、MySql等。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dxa"/>
            <w:vAlign w:val="center"/>
          </w:tcPr>
          <w:p>
            <w:pPr>
              <w:spacing w:line="360" w:lineRule="auto"/>
              <w:ind w:firstLine="65"/>
              <w:jc w:val="center"/>
              <w:rPr>
                <w:rFonts w:ascii="宋体" w:hAnsi="宋体" w:cs="宋体"/>
                <w:color w:val="auto"/>
                <w:sz w:val="24"/>
                <w:highlight w:val="none"/>
              </w:rPr>
            </w:pPr>
            <w:r>
              <w:rPr>
                <w:rFonts w:hint="eastAsia" w:ascii="宋体" w:hAnsi="宋体" w:cs="宋体"/>
                <w:color w:val="auto"/>
                <w:sz w:val="24"/>
                <w:highlight w:val="none"/>
              </w:rPr>
              <w:t>透析机联机能力</w:t>
            </w:r>
          </w:p>
        </w:tc>
        <w:tc>
          <w:tcPr>
            <w:tcW w:w="75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支持具备科室所有透析机的无线联机能力，采集的参数包括：血流量、静脉压、跨膜压、超滤量、超滤率、电导度、透析液流量、舒张压、收缩压和脉；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dxa"/>
            <w:vAlign w:val="center"/>
          </w:tcPr>
          <w:p>
            <w:pPr>
              <w:spacing w:line="360" w:lineRule="auto"/>
              <w:ind w:firstLine="65"/>
              <w:jc w:val="center"/>
              <w:rPr>
                <w:rFonts w:ascii="宋体" w:hAnsi="宋体" w:cs="宋体"/>
                <w:color w:val="auto"/>
                <w:sz w:val="24"/>
                <w:highlight w:val="none"/>
              </w:rPr>
            </w:pPr>
            <w:r>
              <w:rPr>
                <w:rFonts w:hint="eastAsia" w:ascii="宋体" w:hAnsi="宋体" w:cs="宋体"/>
                <w:color w:val="auto"/>
                <w:sz w:val="24"/>
                <w:highlight w:val="none"/>
              </w:rPr>
              <w:t>质控上报</w:t>
            </w:r>
          </w:p>
        </w:tc>
        <w:tc>
          <w:tcPr>
            <w:tcW w:w="75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支持能够与全国质控上报中心系统进行对接，提供一键上报功能。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dxa"/>
            <w:vAlign w:val="center"/>
          </w:tcPr>
          <w:p>
            <w:pPr>
              <w:spacing w:line="360" w:lineRule="auto"/>
              <w:ind w:firstLine="65"/>
              <w:jc w:val="center"/>
              <w:rPr>
                <w:rFonts w:ascii="宋体" w:hAnsi="宋体" w:cs="宋体"/>
                <w:color w:val="auto"/>
                <w:sz w:val="24"/>
                <w:highlight w:val="none"/>
              </w:rPr>
            </w:pPr>
            <w:r>
              <w:rPr>
                <w:rFonts w:hint="eastAsia" w:ascii="宋体" w:hAnsi="宋体" w:cs="宋体"/>
                <w:color w:val="auto"/>
                <w:sz w:val="24"/>
                <w:highlight w:val="none"/>
              </w:rPr>
              <w:t>智能提醒</w:t>
            </w:r>
          </w:p>
        </w:tc>
        <w:tc>
          <w:tcPr>
            <w:tcW w:w="7533" w:type="dxa"/>
          </w:tcPr>
          <w:p>
            <w:pPr>
              <w:spacing w:line="360" w:lineRule="auto"/>
              <w:rPr>
                <w:rFonts w:ascii="宋体" w:hAnsi="宋体" w:cs="宋体"/>
                <w:color w:val="auto"/>
                <w:sz w:val="24"/>
                <w:highlight w:val="none"/>
              </w:rPr>
            </w:pPr>
            <w:r>
              <w:rPr>
                <w:rFonts w:hint="eastAsia" w:ascii="宋体" w:hAnsi="宋体" w:cs="宋体"/>
                <w:color w:val="auto"/>
                <w:sz w:val="24"/>
                <w:highlight w:val="none"/>
              </w:rPr>
              <w:t>支持对血透患者的透析中平均动脉压升高或下降幅度、收缩压下降幅度、收缩压值、处方被拒绝、处方被修改、护士记录患者并发症、医生下达临时医嘱等情况进行报警，并能够灵活的设置不同报警信息的报警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4" w:type="dxa"/>
            <w:vAlign w:val="center"/>
          </w:tcPr>
          <w:p>
            <w:pPr>
              <w:spacing w:line="360" w:lineRule="auto"/>
              <w:ind w:firstLine="65"/>
              <w:jc w:val="center"/>
              <w:rPr>
                <w:rFonts w:ascii="宋体" w:hAnsi="宋体" w:cs="宋体"/>
                <w:color w:val="auto"/>
                <w:sz w:val="24"/>
                <w:highlight w:val="none"/>
              </w:rPr>
            </w:pPr>
            <w:r>
              <w:rPr>
                <w:rFonts w:hint="eastAsia" w:ascii="宋体" w:hAnsi="宋体" w:cs="宋体"/>
                <w:color w:val="auto"/>
                <w:sz w:val="24"/>
                <w:highlight w:val="none"/>
              </w:rPr>
              <w:t>对接</w:t>
            </w:r>
          </w:p>
        </w:tc>
        <w:tc>
          <w:tcPr>
            <w:tcW w:w="7533" w:type="dxa"/>
          </w:tcPr>
          <w:p>
            <w:pPr>
              <w:spacing w:line="360" w:lineRule="auto"/>
              <w:rPr>
                <w:rFonts w:ascii="宋体" w:hAnsi="宋体" w:cs="宋体"/>
                <w:color w:val="auto"/>
                <w:sz w:val="24"/>
                <w:highlight w:val="none"/>
              </w:rPr>
            </w:pPr>
            <w:r>
              <w:rPr>
                <w:rFonts w:hint="eastAsia" w:ascii="宋体" w:hAnsi="宋体"/>
                <w:color w:val="auto"/>
                <w:sz w:val="24"/>
                <w:highlight w:val="none"/>
              </w:rPr>
              <w:t>需要对接医院现有的</w:t>
            </w:r>
            <w:r>
              <w:rPr>
                <w:rFonts w:ascii="宋体" w:hAnsi="宋体"/>
                <w:color w:val="auto"/>
                <w:sz w:val="24"/>
                <w:highlight w:val="none"/>
              </w:rPr>
              <w:t>42</w:t>
            </w:r>
            <w:r>
              <w:rPr>
                <w:rFonts w:hint="eastAsia" w:ascii="宋体" w:hAnsi="宋体"/>
                <w:color w:val="auto"/>
                <w:sz w:val="24"/>
                <w:highlight w:val="none"/>
              </w:rPr>
              <w:t>台护理</w:t>
            </w:r>
            <w:r>
              <w:rPr>
                <w:rFonts w:ascii="宋体" w:hAnsi="宋体"/>
                <w:color w:val="auto"/>
                <w:sz w:val="24"/>
                <w:highlight w:val="none"/>
              </w:rPr>
              <w:t>PDA</w:t>
            </w:r>
            <w:r>
              <w:rPr>
                <w:rFonts w:hint="eastAsia" w:ascii="宋体" w:hAnsi="宋体"/>
                <w:color w:val="auto"/>
                <w:sz w:val="24"/>
                <w:highlight w:val="none"/>
              </w:rPr>
              <w:t>设备</w:t>
            </w:r>
          </w:p>
        </w:tc>
      </w:tr>
    </w:tbl>
    <w:p>
      <w:pPr>
        <w:pStyle w:val="6"/>
        <w:numPr>
          <w:ilvl w:val="3"/>
          <w:numId w:val="8"/>
        </w:numPr>
        <w:spacing w:before="280" w:after="290" w:line="376" w:lineRule="auto"/>
        <w:rPr>
          <w:rFonts w:ascii="宋体" w:hAnsi="宋体"/>
          <w:color w:val="auto"/>
          <w:szCs w:val="24"/>
          <w:highlight w:val="none"/>
        </w:rPr>
      </w:pPr>
      <w:bookmarkStart w:id="614" w:name="_Toc30128"/>
      <w:r>
        <w:rPr>
          <w:rFonts w:hint="eastAsia" w:ascii="宋体" w:hAnsi="宋体"/>
          <w:color w:val="auto"/>
          <w:szCs w:val="24"/>
          <w:highlight w:val="none"/>
        </w:rPr>
        <w:t>康复管理系统</w:t>
      </w:r>
      <w:bookmarkEnd w:id="614"/>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康复医疗信息系统的建立对完善基于电子病历的临床信息系统的建设有重要意义。康复医疗信息系统由临床科医生模块、康复医疗科医生模块和系统管理员模块三部分组成，具有康复治疗申请、治疗方案制定、治疗过程记录、治疗效果评定、治疗信息共享、工作量统计、用户权限管理等功能，实现康复医疗过程的信息化管理。</w:t>
      </w:r>
    </w:p>
    <w:tbl>
      <w:tblPr>
        <w:tblStyle w:val="43"/>
        <w:tblW w:w="90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1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trPr>
        <w:tc>
          <w:tcPr>
            <w:tcW w:w="1980"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7114"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980" w:type="dxa"/>
            <w:vAlign w:val="center"/>
          </w:tcPr>
          <w:p>
            <w:pPr>
              <w:spacing w:line="360" w:lineRule="auto"/>
              <w:ind w:left="8" w:right="33"/>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治疗申请</w:t>
            </w:r>
          </w:p>
        </w:tc>
        <w:tc>
          <w:tcPr>
            <w:tcW w:w="7114" w:type="dxa"/>
            <w:vAlign w:val="center"/>
          </w:tcPr>
          <w:p>
            <w:pPr>
              <w:pStyle w:val="201"/>
              <w:numPr>
                <w:ilvl w:val="0"/>
                <w:numId w:val="9"/>
              </w:numPr>
              <w:spacing w:before="0" w:line="360" w:lineRule="auto"/>
              <w:ind w:left="368" w:right="105" w:rightChars="50" w:firstLine="482"/>
              <w:rPr>
                <w:rFonts w:ascii="宋体" w:hAnsi="宋体" w:eastAsia="宋体"/>
                <w:color w:val="auto"/>
                <w:spacing w:val="-1"/>
                <w:sz w:val="24"/>
                <w:highlight w:val="none"/>
                <w:lang w:val="zh-CN" w:eastAsia="zh-CN" w:bidi="zh-CN"/>
              </w:rPr>
            </w:pPr>
            <w:r>
              <w:rPr>
                <w:rFonts w:hint="eastAsia" w:ascii="宋体" w:hAnsi="宋体" w:eastAsia="宋体"/>
                <w:color w:val="auto"/>
                <w:sz w:val="24"/>
                <w:highlight w:val="none"/>
                <w:lang w:eastAsia="zh-CN"/>
              </w:rPr>
              <w:t>支持</w:t>
            </w:r>
            <w:r>
              <w:rPr>
                <w:rFonts w:hint="eastAsia" w:ascii="宋体" w:hAnsi="宋体" w:eastAsia="宋体"/>
                <w:color w:val="auto"/>
                <w:spacing w:val="-1"/>
                <w:sz w:val="24"/>
                <w:highlight w:val="none"/>
                <w:lang w:val="zh-CN" w:eastAsia="zh-CN" w:bidi="zh-CN"/>
              </w:rPr>
              <w:t>临床、门诊科室医生通过医生工作站向康复医疗系统发出病人康复治疗申请。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980" w:type="dxa"/>
            <w:vAlign w:val="center"/>
          </w:tcPr>
          <w:p>
            <w:pPr>
              <w:spacing w:line="360" w:lineRule="auto"/>
              <w:ind w:left="8" w:right="33"/>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疗效查看</w:t>
            </w:r>
          </w:p>
        </w:tc>
        <w:tc>
          <w:tcPr>
            <w:tcW w:w="7114" w:type="dxa"/>
            <w:vAlign w:val="center"/>
          </w:tcPr>
          <w:p>
            <w:pPr>
              <w:pStyle w:val="201"/>
              <w:numPr>
                <w:ilvl w:val="0"/>
                <w:numId w:val="9"/>
              </w:numPr>
              <w:spacing w:before="0" w:line="360" w:lineRule="auto"/>
              <w:ind w:left="368" w:right="105" w:rightChars="50" w:firstLine="482"/>
              <w:rPr>
                <w:rFonts w:ascii="宋体" w:hAnsi="宋体" w:eastAsia="宋体"/>
                <w:color w:val="auto"/>
                <w:spacing w:val="-1"/>
                <w:sz w:val="24"/>
                <w:highlight w:val="none"/>
                <w:lang w:val="zh-CN" w:eastAsia="zh-CN" w:bidi="zh-CN"/>
              </w:rPr>
            </w:pPr>
            <w:r>
              <w:rPr>
                <w:rFonts w:hint="eastAsia" w:ascii="宋体" w:hAnsi="宋体" w:eastAsia="宋体"/>
                <w:color w:val="auto"/>
                <w:sz w:val="24"/>
                <w:highlight w:val="none"/>
                <w:lang w:eastAsia="zh-CN"/>
              </w:rPr>
              <w:t>支持</w:t>
            </w:r>
            <w:r>
              <w:rPr>
                <w:rFonts w:hint="eastAsia" w:ascii="宋体" w:hAnsi="宋体" w:eastAsia="宋体"/>
                <w:color w:val="auto"/>
                <w:spacing w:val="-1"/>
                <w:sz w:val="24"/>
                <w:highlight w:val="none"/>
                <w:lang w:val="zh-CN" w:eastAsia="zh-CN" w:bidi="zh-CN"/>
              </w:rPr>
              <w:t>临床、门诊医生可以查看病人康复治疗过程和疗效。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3" w:hRule="atLeast"/>
        </w:trPr>
        <w:tc>
          <w:tcPr>
            <w:tcW w:w="1980" w:type="dxa"/>
            <w:vAlign w:val="center"/>
          </w:tcPr>
          <w:p>
            <w:pPr>
              <w:spacing w:line="360" w:lineRule="auto"/>
              <w:ind w:left="8" w:right="33"/>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病历共享</w:t>
            </w:r>
          </w:p>
        </w:tc>
        <w:tc>
          <w:tcPr>
            <w:tcW w:w="7114" w:type="dxa"/>
            <w:vAlign w:val="center"/>
          </w:tcPr>
          <w:p>
            <w:pPr>
              <w:pStyle w:val="201"/>
              <w:numPr>
                <w:ilvl w:val="0"/>
                <w:numId w:val="9"/>
              </w:numPr>
              <w:spacing w:before="0" w:line="360" w:lineRule="auto"/>
              <w:ind w:left="368" w:right="105" w:rightChars="50" w:firstLine="482"/>
              <w:rPr>
                <w:rFonts w:ascii="宋体" w:hAnsi="宋体" w:eastAsia="宋体"/>
                <w:color w:val="auto"/>
                <w:spacing w:val="-1"/>
                <w:sz w:val="24"/>
                <w:highlight w:val="none"/>
                <w:lang w:val="zh-CN" w:eastAsia="zh-CN" w:bidi="zh-CN"/>
              </w:rPr>
            </w:pPr>
            <w:r>
              <w:rPr>
                <w:rFonts w:hint="eastAsia" w:ascii="宋体" w:hAnsi="宋体" w:eastAsia="宋体"/>
                <w:color w:val="auto"/>
                <w:sz w:val="24"/>
                <w:highlight w:val="none"/>
                <w:lang w:eastAsia="zh-CN"/>
              </w:rPr>
              <w:t>支持</w:t>
            </w:r>
            <w:r>
              <w:rPr>
                <w:rFonts w:hint="eastAsia" w:ascii="宋体" w:hAnsi="宋体" w:eastAsia="宋体"/>
                <w:color w:val="auto"/>
                <w:spacing w:val="-1"/>
                <w:sz w:val="24"/>
                <w:highlight w:val="none"/>
                <w:lang w:val="zh-CN" w:eastAsia="zh-CN" w:bidi="zh-CN"/>
              </w:rPr>
              <w:t>访问电子病历，查看病人的病历信息，为康复医疗科医生提供制定治疗方案的依据。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980" w:type="dxa"/>
            <w:vAlign w:val="center"/>
          </w:tcPr>
          <w:p>
            <w:pPr>
              <w:spacing w:line="360" w:lineRule="auto"/>
              <w:ind w:left="8" w:right="33"/>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处方收费</w:t>
            </w:r>
          </w:p>
        </w:tc>
        <w:tc>
          <w:tcPr>
            <w:tcW w:w="7114" w:type="dxa"/>
            <w:vAlign w:val="center"/>
          </w:tcPr>
          <w:p>
            <w:pPr>
              <w:pStyle w:val="201"/>
              <w:numPr>
                <w:ilvl w:val="0"/>
                <w:numId w:val="9"/>
              </w:numPr>
              <w:spacing w:before="0" w:line="360" w:lineRule="auto"/>
              <w:ind w:left="368" w:right="105" w:rightChars="50" w:firstLine="478"/>
              <w:rPr>
                <w:rFonts w:ascii="宋体" w:hAnsi="宋体" w:eastAsia="宋体"/>
                <w:color w:val="auto"/>
                <w:spacing w:val="-1"/>
                <w:sz w:val="24"/>
                <w:highlight w:val="none"/>
                <w:lang w:val="zh-CN" w:eastAsia="zh-CN" w:bidi="zh-CN"/>
              </w:rPr>
            </w:pPr>
            <w:r>
              <w:rPr>
                <w:rFonts w:hint="eastAsia" w:ascii="宋体" w:hAnsi="宋体" w:eastAsia="宋体"/>
                <w:color w:val="auto"/>
                <w:spacing w:val="-1"/>
                <w:sz w:val="24"/>
                <w:highlight w:val="none"/>
                <w:lang w:val="zh-CN" w:eastAsia="zh-CN" w:bidi="zh-CN"/>
              </w:rPr>
              <w:t>支持康复医生一次接诊时开出治疗处置单和处方，将病人分到相应疗室，科室医生二次接诊时可加开处置单，费用进入计费系统，门诊病人交费或住院病人的费用列入住院费后，疗室医生可实施治疗。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1980" w:type="dxa"/>
            <w:vAlign w:val="center"/>
          </w:tcPr>
          <w:p>
            <w:pPr>
              <w:spacing w:line="360" w:lineRule="auto"/>
              <w:ind w:left="8" w:right="33"/>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治疗录入</w:t>
            </w:r>
          </w:p>
        </w:tc>
        <w:tc>
          <w:tcPr>
            <w:tcW w:w="7114" w:type="dxa"/>
            <w:vAlign w:val="center"/>
          </w:tcPr>
          <w:p>
            <w:pPr>
              <w:pStyle w:val="201"/>
              <w:numPr>
                <w:ilvl w:val="0"/>
                <w:numId w:val="9"/>
              </w:numPr>
              <w:spacing w:before="0" w:line="360" w:lineRule="auto"/>
              <w:ind w:left="368" w:right="105" w:rightChars="50" w:firstLine="482"/>
              <w:rPr>
                <w:rFonts w:ascii="宋体" w:hAnsi="宋体" w:eastAsia="宋体"/>
                <w:color w:val="auto"/>
                <w:spacing w:val="-1"/>
                <w:sz w:val="24"/>
                <w:highlight w:val="none"/>
                <w:lang w:val="zh-CN" w:eastAsia="zh-CN" w:bidi="zh-CN"/>
              </w:rPr>
            </w:pPr>
            <w:r>
              <w:rPr>
                <w:rFonts w:hint="eastAsia" w:ascii="宋体" w:hAnsi="宋体" w:eastAsia="宋体"/>
                <w:color w:val="auto"/>
                <w:sz w:val="24"/>
                <w:highlight w:val="none"/>
                <w:lang w:eastAsia="zh-CN"/>
              </w:rPr>
              <w:t>支持</w:t>
            </w:r>
            <w:r>
              <w:rPr>
                <w:rFonts w:hint="eastAsia" w:ascii="宋体" w:hAnsi="宋体" w:eastAsia="宋体"/>
                <w:color w:val="auto"/>
                <w:spacing w:val="-1"/>
                <w:sz w:val="24"/>
                <w:highlight w:val="none"/>
                <w:lang w:val="zh-CN" w:eastAsia="zh-CN" w:bidi="zh-CN"/>
              </w:rPr>
              <w:t>治疗室医生在治疗过程中录入疗效评估和备注，初始评估→制定治疗目标→治疗时记录康复路径→最终评估。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1980" w:type="dxa"/>
            <w:vAlign w:val="center"/>
          </w:tcPr>
          <w:p>
            <w:pPr>
              <w:spacing w:line="360" w:lineRule="auto"/>
              <w:ind w:left="8" w:right="33"/>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评定报告</w:t>
            </w:r>
          </w:p>
        </w:tc>
        <w:tc>
          <w:tcPr>
            <w:tcW w:w="7114" w:type="dxa"/>
            <w:vAlign w:val="center"/>
          </w:tcPr>
          <w:p>
            <w:pPr>
              <w:pStyle w:val="201"/>
              <w:numPr>
                <w:ilvl w:val="0"/>
                <w:numId w:val="9"/>
              </w:numPr>
              <w:spacing w:before="0" w:line="360" w:lineRule="auto"/>
              <w:ind w:left="368" w:right="105" w:rightChars="50" w:firstLine="478"/>
              <w:rPr>
                <w:rFonts w:ascii="宋体" w:hAnsi="宋体" w:eastAsia="宋体"/>
                <w:color w:val="auto"/>
                <w:spacing w:val="-1"/>
                <w:sz w:val="24"/>
                <w:highlight w:val="none"/>
                <w:lang w:val="zh-CN" w:eastAsia="zh-CN" w:bidi="zh-CN"/>
              </w:rPr>
            </w:pPr>
            <w:r>
              <w:rPr>
                <w:rFonts w:hint="eastAsia" w:ascii="宋体" w:hAnsi="宋体" w:eastAsia="宋体"/>
                <w:color w:val="auto"/>
                <w:spacing w:val="-1"/>
                <w:sz w:val="24"/>
                <w:highlight w:val="none"/>
                <w:lang w:val="zh-CN" w:eastAsia="zh-CN" w:bidi="zh-CN"/>
              </w:rPr>
              <w:t>支持在病人进行康复医疗治疗的前期、中期及后期，对其开展各项规范的评定工作，提供用于病人治疗情况评定及打印评定报告。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1" w:hRule="atLeast"/>
        </w:trPr>
        <w:tc>
          <w:tcPr>
            <w:tcW w:w="1980" w:type="dxa"/>
            <w:vAlign w:val="center"/>
          </w:tcPr>
          <w:p>
            <w:pPr>
              <w:spacing w:line="360" w:lineRule="auto"/>
              <w:ind w:left="8" w:right="33"/>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统计查询</w:t>
            </w:r>
          </w:p>
        </w:tc>
        <w:tc>
          <w:tcPr>
            <w:tcW w:w="7114" w:type="dxa"/>
            <w:vAlign w:val="center"/>
          </w:tcPr>
          <w:p>
            <w:pPr>
              <w:pStyle w:val="201"/>
              <w:numPr>
                <w:ilvl w:val="0"/>
                <w:numId w:val="9"/>
              </w:numPr>
              <w:spacing w:before="0" w:line="360" w:lineRule="auto"/>
              <w:ind w:left="368" w:right="105" w:rightChars="50" w:firstLine="478"/>
              <w:rPr>
                <w:rFonts w:ascii="宋体" w:hAnsi="宋体" w:eastAsia="宋体"/>
                <w:color w:val="auto"/>
                <w:spacing w:val="-1"/>
                <w:sz w:val="24"/>
                <w:highlight w:val="none"/>
                <w:lang w:val="zh-CN" w:eastAsia="zh-CN" w:bidi="zh-CN"/>
              </w:rPr>
            </w:pPr>
            <w:r>
              <w:rPr>
                <w:rFonts w:hint="eastAsia" w:ascii="宋体" w:hAnsi="宋体" w:eastAsia="宋体"/>
                <w:color w:val="auto"/>
                <w:spacing w:val="-1"/>
                <w:sz w:val="24"/>
                <w:highlight w:val="none"/>
                <w:lang w:val="zh-CN" w:eastAsia="zh-CN" w:bidi="zh-CN"/>
              </w:rPr>
              <w:t>支持包括康复医疗科医生工作量统计、接诊医生以接诊次数和处方费用等项目统计，以及治疗室医生操作、仪器治疗次数、治疗费用等项目统计。</w:t>
            </w:r>
          </w:p>
        </w:tc>
      </w:tr>
    </w:tbl>
    <w:p>
      <w:pPr>
        <w:spacing w:line="360" w:lineRule="auto"/>
        <w:ind w:firstLine="480" w:firstLineChars="200"/>
        <w:rPr>
          <w:rFonts w:ascii="宋体" w:hAnsi="宋体"/>
          <w:color w:val="auto"/>
          <w:sz w:val="24"/>
          <w:highlight w:val="none"/>
        </w:rPr>
      </w:pPr>
    </w:p>
    <w:p>
      <w:pPr>
        <w:pStyle w:val="6"/>
        <w:numPr>
          <w:ilvl w:val="3"/>
          <w:numId w:val="8"/>
        </w:numPr>
        <w:spacing w:before="280" w:after="290" w:line="376" w:lineRule="auto"/>
        <w:rPr>
          <w:rFonts w:ascii="宋体" w:hAnsi="宋体"/>
          <w:color w:val="auto"/>
          <w:szCs w:val="24"/>
          <w:highlight w:val="none"/>
        </w:rPr>
      </w:pPr>
      <w:bookmarkStart w:id="615" w:name="_Toc11571"/>
      <w:r>
        <w:rPr>
          <w:rFonts w:hint="eastAsia" w:ascii="宋体" w:hAnsi="宋体"/>
          <w:color w:val="auto"/>
          <w:szCs w:val="24"/>
          <w:highlight w:val="none"/>
        </w:rPr>
        <w:t>高压氧舱管理系统</w:t>
      </w:r>
      <w:bookmarkEnd w:id="615"/>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高压氧舱管理系统需满足以下功能：</w:t>
      </w:r>
    </w:p>
    <w:tbl>
      <w:tblPr>
        <w:tblStyle w:val="43"/>
        <w:tblW w:w="90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trPr>
        <w:tc>
          <w:tcPr>
            <w:tcW w:w="1980" w:type="dxa"/>
            <w:shd w:val="clear" w:color="auto" w:fill="4471C4"/>
            <w:vAlign w:val="center"/>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7097" w:type="dxa"/>
            <w:shd w:val="clear" w:color="auto" w:fill="4471C4"/>
            <w:vAlign w:val="center"/>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980" w:type="dxa"/>
            <w:vAlign w:val="center"/>
          </w:tcPr>
          <w:p>
            <w:pPr>
              <w:spacing w:line="360" w:lineRule="auto"/>
              <w:ind w:left="8" w:right="33"/>
              <w:jc w:val="center"/>
              <w:rPr>
                <w:rFonts w:ascii="宋体" w:hAnsi="宋体" w:cs="仿宋"/>
                <w:b/>
                <w:color w:val="auto"/>
                <w:sz w:val="24"/>
                <w:highlight w:val="none"/>
                <w:lang w:val="zh-CN" w:bidi="zh-CN"/>
              </w:rPr>
            </w:pPr>
            <w:r>
              <w:rPr>
                <w:rFonts w:hint="eastAsia" w:ascii="宋体" w:hAnsi="宋体"/>
                <w:color w:val="auto"/>
                <w:sz w:val="24"/>
                <w:highlight w:val="none"/>
              </w:rPr>
              <w:t>高压氧治疗系统</w:t>
            </w:r>
          </w:p>
        </w:tc>
        <w:tc>
          <w:tcPr>
            <w:tcW w:w="7097" w:type="dxa"/>
            <w:vAlign w:val="center"/>
          </w:tcPr>
          <w:p>
            <w:pPr>
              <w:pStyle w:val="130"/>
              <w:ind w:firstLine="0"/>
              <w:rPr>
                <w:rFonts w:ascii="宋体" w:hAnsi="宋体"/>
                <w:b/>
                <w:color w:val="auto"/>
                <w:szCs w:val="24"/>
                <w:highlight w:val="none"/>
              </w:rPr>
            </w:pPr>
            <w:r>
              <w:rPr>
                <w:rFonts w:hint="eastAsia" w:ascii="宋体" w:hAnsi="宋体"/>
                <w:b/>
                <w:color w:val="auto"/>
                <w:szCs w:val="24"/>
                <w:highlight w:val="none"/>
              </w:rPr>
              <w:t>（1）基础数据管理</w:t>
            </w:r>
          </w:p>
          <w:p>
            <w:pPr>
              <w:pStyle w:val="130"/>
              <w:ind w:firstLine="0"/>
              <w:rPr>
                <w:rFonts w:ascii="宋体" w:hAnsi="宋体"/>
                <w:color w:val="auto"/>
                <w:szCs w:val="24"/>
                <w:highlight w:val="none"/>
              </w:rPr>
            </w:pPr>
            <w:r>
              <w:rPr>
                <w:rFonts w:hint="eastAsia" w:ascii="宋体" w:hAnsi="宋体"/>
                <w:b/>
                <w:color w:val="auto"/>
                <w:szCs w:val="24"/>
                <w:highlight w:val="none"/>
              </w:rPr>
              <w:t>氧舱信息维护：支持</w:t>
            </w:r>
            <w:r>
              <w:rPr>
                <w:rFonts w:hint="eastAsia" w:ascii="宋体" w:hAnsi="宋体"/>
                <w:color w:val="auto"/>
                <w:szCs w:val="24"/>
                <w:highlight w:val="none"/>
              </w:rPr>
              <w:t>维护氧舱基本信息和氧舱仓位的信息。</w:t>
            </w:r>
          </w:p>
          <w:p>
            <w:pPr>
              <w:pStyle w:val="130"/>
              <w:ind w:firstLine="0"/>
              <w:rPr>
                <w:rFonts w:ascii="宋体" w:hAnsi="宋体"/>
                <w:color w:val="auto"/>
                <w:szCs w:val="24"/>
                <w:highlight w:val="none"/>
              </w:rPr>
            </w:pPr>
            <w:r>
              <w:rPr>
                <w:rFonts w:hint="eastAsia" w:ascii="宋体" w:hAnsi="宋体"/>
                <w:b/>
                <w:color w:val="auto"/>
                <w:szCs w:val="24"/>
                <w:highlight w:val="none"/>
              </w:rPr>
              <w:t>氧舱治疗方案维护：支持</w:t>
            </w:r>
            <w:r>
              <w:rPr>
                <w:rFonts w:hint="eastAsia" w:ascii="宋体" w:hAnsi="宋体"/>
                <w:color w:val="auto"/>
                <w:szCs w:val="24"/>
                <w:highlight w:val="none"/>
              </w:rPr>
              <w:t>维护高压氧治疗方案，供门诊和住院开立高压氧治疗申请时选择。</w:t>
            </w:r>
          </w:p>
          <w:p>
            <w:pPr>
              <w:pStyle w:val="130"/>
              <w:ind w:firstLine="0"/>
              <w:rPr>
                <w:rFonts w:ascii="宋体" w:hAnsi="宋体"/>
                <w:color w:val="auto"/>
                <w:szCs w:val="24"/>
                <w:highlight w:val="none"/>
              </w:rPr>
            </w:pPr>
            <w:r>
              <w:rPr>
                <w:rFonts w:hint="eastAsia" w:ascii="宋体" w:hAnsi="宋体"/>
                <w:b/>
                <w:color w:val="auto"/>
                <w:szCs w:val="24"/>
                <w:highlight w:val="none"/>
              </w:rPr>
              <w:t>氧舱舱位卡配置维护：支持</w:t>
            </w:r>
            <w:r>
              <w:rPr>
                <w:rFonts w:hint="eastAsia" w:ascii="宋体" w:hAnsi="宋体"/>
                <w:color w:val="auto"/>
                <w:szCs w:val="24"/>
                <w:highlight w:val="none"/>
              </w:rPr>
              <w:t>维护高压氧舱位卡片在不同状态是右键点击舱位卡弹出的菜单操作项。</w:t>
            </w:r>
          </w:p>
          <w:p>
            <w:pPr>
              <w:pStyle w:val="130"/>
              <w:ind w:firstLine="0"/>
              <w:rPr>
                <w:rFonts w:ascii="宋体" w:hAnsi="宋体"/>
                <w:b/>
                <w:color w:val="auto"/>
                <w:szCs w:val="24"/>
                <w:highlight w:val="none"/>
              </w:rPr>
            </w:pPr>
            <w:r>
              <w:rPr>
                <w:rFonts w:hint="eastAsia" w:ascii="宋体" w:hAnsi="宋体"/>
                <w:b/>
                <w:color w:val="auto"/>
                <w:szCs w:val="24"/>
                <w:highlight w:val="none"/>
              </w:rPr>
              <w:t>（2）氧舱工作站</w:t>
            </w:r>
            <w:r>
              <w:rPr>
                <w:rFonts w:hint="eastAsia" w:ascii="宋体" w:hAnsi="宋体"/>
                <w:b/>
                <w:color w:val="auto"/>
                <w:szCs w:val="24"/>
                <w:highlight w:val="none"/>
              </w:rPr>
              <w:tab/>
            </w:r>
          </w:p>
          <w:p>
            <w:pPr>
              <w:pStyle w:val="130"/>
              <w:ind w:firstLine="0"/>
              <w:rPr>
                <w:rFonts w:ascii="宋体" w:hAnsi="宋体"/>
                <w:color w:val="auto"/>
                <w:szCs w:val="24"/>
                <w:highlight w:val="none"/>
              </w:rPr>
            </w:pPr>
            <w:r>
              <w:rPr>
                <w:rFonts w:hint="eastAsia" w:ascii="宋体" w:hAnsi="宋体"/>
                <w:b/>
                <w:color w:val="auto"/>
                <w:szCs w:val="24"/>
                <w:highlight w:val="none"/>
              </w:rPr>
              <w:t>氧舱排班资源管理：支持</w:t>
            </w:r>
            <w:r>
              <w:rPr>
                <w:rFonts w:hint="eastAsia" w:ascii="宋体" w:hAnsi="宋体"/>
                <w:color w:val="auto"/>
                <w:szCs w:val="24"/>
                <w:highlight w:val="none"/>
              </w:rPr>
              <w:t>维护氧舱排班时段和对应的治疗方案。</w:t>
            </w:r>
          </w:p>
          <w:p>
            <w:pPr>
              <w:pStyle w:val="130"/>
              <w:ind w:firstLine="0"/>
              <w:rPr>
                <w:rFonts w:ascii="宋体" w:hAnsi="宋体"/>
                <w:color w:val="auto"/>
                <w:szCs w:val="24"/>
                <w:highlight w:val="none"/>
              </w:rPr>
            </w:pPr>
            <w:r>
              <w:rPr>
                <w:rFonts w:hint="eastAsia" w:ascii="宋体" w:hAnsi="宋体"/>
                <w:b/>
                <w:color w:val="auto"/>
                <w:szCs w:val="24"/>
                <w:highlight w:val="none"/>
              </w:rPr>
              <w:t>生成氧舱排班计划：支持</w:t>
            </w:r>
            <w:r>
              <w:rPr>
                <w:rFonts w:hint="eastAsia" w:ascii="宋体" w:hAnsi="宋体"/>
                <w:color w:val="auto"/>
                <w:szCs w:val="24"/>
                <w:highlight w:val="none"/>
              </w:rPr>
              <w:t>根据氧舱排班资源配置，生成氧舱排班计划。</w:t>
            </w:r>
          </w:p>
          <w:p>
            <w:pPr>
              <w:pStyle w:val="130"/>
              <w:ind w:firstLine="0"/>
              <w:rPr>
                <w:rFonts w:ascii="宋体" w:hAnsi="宋体"/>
                <w:color w:val="auto"/>
                <w:szCs w:val="24"/>
                <w:highlight w:val="none"/>
              </w:rPr>
            </w:pPr>
            <w:r>
              <w:rPr>
                <w:rFonts w:hint="eastAsia" w:ascii="宋体" w:hAnsi="宋体"/>
                <w:b/>
                <w:color w:val="auto"/>
                <w:szCs w:val="24"/>
                <w:highlight w:val="none"/>
              </w:rPr>
              <w:t>高压氧治疗预约：支持</w:t>
            </w:r>
            <w:r>
              <w:rPr>
                <w:rFonts w:hint="eastAsia" w:ascii="宋体" w:hAnsi="宋体"/>
                <w:color w:val="auto"/>
                <w:szCs w:val="24"/>
                <w:highlight w:val="none"/>
              </w:rPr>
              <w:t>患者持高压氧治疗申请单，到氧舱操作员出进行治疗预约。</w:t>
            </w:r>
          </w:p>
          <w:p>
            <w:pPr>
              <w:pStyle w:val="130"/>
              <w:ind w:firstLine="0"/>
              <w:rPr>
                <w:rFonts w:ascii="宋体" w:hAnsi="宋体"/>
                <w:color w:val="auto"/>
                <w:szCs w:val="24"/>
                <w:highlight w:val="none"/>
              </w:rPr>
            </w:pPr>
            <w:r>
              <w:rPr>
                <w:rFonts w:hint="eastAsia" w:ascii="宋体" w:hAnsi="宋体"/>
                <w:b/>
                <w:color w:val="auto"/>
                <w:szCs w:val="24"/>
                <w:highlight w:val="none"/>
              </w:rPr>
              <w:t>医技补费：支持</w:t>
            </w:r>
            <w:r>
              <w:rPr>
                <w:rFonts w:hint="eastAsia" w:ascii="宋体" w:hAnsi="宋体"/>
                <w:color w:val="auto"/>
                <w:szCs w:val="24"/>
                <w:highlight w:val="none"/>
              </w:rPr>
              <w:t>治疗过程中补费。</w:t>
            </w:r>
          </w:p>
          <w:p>
            <w:pPr>
              <w:pStyle w:val="130"/>
              <w:ind w:firstLine="0"/>
              <w:rPr>
                <w:rFonts w:ascii="宋体" w:hAnsi="宋体"/>
                <w:color w:val="auto"/>
                <w:szCs w:val="24"/>
                <w:highlight w:val="none"/>
              </w:rPr>
            </w:pPr>
            <w:r>
              <w:rPr>
                <w:rFonts w:hint="eastAsia" w:ascii="宋体" w:hAnsi="宋体"/>
                <w:b/>
                <w:color w:val="auto"/>
                <w:szCs w:val="24"/>
                <w:highlight w:val="none"/>
              </w:rPr>
              <w:t>医技退费：支持</w:t>
            </w:r>
            <w:r>
              <w:rPr>
                <w:rFonts w:hint="eastAsia" w:ascii="宋体" w:hAnsi="宋体"/>
                <w:color w:val="auto"/>
                <w:szCs w:val="24"/>
                <w:highlight w:val="none"/>
              </w:rPr>
              <w:t>患者退费处理。</w:t>
            </w:r>
          </w:p>
          <w:p>
            <w:pPr>
              <w:pStyle w:val="130"/>
              <w:ind w:firstLine="0"/>
              <w:rPr>
                <w:rFonts w:ascii="宋体" w:hAnsi="宋体"/>
                <w:color w:val="auto"/>
                <w:szCs w:val="24"/>
                <w:highlight w:val="none"/>
              </w:rPr>
            </w:pPr>
            <w:r>
              <w:rPr>
                <w:rFonts w:hint="eastAsia" w:ascii="宋体" w:hAnsi="宋体"/>
                <w:b/>
                <w:color w:val="auto"/>
                <w:szCs w:val="24"/>
                <w:highlight w:val="none"/>
              </w:rPr>
              <w:t>高压氧治疗执行：支持</w:t>
            </w:r>
            <w:r>
              <w:rPr>
                <w:rFonts w:hint="eastAsia" w:ascii="宋体" w:hAnsi="宋体"/>
                <w:color w:val="auto"/>
                <w:szCs w:val="24"/>
                <w:highlight w:val="none"/>
              </w:rPr>
              <w:t>患者来院进行治疗登记后，进入氧舱进行治疗，记录入舱、出舱时间、氧舱压力、氧气浓度等治疗信息。</w:t>
            </w:r>
          </w:p>
          <w:p>
            <w:pPr>
              <w:pStyle w:val="130"/>
              <w:ind w:firstLine="0"/>
              <w:rPr>
                <w:rFonts w:ascii="宋体" w:hAnsi="宋体"/>
                <w:b/>
                <w:color w:val="auto"/>
                <w:szCs w:val="24"/>
                <w:highlight w:val="none"/>
              </w:rPr>
            </w:pPr>
            <w:r>
              <w:rPr>
                <w:rFonts w:hint="eastAsia" w:ascii="宋体" w:hAnsi="宋体"/>
                <w:b/>
                <w:color w:val="auto"/>
                <w:szCs w:val="24"/>
                <w:highlight w:val="none"/>
              </w:rPr>
              <w:t>（3）查询统计</w:t>
            </w:r>
            <w:r>
              <w:rPr>
                <w:rFonts w:hint="eastAsia" w:ascii="宋体" w:hAnsi="宋体"/>
                <w:b/>
                <w:color w:val="auto"/>
                <w:szCs w:val="24"/>
                <w:highlight w:val="none"/>
              </w:rPr>
              <w:tab/>
            </w:r>
          </w:p>
          <w:p>
            <w:pPr>
              <w:pStyle w:val="130"/>
              <w:ind w:firstLine="0"/>
              <w:rPr>
                <w:rFonts w:ascii="宋体" w:hAnsi="宋体"/>
                <w:color w:val="auto"/>
                <w:szCs w:val="24"/>
                <w:highlight w:val="none"/>
              </w:rPr>
            </w:pPr>
            <w:r>
              <w:rPr>
                <w:rFonts w:hint="eastAsia" w:ascii="宋体" w:hAnsi="宋体"/>
                <w:b/>
                <w:color w:val="auto"/>
                <w:szCs w:val="24"/>
                <w:highlight w:val="none"/>
              </w:rPr>
              <w:t>申请记录查询：支持</w:t>
            </w:r>
            <w:r>
              <w:rPr>
                <w:rFonts w:hint="eastAsia" w:ascii="宋体" w:hAnsi="宋体"/>
                <w:color w:val="auto"/>
                <w:szCs w:val="24"/>
                <w:highlight w:val="none"/>
              </w:rPr>
              <w:t>查询高压氧申请记录。</w:t>
            </w:r>
          </w:p>
          <w:p>
            <w:pPr>
              <w:pStyle w:val="130"/>
              <w:ind w:firstLine="0"/>
              <w:rPr>
                <w:rFonts w:ascii="宋体" w:hAnsi="宋体"/>
                <w:color w:val="auto"/>
                <w:szCs w:val="24"/>
                <w:highlight w:val="none"/>
              </w:rPr>
            </w:pPr>
            <w:r>
              <w:rPr>
                <w:rFonts w:hint="eastAsia" w:ascii="宋体" w:hAnsi="宋体"/>
                <w:b/>
                <w:color w:val="auto"/>
                <w:szCs w:val="24"/>
                <w:highlight w:val="none"/>
              </w:rPr>
              <w:t>病种患者统计：支持</w:t>
            </w:r>
            <w:r>
              <w:rPr>
                <w:rFonts w:hint="eastAsia" w:ascii="宋体" w:hAnsi="宋体"/>
                <w:color w:val="auto"/>
                <w:szCs w:val="24"/>
                <w:highlight w:val="none"/>
              </w:rPr>
              <w:t>根据高压氧病种分类统计治疗患者信息。</w:t>
            </w:r>
          </w:p>
          <w:p>
            <w:pPr>
              <w:pStyle w:val="201"/>
              <w:spacing w:before="0" w:line="360" w:lineRule="auto"/>
              <w:ind w:left="0" w:right="105" w:rightChars="50" w:firstLine="482"/>
              <w:rPr>
                <w:rFonts w:ascii="宋体" w:hAnsi="宋体" w:eastAsia="宋体"/>
                <w:color w:val="auto"/>
                <w:spacing w:val="-1"/>
                <w:sz w:val="24"/>
                <w:highlight w:val="none"/>
                <w:lang w:val="zh-CN" w:eastAsia="zh-CN" w:bidi="zh-CN"/>
              </w:rPr>
            </w:pPr>
            <w:r>
              <w:rPr>
                <w:rFonts w:hint="eastAsia" w:ascii="宋体" w:hAnsi="宋体" w:eastAsia="宋体"/>
                <w:b/>
                <w:color w:val="auto"/>
                <w:sz w:val="24"/>
                <w:highlight w:val="none"/>
                <w:lang w:eastAsia="zh-CN"/>
              </w:rPr>
              <w:t>治疗师工作量统计：</w:t>
            </w:r>
            <w:r>
              <w:rPr>
                <w:rFonts w:hint="eastAsia" w:ascii="宋体" w:hAnsi="宋体" w:eastAsia="宋体" w:cs="Times New Roman"/>
                <w:b/>
                <w:color w:val="auto"/>
                <w:kern w:val="0"/>
                <w:sz w:val="24"/>
                <w:highlight w:val="none"/>
                <w:lang w:eastAsia="zh-CN"/>
              </w:rPr>
              <w:t>支持</w:t>
            </w:r>
            <w:r>
              <w:rPr>
                <w:rFonts w:hint="eastAsia" w:ascii="宋体" w:hAnsi="宋体" w:eastAsia="宋体"/>
                <w:color w:val="auto"/>
                <w:sz w:val="24"/>
                <w:highlight w:val="none"/>
                <w:lang w:eastAsia="zh-CN"/>
              </w:rPr>
              <w:t>根据高压氧治疗舱情况统计治疗师的工作量</w:t>
            </w:r>
          </w:p>
        </w:tc>
      </w:tr>
    </w:tbl>
    <w:p>
      <w:pPr>
        <w:spacing w:line="360" w:lineRule="auto"/>
        <w:ind w:firstLine="480" w:firstLineChars="200"/>
        <w:rPr>
          <w:rFonts w:ascii="宋体" w:hAnsi="宋体"/>
          <w:color w:val="auto"/>
          <w:sz w:val="24"/>
          <w:highlight w:val="none"/>
        </w:rPr>
      </w:pPr>
    </w:p>
    <w:p>
      <w:pPr>
        <w:pStyle w:val="6"/>
        <w:numPr>
          <w:ilvl w:val="3"/>
          <w:numId w:val="8"/>
        </w:numPr>
        <w:spacing w:before="280" w:after="290" w:line="376" w:lineRule="auto"/>
        <w:rPr>
          <w:rFonts w:ascii="宋体" w:hAnsi="宋体"/>
          <w:color w:val="auto"/>
          <w:szCs w:val="24"/>
          <w:highlight w:val="none"/>
        </w:rPr>
      </w:pPr>
      <w:bookmarkStart w:id="616" w:name="_Toc16074"/>
      <w:r>
        <w:rPr>
          <w:rFonts w:hint="eastAsia" w:ascii="宋体" w:hAnsi="宋体"/>
          <w:color w:val="auto"/>
          <w:szCs w:val="24"/>
          <w:highlight w:val="none"/>
        </w:rPr>
        <w:t>一般治疗系统</w:t>
      </w:r>
      <w:bookmarkEnd w:id="616"/>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支持日常临床业务工作的信息需求，将治疗操作中纸质治疗记录，通过信息系统来完成电子化记录，并能够与医院其他业务系统进行数据交换，实现数据共享，建设集治疗申请、治疗评估、治疗安排、治疗预约、治疗执行、治疗记录为一体的治疗管理服务平台。</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trPr>
        <w:tc>
          <w:tcPr>
            <w:tcW w:w="1980"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7097"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4" w:hRule="atLeast"/>
        </w:trPr>
        <w:tc>
          <w:tcPr>
            <w:tcW w:w="1980" w:type="dxa"/>
            <w:vAlign w:val="center"/>
          </w:tcPr>
          <w:p>
            <w:pPr>
              <w:spacing w:line="360" w:lineRule="auto"/>
              <w:ind w:left="8" w:right="33"/>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一般治疗系统</w:t>
            </w:r>
          </w:p>
        </w:tc>
        <w:tc>
          <w:tcPr>
            <w:tcW w:w="7097" w:type="dxa"/>
            <w:vAlign w:val="center"/>
          </w:tcPr>
          <w:p>
            <w:pPr>
              <w:pStyle w:val="130"/>
              <w:ind w:firstLine="0"/>
              <w:rPr>
                <w:rFonts w:ascii="宋体" w:hAnsi="宋体"/>
                <w:b/>
                <w:color w:val="auto"/>
                <w:szCs w:val="24"/>
                <w:highlight w:val="none"/>
              </w:rPr>
            </w:pPr>
            <w:r>
              <w:rPr>
                <w:rFonts w:hint="eastAsia" w:ascii="宋体" w:hAnsi="宋体"/>
                <w:b/>
                <w:color w:val="auto"/>
                <w:szCs w:val="24"/>
                <w:highlight w:val="none"/>
              </w:rPr>
              <w:t>（1）基础数据管理</w:t>
            </w:r>
          </w:p>
          <w:p>
            <w:pPr>
              <w:pStyle w:val="130"/>
              <w:ind w:firstLine="0"/>
              <w:rPr>
                <w:rFonts w:ascii="宋体" w:hAnsi="宋体"/>
                <w:color w:val="auto"/>
                <w:szCs w:val="24"/>
                <w:highlight w:val="none"/>
              </w:rPr>
            </w:pPr>
            <w:r>
              <w:rPr>
                <w:rFonts w:hint="eastAsia" w:ascii="宋体" w:hAnsi="宋体"/>
                <w:b/>
                <w:color w:val="auto"/>
                <w:szCs w:val="24"/>
                <w:highlight w:val="none"/>
              </w:rPr>
              <w:t>治疗设备定义：</w:t>
            </w:r>
            <w:r>
              <w:rPr>
                <w:rFonts w:hint="eastAsia" w:ascii="宋体" w:hAnsi="宋体"/>
                <w:color w:val="auto"/>
                <w:szCs w:val="24"/>
                <w:highlight w:val="none"/>
              </w:rPr>
              <w:t>支持为执行科室配置治疗设备。</w:t>
            </w:r>
          </w:p>
          <w:p>
            <w:pPr>
              <w:pStyle w:val="130"/>
              <w:ind w:firstLine="0"/>
              <w:rPr>
                <w:rFonts w:ascii="宋体" w:hAnsi="宋体"/>
                <w:b/>
                <w:color w:val="auto"/>
                <w:szCs w:val="24"/>
                <w:highlight w:val="none"/>
              </w:rPr>
            </w:pPr>
            <w:r>
              <w:rPr>
                <w:rFonts w:hint="eastAsia" w:ascii="宋体" w:hAnsi="宋体"/>
                <w:b/>
                <w:color w:val="auto"/>
                <w:szCs w:val="24"/>
                <w:highlight w:val="none"/>
              </w:rPr>
              <w:t>治疗分区定义：</w:t>
            </w:r>
          </w:p>
          <w:p>
            <w:pPr>
              <w:pStyle w:val="130"/>
              <w:ind w:firstLine="0"/>
              <w:rPr>
                <w:rFonts w:ascii="宋体" w:hAnsi="宋体"/>
                <w:color w:val="auto"/>
                <w:szCs w:val="24"/>
                <w:highlight w:val="none"/>
              </w:rPr>
            </w:pPr>
            <w:r>
              <w:rPr>
                <w:rFonts w:hint="eastAsia" w:ascii="宋体" w:hAnsi="宋体"/>
                <w:color w:val="auto"/>
                <w:szCs w:val="24"/>
                <w:highlight w:val="none"/>
              </w:rPr>
              <w:t>1、支持治疗室包括多个治疗分去，在此功能配置治疗室下的多个分区。</w:t>
            </w:r>
          </w:p>
          <w:p>
            <w:pPr>
              <w:pStyle w:val="130"/>
              <w:ind w:firstLine="0"/>
              <w:rPr>
                <w:rFonts w:ascii="宋体" w:hAnsi="宋体"/>
                <w:color w:val="auto"/>
                <w:szCs w:val="24"/>
                <w:highlight w:val="none"/>
              </w:rPr>
            </w:pPr>
            <w:r>
              <w:rPr>
                <w:rFonts w:hint="eastAsia" w:ascii="宋体" w:hAnsi="宋体"/>
                <w:color w:val="auto"/>
                <w:szCs w:val="24"/>
                <w:highlight w:val="none"/>
              </w:rPr>
              <w:t>2、支持设置治疗分区下的治疗师。</w:t>
            </w:r>
          </w:p>
          <w:p>
            <w:pPr>
              <w:pStyle w:val="130"/>
              <w:ind w:firstLine="0"/>
              <w:rPr>
                <w:rFonts w:ascii="宋体" w:hAnsi="宋体"/>
                <w:color w:val="auto"/>
                <w:szCs w:val="24"/>
                <w:highlight w:val="none"/>
              </w:rPr>
            </w:pPr>
            <w:r>
              <w:rPr>
                <w:rFonts w:hint="eastAsia" w:ascii="宋体" w:hAnsi="宋体"/>
                <w:color w:val="auto"/>
                <w:szCs w:val="24"/>
                <w:highlight w:val="none"/>
              </w:rPr>
              <w:t>3、支持设置治疗分区下的治疗设备。</w:t>
            </w:r>
          </w:p>
          <w:p>
            <w:pPr>
              <w:pStyle w:val="130"/>
              <w:ind w:firstLine="0"/>
              <w:rPr>
                <w:rFonts w:ascii="宋体" w:hAnsi="宋体"/>
                <w:color w:val="auto"/>
                <w:szCs w:val="24"/>
                <w:highlight w:val="none"/>
              </w:rPr>
            </w:pPr>
            <w:r>
              <w:rPr>
                <w:rFonts w:hint="eastAsia" w:ascii="宋体" w:hAnsi="宋体"/>
                <w:color w:val="auto"/>
                <w:szCs w:val="24"/>
                <w:highlight w:val="none"/>
              </w:rPr>
              <w:t>4、支持设置治疗分区下可进行的治疗项目。</w:t>
            </w:r>
          </w:p>
          <w:p>
            <w:pPr>
              <w:pStyle w:val="130"/>
              <w:ind w:firstLine="0"/>
              <w:rPr>
                <w:rFonts w:ascii="宋体" w:hAnsi="宋体"/>
                <w:color w:val="auto"/>
                <w:szCs w:val="24"/>
                <w:highlight w:val="none"/>
              </w:rPr>
            </w:pPr>
            <w:r>
              <w:rPr>
                <w:rFonts w:hint="eastAsia" w:ascii="宋体" w:hAnsi="宋体"/>
                <w:b/>
                <w:color w:val="auto"/>
                <w:szCs w:val="24"/>
                <w:highlight w:val="none"/>
              </w:rPr>
              <w:t>治疗室定义：</w:t>
            </w:r>
            <w:r>
              <w:rPr>
                <w:rFonts w:hint="eastAsia" w:ascii="宋体" w:hAnsi="宋体"/>
                <w:color w:val="auto"/>
                <w:szCs w:val="24"/>
                <w:highlight w:val="none"/>
              </w:rPr>
              <w:t>支持设置部门下包含的治疗室。</w:t>
            </w:r>
          </w:p>
          <w:p>
            <w:pPr>
              <w:pStyle w:val="130"/>
              <w:ind w:firstLine="0"/>
              <w:rPr>
                <w:rFonts w:ascii="宋体" w:hAnsi="宋体"/>
                <w:color w:val="auto"/>
                <w:szCs w:val="24"/>
                <w:highlight w:val="none"/>
              </w:rPr>
            </w:pPr>
            <w:r>
              <w:rPr>
                <w:rFonts w:hint="eastAsia" w:ascii="宋体" w:hAnsi="宋体"/>
                <w:b/>
                <w:color w:val="auto"/>
                <w:szCs w:val="24"/>
                <w:highlight w:val="none"/>
              </w:rPr>
              <w:t>治疗标记定义：</w:t>
            </w:r>
            <w:r>
              <w:rPr>
                <w:rFonts w:hint="eastAsia" w:ascii="宋体" w:hAnsi="宋体"/>
                <w:color w:val="auto"/>
                <w:szCs w:val="24"/>
                <w:highlight w:val="none"/>
              </w:rPr>
              <w:t>支持设置可用的治疗标志，如请假患者，患者脾气暴躁等。</w:t>
            </w:r>
          </w:p>
          <w:p>
            <w:pPr>
              <w:pStyle w:val="130"/>
              <w:ind w:firstLine="0"/>
              <w:rPr>
                <w:rFonts w:ascii="宋体" w:hAnsi="宋体"/>
                <w:color w:val="auto"/>
                <w:szCs w:val="24"/>
                <w:highlight w:val="none"/>
              </w:rPr>
            </w:pPr>
            <w:r>
              <w:rPr>
                <w:rFonts w:hint="eastAsia" w:ascii="宋体" w:hAnsi="宋体"/>
                <w:b/>
                <w:color w:val="auto"/>
                <w:szCs w:val="24"/>
                <w:highlight w:val="none"/>
              </w:rPr>
              <w:t>治疗服务分类：</w:t>
            </w:r>
            <w:r>
              <w:rPr>
                <w:rFonts w:hint="eastAsia" w:ascii="宋体" w:hAnsi="宋体"/>
                <w:color w:val="auto"/>
                <w:szCs w:val="24"/>
                <w:highlight w:val="none"/>
              </w:rPr>
              <w:t>支持定义系统的哪些项目分类是治疗服务分类。</w:t>
            </w:r>
          </w:p>
          <w:p>
            <w:pPr>
              <w:pStyle w:val="130"/>
              <w:ind w:firstLine="0"/>
              <w:rPr>
                <w:rFonts w:ascii="宋体" w:hAnsi="宋体"/>
                <w:color w:val="auto"/>
                <w:szCs w:val="24"/>
                <w:highlight w:val="none"/>
              </w:rPr>
            </w:pPr>
            <w:r>
              <w:rPr>
                <w:rFonts w:hint="eastAsia" w:ascii="宋体" w:hAnsi="宋体"/>
                <w:b/>
                <w:color w:val="auto"/>
                <w:szCs w:val="24"/>
                <w:highlight w:val="none"/>
              </w:rPr>
              <w:t>治疗问题定义：</w:t>
            </w:r>
            <w:r>
              <w:rPr>
                <w:rFonts w:hint="eastAsia" w:ascii="宋体" w:hAnsi="宋体"/>
                <w:color w:val="auto"/>
                <w:szCs w:val="24"/>
                <w:highlight w:val="none"/>
              </w:rPr>
              <w:t>支持定义治疗中可能出现的问题的字典数据。</w:t>
            </w:r>
          </w:p>
          <w:p>
            <w:pPr>
              <w:pStyle w:val="130"/>
              <w:ind w:firstLine="0"/>
              <w:rPr>
                <w:rFonts w:ascii="宋体" w:hAnsi="宋体"/>
                <w:color w:val="auto"/>
                <w:szCs w:val="24"/>
                <w:highlight w:val="none"/>
              </w:rPr>
            </w:pPr>
            <w:r>
              <w:rPr>
                <w:rFonts w:hint="eastAsia" w:ascii="宋体" w:hAnsi="宋体"/>
                <w:b/>
                <w:color w:val="auto"/>
                <w:szCs w:val="24"/>
                <w:highlight w:val="none"/>
              </w:rPr>
              <w:t>治疗目的定义：</w:t>
            </w:r>
            <w:r>
              <w:rPr>
                <w:rFonts w:hint="eastAsia" w:ascii="宋体" w:hAnsi="宋体"/>
                <w:color w:val="auto"/>
                <w:szCs w:val="24"/>
                <w:highlight w:val="none"/>
              </w:rPr>
              <w:t>支持定义治疗的治疗目的字典数据。</w:t>
            </w:r>
          </w:p>
          <w:p>
            <w:pPr>
              <w:pStyle w:val="130"/>
              <w:ind w:firstLine="0"/>
              <w:rPr>
                <w:rFonts w:ascii="宋体" w:hAnsi="宋体"/>
                <w:color w:val="auto"/>
                <w:szCs w:val="24"/>
                <w:highlight w:val="none"/>
              </w:rPr>
            </w:pPr>
            <w:r>
              <w:rPr>
                <w:rFonts w:hint="eastAsia" w:ascii="宋体" w:hAnsi="宋体"/>
                <w:b/>
                <w:color w:val="auto"/>
                <w:szCs w:val="24"/>
                <w:highlight w:val="none"/>
              </w:rPr>
              <w:t>治疗科室管理：</w:t>
            </w:r>
            <w:r>
              <w:rPr>
                <w:rFonts w:hint="eastAsia" w:ascii="宋体" w:hAnsi="宋体"/>
                <w:color w:val="auto"/>
                <w:szCs w:val="24"/>
                <w:highlight w:val="none"/>
              </w:rPr>
              <w:t>支持定义系统中的哪些科室是治疗科室，并补充相关信息。</w:t>
            </w:r>
          </w:p>
          <w:p>
            <w:pPr>
              <w:pStyle w:val="130"/>
              <w:ind w:firstLine="0"/>
              <w:rPr>
                <w:rFonts w:ascii="宋体" w:hAnsi="宋体"/>
                <w:color w:val="auto"/>
                <w:szCs w:val="24"/>
                <w:highlight w:val="none"/>
              </w:rPr>
            </w:pPr>
            <w:r>
              <w:rPr>
                <w:rFonts w:hint="eastAsia" w:ascii="宋体" w:hAnsi="宋体"/>
                <w:b/>
                <w:color w:val="auto"/>
                <w:szCs w:val="24"/>
                <w:highlight w:val="none"/>
              </w:rPr>
              <w:t>治疗科室人员：</w:t>
            </w:r>
            <w:r>
              <w:rPr>
                <w:rFonts w:hint="eastAsia" w:ascii="宋体" w:hAnsi="宋体"/>
                <w:color w:val="auto"/>
                <w:szCs w:val="24"/>
                <w:highlight w:val="none"/>
              </w:rPr>
              <w:t>支持定义治疗科室包括哪些人员。</w:t>
            </w:r>
          </w:p>
          <w:p>
            <w:pPr>
              <w:pStyle w:val="130"/>
              <w:ind w:firstLine="0"/>
              <w:rPr>
                <w:rFonts w:ascii="宋体" w:hAnsi="宋体"/>
                <w:b/>
                <w:color w:val="auto"/>
                <w:szCs w:val="24"/>
                <w:highlight w:val="none"/>
              </w:rPr>
            </w:pPr>
            <w:r>
              <w:rPr>
                <w:rFonts w:hint="eastAsia" w:ascii="宋体" w:hAnsi="宋体"/>
                <w:b/>
                <w:color w:val="auto"/>
                <w:szCs w:val="24"/>
                <w:highlight w:val="none"/>
              </w:rPr>
              <w:t>（2）治疗医生站</w:t>
            </w:r>
            <w:r>
              <w:rPr>
                <w:rFonts w:hint="eastAsia" w:ascii="宋体" w:hAnsi="宋体"/>
                <w:b/>
                <w:color w:val="auto"/>
                <w:szCs w:val="24"/>
                <w:highlight w:val="none"/>
              </w:rPr>
              <w:tab/>
            </w:r>
          </w:p>
          <w:p>
            <w:pPr>
              <w:pStyle w:val="130"/>
              <w:ind w:firstLine="0"/>
              <w:rPr>
                <w:rFonts w:ascii="宋体" w:hAnsi="宋体"/>
                <w:b/>
                <w:color w:val="auto"/>
                <w:szCs w:val="24"/>
                <w:highlight w:val="none"/>
              </w:rPr>
            </w:pPr>
            <w:r>
              <w:rPr>
                <w:rFonts w:hint="eastAsia" w:ascii="宋体" w:hAnsi="宋体"/>
                <w:b/>
                <w:color w:val="auto"/>
                <w:szCs w:val="24"/>
                <w:highlight w:val="none"/>
              </w:rPr>
              <w:t>治疗执行：</w:t>
            </w:r>
          </w:p>
          <w:p>
            <w:pPr>
              <w:pStyle w:val="130"/>
              <w:ind w:firstLine="0"/>
              <w:rPr>
                <w:rFonts w:ascii="宋体" w:hAnsi="宋体"/>
                <w:color w:val="auto"/>
                <w:szCs w:val="24"/>
                <w:highlight w:val="none"/>
              </w:rPr>
            </w:pPr>
            <w:r>
              <w:rPr>
                <w:rFonts w:hint="eastAsia" w:ascii="宋体" w:hAnsi="宋体"/>
                <w:color w:val="auto"/>
                <w:szCs w:val="24"/>
                <w:highlight w:val="none"/>
              </w:rPr>
              <w:t>1、支持按门诊、住院分类查询指定日期的治疗患者。</w:t>
            </w:r>
          </w:p>
          <w:p>
            <w:pPr>
              <w:pStyle w:val="130"/>
              <w:ind w:firstLine="0"/>
              <w:rPr>
                <w:rFonts w:ascii="宋体" w:hAnsi="宋体"/>
                <w:color w:val="auto"/>
                <w:szCs w:val="24"/>
                <w:highlight w:val="none"/>
              </w:rPr>
            </w:pPr>
            <w:r>
              <w:rPr>
                <w:rFonts w:hint="eastAsia" w:ascii="宋体" w:hAnsi="宋体"/>
                <w:color w:val="auto"/>
                <w:szCs w:val="24"/>
                <w:highlight w:val="none"/>
              </w:rPr>
              <w:t>2、支持查看治疗详情。</w:t>
            </w:r>
          </w:p>
          <w:p>
            <w:pPr>
              <w:pStyle w:val="130"/>
              <w:ind w:firstLine="0"/>
              <w:rPr>
                <w:rFonts w:ascii="宋体" w:hAnsi="宋体"/>
                <w:color w:val="auto"/>
                <w:szCs w:val="24"/>
                <w:highlight w:val="none"/>
              </w:rPr>
            </w:pPr>
            <w:r>
              <w:rPr>
                <w:rFonts w:hint="eastAsia" w:ascii="宋体" w:hAnsi="宋体"/>
                <w:color w:val="auto"/>
                <w:szCs w:val="24"/>
                <w:highlight w:val="none"/>
              </w:rPr>
              <w:t>3、支持查看检验、检查报告。</w:t>
            </w:r>
          </w:p>
          <w:p>
            <w:pPr>
              <w:pStyle w:val="130"/>
              <w:ind w:firstLine="0"/>
              <w:rPr>
                <w:rFonts w:ascii="宋体" w:hAnsi="宋体"/>
                <w:b/>
                <w:color w:val="auto"/>
                <w:szCs w:val="24"/>
                <w:highlight w:val="none"/>
              </w:rPr>
            </w:pPr>
            <w:r>
              <w:rPr>
                <w:rFonts w:hint="eastAsia" w:ascii="宋体" w:hAnsi="宋体"/>
                <w:b/>
                <w:color w:val="auto"/>
                <w:szCs w:val="24"/>
                <w:highlight w:val="none"/>
              </w:rPr>
              <w:t>治疗宣教：</w:t>
            </w:r>
          </w:p>
          <w:p>
            <w:pPr>
              <w:pStyle w:val="130"/>
              <w:ind w:firstLine="0"/>
              <w:rPr>
                <w:rFonts w:ascii="宋体" w:hAnsi="宋体"/>
                <w:color w:val="auto"/>
                <w:szCs w:val="24"/>
                <w:highlight w:val="none"/>
              </w:rPr>
            </w:pPr>
            <w:r>
              <w:rPr>
                <w:rFonts w:hint="eastAsia" w:ascii="宋体" w:hAnsi="宋体"/>
                <w:color w:val="auto"/>
                <w:szCs w:val="24"/>
                <w:highlight w:val="none"/>
              </w:rPr>
              <w:t>1、支持处理患者知情同意书等医疗文书。</w:t>
            </w:r>
          </w:p>
          <w:p>
            <w:pPr>
              <w:pStyle w:val="130"/>
              <w:ind w:firstLine="0"/>
              <w:rPr>
                <w:rFonts w:ascii="宋体" w:hAnsi="宋体"/>
                <w:color w:val="auto"/>
                <w:szCs w:val="24"/>
                <w:highlight w:val="none"/>
              </w:rPr>
            </w:pPr>
            <w:r>
              <w:rPr>
                <w:rFonts w:hint="eastAsia" w:ascii="宋体" w:hAnsi="宋体"/>
                <w:color w:val="auto"/>
                <w:szCs w:val="24"/>
                <w:highlight w:val="none"/>
              </w:rPr>
              <w:t>2、支持批量宣教。</w:t>
            </w:r>
          </w:p>
          <w:p>
            <w:pPr>
              <w:pStyle w:val="130"/>
              <w:ind w:firstLine="0"/>
              <w:rPr>
                <w:rFonts w:ascii="宋体" w:hAnsi="宋体"/>
                <w:color w:val="auto"/>
                <w:szCs w:val="24"/>
                <w:highlight w:val="none"/>
              </w:rPr>
            </w:pPr>
            <w:r>
              <w:rPr>
                <w:rFonts w:hint="eastAsia" w:ascii="宋体" w:hAnsi="宋体"/>
                <w:b/>
                <w:color w:val="auto"/>
                <w:szCs w:val="24"/>
                <w:highlight w:val="none"/>
              </w:rPr>
              <w:t>治疗登记：</w:t>
            </w:r>
            <w:r>
              <w:rPr>
                <w:rFonts w:hint="eastAsia" w:ascii="宋体" w:hAnsi="宋体"/>
                <w:color w:val="auto"/>
                <w:szCs w:val="24"/>
                <w:highlight w:val="none"/>
              </w:rPr>
              <w:t>支持患者在治疗日期来院治疗，由相关人员进行登记、分配治疗区、治疗医生、治疗设备等。</w:t>
            </w:r>
          </w:p>
          <w:p>
            <w:pPr>
              <w:pStyle w:val="130"/>
              <w:ind w:firstLine="0"/>
              <w:rPr>
                <w:rFonts w:ascii="宋体" w:hAnsi="宋体"/>
                <w:color w:val="auto"/>
                <w:szCs w:val="24"/>
                <w:highlight w:val="none"/>
              </w:rPr>
            </w:pPr>
            <w:r>
              <w:rPr>
                <w:rFonts w:hint="eastAsia" w:ascii="宋体" w:hAnsi="宋体"/>
                <w:b/>
                <w:color w:val="auto"/>
                <w:szCs w:val="24"/>
                <w:highlight w:val="none"/>
              </w:rPr>
              <w:t>治疗文书：</w:t>
            </w:r>
            <w:r>
              <w:rPr>
                <w:rFonts w:hint="eastAsia" w:ascii="宋体" w:hAnsi="宋体"/>
                <w:color w:val="auto"/>
                <w:szCs w:val="24"/>
                <w:highlight w:val="none"/>
              </w:rPr>
              <w:t>支持记录患者在治疗过程中发生的情况，可由医院自行定义文书的种类、文书模板内容。</w:t>
            </w:r>
          </w:p>
          <w:p>
            <w:pPr>
              <w:pStyle w:val="130"/>
              <w:ind w:firstLine="0"/>
              <w:rPr>
                <w:rFonts w:ascii="宋体" w:hAnsi="宋体"/>
                <w:color w:val="auto"/>
                <w:szCs w:val="24"/>
                <w:highlight w:val="none"/>
              </w:rPr>
            </w:pPr>
            <w:r>
              <w:rPr>
                <w:rFonts w:hint="eastAsia" w:ascii="宋体" w:hAnsi="宋体"/>
                <w:b/>
                <w:color w:val="auto"/>
                <w:szCs w:val="24"/>
                <w:highlight w:val="none"/>
              </w:rPr>
              <w:t>治疗评价：</w:t>
            </w:r>
            <w:r>
              <w:rPr>
                <w:rFonts w:hint="eastAsia" w:ascii="宋体" w:hAnsi="宋体"/>
                <w:color w:val="auto"/>
                <w:szCs w:val="24"/>
                <w:highlight w:val="none"/>
              </w:rPr>
              <w:t>支持对治疗过程、治疗结果进行总结说明。</w:t>
            </w:r>
          </w:p>
          <w:p>
            <w:pPr>
              <w:pStyle w:val="130"/>
              <w:ind w:firstLine="0"/>
              <w:rPr>
                <w:rFonts w:ascii="宋体" w:hAnsi="宋体"/>
                <w:color w:val="auto"/>
                <w:szCs w:val="24"/>
                <w:highlight w:val="none"/>
              </w:rPr>
            </w:pPr>
            <w:r>
              <w:rPr>
                <w:rFonts w:hint="eastAsia" w:ascii="宋体" w:hAnsi="宋体"/>
                <w:b/>
                <w:color w:val="auto"/>
                <w:szCs w:val="24"/>
                <w:highlight w:val="none"/>
              </w:rPr>
              <w:t>医技补费：</w:t>
            </w:r>
            <w:r>
              <w:rPr>
                <w:rFonts w:hint="eastAsia" w:ascii="宋体" w:hAnsi="宋体"/>
                <w:color w:val="auto"/>
                <w:szCs w:val="24"/>
                <w:highlight w:val="none"/>
              </w:rPr>
              <w:t>支持治疗过程中补费。</w:t>
            </w:r>
          </w:p>
          <w:p>
            <w:pPr>
              <w:pStyle w:val="130"/>
              <w:ind w:firstLine="0"/>
              <w:rPr>
                <w:rFonts w:ascii="宋体" w:hAnsi="宋体"/>
                <w:color w:val="auto"/>
                <w:szCs w:val="24"/>
                <w:highlight w:val="none"/>
              </w:rPr>
            </w:pPr>
            <w:r>
              <w:rPr>
                <w:rFonts w:hint="eastAsia" w:ascii="宋体" w:hAnsi="宋体"/>
                <w:b/>
                <w:color w:val="auto"/>
                <w:szCs w:val="24"/>
                <w:highlight w:val="none"/>
              </w:rPr>
              <w:t>医技退费：</w:t>
            </w:r>
            <w:r>
              <w:rPr>
                <w:rFonts w:hint="eastAsia" w:ascii="宋体" w:hAnsi="宋体"/>
                <w:color w:val="auto"/>
                <w:szCs w:val="24"/>
                <w:highlight w:val="none"/>
              </w:rPr>
              <w:t>支持患者退费处理。</w:t>
            </w:r>
          </w:p>
          <w:p>
            <w:pPr>
              <w:pStyle w:val="130"/>
              <w:ind w:firstLine="0"/>
              <w:rPr>
                <w:rFonts w:ascii="宋体" w:hAnsi="宋体"/>
                <w:b/>
                <w:color w:val="auto"/>
                <w:szCs w:val="24"/>
                <w:highlight w:val="none"/>
              </w:rPr>
            </w:pPr>
            <w:r>
              <w:rPr>
                <w:rFonts w:hint="eastAsia" w:ascii="宋体" w:hAnsi="宋体"/>
                <w:b/>
                <w:color w:val="auto"/>
                <w:szCs w:val="24"/>
                <w:highlight w:val="none"/>
              </w:rPr>
              <w:t>（3）治疗护士站</w:t>
            </w:r>
            <w:r>
              <w:rPr>
                <w:rFonts w:hint="eastAsia" w:ascii="宋体" w:hAnsi="宋体"/>
                <w:b/>
                <w:color w:val="auto"/>
                <w:szCs w:val="24"/>
                <w:highlight w:val="none"/>
              </w:rPr>
              <w:tab/>
            </w:r>
          </w:p>
          <w:p>
            <w:pPr>
              <w:pStyle w:val="130"/>
              <w:ind w:firstLine="0"/>
              <w:rPr>
                <w:rFonts w:ascii="宋体" w:hAnsi="宋体"/>
                <w:color w:val="auto"/>
                <w:szCs w:val="24"/>
                <w:highlight w:val="none"/>
              </w:rPr>
            </w:pPr>
            <w:r>
              <w:rPr>
                <w:rFonts w:hint="eastAsia" w:ascii="宋体" w:hAnsi="宋体"/>
                <w:b/>
                <w:color w:val="auto"/>
                <w:szCs w:val="24"/>
                <w:highlight w:val="none"/>
              </w:rPr>
              <w:t>治疗分诊：</w:t>
            </w:r>
            <w:r>
              <w:rPr>
                <w:rFonts w:hint="eastAsia" w:ascii="宋体" w:hAnsi="宋体"/>
                <w:color w:val="auto"/>
                <w:szCs w:val="24"/>
                <w:highlight w:val="none"/>
              </w:rPr>
              <w:t>支持患者来院治疗，在护士站进行治疗分诊。</w:t>
            </w:r>
          </w:p>
          <w:p>
            <w:pPr>
              <w:pStyle w:val="130"/>
              <w:ind w:firstLine="0"/>
              <w:rPr>
                <w:rFonts w:ascii="宋体" w:hAnsi="宋体"/>
                <w:color w:val="auto"/>
                <w:szCs w:val="24"/>
                <w:highlight w:val="none"/>
              </w:rPr>
            </w:pPr>
            <w:r>
              <w:rPr>
                <w:rFonts w:hint="eastAsia" w:ascii="宋体" w:hAnsi="宋体"/>
                <w:b/>
                <w:color w:val="auto"/>
                <w:szCs w:val="24"/>
                <w:highlight w:val="none"/>
              </w:rPr>
              <w:t>治疗标记：</w:t>
            </w:r>
            <w:r>
              <w:rPr>
                <w:rFonts w:hint="eastAsia" w:ascii="宋体" w:hAnsi="宋体"/>
                <w:color w:val="auto"/>
                <w:szCs w:val="24"/>
                <w:highlight w:val="none"/>
              </w:rPr>
              <w:t>支持操作员对患者的特殊标记，如行动不便，脾气暴躁等。</w:t>
            </w:r>
          </w:p>
        </w:tc>
      </w:tr>
    </w:tbl>
    <w:p>
      <w:pPr>
        <w:pStyle w:val="6"/>
        <w:numPr>
          <w:ilvl w:val="3"/>
          <w:numId w:val="8"/>
        </w:numPr>
        <w:spacing w:before="280" w:after="290" w:line="376" w:lineRule="auto"/>
        <w:rPr>
          <w:rFonts w:ascii="宋体" w:hAnsi="宋体"/>
          <w:color w:val="auto"/>
          <w:szCs w:val="24"/>
          <w:highlight w:val="none"/>
        </w:rPr>
      </w:pPr>
      <w:bookmarkStart w:id="617" w:name="_Toc16433"/>
      <w:r>
        <w:rPr>
          <w:rFonts w:hint="eastAsia" w:ascii="宋体" w:hAnsi="宋体"/>
          <w:color w:val="auto"/>
          <w:szCs w:val="24"/>
          <w:highlight w:val="none"/>
        </w:rPr>
        <w:t>日间手术室信息系统</w:t>
      </w:r>
      <w:bookmarkEnd w:id="617"/>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日间手术信息系统是支撑日间手术业务流程，通过信息化建设支撑新的业务流程，提高效率和临床质量。该系统实现整个从预约到排床排班配置资源、从入院到术中术后复苏，以及术后随访的数字化管理，优化日间手术管理流程，实现全过程标准化管理。功能涵盖日间手术的整个流程，是门诊、住院各个职能部门沟通的桥梁。</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trPr>
        <w:tc>
          <w:tcPr>
            <w:tcW w:w="1980"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7087"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日间手术管理</w:t>
            </w:r>
          </w:p>
        </w:tc>
        <w:tc>
          <w:tcPr>
            <w:tcW w:w="7087" w:type="dxa"/>
          </w:tcPr>
          <w:p>
            <w:pPr>
              <w:spacing w:line="360" w:lineRule="auto"/>
              <w:rPr>
                <w:rFonts w:ascii="宋体" w:hAnsi="宋体"/>
                <w:b/>
                <w:bCs/>
                <w:color w:val="auto"/>
                <w:sz w:val="24"/>
                <w:highlight w:val="none"/>
              </w:rPr>
            </w:pPr>
            <w:r>
              <w:rPr>
                <w:rFonts w:hint="eastAsia" w:ascii="宋体" w:hAnsi="宋体"/>
                <w:b/>
                <w:bCs/>
                <w:color w:val="auto"/>
                <w:sz w:val="24"/>
                <w:highlight w:val="none"/>
              </w:rPr>
              <w:t>（1）日间床位排班维护</w:t>
            </w:r>
          </w:p>
          <w:p>
            <w:pPr>
              <w:spacing w:line="360" w:lineRule="auto"/>
              <w:rPr>
                <w:rFonts w:ascii="宋体" w:hAnsi="宋体"/>
                <w:color w:val="auto"/>
                <w:sz w:val="24"/>
                <w:highlight w:val="none"/>
              </w:rPr>
            </w:pPr>
            <w:r>
              <w:rPr>
                <w:rFonts w:hint="eastAsia" w:ascii="宋体" w:hAnsi="宋体"/>
                <w:color w:val="auto"/>
                <w:sz w:val="24"/>
                <w:highlight w:val="none"/>
              </w:rPr>
              <w:t>1、支持按病区、状态、开始日期、结束日期、床位编码、床位名称、床位类型、床位费用查询日间床位排班。</w:t>
            </w:r>
          </w:p>
          <w:p>
            <w:pPr>
              <w:spacing w:line="360" w:lineRule="auto"/>
              <w:rPr>
                <w:rFonts w:ascii="宋体" w:hAnsi="宋体"/>
                <w:color w:val="auto"/>
                <w:sz w:val="24"/>
                <w:highlight w:val="none"/>
              </w:rPr>
            </w:pPr>
            <w:r>
              <w:rPr>
                <w:rFonts w:hint="eastAsia" w:ascii="宋体" w:hAnsi="宋体"/>
                <w:color w:val="auto"/>
                <w:sz w:val="24"/>
                <w:highlight w:val="none"/>
              </w:rPr>
              <w:t>2、支持按病区、开始日期和结束日期生成排班。</w:t>
            </w:r>
          </w:p>
          <w:p>
            <w:pPr>
              <w:spacing w:line="360" w:lineRule="auto"/>
              <w:rPr>
                <w:rFonts w:ascii="宋体" w:hAnsi="宋体"/>
                <w:b/>
                <w:bCs/>
                <w:color w:val="auto"/>
                <w:sz w:val="24"/>
                <w:highlight w:val="none"/>
              </w:rPr>
            </w:pPr>
            <w:r>
              <w:rPr>
                <w:rFonts w:hint="eastAsia" w:ascii="宋体" w:hAnsi="宋体"/>
                <w:b/>
                <w:bCs/>
                <w:color w:val="auto"/>
                <w:sz w:val="24"/>
                <w:highlight w:val="none"/>
              </w:rPr>
              <w:t>（2）日间病床预约</w:t>
            </w:r>
          </w:p>
          <w:p>
            <w:pPr>
              <w:spacing w:line="360" w:lineRule="auto"/>
              <w:rPr>
                <w:rFonts w:ascii="宋体" w:hAnsi="宋体"/>
                <w:color w:val="auto"/>
                <w:sz w:val="24"/>
                <w:highlight w:val="none"/>
              </w:rPr>
            </w:pPr>
            <w:r>
              <w:rPr>
                <w:rFonts w:hint="eastAsia" w:ascii="宋体" w:hAnsi="宋体"/>
                <w:color w:val="auto"/>
                <w:sz w:val="24"/>
                <w:highlight w:val="none"/>
              </w:rPr>
              <w:t>1、支持按患者信息、科室、病区、开始日期、结束日期、医疗组和住院类别查询日间床位预约申请单。</w:t>
            </w:r>
          </w:p>
          <w:p>
            <w:pPr>
              <w:spacing w:line="360" w:lineRule="auto"/>
              <w:rPr>
                <w:rFonts w:ascii="宋体" w:hAnsi="宋体"/>
                <w:color w:val="auto"/>
                <w:sz w:val="24"/>
                <w:highlight w:val="none"/>
              </w:rPr>
            </w:pPr>
            <w:r>
              <w:rPr>
                <w:rFonts w:hint="eastAsia" w:ascii="宋体" w:hAnsi="宋体"/>
                <w:color w:val="auto"/>
                <w:sz w:val="24"/>
                <w:highlight w:val="none"/>
              </w:rPr>
              <w:t>2、支持日间床位预约、取消预约、自动预约、改约。</w:t>
            </w:r>
          </w:p>
          <w:p>
            <w:pPr>
              <w:spacing w:line="360" w:lineRule="auto"/>
              <w:rPr>
                <w:rFonts w:ascii="宋体" w:hAnsi="宋体"/>
                <w:b/>
                <w:bCs/>
                <w:color w:val="auto"/>
                <w:sz w:val="24"/>
                <w:highlight w:val="none"/>
              </w:rPr>
            </w:pPr>
            <w:r>
              <w:rPr>
                <w:rFonts w:hint="eastAsia" w:ascii="宋体" w:hAnsi="宋体"/>
                <w:b/>
                <w:bCs/>
                <w:color w:val="auto"/>
                <w:sz w:val="24"/>
                <w:highlight w:val="none"/>
              </w:rPr>
              <w:t>（3）日间床位维护日志查询</w:t>
            </w:r>
          </w:p>
          <w:p>
            <w:pPr>
              <w:spacing w:line="360" w:lineRule="auto"/>
              <w:rPr>
                <w:rFonts w:ascii="宋体" w:hAnsi="宋体"/>
                <w:color w:val="auto"/>
                <w:sz w:val="24"/>
                <w:highlight w:val="none"/>
              </w:rPr>
            </w:pPr>
            <w:r>
              <w:rPr>
                <w:rFonts w:hint="eastAsia" w:ascii="宋体" w:hAnsi="宋体"/>
                <w:color w:val="auto"/>
                <w:sz w:val="24"/>
                <w:highlight w:val="none"/>
              </w:rPr>
              <w:t>支持根据日志时间查询日志维护记录。</w:t>
            </w:r>
          </w:p>
          <w:p>
            <w:pPr>
              <w:spacing w:line="360" w:lineRule="auto"/>
              <w:rPr>
                <w:rFonts w:ascii="宋体" w:hAnsi="宋体"/>
                <w:b/>
                <w:bCs/>
                <w:color w:val="auto"/>
                <w:sz w:val="24"/>
                <w:highlight w:val="none"/>
              </w:rPr>
            </w:pPr>
            <w:r>
              <w:rPr>
                <w:rFonts w:hint="eastAsia" w:ascii="宋体" w:hAnsi="宋体"/>
                <w:b/>
                <w:bCs/>
                <w:color w:val="auto"/>
                <w:sz w:val="24"/>
                <w:highlight w:val="none"/>
              </w:rPr>
              <w:t>（4）术前评估</w:t>
            </w:r>
          </w:p>
          <w:p>
            <w:pPr>
              <w:spacing w:line="360" w:lineRule="auto"/>
              <w:rPr>
                <w:rFonts w:ascii="宋体" w:hAnsi="宋体"/>
                <w:color w:val="auto"/>
                <w:sz w:val="24"/>
                <w:highlight w:val="none"/>
              </w:rPr>
            </w:pPr>
            <w:r>
              <w:rPr>
                <w:rFonts w:hint="eastAsia" w:ascii="宋体" w:hAnsi="宋体"/>
                <w:color w:val="auto"/>
                <w:sz w:val="24"/>
                <w:highlight w:val="none"/>
              </w:rPr>
              <w:t>支持术前评估，支持调阅患者既往病史、检查检验报告、手术史、用药史，支持评估麻醉的适宜性。</w:t>
            </w:r>
          </w:p>
          <w:p>
            <w:pPr>
              <w:spacing w:line="360" w:lineRule="auto"/>
              <w:rPr>
                <w:rFonts w:ascii="宋体" w:hAnsi="宋体"/>
                <w:b/>
                <w:bCs/>
                <w:color w:val="auto"/>
                <w:sz w:val="24"/>
                <w:highlight w:val="none"/>
              </w:rPr>
            </w:pPr>
            <w:r>
              <w:rPr>
                <w:rFonts w:hint="eastAsia" w:ascii="宋体" w:hAnsi="宋体"/>
                <w:b/>
                <w:bCs/>
                <w:color w:val="auto"/>
                <w:sz w:val="24"/>
                <w:highlight w:val="none"/>
              </w:rPr>
              <w:t>（5）日间手术入院申请</w:t>
            </w:r>
          </w:p>
          <w:p>
            <w:pPr>
              <w:spacing w:line="360" w:lineRule="auto"/>
              <w:rPr>
                <w:rFonts w:ascii="宋体" w:hAnsi="宋体"/>
                <w:color w:val="auto"/>
                <w:sz w:val="24"/>
                <w:highlight w:val="none"/>
              </w:rPr>
            </w:pPr>
            <w:r>
              <w:rPr>
                <w:rFonts w:hint="eastAsia" w:ascii="宋体" w:hAnsi="宋体"/>
                <w:color w:val="auto"/>
                <w:sz w:val="24"/>
                <w:highlight w:val="none"/>
              </w:rPr>
              <w:t>支持日间手术申请和预约，在患者术前检查、筛选和评估通过后，获得手术申请权限，可在系统中进行日间手术申请，确定医疗团队成员，负责患者日间手术全流程服务。</w:t>
            </w:r>
          </w:p>
          <w:p>
            <w:pPr>
              <w:spacing w:line="360" w:lineRule="auto"/>
              <w:rPr>
                <w:rFonts w:ascii="宋体" w:hAnsi="宋体"/>
                <w:b/>
                <w:bCs/>
                <w:color w:val="auto"/>
                <w:sz w:val="24"/>
                <w:highlight w:val="none"/>
              </w:rPr>
            </w:pPr>
            <w:r>
              <w:rPr>
                <w:rFonts w:hint="eastAsia" w:ascii="宋体" w:hAnsi="宋体"/>
                <w:b/>
                <w:bCs/>
                <w:color w:val="auto"/>
                <w:sz w:val="24"/>
                <w:highlight w:val="none"/>
              </w:rPr>
              <w:t>（6）日间手术入院办理</w:t>
            </w:r>
          </w:p>
          <w:p>
            <w:pPr>
              <w:spacing w:line="360" w:lineRule="auto"/>
              <w:rPr>
                <w:rFonts w:ascii="宋体" w:hAnsi="宋体"/>
                <w:color w:val="auto"/>
                <w:sz w:val="24"/>
                <w:highlight w:val="none"/>
              </w:rPr>
            </w:pPr>
            <w:r>
              <w:rPr>
                <w:rFonts w:hint="eastAsia" w:ascii="宋体" w:hAnsi="宋体"/>
                <w:color w:val="auto"/>
                <w:sz w:val="24"/>
                <w:highlight w:val="none"/>
              </w:rPr>
              <w:t>支持日间手术入院办理，支持日间手术患者按照住院就诊方式办理入院登记。</w:t>
            </w:r>
          </w:p>
          <w:p>
            <w:pPr>
              <w:spacing w:line="360" w:lineRule="auto"/>
              <w:rPr>
                <w:rFonts w:ascii="宋体" w:hAnsi="宋体"/>
                <w:b/>
                <w:bCs/>
                <w:color w:val="auto"/>
                <w:sz w:val="24"/>
                <w:highlight w:val="none"/>
              </w:rPr>
            </w:pPr>
            <w:r>
              <w:rPr>
                <w:rFonts w:hint="eastAsia" w:ascii="宋体" w:hAnsi="宋体"/>
                <w:b/>
                <w:bCs/>
                <w:color w:val="auto"/>
                <w:sz w:val="24"/>
                <w:highlight w:val="none"/>
              </w:rPr>
              <w:t>（7）医嘱录入</w:t>
            </w:r>
          </w:p>
          <w:p>
            <w:pPr>
              <w:spacing w:line="360" w:lineRule="auto"/>
              <w:rPr>
                <w:rFonts w:ascii="宋体" w:hAnsi="宋体"/>
                <w:color w:val="auto"/>
                <w:sz w:val="24"/>
                <w:highlight w:val="none"/>
              </w:rPr>
            </w:pPr>
            <w:r>
              <w:rPr>
                <w:rFonts w:hint="eastAsia" w:ascii="宋体" w:hAnsi="宋体"/>
                <w:color w:val="auto"/>
                <w:sz w:val="24"/>
                <w:highlight w:val="none"/>
              </w:rPr>
              <w:t>支持医技医生站给麻醉医生录入麻醉用药相关医嘱。</w:t>
            </w:r>
          </w:p>
        </w:tc>
      </w:tr>
    </w:tbl>
    <w:p>
      <w:pPr>
        <w:spacing w:line="360" w:lineRule="auto"/>
        <w:rPr>
          <w:rFonts w:ascii="宋体" w:hAnsi="宋体"/>
          <w:color w:val="auto"/>
          <w:sz w:val="24"/>
          <w:highlight w:val="none"/>
        </w:rPr>
      </w:pPr>
    </w:p>
    <w:p>
      <w:pPr>
        <w:pStyle w:val="6"/>
        <w:numPr>
          <w:ilvl w:val="3"/>
          <w:numId w:val="8"/>
        </w:numPr>
        <w:spacing w:before="280" w:after="290" w:line="376" w:lineRule="auto"/>
        <w:rPr>
          <w:rFonts w:ascii="宋体" w:hAnsi="宋体"/>
          <w:color w:val="auto"/>
          <w:szCs w:val="24"/>
          <w:highlight w:val="none"/>
        </w:rPr>
      </w:pPr>
      <w:bookmarkStart w:id="618" w:name="_Toc6310"/>
      <w:r>
        <w:rPr>
          <w:rFonts w:hint="eastAsia" w:ascii="宋体" w:hAnsi="宋体"/>
          <w:color w:val="auto"/>
          <w:szCs w:val="24"/>
          <w:highlight w:val="none"/>
        </w:rPr>
        <w:t>检验系统</w:t>
      </w:r>
      <w:bookmarkEnd w:id="618"/>
    </w:p>
    <w:p>
      <w:pPr>
        <w:pStyle w:val="8"/>
        <w:ind w:firstLine="480"/>
        <w:rPr>
          <w:rFonts w:ascii="宋体" w:hAnsi="宋体"/>
          <w:color w:val="auto"/>
          <w:szCs w:val="24"/>
          <w:highlight w:val="none"/>
        </w:rPr>
      </w:pPr>
      <w:r>
        <w:rPr>
          <w:rFonts w:hint="eastAsia" w:ascii="宋体" w:hAnsi="宋体"/>
          <w:color w:val="auto"/>
          <w:szCs w:val="24"/>
          <w:highlight w:val="none"/>
        </w:rPr>
        <w:t>以电子病历六级及互联互通5级乙等测评的要求对检验信息系统进行改造升级，具体包括但不限于：</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6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blHeader/>
        </w:trPr>
        <w:tc>
          <w:tcPr>
            <w:tcW w:w="2153"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模块</w:t>
            </w:r>
          </w:p>
        </w:tc>
        <w:tc>
          <w:tcPr>
            <w:tcW w:w="6914"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olor w:val="auto"/>
                <w:sz w:val="24"/>
                <w:highlight w:val="none"/>
              </w:rPr>
              <w:t>检验系统升级</w:t>
            </w:r>
          </w:p>
        </w:tc>
        <w:tc>
          <w:tcPr>
            <w:tcW w:w="6914" w:type="dxa"/>
            <w:vAlign w:val="center"/>
          </w:tcPr>
          <w:p>
            <w:pPr>
              <w:pStyle w:val="201"/>
              <w:numPr>
                <w:ilvl w:val="0"/>
                <w:numId w:val="9"/>
              </w:numPr>
              <w:spacing w:before="0" w:line="360" w:lineRule="auto"/>
              <w:ind w:left="368" w:right="105" w:rightChars="50" w:firstLine="478"/>
              <w:rPr>
                <w:rFonts w:ascii="宋体" w:hAnsi="宋体" w:eastAsia="宋体"/>
                <w:color w:val="auto"/>
                <w:spacing w:val="-1"/>
                <w:sz w:val="24"/>
                <w:highlight w:val="none"/>
                <w:lang w:val="zh-CN" w:eastAsia="zh-CN" w:bidi="zh-CN"/>
              </w:rPr>
            </w:pPr>
            <w:r>
              <w:rPr>
                <w:rFonts w:hint="eastAsia" w:ascii="宋体" w:hAnsi="宋体" w:eastAsia="宋体"/>
                <w:color w:val="auto"/>
                <w:spacing w:val="-1"/>
                <w:sz w:val="24"/>
                <w:highlight w:val="none"/>
                <w:lang w:val="zh-CN" w:eastAsia="zh-CN" w:bidi="zh-CN"/>
              </w:rPr>
              <w:t>标本处理系统模块增加。</w:t>
            </w:r>
          </w:p>
          <w:p>
            <w:pPr>
              <w:pStyle w:val="201"/>
              <w:numPr>
                <w:ilvl w:val="0"/>
                <w:numId w:val="9"/>
              </w:numPr>
              <w:spacing w:before="0" w:line="360" w:lineRule="auto"/>
              <w:ind w:left="368" w:right="105" w:rightChars="50" w:firstLine="478"/>
              <w:rPr>
                <w:rFonts w:ascii="宋体" w:hAnsi="宋体" w:eastAsia="宋体"/>
                <w:color w:val="auto"/>
                <w:sz w:val="24"/>
                <w:highlight w:val="none"/>
                <w:lang w:eastAsia="zh-CN"/>
              </w:rPr>
            </w:pPr>
            <w:r>
              <w:rPr>
                <w:rFonts w:hint="eastAsia" w:ascii="宋体" w:hAnsi="宋体" w:eastAsia="宋体"/>
                <w:color w:val="auto"/>
                <w:spacing w:val="-1"/>
                <w:sz w:val="24"/>
                <w:highlight w:val="none"/>
                <w:lang w:val="zh-CN" w:eastAsia="zh-CN" w:bidi="zh-CN"/>
              </w:rPr>
              <w:t>支持试剂管理与信息系统对接：接口改造</w:t>
            </w:r>
          </w:p>
        </w:tc>
      </w:tr>
    </w:tbl>
    <w:p>
      <w:pPr>
        <w:pStyle w:val="6"/>
        <w:numPr>
          <w:ilvl w:val="3"/>
          <w:numId w:val="8"/>
        </w:numPr>
        <w:spacing w:before="280" w:after="290" w:line="376" w:lineRule="auto"/>
        <w:rPr>
          <w:rFonts w:ascii="宋体" w:hAnsi="宋体"/>
          <w:color w:val="auto"/>
          <w:szCs w:val="24"/>
          <w:highlight w:val="none"/>
        </w:rPr>
      </w:pPr>
      <w:bookmarkStart w:id="619" w:name="_Toc9208"/>
      <w:r>
        <w:rPr>
          <w:rFonts w:hint="eastAsia" w:ascii="宋体" w:hAnsi="宋体"/>
          <w:color w:val="auto"/>
          <w:szCs w:val="24"/>
          <w:highlight w:val="none"/>
        </w:rPr>
        <w:t>合理用药系统</w:t>
      </w:r>
      <w:bookmarkEnd w:id="619"/>
    </w:p>
    <w:p>
      <w:pPr>
        <w:pStyle w:val="8"/>
        <w:ind w:firstLine="480"/>
        <w:rPr>
          <w:rFonts w:ascii="宋体" w:hAnsi="宋体"/>
          <w:color w:val="auto"/>
          <w:szCs w:val="24"/>
          <w:highlight w:val="none"/>
        </w:rPr>
      </w:pPr>
      <w:r>
        <w:rPr>
          <w:rFonts w:hint="eastAsia" w:ascii="宋体" w:hAnsi="宋体"/>
          <w:color w:val="auto"/>
          <w:szCs w:val="24"/>
          <w:highlight w:val="none"/>
        </w:rPr>
        <w:t>以电子病历六级及互联互通5级乙等测评的要求对合理用药信息系统进行改造升级，具体包括但不限于：</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6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blHeader/>
        </w:trPr>
        <w:tc>
          <w:tcPr>
            <w:tcW w:w="2153"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模块</w:t>
            </w:r>
          </w:p>
        </w:tc>
        <w:tc>
          <w:tcPr>
            <w:tcW w:w="6914"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olor w:val="auto"/>
                <w:sz w:val="24"/>
                <w:highlight w:val="none"/>
              </w:rPr>
              <w:t>合理用药系统维护</w:t>
            </w:r>
          </w:p>
        </w:tc>
        <w:tc>
          <w:tcPr>
            <w:tcW w:w="6914" w:type="dxa"/>
            <w:vAlign w:val="center"/>
          </w:tcPr>
          <w:p>
            <w:pPr>
              <w:pStyle w:val="201"/>
              <w:numPr>
                <w:ilvl w:val="0"/>
                <w:numId w:val="9"/>
              </w:numPr>
              <w:spacing w:before="0" w:line="360" w:lineRule="auto"/>
              <w:ind w:left="368" w:right="105" w:rightChars="50" w:firstLine="478"/>
              <w:rPr>
                <w:rFonts w:ascii="宋体" w:hAnsi="宋体" w:eastAsia="宋体"/>
                <w:color w:val="auto"/>
                <w:spacing w:val="-1"/>
                <w:sz w:val="24"/>
                <w:highlight w:val="none"/>
                <w:lang w:val="zh-CN" w:eastAsia="zh-CN" w:bidi="zh-CN"/>
              </w:rPr>
            </w:pPr>
            <w:r>
              <w:rPr>
                <w:rFonts w:hint="eastAsia" w:ascii="宋体" w:hAnsi="宋体" w:eastAsia="宋体"/>
                <w:color w:val="auto"/>
                <w:spacing w:val="-1"/>
                <w:sz w:val="24"/>
                <w:highlight w:val="none"/>
                <w:lang w:val="zh-CN" w:eastAsia="zh-CN" w:bidi="zh-CN"/>
              </w:rPr>
              <w:t>支持具有针对病人诊断、性别、历史处方、过敏史等进行合理用药、配伍禁忌、给药途径等综合自动检查功能并给出提示</w:t>
            </w:r>
          </w:p>
          <w:p>
            <w:pPr>
              <w:pStyle w:val="201"/>
              <w:numPr>
                <w:ilvl w:val="0"/>
                <w:numId w:val="9"/>
              </w:numPr>
              <w:spacing w:before="0" w:line="360" w:lineRule="auto"/>
              <w:ind w:left="368" w:right="105" w:rightChars="50" w:firstLine="478"/>
              <w:rPr>
                <w:rFonts w:ascii="宋体" w:hAnsi="宋体" w:eastAsia="宋体"/>
                <w:color w:val="auto"/>
                <w:spacing w:val="-1"/>
                <w:sz w:val="24"/>
                <w:highlight w:val="none"/>
                <w:lang w:val="zh-CN" w:eastAsia="zh-CN" w:bidi="zh-CN"/>
              </w:rPr>
            </w:pPr>
            <w:r>
              <w:rPr>
                <w:rFonts w:hint="eastAsia" w:ascii="宋体" w:hAnsi="宋体" w:eastAsia="宋体"/>
                <w:color w:val="auto"/>
                <w:spacing w:val="-1"/>
                <w:sz w:val="24"/>
                <w:highlight w:val="none"/>
                <w:lang w:val="zh-CN" w:eastAsia="zh-CN" w:bidi="zh-CN"/>
              </w:rPr>
              <w:t>支持下达处方时能关联项目获得药物知识，如提供药物说明查询功能等；</w:t>
            </w:r>
          </w:p>
          <w:p>
            <w:pPr>
              <w:pStyle w:val="201"/>
              <w:numPr>
                <w:ilvl w:val="0"/>
                <w:numId w:val="9"/>
              </w:numPr>
              <w:spacing w:before="0" w:line="360" w:lineRule="auto"/>
              <w:ind w:left="368" w:right="105" w:rightChars="50" w:firstLine="478"/>
              <w:rPr>
                <w:rFonts w:ascii="宋体" w:hAnsi="宋体" w:eastAsia="宋体"/>
                <w:color w:val="auto"/>
                <w:spacing w:val="-1"/>
                <w:sz w:val="24"/>
                <w:highlight w:val="none"/>
                <w:lang w:val="zh-CN" w:eastAsia="zh-CN" w:bidi="zh-CN"/>
              </w:rPr>
            </w:pPr>
            <w:r>
              <w:rPr>
                <w:rFonts w:hint="eastAsia" w:ascii="宋体" w:hAnsi="宋体" w:eastAsia="宋体"/>
                <w:color w:val="auto"/>
                <w:spacing w:val="-1"/>
                <w:sz w:val="24"/>
                <w:highlight w:val="none"/>
                <w:lang w:val="zh-CN" w:eastAsia="zh-CN" w:bidi="zh-CN"/>
              </w:rPr>
              <w:t>有药品使用管理记录，支持药品分级管理；</w:t>
            </w:r>
          </w:p>
          <w:p>
            <w:pPr>
              <w:pStyle w:val="201"/>
              <w:numPr>
                <w:ilvl w:val="0"/>
                <w:numId w:val="9"/>
              </w:numPr>
              <w:spacing w:before="0" w:line="360" w:lineRule="auto"/>
              <w:ind w:left="368" w:right="105" w:rightChars="50" w:firstLine="478"/>
              <w:rPr>
                <w:rFonts w:ascii="宋体" w:hAnsi="宋体" w:eastAsia="宋体"/>
                <w:color w:val="auto"/>
                <w:spacing w:val="-1"/>
                <w:sz w:val="24"/>
                <w:highlight w:val="none"/>
                <w:lang w:val="zh-CN" w:eastAsia="zh-CN" w:bidi="zh-CN"/>
              </w:rPr>
            </w:pPr>
            <w:r>
              <w:rPr>
                <w:rFonts w:hint="eastAsia" w:ascii="宋体" w:hAnsi="宋体" w:eastAsia="宋体"/>
                <w:color w:val="auto"/>
                <w:spacing w:val="-1"/>
                <w:sz w:val="24"/>
                <w:highlight w:val="none"/>
                <w:lang w:val="zh-CN" w:eastAsia="zh-CN" w:bidi="zh-CN"/>
              </w:rPr>
              <w:t>能够实时进行药物之间、药物与诊断的检查；</w:t>
            </w:r>
          </w:p>
          <w:p>
            <w:pPr>
              <w:pStyle w:val="201"/>
              <w:numPr>
                <w:ilvl w:val="0"/>
                <w:numId w:val="9"/>
              </w:numPr>
              <w:spacing w:before="0" w:line="360" w:lineRule="auto"/>
              <w:ind w:left="368" w:right="105" w:rightChars="50" w:firstLine="478"/>
              <w:rPr>
                <w:rFonts w:ascii="宋体" w:hAnsi="宋体" w:eastAsia="宋体"/>
                <w:color w:val="auto"/>
                <w:spacing w:val="-1"/>
                <w:sz w:val="24"/>
                <w:highlight w:val="none"/>
                <w:lang w:val="zh-CN" w:eastAsia="zh-CN" w:bidi="zh-CN"/>
              </w:rPr>
            </w:pPr>
            <w:r>
              <w:rPr>
                <w:rFonts w:hint="eastAsia" w:ascii="宋体" w:hAnsi="宋体" w:eastAsia="宋体"/>
                <w:color w:val="auto"/>
                <w:spacing w:val="-1"/>
                <w:sz w:val="24"/>
                <w:highlight w:val="none"/>
                <w:lang w:val="zh-CN" w:eastAsia="zh-CN" w:bidi="zh-CN"/>
              </w:rPr>
              <w:t>能够跟踪病人治疗周期的药品使用情况，能够调取既往药品使用数据进行药品使用核查；</w:t>
            </w:r>
          </w:p>
          <w:p>
            <w:pPr>
              <w:pStyle w:val="201"/>
              <w:numPr>
                <w:ilvl w:val="0"/>
                <w:numId w:val="9"/>
              </w:numPr>
              <w:spacing w:before="0" w:line="360" w:lineRule="auto"/>
              <w:ind w:left="368" w:right="105" w:rightChars="50" w:firstLine="478"/>
              <w:rPr>
                <w:rFonts w:ascii="宋体" w:hAnsi="宋体" w:eastAsia="宋体"/>
                <w:color w:val="auto"/>
                <w:spacing w:val="-1"/>
                <w:sz w:val="24"/>
                <w:highlight w:val="none"/>
                <w:lang w:val="zh-CN" w:eastAsia="zh-CN" w:bidi="zh-CN"/>
              </w:rPr>
            </w:pPr>
            <w:r>
              <w:rPr>
                <w:rFonts w:hint="eastAsia" w:ascii="宋体" w:hAnsi="宋体" w:eastAsia="宋体"/>
                <w:color w:val="auto"/>
                <w:spacing w:val="-1"/>
                <w:sz w:val="24"/>
                <w:highlight w:val="none"/>
                <w:lang w:val="zh-CN" w:eastAsia="zh-CN" w:bidi="zh-CN"/>
              </w:rPr>
              <w:t>药品知识库能够全面对药品使用进行检查与提示；</w:t>
            </w:r>
          </w:p>
          <w:p>
            <w:pPr>
              <w:pStyle w:val="201"/>
              <w:numPr>
                <w:ilvl w:val="0"/>
                <w:numId w:val="9"/>
              </w:numPr>
              <w:spacing w:before="0" w:line="360" w:lineRule="auto"/>
              <w:ind w:left="368" w:right="105" w:rightChars="50" w:firstLine="478"/>
              <w:rPr>
                <w:rFonts w:ascii="宋体" w:hAnsi="宋体" w:eastAsia="宋体"/>
                <w:color w:val="auto"/>
                <w:spacing w:val="-1"/>
                <w:sz w:val="24"/>
                <w:highlight w:val="none"/>
                <w:lang w:val="zh-CN" w:eastAsia="zh-CN" w:bidi="zh-CN"/>
              </w:rPr>
            </w:pPr>
            <w:r>
              <w:rPr>
                <w:rFonts w:hint="eastAsia" w:ascii="宋体" w:hAnsi="宋体" w:eastAsia="宋体"/>
                <w:color w:val="auto"/>
                <w:spacing w:val="-1"/>
                <w:sz w:val="24"/>
                <w:highlight w:val="none"/>
                <w:lang w:val="zh-CN" w:eastAsia="zh-CN" w:bidi="zh-CN"/>
              </w:rPr>
              <w:t>具有对药物治疗医嘱进行抽查与进行处方评价记录工具，对发现的不合理用药能够记录；</w:t>
            </w:r>
          </w:p>
          <w:p>
            <w:pPr>
              <w:pStyle w:val="201"/>
              <w:numPr>
                <w:ilvl w:val="0"/>
                <w:numId w:val="9"/>
              </w:numPr>
              <w:spacing w:before="0" w:line="360" w:lineRule="auto"/>
              <w:ind w:left="368" w:right="105" w:rightChars="50" w:firstLine="478"/>
              <w:rPr>
                <w:rFonts w:ascii="宋体" w:hAnsi="宋体" w:eastAsia="宋体"/>
                <w:color w:val="auto"/>
                <w:sz w:val="24"/>
                <w:highlight w:val="none"/>
                <w:lang w:eastAsia="zh-CN"/>
              </w:rPr>
            </w:pPr>
            <w:r>
              <w:rPr>
                <w:rFonts w:hint="eastAsia" w:ascii="宋体" w:hAnsi="宋体" w:eastAsia="宋体"/>
                <w:color w:val="auto"/>
                <w:spacing w:val="-1"/>
                <w:sz w:val="24"/>
                <w:highlight w:val="none"/>
                <w:lang w:val="zh-CN" w:eastAsia="zh-CN" w:bidi="zh-CN"/>
              </w:rPr>
              <w:t>医嘱下达时能关联项目获得药物知识，如提供药物说明查询功能等；</w:t>
            </w:r>
          </w:p>
        </w:tc>
      </w:tr>
    </w:tbl>
    <w:p>
      <w:pPr>
        <w:pStyle w:val="6"/>
        <w:numPr>
          <w:ilvl w:val="3"/>
          <w:numId w:val="8"/>
        </w:numPr>
        <w:spacing w:before="280" w:after="290" w:line="376" w:lineRule="auto"/>
        <w:rPr>
          <w:rFonts w:ascii="宋体" w:hAnsi="宋体"/>
          <w:color w:val="auto"/>
          <w:szCs w:val="24"/>
          <w:highlight w:val="none"/>
        </w:rPr>
      </w:pPr>
      <w:bookmarkStart w:id="620" w:name="_Toc997"/>
      <w:r>
        <w:rPr>
          <w:rFonts w:hint="eastAsia" w:ascii="宋体" w:hAnsi="宋体"/>
          <w:color w:val="auto"/>
          <w:szCs w:val="24"/>
          <w:highlight w:val="none"/>
        </w:rPr>
        <w:t>PEM-D心身整体</w:t>
      </w:r>
      <w:r>
        <w:rPr>
          <w:rFonts w:hint="eastAsia" w:ascii="宋体" w:hAnsi="宋体"/>
          <w:color w:val="auto"/>
          <w:szCs w:val="24"/>
          <w:highlight w:val="none"/>
          <w:lang w:eastAsia="zh-CN"/>
        </w:rPr>
        <w:t>评审</w:t>
      </w:r>
      <w:r>
        <w:rPr>
          <w:rFonts w:hint="eastAsia" w:ascii="宋体" w:hAnsi="宋体"/>
          <w:color w:val="auto"/>
          <w:szCs w:val="24"/>
          <w:highlight w:val="none"/>
        </w:rPr>
        <w:t>干预系统</w:t>
      </w:r>
      <w:bookmarkEnd w:id="620"/>
    </w:p>
    <w:p>
      <w:pPr>
        <w:pStyle w:val="8"/>
        <w:ind w:firstLine="480"/>
        <w:rPr>
          <w:rFonts w:ascii="宋体" w:hAnsi="宋体"/>
          <w:color w:val="auto"/>
          <w:szCs w:val="24"/>
          <w:highlight w:val="none"/>
        </w:rPr>
      </w:pPr>
      <w:r>
        <w:rPr>
          <w:rFonts w:hint="eastAsia" w:ascii="宋体" w:hAnsi="宋体"/>
          <w:color w:val="auto"/>
          <w:szCs w:val="24"/>
          <w:highlight w:val="none"/>
        </w:rPr>
        <w:t>PEM-D心身整体评估干预系统将临床医学、心理学理论技术、疾病管理、云计算技术有效结合，全面实现心身整体护理标准化、规范化，实现覆盖全科病人的心理健康状态普查、心理健康促进训练，心理问题调试与干预等心理护理服务。该系统适用于综合医院几大心身相关科室及其住院病房体系，对相关就诊患者和住院病人开展心身健康评估与诊断、心身综合辅助诊疗。</w:t>
      </w:r>
    </w:p>
    <w:p>
      <w:pPr>
        <w:pStyle w:val="8"/>
        <w:ind w:firstLine="480"/>
        <w:rPr>
          <w:rFonts w:ascii="宋体" w:hAnsi="宋体"/>
          <w:color w:val="auto"/>
          <w:szCs w:val="24"/>
          <w:highlight w:val="none"/>
        </w:rPr>
      </w:pPr>
      <w:r>
        <w:rPr>
          <w:rFonts w:hint="eastAsia" w:ascii="宋体" w:hAnsi="宋体"/>
          <w:color w:val="auto"/>
          <w:szCs w:val="24"/>
          <w:highlight w:val="none"/>
        </w:rPr>
        <w:t>需满足以下功能：</w:t>
      </w:r>
    </w:p>
    <w:tbl>
      <w:tblPr>
        <w:tblStyle w:val="43"/>
        <w:tblW w:w="90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trPr>
        <w:tc>
          <w:tcPr>
            <w:tcW w:w="1980"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7097"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1980" w:type="dxa"/>
            <w:vAlign w:val="center"/>
          </w:tcPr>
          <w:p>
            <w:pPr>
              <w:spacing w:line="360" w:lineRule="auto"/>
              <w:ind w:left="8" w:right="33"/>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心身管理系统</w:t>
            </w:r>
          </w:p>
        </w:tc>
        <w:tc>
          <w:tcPr>
            <w:tcW w:w="7097" w:type="dxa"/>
            <w:vAlign w:val="center"/>
          </w:tcPr>
          <w:p>
            <w:pPr>
              <w:pStyle w:val="201"/>
              <w:numPr>
                <w:ilvl w:val="0"/>
                <w:numId w:val="18"/>
              </w:numPr>
              <w:spacing w:before="0" w:line="360" w:lineRule="auto"/>
              <w:ind w:right="105" w:rightChars="50" w:firstLine="482"/>
              <w:rPr>
                <w:rFonts w:ascii="宋体" w:hAnsi="宋体" w:eastAsia="宋体"/>
                <w:bCs/>
                <w:color w:val="auto"/>
                <w:sz w:val="24"/>
                <w:highlight w:val="none"/>
                <w:lang w:val="zh-CN" w:eastAsia="zh-CN" w:bidi="zh-CN"/>
              </w:rPr>
            </w:pPr>
            <w:r>
              <w:rPr>
                <w:rFonts w:hint="eastAsia" w:ascii="宋体" w:hAnsi="宋体" w:eastAsia="宋体"/>
                <w:bCs/>
                <w:color w:val="auto"/>
                <w:sz w:val="24"/>
                <w:highlight w:val="none"/>
                <w:lang w:val="zh-CN" w:eastAsia="zh-CN" w:bidi="zh-CN"/>
              </w:rPr>
              <w:t>支持心身量表数据</w:t>
            </w:r>
          </w:p>
          <w:p>
            <w:pPr>
              <w:pStyle w:val="201"/>
              <w:numPr>
                <w:ilvl w:val="0"/>
                <w:numId w:val="18"/>
              </w:numPr>
              <w:spacing w:before="0" w:line="360" w:lineRule="auto"/>
              <w:ind w:right="105" w:rightChars="50" w:firstLine="482"/>
              <w:rPr>
                <w:rFonts w:ascii="宋体" w:hAnsi="宋体" w:eastAsia="宋体"/>
                <w:bCs/>
                <w:color w:val="auto"/>
                <w:sz w:val="24"/>
                <w:highlight w:val="none"/>
                <w:lang w:val="zh-CN" w:eastAsia="zh-CN" w:bidi="zh-CN"/>
              </w:rPr>
            </w:pPr>
            <w:r>
              <w:rPr>
                <w:rFonts w:hint="eastAsia" w:ascii="宋体" w:hAnsi="宋体" w:eastAsia="宋体"/>
                <w:bCs/>
                <w:color w:val="auto"/>
                <w:sz w:val="24"/>
                <w:highlight w:val="none"/>
                <w:lang w:val="zh-CN" w:eastAsia="zh-CN" w:bidi="zh-CN"/>
              </w:rPr>
              <w:t>支持智能专家诊断</w:t>
            </w:r>
          </w:p>
          <w:p>
            <w:pPr>
              <w:pStyle w:val="201"/>
              <w:numPr>
                <w:ilvl w:val="0"/>
                <w:numId w:val="18"/>
              </w:numPr>
              <w:spacing w:before="0" w:line="360" w:lineRule="auto"/>
              <w:ind w:right="105" w:rightChars="50" w:firstLine="482"/>
              <w:rPr>
                <w:rFonts w:ascii="宋体" w:hAnsi="宋体" w:eastAsia="宋体"/>
                <w:bCs/>
                <w:color w:val="auto"/>
                <w:sz w:val="24"/>
                <w:highlight w:val="none"/>
                <w:lang w:val="zh-CN" w:eastAsia="zh-CN" w:bidi="zh-CN"/>
              </w:rPr>
            </w:pPr>
            <w:r>
              <w:rPr>
                <w:rFonts w:hint="eastAsia" w:ascii="宋体" w:hAnsi="宋体" w:eastAsia="宋体"/>
                <w:bCs/>
                <w:color w:val="auto"/>
                <w:sz w:val="24"/>
                <w:highlight w:val="none"/>
                <w:lang w:val="zh-CN" w:eastAsia="zh-CN" w:bidi="zh-CN"/>
              </w:rPr>
              <w:t>支持心理电子档案</w:t>
            </w:r>
          </w:p>
          <w:p>
            <w:pPr>
              <w:pStyle w:val="201"/>
              <w:numPr>
                <w:ilvl w:val="0"/>
                <w:numId w:val="18"/>
              </w:numPr>
              <w:spacing w:before="0" w:line="360" w:lineRule="auto"/>
              <w:ind w:right="105" w:rightChars="50" w:firstLine="482"/>
              <w:rPr>
                <w:rFonts w:ascii="宋体" w:hAnsi="宋体" w:eastAsia="宋体"/>
                <w:bCs/>
                <w:color w:val="auto"/>
                <w:sz w:val="24"/>
                <w:highlight w:val="none"/>
                <w:lang w:val="zh-CN" w:eastAsia="zh-CN" w:bidi="zh-CN"/>
              </w:rPr>
            </w:pPr>
            <w:r>
              <w:rPr>
                <w:rFonts w:hint="eastAsia" w:ascii="宋体" w:hAnsi="宋体" w:eastAsia="宋体"/>
                <w:bCs/>
                <w:color w:val="auto"/>
                <w:sz w:val="24"/>
                <w:highlight w:val="none"/>
                <w:lang w:val="zh-CN" w:eastAsia="zh-CN" w:bidi="zh-CN"/>
              </w:rPr>
              <w:t>支持数据统计分析</w:t>
            </w:r>
          </w:p>
          <w:p>
            <w:pPr>
              <w:pStyle w:val="201"/>
              <w:numPr>
                <w:ilvl w:val="0"/>
                <w:numId w:val="18"/>
              </w:numPr>
              <w:spacing w:before="0" w:line="360" w:lineRule="auto"/>
              <w:ind w:right="105" w:rightChars="50" w:firstLine="482"/>
              <w:rPr>
                <w:rFonts w:ascii="宋体" w:hAnsi="宋体" w:eastAsia="宋体"/>
                <w:bCs/>
                <w:color w:val="auto"/>
                <w:sz w:val="24"/>
                <w:highlight w:val="none"/>
                <w:lang w:val="zh-CN" w:eastAsia="zh-CN" w:bidi="zh-CN"/>
              </w:rPr>
            </w:pPr>
            <w:r>
              <w:rPr>
                <w:rFonts w:hint="eastAsia" w:ascii="宋体" w:hAnsi="宋体" w:eastAsia="宋体"/>
                <w:bCs/>
                <w:color w:val="auto"/>
                <w:sz w:val="24"/>
                <w:highlight w:val="none"/>
                <w:lang w:val="zh-CN" w:eastAsia="zh-CN" w:bidi="zh-CN"/>
              </w:rPr>
              <w:t>支持科室级层独立管理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1980" w:type="dxa"/>
            <w:vAlign w:val="center"/>
          </w:tcPr>
          <w:p>
            <w:pPr>
              <w:spacing w:line="360" w:lineRule="auto"/>
              <w:ind w:left="8" w:right="33"/>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心身应用系统</w:t>
            </w:r>
          </w:p>
        </w:tc>
        <w:tc>
          <w:tcPr>
            <w:tcW w:w="7097" w:type="dxa"/>
            <w:vAlign w:val="center"/>
          </w:tcPr>
          <w:p>
            <w:pPr>
              <w:pStyle w:val="201"/>
              <w:numPr>
                <w:ilvl w:val="0"/>
                <w:numId w:val="18"/>
              </w:numPr>
              <w:spacing w:before="0"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支持报告管理</w:t>
            </w:r>
          </w:p>
          <w:p>
            <w:pPr>
              <w:pStyle w:val="201"/>
              <w:numPr>
                <w:ilvl w:val="0"/>
                <w:numId w:val="18"/>
              </w:numPr>
              <w:spacing w:before="0"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支持心身评估</w:t>
            </w:r>
          </w:p>
          <w:p>
            <w:pPr>
              <w:pStyle w:val="201"/>
              <w:numPr>
                <w:ilvl w:val="0"/>
                <w:numId w:val="18"/>
              </w:numPr>
              <w:spacing w:before="0"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支持预警管理</w:t>
            </w:r>
          </w:p>
          <w:p>
            <w:pPr>
              <w:pStyle w:val="201"/>
              <w:numPr>
                <w:ilvl w:val="0"/>
                <w:numId w:val="18"/>
              </w:numPr>
              <w:spacing w:before="0"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支持心身干预促进</w:t>
            </w:r>
          </w:p>
          <w:p>
            <w:pPr>
              <w:pStyle w:val="201"/>
              <w:numPr>
                <w:ilvl w:val="0"/>
                <w:numId w:val="18"/>
              </w:numPr>
              <w:spacing w:before="0"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支持效果评估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1980" w:type="dxa"/>
            <w:vAlign w:val="center"/>
          </w:tcPr>
          <w:p>
            <w:pPr>
              <w:spacing w:line="360" w:lineRule="auto"/>
              <w:ind w:left="8" w:right="33"/>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移动式身心评估系统</w:t>
            </w:r>
          </w:p>
        </w:tc>
        <w:tc>
          <w:tcPr>
            <w:tcW w:w="7097" w:type="dxa"/>
            <w:vAlign w:val="center"/>
          </w:tcPr>
          <w:p>
            <w:pPr>
              <w:pStyle w:val="201"/>
              <w:numPr>
                <w:ilvl w:val="0"/>
                <w:numId w:val="18"/>
              </w:numPr>
              <w:spacing w:before="0"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对住院病人实现全面的心理状态评估，给医生及护士在诊疗过程中提供有效参考，系统针对不同的心理状态给于有效的心理干预促进方案，其心理干预系列由音乐治疗、视频训练、心理电子期刊、心理动漫、心理游戏等丰富的多媒体表现形式组成，可以为提供多维多级的干预促进及辅助治疗方案，从而实现心理自我援助与自我疏导。</w:t>
            </w:r>
          </w:p>
        </w:tc>
      </w:tr>
    </w:tbl>
    <w:p>
      <w:pPr>
        <w:pStyle w:val="8"/>
        <w:ind w:firstLine="480"/>
        <w:rPr>
          <w:rFonts w:ascii="宋体" w:hAnsi="宋体"/>
          <w:color w:val="auto"/>
          <w:szCs w:val="24"/>
          <w:highlight w:val="none"/>
        </w:rPr>
      </w:pPr>
    </w:p>
    <w:p>
      <w:pPr>
        <w:pStyle w:val="6"/>
        <w:numPr>
          <w:ilvl w:val="3"/>
          <w:numId w:val="8"/>
        </w:numPr>
        <w:spacing w:before="280" w:after="290" w:line="376" w:lineRule="auto"/>
        <w:rPr>
          <w:rFonts w:ascii="宋体" w:hAnsi="宋体"/>
          <w:color w:val="auto"/>
          <w:szCs w:val="24"/>
          <w:highlight w:val="none"/>
        </w:rPr>
      </w:pPr>
      <w:bookmarkStart w:id="621" w:name="_Toc24230"/>
      <w:r>
        <w:rPr>
          <w:rFonts w:hint="eastAsia" w:ascii="宋体" w:hAnsi="宋体"/>
          <w:color w:val="auto"/>
          <w:szCs w:val="24"/>
          <w:highlight w:val="none"/>
        </w:rPr>
        <w:t>小儿康复</w:t>
      </w:r>
      <w:r>
        <w:rPr>
          <w:rFonts w:hint="eastAsia" w:ascii="宋体" w:hAnsi="宋体"/>
          <w:color w:val="auto"/>
          <w:szCs w:val="24"/>
          <w:highlight w:val="none"/>
          <w:lang w:eastAsia="zh-CN"/>
        </w:rPr>
        <w:t>评审</w:t>
      </w:r>
      <w:r>
        <w:rPr>
          <w:rFonts w:hint="eastAsia" w:ascii="宋体" w:hAnsi="宋体"/>
          <w:color w:val="auto"/>
          <w:szCs w:val="24"/>
          <w:highlight w:val="none"/>
        </w:rPr>
        <w:t>系统</w:t>
      </w:r>
      <w:bookmarkEnd w:id="621"/>
    </w:p>
    <w:p>
      <w:pPr>
        <w:pStyle w:val="8"/>
        <w:ind w:firstLine="480"/>
        <w:rPr>
          <w:rFonts w:ascii="宋体" w:hAnsi="宋体"/>
          <w:color w:val="auto"/>
          <w:szCs w:val="24"/>
          <w:highlight w:val="none"/>
        </w:rPr>
      </w:pPr>
      <w:r>
        <w:rPr>
          <w:rFonts w:hint="eastAsia" w:ascii="宋体" w:hAnsi="宋体"/>
          <w:color w:val="auto"/>
          <w:szCs w:val="24"/>
          <w:highlight w:val="none"/>
        </w:rPr>
        <w:t>小儿康复科需要使用以下评估系统满足科室工作要求：儿童神经心理发育评估系统、婴幼儿智能发育量表（CDCC）、韦氏智力测验。</w:t>
      </w:r>
    </w:p>
    <w:p>
      <w:pPr>
        <w:pStyle w:val="8"/>
        <w:ind w:firstLine="480"/>
        <w:rPr>
          <w:rFonts w:ascii="宋体" w:hAnsi="宋体"/>
          <w:color w:val="auto"/>
          <w:szCs w:val="24"/>
          <w:highlight w:val="none"/>
        </w:rPr>
      </w:pPr>
      <w:r>
        <w:rPr>
          <w:rFonts w:hint="eastAsia" w:ascii="宋体" w:hAnsi="宋体"/>
          <w:color w:val="auto"/>
          <w:szCs w:val="24"/>
          <w:highlight w:val="none"/>
        </w:rPr>
        <w:t>需满足以下功能：</w:t>
      </w:r>
    </w:p>
    <w:tbl>
      <w:tblPr>
        <w:tblStyle w:val="43"/>
        <w:tblW w:w="90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trPr>
        <w:tc>
          <w:tcPr>
            <w:tcW w:w="1980"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7097"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6" w:hRule="atLeast"/>
        </w:trPr>
        <w:tc>
          <w:tcPr>
            <w:tcW w:w="1980" w:type="dxa"/>
            <w:vAlign w:val="center"/>
          </w:tcPr>
          <w:p>
            <w:pPr>
              <w:spacing w:line="360" w:lineRule="auto"/>
              <w:ind w:left="8" w:right="33"/>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儿童神经心理发育评估</w:t>
            </w:r>
          </w:p>
        </w:tc>
        <w:tc>
          <w:tcPr>
            <w:tcW w:w="7097" w:type="dxa"/>
            <w:vAlign w:val="center"/>
          </w:tcPr>
          <w:p>
            <w:pPr>
              <w:pStyle w:val="201"/>
              <w:numPr>
                <w:ilvl w:val="0"/>
                <w:numId w:val="18"/>
              </w:numPr>
              <w:spacing w:before="0"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支持数据可扩展性，具有无限存储能力，正常数据3秒响应，系统可兼容当前主流浏览器版本(google/360/IE)。</w:t>
            </w:r>
          </w:p>
          <w:p>
            <w:pPr>
              <w:pStyle w:val="201"/>
              <w:numPr>
                <w:ilvl w:val="0"/>
                <w:numId w:val="18"/>
              </w:numPr>
              <w:spacing w:before="0"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支持多种设备、多端口同时登录。</w:t>
            </w:r>
          </w:p>
          <w:p>
            <w:pPr>
              <w:pStyle w:val="201"/>
              <w:numPr>
                <w:ilvl w:val="0"/>
                <w:numId w:val="18"/>
              </w:numPr>
              <w:spacing w:before="0"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支持门诊无限共同使用。</w:t>
            </w:r>
          </w:p>
          <w:p>
            <w:pPr>
              <w:pStyle w:val="201"/>
              <w:numPr>
                <w:ilvl w:val="0"/>
                <w:numId w:val="18"/>
              </w:numPr>
              <w:spacing w:before="0" w:line="360" w:lineRule="auto"/>
              <w:ind w:right="105" w:rightChars="50" w:firstLine="482"/>
              <w:rPr>
                <w:rFonts w:ascii="宋体" w:hAnsi="宋体" w:eastAsia="宋体"/>
                <w:bCs/>
                <w:color w:val="auto"/>
                <w:sz w:val="24"/>
                <w:highlight w:val="none"/>
                <w:lang w:val="zh-CN" w:eastAsia="zh-CN" w:bidi="zh-CN"/>
              </w:rPr>
            </w:pPr>
            <w:r>
              <w:rPr>
                <w:rFonts w:hint="eastAsia" w:ascii="宋体" w:hAnsi="宋体" w:eastAsia="宋体"/>
                <w:color w:val="auto"/>
                <w:sz w:val="24"/>
                <w:highlight w:val="none"/>
                <w:lang w:val="zh-CN" w:eastAsia="zh-CN" w:bidi="zh-CN"/>
              </w:rPr>
              <w:t>支持可实时同步</w:t>
            </w:r>
            <w:r>
              <w:rPr>
                <w:rFonts w:hint="eastAsia" w:ascii="宋体" w:hAnsi="宋体" w:eastAsia="宋体"/>
                <w:bCs/>
                <w:color w:val="auto"/>
                <w:sz w:val="24"/>
                <w:highlight w:val="none"/>
                <w:lang w:val="zh-CN" w:eastAsia="zh-CN" w:bidi="zh-CN"/>
              </w:rPr>
              <w:t>录入数据，并实时共享数据等功能。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1980" w:type="dxa"/>
            <w:vAlign w:val="center"/>
          </w:tcPr>
          <w:p>
            <w:pPr>
              <w:spacing w:line="360" w:lineRule="auto"/>
              <w:ind w:left="8" w:right="33"/>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CDCC婴幼儿智力量表</w:t>
            </w:r>
          </w:p>
        </w:tc>
        <w:tc>
          <w:tcPr>
            <w:tcW w:w="7097" w:type="dxa"/>
            <w:vAlign w:val="center"/>
          </w:tcPr>
          <w:p>
            <w:pPr>
              <w:pStyle w:val="201"/>
              <w:numPr>
                <w:ilvl w:val="0"/>
                <w:numId w:val="18"/>
              </w:numPr>
              <w:spacing w:before="0"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支持测量系统有全面的系统设置功能，并支持多级用户管理。</w:t>
            </w:r>
          </w:p>
          <w:p>
            <w:pPr>
              <w:pStyle w:val="201"/>
              <w:numPr>
                <w:ilvl w:val="0"/>
                <w:numId w:val="18"/>
              </w:numPr>
              <w:spacing w:before="0"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支持根据评分结果自动计算得分及报告等功能。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6" w:hRule="atLeast"/>
        </w:trPr>
        <w:tc>
          <w:tcPr>
            <w:tcW w:w="1980" w:type="dxa"/>
            <w:vAlign w:val="center"/>
          </w:tcPr>
          <w:p>
            <w:pPr>
              <w:spacing w:line="360" w:lineRule="auto"/>
              <w:ind w:left="8" w:right="33"/>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中国韦氏智力测试</w:t>
            </w:r>
          </w:p>
        </w:tc>
        <w:tc>
          <w:tcPr>
            <w:tcW w:w="7097" w:type="dxa"/>
            <w:vAlign w:val="center"/>
          </w:tcPr>
          <w:p>
            <w:pPr>
              <w:pStyle w:val="201"/>
              <w:numPr>
                <w:ilvl w:val="0"/>
                <w:numId w:val="18"/>
              </w:numPr>
              <w:spacing w:before="0"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支持把韦氏智力测验操作软件化。</w:t>
            </w:r>
          </w:p>
          <w:p>
            <w:pPr>
              <w:pStyle w:val="201"/>
              <w:numPr>
                <w:ilvl w:val="0"/>
                <w:numId w:val="18"/>
              </w:numPr>
              <w:spacing w:before="0"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支持根据用户的情况自动匹配用户的常模数据类型，最大限度的保证测试精准度。</w:t>
            </w:r>
          </w:p>
          <w:p>
            <w:pPr>
              <w:pStyle w:val="201"/>
              <w:numPr>
                <w:ilvl w:val="0"/>
                <w:numId w:val="18"/>
              </w:numPr>
              <w:spacing w:before="0"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支持管理员自定义用户参数，自定义修改报告内容等功能。</w:t>
            </w:r>
          </w:p>
        </w:tc>
      </w:tr>
    </w:tbl>
    <w:p>
      <w:pPr>
        <w:pStyle w:val="6"/>
        <w:numPr>
          <w:ilvl w:val="3"/>
          <w:numId w:val="8"/>
        </w:numPr>
        <w:spacing w:before="280" w:after="290" w:line="376" w:lineRule="auto"/>
        <w:rPr>
          <w:rFonts w:ascii="宋体" w:hAnsi="宋体"/>
          <w:color w:val="auto"/>
          <w:szCs w:val="24"/>
          <w:highlight w:val="none"/>
        </w:rPr>
      </w:pPr>
      <w:bookmarkStart w:id="622" w:name="_Toc7736"/>
      <w:r>
        <w:rPr>
          <w:rFonts w:hint="eastAsia" w:ascii="宋体" w:hAnsi="宋体"/>
          <w:color w:val="auto"/>
          <w:szCs w:val="24"/>
          <w:highlight w:val="none"/>
        </w:rPr>
        <w:t>基础数据维护</w:t>
      </w:r>
      <w:bookmarkEnd w:id="622"/>
    </w:p>
    <w:tbl>
      <w:tblPr>
        <w:tblStyle w:val="43"/>
        <w:tblW w:w="90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 w:hRule="atLeast"/>
        </w:trPr>
        <w:tc>
          <w:tcPr>
            <w:tcW w:w="1980" w:type="dxa"/>
            <w:shd w:val="clear" w:color="auto" w:fill="2E74B5"/>
            <w:vAlign w:val="center"/>
          </w:tcPr>
          <w:p>
            <w:pPr>
              <w:spacing w:line="360" w:lineRule="auto"/>
              <w:ind w:left="8" w:right="33"/>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模块</w:t>
            </w:r>
          </w:p>
        </w:tc>
        <w:tc>
          <w:tcPr>
            <w:tcW w:w="7097" w:type="dxa"/>
            <w:shd w:val="clear" w:color="auto" w:fill="2E74B5"/>
            <w:vAlign w:val="center"/>
          </w:tcPr>
          <w:p>
            <w:pPr>
              <w:pStyle w:val="201"/>
              <w:spacing w:before="0" w:line="360" w:lineRule="auto"/>
              <w:ind w:left="0" w:right="105" w:rightChars="50"/>
              <w:jc w:val="center"/>
              <w:rPr>
                <w:rFonts w:ascii="宋体" w:hAnsi="宋体" w:eastAsia="宋体"/>
                <w:b/>
                <w:color w:val="auto"/>
                <w:sz w:val="24"/>
                <w:highlight w:val="none"/>
                <w:lang w:val="zh-CN" w:eastAsia="zh-CN" w:bidi="zh-CN"/>
              </w:rPr>
            </w:pPr>
            <w:r>
              <w:rPr>
                <w:rFonts w:hint="eastAsia" w:ascii="宋体" w:hAnsi="宋体" w:eastAsia="宋体"/>
                <w:b/>
                <w:color w:val="auto"/>
                <w:sz w:val="24"/>
                <w:highlight w:val="none"/>
                <w:lang w:val="zh-CN" w:eastAsia="zh-CN" w:bidi="zh-CN"/>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6" w:hRule="atLeast"/>
        </w:trPr>
        <w:tc>
          <w:tcPr>
            <w:tcW w:w="1980" w:type="dxa"/>
            <w:vAlign w:val="center"/>
          </w:tcPr>
          <w:p>
            <w:pPr>
              <w:spacing w:line="360" w:lineRule="auto"/>
              <w:ind w:left="8" w:right="33"/>
              <w:jc w:val="center"/>
              <w:rPr>
                <w:rFonts w:ascii="宋体" w:hAnsi="宋体" w:cs="仿宋"/>
                <w:b/>
                <w:color w:val="auto"/>
                <w:sz w:val="24"/>
                <w:highlight w:val="none"/>
                <w:lang w:val="zh-CN" w:bidi="zh-CN"/>
              </w:rPr>
            </w:pPr>
            <w:r>
              <w:rPr>
                <w:rFonts w:hint="eastAsia" w:ascii="宋体" w:hAnsi="宋体"/>
                <w:color w:val="auto"/>
                <w:highlight w:val="none"/>
              </w:rPr>
              <w:t>基础数据维护</w:t>
            </w:r>
          </w:p>
        </w:tc>
        <w:tc>
          <w:tcPr>
            <w:tcW w:w="7097" w:type="dxa"/>
            <w:vAlign w:val="center"/>
          </w:tcPr>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组织：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1、支持用于维护医院基本信息，支持上传LOGO图片，在系统登录界面，显示医院自己的LOGO。</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2、支持新建多个组织。</w:t>
            </w:r>
          </w:p>
          <w:p>
            <w:pPr>
              <w:pStyle w:val="130"/>
              <w:ind w:firstLine="480" w:firstLineChars="200"/>
              <w:rPr>
                <w:rFonts w:ascii="宋体" w:hAnsi="宋体"/>
                <w:color w:val="auto"/>
                <w:kern w:val="2"/>
                <w:szCs w:val="24"/>
                <w:highlight w:val="none"/>
              </w:rPr>
            </w:pPr>
            <w:r>
              <w:rPr>
                <w:rFonts w:ascii="宋体" w:hAnsi="宋体"/>
                <w:color w:val="auto"/>
                <w:kern w:val="2"/>
                <w:szCs w:val="24"/>
                <w:highlight w:val="none"/>
              </w:rPr>
              <w:t>3</w:t>
            </w:r>
            <w:r>
              <w:rPr>
                <w:rFonts w:hint="eastAsia" w:ascii="宋体" w:hAnsi="宋体"/>
                <w:color w:val="auto"/>
                <w:kern w:val="2"/>
                <w:szCs w:val="24"/>
                <w:highlight w:val="none"/>
              </w:rPr>
              <w:t>、支持从基础数据和业务数据两个维度对多院区进行多级管控，支持集团、医院、科室组织架构下的维护；</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部门：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1、支持在选定的组织下，维护科室信息。</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2、支持临床、护理、医技、药剂、总务、财务、人事、行政等部门类型。</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3、支持普通部门、虚拟部门、分类部门等部门类别。</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4、支持配置可用该科室的就诊类型。</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5、支持配置部门的院区属性。</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人员：</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1、支持在选定的组织、部门下，维护人员信息。</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2、支持维护医师属性，支持配置处方权。</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3、支持维护人员签名图片。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用户：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1、支持配置系统登录用户。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2、支持静态密码认证、二维码认证、CA认证等多种认证类型。</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3、支持最低级、预置级、普通级、管理级，四级密码安全级别。</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4、支持用户有效日期配置。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5、支持用户科室权限、功能节点权限配置。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时区：支持配置系统使用地所在时区。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工作日历：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1、支持维护工作日历，含日历对应工作日历规则，起止日期，假日类型等。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2、支持新增、修改、删除工作日历。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3、支持对于不同的工作类型，定义相对应的工作日历。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计量单位：</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1、支持维护组织级计量单位。</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2、支持新增、复制新增、修改、删除计量单位，包含编号、姓名、所属量纲、换算系数、小数位数等。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日期分组：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1、支持日期分组的维护。</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2、支持新增、复制新增、编辑、查看、删除、启用、停用日期分组。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频次：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1、支持组织级频次维护。</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2、支持新增、复制新增、编辑、查看、删除、启用、停用频次。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3、支持按照一次、持续、天、小时、星期、计划等类型，进行频次维护。</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诊断标准：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1、支持诊断体系下，维护诊断标准。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2、支持新增、编辑、删除、启用、停用诊断标准。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3、支持国际标准、国家标准、省级标准、医院自备等诊断标准。支持西医诊断体系、中医诊断体系、手术诊断体系、病案首页编码体系等诊断体系。</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诊断定义：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1、支持在诊断标准分类下，维护诊断。</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2、支持新增、复制新增、编辑、查看、删除、启用、停用诊断。</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3、支持自备诊断，支持维护诊断对应的关注指标、诊断别名、诊断对照等。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4、支持症候和疾病标识、慢性病标识、上报标识维护。</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诊疗项目：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1、支持在诊疗项目分类(服务基本分类)下维护诊疗项目。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2、支持新增、复制新增、编辑、查看、删除、启用、停用诊疗项目。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支持配置服务类型、默认频次、默认用量、默认用量单位、医嘱标记、服务套、服务套项目单选、服务套开立方式、定价模式、收费分类、集成平台服务分类、费用标识、是否多次执行、是否多剂量、总量开单方式、默认次数、可用就诊类型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价表维护：</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1、支持维护本服务定价的非药品类价格。</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费用对照：</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1、支持维护非本服务定价的非药品类价格。</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用法费用对照：支持维护用法和费用项的对照。</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煎法费用对照：支持维护煎法和费用项的对照。</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标本费用对照：支持维护根据标本类型，采集标本时，需要自动带出的费用项目。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煎法要求费用对照：支持维护煎法要求和费用项的对照。</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儿童采集费对照：支持维护儿童采集服务项目的价格</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用法加药费维护：支持维护用法加药费，支持费用项目、数量及关联服务执行流向的配置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标本类型关联费用：支持按标本类型，维护关联的费用项，支持配置费用项目、数量等。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病理标本费用对照：支持病理标本，按照就诊类型，维护关联的费用项，支持配置费用项目、数量等。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患者分类：</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1、支持维护患者分类。</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2、支持维护患者分类对应的价格分类、信用分类、医保产品、患者来源、险种，以及是否医保基金支付，是否持卡就诊等信息。</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患者信用分类：</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1、支持维护患者信用分类。</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2、支持分别维护门诊、住院可透支额度。</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发票分类：</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1、支持维护发票分类，比如：门诊发票、住院发票、门诊押金条、住院押金条、优惠套餐收据等。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2、支持维护发票分类下对应的发票分类项目。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3、支持维护发票分类项目对应的医疗服务项目。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医疗单维护：</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1、支持医疗单维护（开立时显示样式）。</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2、支持按照住院、门诊、护嘱等分类，检验、检验、药品等服务类型，全院、科室，及就诊类型等维护相应的医疗单。</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3、支持按医嘱项目维护医疗单。</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医疗单打印模板维护：</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1、支持医疗单打印模板维护（打印时显示样式）。</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2、支持按照住院、门诊、护嘱等分类，检验、检验、药品等服务类型，全院、科室，及就诊类型等维护相应的医疗单。</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3、支持按医嘱项目维护医疗单打印模板。</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医嘱流向配置：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1、支持医嘱流向配置的新增、编辑、查看、删除、刷新操作。</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2、支持医嘱流向以列表的形式显示。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3、支持选中一条就诊类型，对应显示出该类型下所有的医嘱流向配置。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医嘱闭环配置：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1、支持医嘱闭环配置的编辑、刷新操作。</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2、支持医嘱闭环配置以列表的形式显示。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3、支持选中一条医嘱闭环类型，对应显示出该类型下所有的医嘱闭环配置。</w:t>
            </w:r>
          </w:p>
          <w:p>
            <w:pPr>
              <w:spacing w:line="360" w:lineRule="auto"/>
              <w:ind w:firstLine="480" w:firstLineChars="200"/>
              <w:rPr>
                <w:rFonts w:hAnsi="宋体"/>
                <w:color w:val="auto"/>
                <w:sz w:val="24"/>
                <w:highlight w:val="none"/>
              </w:rPr>
            </w:pPr>
            <w:r>
              <w:rPr>
                <w:rFonts w:hint="eastAsia" w:hAnsi="宋体"/>
                <w:color w:val="auto"/>
                <w:sz w:val="24"/>
                <w:highlight w:val="none"/>
              </w:rPr>
              <w:t>自主运维：</w:t>
            </w:r>
          </w:p>
          <w:p>
            <w:pPr>
              <w:spacing w:line="360" w:lineRule="auto"/>
              <w:ind w:firstLine="480" w:firstLineChars="200"/>
              <w:rPr>
                <w:rFonts w:hAnsi="宋体"/>
                <w:color w:val="auto"/>
                <w:sz w:val="24"/>
                <w:highlight w:val="none"/>
              </w:rPr>
            </w:pPr>
            <w:r>
              <w:rPr>
                <w:rFonts w:hint="eastAsia" w:ascii="宋体" w:hAnsi="宋体"/>
                <w:color w:val="auto"/>
                <w:sz w:val="24"/>
                <w:highlight w:val="none"/>
              </w:rPr>
              <w:t>支持提供可视化的系统运行维护功能，支持可视化的服务器运维、客户端运维和数据库运维，支持主机集群、文件系统、共享缓存、负载均衡和数据库运行情况的监控与优化。</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自主开发：</w:t>
            </w:r>
          </w:p>
          <w:p>
            <w:pPr>
              <w:spacing w:line="360" w:lineRule="auto"/>
              <w:ind w:firstLine="480" w:firstLineChars="200"/>
              <w:rPr>
                <w:rFonts w:hAnsi="宋体"/>
                <w:color w:val="auto"/>
                <w:sz w:val="24"/>
                <w:highlight w:val="none"/>
              </w:rPr>
            </w:pPr>
            <w:r>
              <w:rPr>
                <w:rFonts w:hint="eastAsia" w:ascii="宋体" w:hAnsi="宋体"/>
                <w:color w:val="auto"/>
                <w:sz w:val="24"/>
                <w:highlight w:val="none"/>
              </w:rPr>
              <w:t>支持提供数据实体、表单和界面布局的开发完全脱离第三方的开发环境。</w:t>
            </w:r>
          </w:p>
        </w:tc>
      </w:tr>
    </w:tbl>
    <w:p>
      <w:pPr>
        <w:pStyle w:val="5"/>
        <w:numPr>
          <w:ilvl w:val="2"/>
          <w:numId w:val="8"/>
        </w:numPr>
        <w:autoSpaceDE/>
        <w:autoSpaceDN/>
        <w:adjustRightInd/>
        <w:spacing w:before="260" w:after="260" w:line="416" w:lineRule="auto"/>
        <w:jc w:val="both"/>
        <w:rPr>
          <w:rFonts w:hAnsi="宋体"/>
          <w:color w:val="auto"/>
          <w:szCs w:val="24"/>
          <w:highlight w:val="none"/>
        </w:rPr>
      </w:pPr>
      <w:bookmarkStart w:id="623" w:name="_Toc299792596"/>
      <w:bookmarkStart w:id="624" w:name="_Toc138247815"/>
      <w:bookmarkStart w:id="625" w:name="_Toc29107"/>
      <w:r>
        <w:rPr>
          <w:rFonts w:hint="eastAsia" w:hAnsi="宋体"/>
          <w:color w:val="auto"/>
          <w:szCs w:val="24"/>
          <w:highlight w:val="none"/>
        </w:rPr>
        <w:t>智慧管理建设</w:t>
      </w:r>
      <w:bookmarkEnd w:id="623"/>
      <w:bookmarkEnd w:id="624"/>
      <w:bookmarkEnd w:id="625"/>
    </w:p>
    <w:p>
      <w:pPr>
        <w:pStyle w:val="6"/>
        <w:numPr>
          <w:ilvl w:val="3"/>
          <w:numId w:val="8"/>
        </w:numPr>
        <w:spacing w:before="280" w:after="290" w:line="376" w:lineRule="auto"/>
        <w:rPr>
          <w:rFonts w:ascii="宋体" w:hAnsi="宋体"/>
          <w:color w:val="auto"/>
          <w:sz w:val="24"/>
          <w:szCs w:val="24"/>
          <w:highlight w:val="none"/>
        </w:rPr>
      </w:pPr>
      <w:bookmarkStart w:id="626" w:name="_Toc31646"/>
      <w:r>
        <w:rPr>
          <w:rFonts w:hint="eastAsia" w:ascii="宋体" w:hAnsi="宋体"/>
          <w:color w:val="auto"/>
          <w:sz w:val="24"/>
          <w:szCs w:val="24"/>
          <w:highlight w:val="none"/>
        </w:rPr>
        <w:t>医疗管理系统</w:t>
      </w:r>
      <w:bookmarkEnd w:id="626"/>
    </w:p>
    <w:p>
      <w:pPr>
        <w:pStyle w:val="7"/>
        <w:numPr>
          <w:ilvl w:val="4"/>
          <w:numId w:val="8"/>
        </w:numPr>
        <w:rPr>
          <w:rFonts w:ascii="宋体" w:hAnsi="宋体"/>
          <w:color w:val="auto"/>
          <w:szCs w:val="24"/>
          <w:highlight w:val="none"/>
        </w:rPr>
      </w:pPr>
      <w:bookmarkStart w:id="627" w:name="_Toc24574"/>
      <w:r>
        <w:rPr>
          <w:rFonts w:hint="eastAsia" w:ascii="宋体" w:hAnsi="宋体"/>
          <w:color w:val="auto"/>
          <w:szCs w:val="24"/>
          <w:highlight w:val="none"/>
        </w:rPr>
        <w:t>医院感染管理系统</w:t>
      </w:r>
      <w:bookmarkEnd w:id="627"/>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为确保我院医院感染管理系统的延续性及高效稳定性，针对医院感染管理系统进行一年的维保。在维保期内供应商提供技术支持和指导，应用系统的局部改进完善，安排合格的技术工程师提供技术服务，以及现场问题解决。</w:t>
      </w:r>
    </w:p>
    <w:p>
      <w:pPr>
        <w:pStyle w:val="7"/>
        <w:numPr>
          <w:ilvl w:val="4"/>
          <w:numId w:val="8"/>
        </w:numPr>
        <w:rPr>
          <w:rFonts w:ascii="宋体" w:hAnsi="宋体"/>
          <w:color w:val="auto"/>
          <w:szCs w:val="24"/>
          <w:highlight w:val="none"/>
        </w:rPr>
      </w:pPr>
      <w:bookmarkStart w:id="628" w:name="_Toc16102"/>
      <w:r>
        <w:rPr>
          <w:rFonts w:hint="eastAsia" w:ascii="宋体" w:hAnsi="宋体"/>
          <w:color w:val="auto"/>
          <w:szCs w:val="24"/>
          <w:highlight w:val="none"/>
        </w:rPr>
        <w:t>单病种过程质控与数据上报系统</w:t>
      </w:r>
      <w:bookmarkEnd w:id="628"/>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单病上报系统需能够按照国家单病种上报要求，自动监测识别需报告的病例，通过自动和人工相结合的方式进行病种数据采集，实现单病种数据的监测报告、质控管理和统计分析功能，辅助临床持续改进诊疗质量，确保及时、准确、完整地上报至国家单病种质量管理平台。</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72" w:type="dxa"/>
        <w:jc w:val="center"/>
        <w:tblLayout w:type="fixed"/>
        <w:tblCellMar>
          <w:top w:w="0" w:type="dxa"/>
          <w:left w:w="108" w:type="dxa"/>
          <w:bottom w:w="0" w:type="dxa"/>
          <w:right w:w="108" w:type="dxa"/>
        </w:tblCellMar>
      </w:tblPr>
      <w:tblGrid>
        <w:gridCol w:w="1555"/>
        <w:gridCol w:w="7517"/>
      </w:tblGrid>
      <w:tr>
        <w:tblPrEx>
          <w:tblCellMar>
            <w:top w:w="0" w:type="dxa"/>
            <w:left w:w="108" w:type="dxa"/>
            <w:bottom w:w="0" w:type="dxa"/>
            <w:right w:w="108" w:type="dxa"/>
          </w:tblCellMar>
        </w:tblPrEx>
        <w:trPr>
          <w:trHeight w:val="510" w:hRule="atLeast"/>
          <w:tblHeader/>
          <w:jc w:val="center"/>
        </w:trPr>
        <w:tc>
          <w:tcPr>
            <w:tcW w:w="1555" w:type="dxa"/>
            <w:tcBorders>
              <w:top w:val="single" w:color="auto" w:sz="4" w:space="0"/>
              <w:left w:val="single" w:color="auto" w:sz="4" w:space="0"/>
              <w:bottom w:val="single" w:color="auto" w:sz="4" w:space="0"/>
              <w:right w:val="single" w:color="auto" w:sz="4" w:space="0"/>
            </w:tcBorders>
            <w:shd w:val="clear" w:color="auto" w:fill="0070C0"/>
            <w:noWrap/>
            <w:vAlign w:val="center"/>
          </w:tcPr>
          <w:p>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模块</w:t>
            </w:r>
          </w:p>
        </w:tc>
        <w:tc>
          <w:tcPr>
            <w:tcW w:w="7517" w:type="dxa"/>
            <w:tcBorders>
              <w:top w:val="single" w:color="auto" w:sz="4" w:space="0"/>
              <w:left w:val="nil"/>
              <w:bottom w:val="single" w:color="auto" w:sz="4" w:space="0"/>
              <w:right w:val="single" w:color="auto" w:sz="4" w:space="0"/>
            </w:tcBorders>
            <w:shd w:val="clear" w:color="auto" w:fill="0070C0"/>
            <w:noWrap/>
            <w:vAlign w:val="center"/>
          </w:tcPr>
          <w:p>
            <w:pPr>
              <w:spacing w:line="360" w:lineRule="auto"/>
              <w:ind w:firstLine="482" w:firstLineChars="200"/>
              <w:jc w:val="center"/>
              <w:rPr>
                <w:rFonts w:ascii="宋体" w:hAnsi="宋体"/>
                <w:b/>
                <w:color w:val="auto"/>
                <w:sz w:val="24"/>
                <w:highlight w:val="none"/>
              </w:rPr>
            </w:pPr>
            <w:r>
              <w:rPr>
                <w:rFonts w:hint="eastAsia" w:ascii="宋体" w:hAnsi="宋体"/>
                <w:b/>
                <w:color w:val="auto"/>
                <w:sz w:val="24"/>
                <w:highlight w:val="none"/>
              </w:rPr>
              <w:t>功能要求</w:t>
            </w:r>
          </w:p>
        </w:tc>
      </w:tr>
      <w:tr>
        <w:tblPrEx>
          <w:tblCellMar>
            <w:top w:w="0" w:type="dxa"/>
            <w:left w:w="108" w:type="dxa"/>
            <w:bottom w:w="0" w:type="dxa"/>
            <w:right w:w="108" w:type="dxa"/>
          </w:tblCellMar>
        </w:tblPrEx>
        <w:trPr>
          <w:trHeight w:val="570" w:hRule="atLeast"/>
          <w:jc w:val="center"/>
        </w:trPr>
        <w:tc>
          <w:tcPr>
            <w:tcW w:w="1555" w:type="dxa"/>
            <w:tcBorders>
              <w:top w:val="nil"/>
              <w:left w:val="single" w:color="auto" w:sz="4" w:space="0"/>
              <w:bottom w:val="single" w:color="auto" w:sz="4" w:space="0"/>
              <w:right w:val="single" w:color="auto" w:sz="4" w:space="0"/>
            </w:tcBorders>
            <w:noWrap/>
            <w:vAlign w:val="center"/>
          </w:tcPr>
          <w:p>
            <w:pPr>
              <w:spacing w:line="360" w:lineRule="auto"/>
              <w:ind w:left="8" w:right="33"/>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病种管理</w:t>
            </w:r>
          </w:p>
        </w:tc>
        <w:tc>
          <w:tcPr>
            <w:tcW w:w="7517" w:type="dxa"/>
            <w:tcBorders>
              <w:top w:val="nil"/>
              <w:left w:val="nil"/>
              <w:bottom w:val="single" w:color="auto" w:sz="4" w:space="0"/>
              <w:right w:val="single" w:color="auto" w:sz="4" w:space="0"/>
            </w:tcBorders>
            <w:vAlign w:val="bottom"/>
          </w:tcPr>
          <w:p>
            <w:pPr>
              <w:pStyle w:val="201"/>
              <w:numPr>
                <w:ilvl w:val="0"/>
                <w:numId w:val="18"/>
              </w:numPr>
              <w:spacing w:before="0"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支持为每个病种库独立设置用户及关联权限的功能</w:t>
            </w:r>
          </w:p>
          <w:p>
            <w:pPr>
              <w:pStyle w:val="201"/>
              <w:numPr>
                <w:ilvl w:val="0"/>
                <w:numId w:val="18"/>
              </w:numPr>
              <w:spacing w:before="0"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支持病种库内按照科室级别进行数据访问及权限管理</w:t>
            </w:r>
          </w:p>
          <w:p>
            <w:pPr>
              <w:pStyle w:val="201"/>
              <w:numPr>
                <w:ilvl w:val="0"/>
                <w:numId w:val="18"/>
              </w:numPr>
              <w:spacing w:before="0" w:line="360" w:lineRule="auto"/>
              <w:ind w:right="105" w:rightChars="50" w:firstLine="482"/>
              <w:rPr>
                <w:rFonts w:ascii="宋体" w:hAnsi="宋体" w:eastAsia="宋体" w:cs="Times New Roman"/>
                <w:color w:val="auto"/>
                <w:sz w:val="24"/>
                <w:highlight w:val="none"/>
                <w:lang w:eastAsia="zh-CN"/>
              </w:rPr>
            </w:pPr>
            <w:r>
              <w:rPr>
                <w:rFonts w:hint="eastAsia" w:ascii="宋体" w:hAnsi="宋体" w:eastAsia="宋体"/>
                <w:color w:val="auto"/>
                <w:sz w:val="24"/>
                <w:highlight w:val="none"/>
                <w:lang w:val="zh-CN" w:eastAsia="zh-CN" w:bidi="zh-CN"/>
              </w:rPr>
              <w:t>支持每个病种库独立的术语管理，包括术语的新增、修改和删除</w:t>
            </w:r>
          </w:p>
        </w:tc>
      </w:tr>
      <w:tr>
        <w:tblPrEx>
          <w:tblCellMar>
            <w:top w:w="0" w:type="dxa"/>
            <w:left w:w="108" w:type="dxa"/>
            <w:bottom w:w="0" w:type="dxa"/>
            <w:right w:w="108" w:type="dxa"/>
          </w:tblCellMar>
        </w:tblPrEx>
        <w:trPr>
          <w:trHeight w:val="540" w:hRule="atLeast"/>
          <w:jc w:val="center"/>
        </w:trPr>
        <w:tc>
          <w:tcPr>
            <w:tcW w:w="1555" w:type="dxa"/>
            <w:tcBorders>
              <w:top w:val="nil"/>
              <w:left w:val="single" w:color="auto" w:sz="4" w:space="0"/>
              <w:bottom w:val="single" w:color="auto" w:sz="4" w:space="0"/>
              <w:right w:val="single" w:color="auto" w:sz="4" w:space="0"/>
            </w:tcBorders>
            <w:noWrap/>
            <w:vAlign w:val="center"/>
          </w:tcPr>
          <w:p>
            <w:pPr>
              <w:spacing w:line="360" w:lineRule="auto"/>
              <w:ind w:left="8" w:right="33"/>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填报项配置</w:t>
            </w:r>
          </w:p>
        </w:tc>
        <w:tc>
          <w:tcPr>
            <w:tcW w:w="7517" w:type="dxa"/>
            <w:tcBorders>
              <w:top w:val="nil"/>
              <w:left w:val="nil"/>
              <w:bottom w:val="single" w:color="auto" w:sz="4" w:space="0"/>
              <w:right w:val="single" w:color="auto" w:sz="4" w:space="0"/>
            </w:tcBorders>
            <w:vAlign w:val="bottom"/>
          </w:tcPr>
          <w:p>
            <w:pPr>
              <w:pStyle w:val="201"/>
              <w:numPr>
                <w:ilvl w:val="0"/>
                <w:numId w:val="18"/>
              </w:numPr>
              <w:spacing w:before="0"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支持可根据国家单病种填报项的优化通知，提供填报项目自定义配置功能</w:t>
            </w:r>
          </w:p>
          <w:p>
            <w:pPr>
              <w:pStyle w:val="201"/>
              <w:numPr>
                <w:ilvl w:val="0"/>
                <w:numId w:val="18"/>
              </w:numPr>
              <w:spacing w:before="0"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支持指标的拖拽式布局，病种填报指标项目设计要求所见即所得</w:t>
            </w:r>
          </w:p>
          <w:p>
            <w:pPr>
              <w:pStyle w:val="201"/>
              <w:numPr>
                <w:ilvl w:val="0"/>
                <w:numId w:val="18"/>
              </w:numPr>
              <w:spacing w:before="0"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支持指标项目的必填项、格式、逻辑关联、公式计算配置，支持条件判断</w:t>
            </w:r>
          </w:p>
        </w:tc>
      </w:tr>
      <w:tr>
        <w:tblPrEx>
          <w:tblCellMar>
            <w:top w:w="0" w:type="dxa"/>
            <w:left w:w="108" w:type="dxa"/>
            <w:bottom w:w="0" w:type="dxa"/>
            <w:right w:w="108" w:type="dxa"/>
          </w:tblCellMar>
        </w:tblPrEx>
        <w:trPr>
          <w:trHeight w:val="570" w:hRule="atLeast"/>
          <w:jc w:val="center"/>
        </w:trPr>
        <w:tc>
          <w:tcPr>
            <w:tcW w:w="1555" w:type="dxa"/>
            <w:tcBorders>
              <w:top w:val="nil"/>
              <w:left w:val="single" w:color="auto" w:sz="4" w:space="0"/>
              <w:bottom w:val="single" w:color="auto" w:sz="4" w:space="0"/>
              <w:right w:val="single" w:color="auto" w:sz="4" w:space="0"/>
            </w:tcBorders>
            <w:noWrap/>
            <w:vAlign w:val="center"/>
          </w:tcPr>
          <w:p>
            <w:pPr>
              <w:spacing w:line="360" w:lineRule="auto"/>
              <w:ind w:left="8" w:right="33"/>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数据采集</w:t>
            </w:r>
          </w:p>
        </w:tc>
        <w:tc>
          <w:tcPr>
            <w:tcW w:w="7517" w:type="dxa"/>
            <w:tcBorders>
              <w:top w:val="nil"/>
              <w:left w:val="nil"/>
              <w:bottom w:val="single" w:color="auto" w:sz="4" w:space="0"/>
              <w:right w:val="single" w:color="auto" w:sz="4" w:space="0"/>
            </w:tcBorders>
            <w:vAlign w:val="bottom"/>
          </w:tcPr>
          <w:p>
            <w:pPr>
              <w:pStyle w:val="201"/>
              <w:numPr>
                <w:ilvl w:val="0"/>
                <w:numId w:val="18"/>
              </w:numPr>
              <w:spacing w:before="0"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支持按照国家要求单病种入排规则，自动筛选符合条件的患者归集到待上报的各个病种中，支持根据病案号、出院时间、病种类型排除重复记录</w:t>
            </w:r>
          </w:p>
          <w:p>
            <w:pPr>
              <w:pStyle w:val="201"/>
              <w:numPr>
                <w:ilvl w:val="0"/>
                <w:numId w:val="18"/>
              </w:numPr>
              <w:spacing w:before="0"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支持由临床数据中心或者临床业务系统自动采集患者相关的已有临床数据，支持病种数据项与临床数据中心数据实现绑定抽取</w:t>
            </w:r>
          </w:p>
          <w:p>
            <w:pPr>
              <w:pStyle w:val="201"/>
              <w:numPr>
                <w:ilvl w:val="0"/>
                <w:numId w:val="18"/>
              </w:numPr>
              <w:spacing w:before="0"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支持提供编写SQL方式的可视化系统界面，实现自定义病种数据项的采集规则</w:t>
            </w:r>
          </w:p>
          <w:p>
            <w:pPr>
              <w:pStyle w:val="201"/>
              <w:numPr>
                <w:ilvl w:val="0"/>
                <w:numId w:val="18"/>
              </w:numPr>
              <w:spacing w:before="0"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支持同一表单从多个数据源采集数据的功能</w:t>
            </w:r>
          </w:p>
        </w:tc>
      </w:tr>
      <w:tr>
        <w:tblPrEx>
          <w:tblCellMar>
            <w:top w:w="0" w:type="dxa"/>
            <w:left w:w="108" w:type="dxa"/>
            <w:bottom w:w="0" w:type="dxa"/>
            <w:right w:w="108" w:type="dxa"/>
          </w:tblCellMar>
        </w:tblPrEx>
        <w:trPr>
          <w:trHeight w:val="570" w:hRule="atLeast"/>
          <w:jc w:val="center"/>
        </w:trPr>
        <w:tc>
          <w:tcPr>
            <w:tcW w:w="1555" w:type="dxa"/>
            <w:tcBorders>
              <w:top w:val="nil"/>
              <w:left w:val="single" w:color="auto" w:sz="4" w:space="0"/>
              <w:bottom w:val="single" w:color="auto" w:sz="4" w:space="0"/>
              <w:right w:val="single" w:color="auto" w:sz="4" w:space="0"/>
            </w:tcBorders>
            <w:noWrap/>
            <w:vAlign w:val="center"/>
          </w:tcPr>
          <w:p>
            <w:pPr>
              <w:spacing w:line="360" w:lineRule="auto"/>
              <w:ind w:left="8" w:right="33"/>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病种填报</w:t>
            </w:r>
          </w:p>
        </w:tc>
        <w:tc>
          <w:tcPr>
            <w:tcW w:w="7517" w:type="dxa"/>
            <w:tcBorders>
              <w:top w:val="nil"/>
              <w:left w:val="nil"/>
              <w:bottom w:val="single" w:color="auto" w:sz="4" w:space="0"/>
              <w:right w:val="single" w:color="auto" w:sz="4" w:space="0"/>
            </w:tcBorders>
            <w:vAlign w:val="bottom"/>
          </w:tcPr>
          <w:p>
            <w:pPr>
              <w:pStyle w:val="201"/>
              <w:numPr>
                <w:ilvl w:val="0"/>
                <w:numId w:val="18"/>
              </w:numPr>
              <w:spacing w:before="0"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支持汇总展示待上报的单病种患者列表，对患者进行新增、修改、删除功能</w:t>
            </w:r>
          </w:p>
          <w:p>
            <w:pPr>
              <w:pStyle w:val="201"/>
              <w:numPr>
                <w:ilvl w:val="0"/>
                <w:numId w:val="18"/>
              </w:numPr>
              <w:spacing w:before="0"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支持对患者院内已有数据，实现数据自动采集，并提供对抽取数据的人工确认修正，对病种填报主观判断数据支持人工填写</w:t>
            </w:r>
          </w:p>
          <w:p>
            <w:pPr>
              <w:pStyle w:val="201"/>
              <w:numPr>
                <w:ilvl w:val="0"/>
                <w:numId w:val="18"/>
              </w:numPr>
              <w:spacing w:before="0"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支持对已填报的病种数据按照处理流程分类管理，包括待填报、已上报、被驳回、草稿箱</w:t>
            </w:r>
          </w:p>
          <w:p>
            <w:pPr>
              <w:pStyle w:val="201"/>
              <w:numPr>
                <w:ilvl w:val="0"/>
                <w:numId w:val="18"/>
              </w:numPr>
              <w:spacing w:before="0"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支持病种数据填写的履历查看功能，并提供按照数据项维度进行追溯</w:t>
            </w:r>
          </w:p>
        </w:tc>
      </w:tr>
      <w:tr>
        <w:tblPrEx>
          <w:tblCellMar>
            <w:top w:w="0" w:type="dxa"/>
            <w:left w:w="108" w:type="dxa"/>
            <w:bottom w:w="0" w:type="dxa"/>
            <w:right w:w="108" w:type="dxa"/>
          </w:tblCellMar>
        </w:tblPrEx>
        <w:trPr>
          <w:trHeight w:val="555" w:hRule="atLeast"/>
          <w:jc w:val="center"/>
        </w:trPr>
        <w:tc>
          <w:tcPr>
            <w:tcW w:w="1555" w:type="dxa"/>
            <w:tcBorders>
              <w:top w:val="nil"/>
              <w:left w:val="single" w:color="auto" w:sz="4" w:space="0"/>
              <w:bottom w:val="single" w:color="auto" w:sz="4" w:space="0"/>
              <w:right w:val="single" w:color="auto" w:sz="4" w:space="0"/>
            </w:tcBorders>
            <w:noWrap/>
            <w:vAlign w:val="center"/>
          </w:tcPr>
          <w:p>
            <w:pPr>
              <w:spacing w:line="360" w:lineRule="auto"/>
              <w:ind w:left="8" w:right="33"/>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审核管理</w:t>
            </w:r>
          </w:p>
        </w:tc>
        <w:tc>
          <w:tcPr>
            <w:tcW w:w="7517" w:type="dxa"/>
            <w:tcBorders>
              <w:top w:val="nil"/>
              <w:left w:val="nil"/>
              <w:bottom w:val="single" w:color="auto" w:sz="4" w:space="0"/>
              <w:right w:val="single" w:color="auto" w:sz="4" w:space="0"/>
            </w:tcBorders>
            <w:vAlign w:val="bottom"/>
          </w:tcPr>
          <w:p>
            <w:pPr>
              <w:pStyle w:val="201"/>
              <w:numPr>
                <w:ilvl w:val="0"/>
                <w:numId w:val="18"/>
              </w:numPr>
              <w:spacing w:before="0"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支持对填报数据进行必填项、格式、逻辑关联校验和公式计算等自动质控</w:t>
            </w:r>
          </w:p>
          <w:p>
            <w:pPr>
              <w:pStyle w:val="201"/>
              <w:numPr>
                <w:ilvl w:val="0"/>
                <w:numId w:val="18"/>
              </w:numPr>
              <w:spacing w:before="0"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支持数据审核人员按照审核级别和权限对填报的数据进行审批管理的功能</w:t>
            </w:r>
          </w:p>
        </w:tc>
      </w:tr>
      <w:tr>
        <w:tblPrEx>
          <w:tblCellMar>
            <w:top w:w="0" w:type="dxa"/>
            <w:left w:w="108" w:type="dxa"/>
            <w:bottom w:w="0" w:type="dxa"/>
            <w:right w:w="108" w:type="dxa"/>
          </w:tblCellMar>
        </w:tblPrEx>
        <w:trPr>
          <w:trHeight w:val="465" w:hRule="atLeast"/>
          <w:jc w:val="center"/>
        </w:trPr>
        <w:tc>
          <w:tcPr>
            <w:tcW w:w="1555" w:type="dxa"/>
            <w:tcBorders>
              <w:top w:val="nil"/>
              <w:left w:val="single" w:color="auto" w:sz="4" w:space="0"/>
              <w:bottom w:val="single" w:color="auto" w:sz="4" w:space="0"/>
              <w:right w:val="single" w:color="auto" w:sz="4" w:space="0"/>
            </w:tcBorders>
            <w:noWrap/>
            <w:vAlign w:val="center"/>
          </w:tcPr>
          <w:p>
            <w:pPr>
              <w:spacing w:line="360" w:lineRule="auto"/>
              <w:ind w:left="8" w:right="33"/>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数据上报</w:t>
            </w:r>
          </w:p>
        </w:tc>
        <w:tc>
          <w:tcPr>
            <w:tcW w:w="7517" w:type="dxa"/>
            <w:tcBorders>
              <w:top w:val="nil"/>
              <w:left w:val="nil"/>
              <w:bottom w:val="single" w:color="auto" w:sz="4" w:space="0"/>
              <w:right w:val="single" w:color="auto" w:sz="4" w:space="0"/>
            </w:tcBorders>
            <w:vAlign w:val="bottom"/>
          </w:tcPr>
          <w:p>
            <w:pPr>
              <w:pStyle w:val="201"/>
              <w:numPr>
                <w:ilvl w:val="0"/>
                <w:numId w:val="18"/>
              </w:numPr>
              <w:spacing w:before="0"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支持对接国家单病种医院端接口，实现数据自动上报国家平台</w:t>
            </w:r>
          </w:p>
          <w:p>
            <w:pPr>
              <w:pStyle w:val="201"/>
              <w:numPr>
                <w:ilvl w:val="0"/>
                <w:numId w:val="18"/>
              </w:numPr>
              <w:spacing w:before="0"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支持上报任务的配置功能，包括接口类型、地址、参数、频率等，并根据配置调度执行功能</w:t>
            </w:r>
          </w:p>
        </w:tc>
      </w:tr>
      <w:tr>
        <w:tblPrEx>
          <w:tblCellMar>
            <w:top w:w="0" w:type="dxa"/>
            <w:left w:w="108" w:type="dxa"/>
            <w:bottom w:w="0" w:type="dxa"/>
            <w:right w:w="108" w:type="dxa"/>
          </w:tblCellMar>
        </w:tblPrEx>
        <w:trPr>
          <w:trHeight w:val="465" w:hRule="atLeast"/>
          <w:jc w:val="center"/>
        </w:trPr>
        <w:tc>
          <w:tcPr>
            <w:tcW w:w="1555" w:type="dxa"/>
            <w:tcBorders>
              <w:top w:val="nil"/>
              <w:left w:val="single" w:color="auto" w:sz="4" w:space="0"/>
              <w:bottom w:val="single" w:color="auto" w:sz="4" w:space="0"/>
              <w:right w:val="single" w:color="auto" w:sz="4" w:space="0"/>
            </w:tcBorders>
            <w:noWrap/>
            <w:vAlign w:val="center"/>
          </w:tcPr>
          <w:p>
            <w:pPr>
              <w:spacing w:line="360" w:lineRule="auto"/>
              <w:ind w:left="8" w:right="33"/>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统计分析</w:t>
            </w:r>
          </w:p>
        </w:tc>
        <w:tc>
          <w:tcPr>
            <w:tcW w:w="7517" w:type="dxa"/>
            <w:tcBorders>
              <w:top w:val="nil"/>
              <w:left w:val="nil"/>
              <w:bottom w:val="single" w:color="auto" w:sz="4" w:space="0"/>
              <w:right w:val="single" w:color="auto" w:sz="4" w:space="0"/>
            </w:tcBorders>
            <w:vAlign w:val="bottom"/>
          </w:tcPr>
          <w:p>
            <w:pPr>
              <w:pStyle w:val="201"/>
              <w:numPr>
                <w:ilvl w:val="0"/>
                <w:numId w:val="18"/>
              </w:numPr>
              <w:spacing w:before="0"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支持提供院内数据填写情况的统计图表展示功能，支持按照病种、时间维度统计</w:t>
            </w:r>
          </w:p>
          <w:p>
            <w:pPr>
              <w:pStyle w:val="201"/>
              <w:numPr>
                <w:ilvl w:val="0"/>
                <w:numId w:val="18"/>
              </w:numPr>
              <w:spacing w:before="0"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支持提供上报国家平台数据的统计分析功能，包括成功和失败数量统计</w:t>
            </w:r>
          </w:p>
        </w:tc>
      </w:tr>
      <w:tr>
        <w:tblPrEx>
          <w:tblCellMar>
            <w:top w:w="0" w:type="dxa"/>
            <w:left w:w="108" w:type="dxa"/>
            <w:bottom w:w="0" w:type="dxa"/>
            <w:right w:w="108" w:type="dxa"/>
          </w:tblCellMar>
        </w:tblPrEx>
        <w:trPr>
          <w:trHeight w:val="465" w:hRule="atLeast"/>
          <w:jc w:val="center"/>
        </w:trPr>
        <w:tc>
          <w:tcPr>
            <w:tcW w:w="1555" w:type="dxa"/>
            <w:tcBorders>
              <w:top w:val="nil"/>
              <w:left w:val="single" w:color="auto" w:sz="4" w:space="0"/>
              <w:bottom w:val="single" w:color="auto" w:sz="4" w:space="0"/>
              <w:right w:val="single" w:color="auto" w:sz="4" w:space="0"/>
            </w:tcBorders>
            <w:noWrap/>
            <w:vAlign w:val="center"/>
          </w:tcPr>
          <w:p>
            <w:pPr>
              <w:spacing w:line="360" w:lineRule="auto"/>
              <w:ind w:left="8" w:right="33"/>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导出中心</w:t>
            </w:r>
          </w:p>
        </w:tc>
        <w:tc>
          <w:tcPr>
            <w:tcW w:w="7517" w:type="dxa"/>
            <w:tcBorders>
              <w:top w:val="nil"/>
              <w:left w:val="nil"/>
              <w:bottom w:val="single" w:color="auto" w:sz="4" w:space="0"/>
              <w:right w:val="single" w:color="auto" w:sz="4" w:space="0"/>
            </w:tcBorders>
            <w:vAlign w:val="bottom"/>
          </w:tcPr>
          <w:p>
            <w:pPr>
              <w:pStyle w:val="201"/>
              <w:numPr>
                <w:ilvl w:val="0"/>
                <w:numId w:val="18"/>
              </w:numPr>
              <w:spacing w:before="0"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支持按照单病种所有项目自定义查询，支持并且和或者组合查询功能</w:t>
            </w:r>
          </w:p>
          <w:p>
            <w:pPr>
              <w:pStyle w:val="201"/>
              <w:numPr>
                <w:ilvl w:val="0"/>
                <w:numId w:val="18"/>
              </w:numPr>
              <w:spacing w:before="0"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支持对查询的结果的数据导出功能，支持导出模板自定义配置</w:t>
            </w:r>
          </w:p>
        </w:tc>
      </w:tr>
    </w:tbl>
    <w:p>
      <w:pPr>
        <w:pStyle w:val="7"/>
        <w:numPr>
          <w:ilvl w:val="4"/>
          <w:numId w:val="8"/>
        </w:numPr>
        <w:rPr>
          <w:rFonts w:ascii="宋体" w:hAnsi="宋体"/>
          <w:color w:val="auto"/>
          <w:szCs w:val="24"/>
          <w:highlight w:val="none"/>
        </w:rPr>
      </w:pPr>
      <w:bookmarkStart w:id="629" w:name="_Toc1727"/>
      <w:r>
        <w:rPr>
          <w:rFonts w:hint="eastAsia" w:ascii="宋体" w:hAnsi="宋体"/>
          <w:color w:val="auto"/>
          <w:szCs w:val="24"/>
          <w:highlight w:val="none"/>
        </w:rPr>
        <w:t>不良事件</w:t>
      </w:r>
      <w:r>
        <w:rPr>
          <w:rFonts w:hint="eastAsia" w:ascii="宋体" w:hAnsi="宋体"/>
          <w:color w:val="auto"/>
          <w:szCs w:val="24"/>
          <w:highlight w:val="none"/>
          <w:lang w:eastAsia="zh-CN"/>
        </w:rPr>
        <w:t>上报</w:t>
      </w:r>
      <w:r>
        <w:rPr>
          <w:rFonts w:hint="eastAsia" w:ascii="宋体" w:hAnsi="宋体"/>
          <w:color w:val="auto"/>
          <w:szCs w:val="24"/>
          <w:highlight w:val="none"/>
        </w:rPr>
        <w:t>管理系统</w:t>
      </w:r>
      <w:bookmarkEnd w:id="629"/>
    </w:p>
    <w:p>
      <w:pPr>
        <w:pStyle w:val="8"/>
        <w:ind w:firstLine="482"/>
        <w:rPr>
          <w:color w:val="auto"/>
          <w:highlight w:val="none"/>
        </w:rPr>
      </w:pPr>
      <w:r>
        <w:rPr>
          <w:rFonts w:hint="eastAsia"/>
          <w:b/>
          <w:color w:val="auto"/>
          <w:szCs w:val="24"/>
          <w:highlight w:val="none"/>
        </w:rPr>
        <w:t>通过建设不良事件上报管理系统，汇集不同类型事件的报告，从中分析出医院内部潜在的问题和风险，综合利用报告系统进行研究、分析，向医院提出医疗安全警示信息和改进建议，以增强医院识别、处理安全隐患和预防不良事件发生的能力，将发生的事故降到最低，从而保证病人安全和医护人员安全，实现医疗安全的目标。</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trPr>
        <w:tc>
          <w:tcPr>
            <w:tcW w:w="1980"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系统</w:t>
            </w:r>
          </w:p>
        </w:tc>
        <w:tc>
          <w:tcPr>
            <w:tcW w:w="7087"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不良事件上报</w:t>
            </w:r>
          </w:p>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管理系统</w:t>
            </w:r>
          </w:p>
        </w:tc>
        <w:tc>
          <w:tcPr>
            <w:tcW w:w="7087" w:type="dxa"/>
          </w:tcPr>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事件上报：支持提供不良事件上报，采用自定义的不良事件结构化模板设计，按照设计的模板进行事件填报。</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我的报告：支持提供相关报告事件的展示查看处理，包括已报事件、草稿箱、报告一览、待审批报告、被退回报告、待整改报告、收藏报告。</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统计分析：支持按照不同维度对发生的不良事件进行统计分析，包括概况件数统计、年月累计统计、风险矩阵分析、鱼骨图。</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检索导出：支持提供不良事件数据检索功能，支持组合条件的检索及导出，可根据导出设定项和筛选条件导出汇总报告，支持导出上级单位的模板格式，实现无缝对接上传，无需二次填报。</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支持PDCA持续改进，实现持续优化和完善达成有效的追踪反馈，做到闭环管理。</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支持事件信息的自动采集，减少数据录入的工作量，有效确保相关信息的准确性和全面性，为后续对事件进行处理和分析提供数据支持。</w:t>
            </w:r>
          </w:p>
          <w:p>
            <w:pPr>
              <w:pStyle w:val="64"/>
              <w:widowControl w:val="0"/>
              <w:numPr>
                <w:ilvl w:val="0"/>
                <w:numId w:val="19"/>
              </w:numPr>
              <w:spacing w:line="360" w:lineRule="auto"/>
              <w:ind w:firstLineChars="0"/>
              <w:jc w:val="both"/>
              <w:rPr>
                <w:rFonts w:ascii="等线" w:hAnsi="等线" w:cs="Arial"/>
                <w:color w:val="auto"/>
                <w:highlight w:val="none"/>
              </w:rPr>
            </w:pPr>
            <w:r>
              <w:rPr>
                <w:rFonts w:hint="eastAsia" w:ascii="等线" w:hAnsi="等线" w:cs="Arial"/>
                <w:color w:val="auto"/>
                <w:highlight w:val="none"/>
              </w:rPr>
              <w:t>支持由临床数据中心或者临床业务系统自动采集患者相关的临床数据，减少手工录入，提高工作效率</w:t>
            </w:r>
          </w:p>
          <w:p>
            <w:pPr>
              <w:pStyle w:val="64"/>
              <w:widowControl w:val="0"/>
              <w:numPr>
                <w:ilvl w:val="0"/>
                <w:numId w:val="19"/>
              </w:numPr>
              <w:spacing w:line="360" w:lineRule="auto"/>
              <w:ind w:firstLineChars="0"/>
              <w:jc w:val="both"/>
              <w:rPr>
                <w:rFonts w:ascii="等线" w:hAnsi="等线" w:cs="Arial"/>
                <w:color w:val="auto"/>
                <w:highlight w:val="none"/>
              </w:rPr>
            </w:pPr>
            <w:r>
              <w:rPr>
                <w:rFonts w:hint="eastAsia" w:ascii="等线" w:hAnsi="等线" w:cs="Arial"/>
                <w:color w:val="auto"/>
                <w:highlight w:val="none"/>
              </w:rPr>
              <w:t>支持通过编写SQL方式，自定义表单控件的采集规则</w:t>
            </w:r>
          </w:p>
          <w:p>
            <w:pPr>
              <w:pStyle w:val="64"/>
              <w:widowControl w:val="0"/>
              <w:numPr>
                <w:ilvl w:val="0"/>
                <w:numId w:val="19"/>
              </w:numPr>
              <w:spacing w:line="360" w:lineRule="auto"/>
              <w:ind w:firstLineChars="0"/>
              <w:jc w:val="both"/>
              <w:rPr>
                <w:rFonts w:ascii="等线" w:hAnsi="等线" w:cs="Arial"/>
                <w:color w:val="auto"/>
                <w:highlight w:val="none"/>
              </w:rPr>
            </w:pPr>
            <w:r>
              <w:rPr>
                <w:rFonts w:hint="eastAsia" w:ascii="等线" w:hAnsi="等线" w:cs="Arial"/>
                <w:color w:val="auto"/>
                <w:highlight w:val="none"/>
              </w:rPr>
              <w:t>支持同一表单从多个数据源采集数据</w:t>
            </w:r>
          </w:p>
          <w:p>
            <w:pPr>
              <w:pStyle w:val="64"/>
              <w:numPr>
                <w:ilvl w:val="0"/>
                <w:numId w:val="19"/>
              </w:numPr>
              <w:spacing w:line="360" w:lineRule="auto"/>
              <w:ind w:firstLineChars="0"/>
              <w:rPr>
                <w:rFonts w:ascii="等线" w:hAnsi="等线" w:cs="Arial"/>
                <w:color w:val="auto"/>
                <w:highlight w:val="none"/>
              </w:rPr>
            </w:pPr>
            <w:r>
              <w:rPr>
                <w:rFonts w:hint="eastAsia" w:ascii="等线" w:hAnsi="等线" w:cs="Arial"/>
                <w:color w:val="auto"/>
                <w:highlight w:val="none"/>
              </w:rPr>
              <w:t>支持数据录入校验功能，提高数据质量</w:t>
            </w:r>
          </w:p>
          <w:p>
            <w:pPr>
              <w:pStyle w:val="64"/>
              <w:numPr>
                <w:ilvl w:val="0"/>
                <w:numId w:val="19"/>
              </w:numPr>
              <w:spacing w:line="360" w:lineRule="auto"/>
              <w:ind w:firstLineChars="0"/>
              <w:rPr>
                <w:rFonts w:ascii="等线" w:hAnsi="等线" w:cs="Arial"/>
                <w:color w:val="auto"/>
                <w:highlight w:val="none"/>
              </w:rPr>
            </w:pPr>
            <w:r>
              <w:rPr>
                <w:rFonts w:hint="eastAsia" w:ascii="等线" w:hAnsi="等线" w:cs="Arial"/>
                <w:color w:val="auto"/>
                <w:highlight w:val="none"/>
              </w:rPr>
              <w:t>支持表单录入预警及提醒</w:t>
            </w:r>
          </w:p>
          <w:p>
            <w:pPr>
              <w:pStyle w:val="64"/>
              <w:numPr>
                <w:ilvl w:val="0"/>
                <w:numId w:val="19"/>
              </w:numPr>
              <w:spacing w:line="360" w:lineRule="auto"/>
              <w:ind w:firstLineChars="0"/>
              <w:rPr>
                <w:rFonts w:ascii="等线" w:hAnsi="等线" w:cs="Arial"/>
                <w:color w:val="auto"/>
                <w:highlight w:val="none"/>
              </w:rPr>
            </w:pPr>
            <w:r>
              <w:rPr>
                <w:rFonts w:hint="eastAsia" w:ascii="等线" w:hAnsi="等线" w:cs="Arial"/>
                <w:color w:val="auto"/>
                <w:highlight w:val="none"/>
              </w:rPr>
              <w:t>支持结构化与后结构化数据的采集达到秒级抽取</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支持不良事件表单模板要求可以灵活自定义设置，提供相应的模板库进行选择使用。</w:t>
            </w:r>
          </w:p>
          <w:p>
            <w:pPr>
              <w:pStyle w:val="64"/>
              <w:widowControl w:val="0"/>
              <w:numPr>
                <w:ilvl w:val="0"/>
                <w:numId w:val="20"/>
              </w:numPr>
              <w:spacing w:line="360" w:lineRule="auto"/>
              <w:ind w:firstLineChars="0"/>
              <w:jc w:val="both"/>
              <w:rPr>
                <w:rFonts w:ascii="等线" w:hAnsi="等线" w:cs="Arial"/>
                <w:color w:val="auto"/>
                <w:highlight w:val="none"/>
              </w:rPr>
            </w:pPr>
            <w:r>
              <w:rPr>
                <w:rFonts w:hint="eastAsia" w:ascii="等线" w:hAnsi="等线" w:cs="Arial"/>
                <w:color w:val="auto"/>
                <w:highlight w:val="none"/>
              </w:rPr>
              <w:t>支持控件拖拽式布局，表单设计要求所见即所得</w:t>
            </w:r>
          </w:p>
          <w:p>
            <w:pPr>
              <w:pStyle w:val="64"/>
              <w:widowControl w:val="0"/>
              <w:numPr>
                <w:ilvl w:val="0"/>
                <w:numId w:val="20"/>
              </w:numPr>
              <w:spacing w:line="360" w:lineRule="auto"/>
              <w:ind w:firstLineChars="0"/>
              <w:jc w:val="both"/>
              <w:rPr>
                <w:rFonts w:ascii="等线" w:hAnsi="等线" w:cs="Arial"/>
                <w:color w:val="auto"/>
                <w:highlight w:val="none"/>
              </w:rPr>
            </w:pPr>
            <w:r>
              <w:rPr>
                <w:rFonts w:hint="eastAsia" w:ascii="等线" w:hAnsi="等线" w:cs="Arial"/>
                <w:color w:val="auto"/>
                <w:highlight w:val="none"/>
              </w:rPr>
              <w:t>支持控件的逻辑关联机制，支持条件判断</w:t>
            </w:r>
          </w:p>
          <w:p>
            <w:pPr>
              <w:pStyle w:val="64"/>
              <w:widowControl w:val="0"/>
              <w:numPr>
                <w:ilvl w:val="0"/>
                <w:numId w:val="20"/>
              </w:numPr>
              <w:spacing w:line="360" w:lineRule="auto"/>
              <w:ind w:firstLineChars="0"/>
              <w:jc w:val="both"/>
              <w:rPr>
                <w:rFonts w:ascii="等线" w:hAnsi="等线" w:cs="Arial"/>
                <w:color w:val="auto"/>
                <w:highlight w:val="none"/>
              </w:rPr>
            </w:pPr>
            <w:r>
              <w:rPr>
                <w:rFonts w:hint="eastAsia" w:ascii="等线" w:hAnsi="等线" w:cs="Arial"/>
                <w:color w:val="auto"/>
                <w:highlight w:val="none"/>
              </w:rPr>
              <w:t>支持组套模板的保存和应用</w:t>
            </w:r>
          </w:p>
          <w:p>
            <w:pPr>
              <w:pStyle w:val="64"/>
              <w:numPr>
                <w:ilvl w:val="0"/>
                <w:numId w:val="20"/>
              </w:numPr>
              <w:spacing w:line="360" w:lineRule="auto"/>
              <w:ind w:firstLineChars="0"/>
              <w:jc w:val="both"/>
              <w:rPr>
                <w:rFonts w:ascii="宋体"/>
                <w:color w:val="auto"/>
                <w:highlight w:val="none"/>
              </w:rPr>
            </w:pPr>
            <w:r>
              <w:rPr>
                <w:rFonts w:hint="eastAsia" w:ascii="宋体" w:hAnsi="宋体" w:cs="宋体"/>
                <w:color w:val="auto"/>
                <w:highlight w:val="none"/>
              </w:rPr>
              <w:t>支持设置计算规则以及数据格式校验</w:t>
            </w:r>
          </w:p>
          <w:p>
            <w:pPr>
              <w:pStyle w:val="64"/>
              <w:widowControl w:val="0"/>
              <w:numPr>
                <w:ilvl w:val="0"/>
                <w:numId w:val="20"/>
              </w:numPr>
              <w:spacing w:line="360" w:lineRule="auto"/>
              <w:ind w:firstLineChars="0"/>
              <w:jc w:val="both"/>
              <w:rPr>
                <w:rFonts w:ascii="等线" w:hAnsi="等线" w:cs="Arial"/>
                <w:color w:val="auto"/>
                <w:highlight w:val="none"/>
              </w:rPr>
            </w:pPr>
            <w:r>
              <w:rPr>
                <w:rFonts w:hint="eastAsia" w:ascii="等线" w:hAnsi="等线" w:cs="Arial"/>
                <w:color w:val="auto"/>
                <w:highlight w:val="none"/>
              </w:rPr>
              <w:t>支持表单版本的升级及发布功能</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消息提醒：支持系统内审批消息提醒。</w:t>
            </w:r>
          </w:p>
        </w:tc>
      </w:tr>
    </w:tbl>
    <w:p>
      <w:pPr>
        <w:pStyle w:val="8"/>
        <w:ind w:firstLine="0" w:firstLineChars="0"/>
        <w:rPr>
          <w:color w:val="auto"/>
          <w:highlight w:val="none"/>
        </w:rPr>
      </w:pPr>
    </w:p>
    <w:p>
      <w:pPr>
        <w:pStyle w:val="7"/>
        <w:numPr>
          <w:ilvl w:val="4"/>
          <w:numId w:val="8"/>
        </w:numPr>
        <w:rPr>
          <w:rFonts w:ascii="宋体" w:hAnsi="宋体"/>
          <w:color w:val="auto"/>
          <w:szCs w:val="24"/>
          <w:highlight w:val="none"/>
        </w:rPr>
      </w:pPr>
      <w:bookmarkStart w:id="630" w:name="_Toc10099"/>
      <w:r>
        <w:rPr>
          <w:rFonts w:hint="eastAsia" w:ascii="宋体" w:hAnsi="宋体"/>
          <w:color w:val="auto"/>
          <w:szCs w:val="24"/>
          <w:highlight w:val="none"/>
        </w:rPr>
        <w:t>护士站集成视图</w:t>
      </w:r>
      <w:bookmarkEnd w:id="630"/>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在护士站或护理办公室提供护士站集成视图，与HIS、电子病历、CDR、护理工作站等业务系统深度集成，监测全病区的患者护理信息。并且能够结合患者床旁呼叫系统整合应用，对患者重要监测信息提供报警提示。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trPr>
        <w:tc>
          <w:tcPr>
            <w:tcW w:w="1980"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系统</w:t>
            </w:r>
          </w:p>
        </w:tc>
        <w:tc>
          <w:tcPr>
            <w:tcW w:w="7087"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护士站集成视图</w:t>
            </w:r>
          </w:p>
        </w:tc>
        <w:tc>
          <w:tcPr>
            <w:tcW w:w="7087" w:type="dxa"/>
          </w:tcPr>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呈现直观的可视化楼层和病区分局图，实时展示各项信息（病床信息、床位状态、交接班报告、手术安排、检查安排、患者在其他科室诊疗状态信息、出入科/院信息、医护排班信息、病区信息通知公告、病区统计信息等），并提供触屏操作。</w:t>
            </w:r>
          </w:p>
          <w:p>
            <w:pPr>
              <w:pStyle w:val="201"/>
              <w:numPr>
                <w:ilvl w:val="0"/>
                <w:numId w:val="9"/>
              </w:numPr>
              <w:spacing w:before="0"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支持提供护士通过智慧病房大屏系统实现交接班，护理长通过智能大屏调度护士工作，提高工作工作效率。</w:t>
            </w:r>
          </w:p>
        </w:tc>
      </w:tr>
    </w:tbl>
    <w:p>
      <w:pPr>
        <w:pStyle w:val="7"/>
        <w:numPr>
          <w:ilvl w:val="4"/>
          <w:numId w:val="8"/>
        </w:numPr>
        <w:rPr>
          <w:rFonts w:ascii="宋体" w:hAnsi="宋体"/>
          <w:color w:val="auto"/>
          <w:szCs w:val="24"/>
          <w:highlight w:val="none"/>
        </w:rPr>
      </w:pPr>
      <w:bookmarkStart w:id="631" w:name="_Toc10957"/>
      <w:r>
        <w:rPr>
          <w:rFonts w:hint="eastAsia" w:ascii="宋体" w:hAnsi="宋体"/>
          <w:color w:val="auto"/>
          <w:szCs w:val="24"/>
          <w:highlight w:val="none"/>
        </w:rPr>
        <w:t>护理管理系统</w:t>
      </w:r>
      <w:bookmarkEnd w:id="631"/>
    </w:p>
    <w:p>
      <w:pPr>
        <w:pStyle w:val="8"/>
        <w:ind w:firstLine="480"/>
        <w:rPr>
          <w:rFonts w:ascii="宋体" w:hAnsi="宋体"/>
          <w:color w:val="auto"/>
          <w:szCs w:val="24"/>
          <w:highlight w:val="none"/>
        </w:rPr>
      </w:pPr>
      <w:r>
        <w:rPr>
          <w:rFonts w:hint="eastAsia" w:ascii="宋体" w:hAnsi="宋体"/>
          <w:color w:val="auto"/>
          <w:szCs w:val="24"/>
          <w:highlight w:val="none"/>
        </w:rPr>
        <w:t>对护理管理系统进行升级改造，包括但不限于：</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6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blHeader/>
        </w:trPr>
        <w:tc>
          <w:tcPr>
            <w:tcW w:w="2153"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模块</w:t>
            </w:r>
          </w:p>
        </w:tc>
        <w:tc>
          <w:tcPr>
            <w:tcW w:w="6914"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olor w:val="auto"/>
                <w:sz w:val="24"/>
                <w:highlight w:val="none"/>
              </w:rPr>
              <w:t>护理管理系统维护</w:t>
            </w:r>
          </w:p>
        </w:tc>
        <w:tc>
          <w:tcPr>
            <w:tcW w:w="6914" w:type="dxa"/>
            <w:vAlign w:val="center"/>
          </w:tcPr>
          <w:p>
            <w:pPr>
              <w:pStyle w:val="201"/>
              <w:numPr>
                <w:ilvl w:val="0"/>
                <w:numId w:val="9"/>
              </w:numPr>
              <w:spacing w:before="0"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支持自动生成各类月度、季度、半年、全年统计图表；</w:t>
            </w:r>
          </w:p>
          <w:p>
            <w:pPr>
              <w:pStyle w:val="201"/>
              <w:numPr>
                <w:ilvl w:val="0"/>
                <w:numId w:val="9"/>
              </w:numPr>
              <w:spacing w:before="0"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支持人力资源管理，包括护理人员基本档案管理与人员动态信息管理。</w:t>
            </w:r>
          </w:p>
          <w:p>
            <w:pPr>
              <w:pStyle w:val="201"/>
              <w:numPr>
                <w:ilvl w:val="0"/>
                <w:numId w:val="9"/>
              </w:numPr>
              <w:spacing w:before="0"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升级护士长排班功能，通过预定义班次法进行排班，支持复制既往排班，支持模板排班，支持指定按天循环排班。</w:t>
            </w:r>
          </w:p>
        </w:tc>
      </w:tr>
    </w:tbl>
    <w:p>
      <w:pPr>
        <w:pStyle w:val="7"/>
        <w:numPr>
          <w:ilvl w:val="4"/>
          <w:numId w:val="8"/>
        </w:numPr>
        <w:rPr>
          <w:rFonts w:ascii="宋体" w:hAnsi="宋体"/>
          <w:color w:val="auto"/>
          <w:szCs w:val="24"/>
          <w:highlight w:val="none"/>
        </w:rPr>
      </w:pPr>
      <w:bookmarkStart w:id="632" w:name="_Toc17868"/>
      <w:r>
        <w:rPr>
          <w:rFonts w:hint="eastAsia" w:ascii="宋体" w:hAnsi="宋体"/>
          <w:color w:val="auto"/>
          <w:szCs w:val="24"/>
          <w:highlight w:val="none"/>
        </w:rPr>
        <w:t>医务管理系统</w:t>
      </w:r>
      <w:bookmarkEnd w:id="632"/>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医务管理系统主要帮助医务科处理日常管理工作，可以有效地控制医疗服务各环节的质量水平，提高医院的核心竞争力。同时，使医务科从以往大量的手工劳动中解脱出来，提高工作效率，减少人为差错，全力投入到本职工作中去。</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系需满足以下功能：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trPr>
        <w:tc>
          <w:tcPr>
            <w:tcW w:w="1980"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系统</w:t>
            </w:r>
          </w:p>
        </w:tc>
        <w:tc>
          <w:tcPr>
            <w:tcW w:w="7087"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1980" w:type="dxa"/>
            <w:vAlign w:val="center"/>
          </w:tcPr>
          <w:p>
            <w:pPr>
              <w:spacing w:line="360" w:lineRule="auto"/>
              <w:ind w:left="9" w:right="33"/>
              <w:rPr>
                <w:rFonts w:ascii="宋体" w:hAnsi="宋体" w:cs="仿宋"/>
                <w:b/>
                <w:bCs/>
                <w:color w:val="auto"/>
                <w:sz w:val="24"/>
                <w:highlight w:val="none"/>
                <w:lang w:bidi="zh-CN"/>
              </w:rPr>
            </w:pPr>
            <w:r>
              <w:rPr>
                <w:rFonts w:hint="eastAsia" w:ascii="宋体" w:hAnsi="宋体" w:cs="仿宋"/>
                <w:b/>
                <w:bCs/>
                <w:color w:val="auto"/>
                <w:sz w:val="24"/>
                <w:highlight w:val="none"/>
                <w:lang w:bidi="zh-CN"/>
              </w:rPr>
              <w:t>医务管理系统</w:t>
            </w:r>
          </w:p>
        </w:tc>
        <w:tc>
          <w:tcPr>
            <w:tcW w:w="7087" w:type="dxa"/>
          </w:tcPr>
          <w:p>
            <w:pPr>
              <w:spacing w:line="360" w:lineRule="auto"/>
              <w:rPr>
                <w:rFonts w:ascii="宋体" w:hAnsi="宋体"/>
                <w:b/>
                <w:bCs/>
                <w:color w:val="auto"/>
                <w:sz w:val="24"/>
                <w:highlight w:val="none"/>
              </w:rPr>
            </w:pPr>
            <w:r>
              <w:rPr>
                <w:rFonts w:hint="eastAsia" w:ascii="宋体" w:hAnsi="宋体"/>
                <w:b/>
                <w:bCs/>
                <w:color w:val="auto"/>
                <w:sz w:val="24"/>
                <w:highlight w:val="none"/>
              </w:rPr>
              <w:t>（1）医务首页</w:t>
            </w:r>
          </w:p>
          <w:p>
            <w:pPr>
              <w:spacing w:line="360" w:lineRule="auto"/>
              <w:rPr>
                <w:rFonts w:ascii="宋体" w:hAnsi="宋体"/>
                <w:b/>
                <w:bCs/>
                <w:color w:val="auto"/>
                <w:sz w:val="24"/>
                <w:highlight w:val="none"/>
              </w:rPr>
            </w:pPr>
            <w:r>
              <w:rPr>
                <w:rFonts w:hint="eastAsia" w:ascii="宋体" w:hAnsi="宋体"/>
                <w:b/>
                <w:bCs/>
                <w:color w:val="auto"/>
                <w:sz w:val="24"/>
                <w:highlight w:val="none"/>
              </w:rPr>
              <w:t>医务首页：</w:t>
            </w:r>
          </w:p>
          <w:p>
            <w:pPr>
              <w:spacing w:line="360" w:lineRule="auto"/>
              <w:rPr>
                <w:rFonts w:ascii="宋体" w:hAnsi="宋体"/>
                <w:color w:val="auto"/>
                <w:sz w:val="24"/>
                <w:highlight w:val="none"/>
              </w:rPr>
            </w:pPr>
            <w:r>
              <w:rPr>
                <w:rFonts w:hint="eastAsia" w:ascii="宋体" w:hAnsi="宋体"/>
                <w:color w:val="auto"/>
                <w:sz w:val="24"/>
                <w:highlight w:val="none"/>
              </w:rPr>
              <w:t>1、支持自定义配置医务敏感指标及指标详情跳转。</w:t>
            </w:r>
          </w:p>
          <w:p>
            <w:pPr>
              <w:spacing w:line="360" w:lineRule="auto"/>
              <w:rPr>
                <w:rFonts w:ascii="宋体" w:hAnsi="宋体"/>
                <w:color w:val="auto"/>
                <w:sz w:val="24"/>
                <w:highlight w:val="none"/>
              </w:rPr>
            </w:pPr>
            <w:r>
              <w:rPr>
                <w:rFonts w:hint="eastAsia" w:ascii="宋体" w:hAnsi="宋体"/>
                <w:color w:val="auto"/>
                <w:sz w:val="24"/>
                <w:highlight w:val="none"/>
              </w:rPr>
              <w:t>2、支持指标趋势可视化动态图表展现。</w:t>
            </w:r>
          </w:p>
          <w:p>
            <w:pPr>
              <w:spacing w:line="360" w:lineRule="auto"/>
              <w:rPr>
                <w:rFonts w:ascii="宋体" w:hAnsi="宋体"/>
                <w:color w:val="auto"/>
                <w:sz w:val="24"/>
                <w:highlight w:val="none"/>
              </w:rPr>
            </w:pPr>
            <w:r>
              <w:rPr>
                <w:rFonts w:hint="eastAsia" w:ascii="宋体" w:hAnsi="宋体"/>
                <w:color w:val="auto"/>
                <w:sz w:val="24"/>
                <w:highlight w:val="none"/>
              </w:rPr>
              <w:t>3、支持待审批消息提醒、到期消息提醒及详情跳转。</w:t>
            </w:r>
          </w:p>
          <w:p>
            <w:pPr>
              <w:spacing w:line="360" w:lineRule="auto"/>
              <w:rPr>
                <w:rFonts w:ascii="宋体" w:hAnsi="宋体"/>
                <w:b/>
                <w:bCs/>
                <w:color w:val="auto"/>
                <w:sz w:val="24"/>
                <w:highlight w:val="none"/>
              </w:rPr>
            </w:pPr>
            <w:r>
              <w:rPr>
                <w:rFonts w:hint="eastAsia" w:ascii="宋体" w:hAnsi="宋体"/>
                <w:b/>
                <w:bCs/>
                <w:color w:val="auto"/>
                <w:sz w:val="24"/>
                <w:highlight w:val="none"/>
              </w:rPr>
              <w:t>（2）指标管理</w:t>
            </w:r>
          </w:p>
          <w:p>
            <w:pPr>
              <w:spacing w:line="360" w:lineRule="auto"/>
              <w:rPr>
                <w:rFonts w:ascii="宋体" w:hAnsi="宋体"/>
                <w:b/>
                <w:bCs/>
                <w:color w:val="auto"/>
                <w:sz w:val="24"/>
                <w:highlight w:val="none"/>
              </w:rPr>
            </w:pPr>
            <w:r>
              <w:rPr>
                <w:rFonts w:hint="eastAsia" w:ascii="宋体" w:hAnsi="宋体"/>
                <w:b/>
                <w:bCs/>
                <w:color w:val="auto"/>
                <w:sz w:val="24"/>
                <w:highlight w:val="none"/>
              </w:rPr>
              <w:t>指标维护：</w:t>
            </w:r>
          </w:p>
          <w:p>
            <w:pPr>
              <w:spacing w:line="360" w:lineRule="auto"/>
              <w:rPr>
                <w:rFonts w:ascii="宋体" w:hAnsi="宋体"/>
                <w:color w:val="auto"/>
                <w:sz w:val="24"/>
                <w:highlight w:val="none"/>
              </w:rPr>
            </w:pPr>
            <w:r>
              <w:rPr>
                <w:rFonts w:hint="eastAsia" w:ascii="宋体" w:hAnsi="宋体"/>
                <w:color w:val="auto"/>
                <w:sz w:val="24"/>
                <w:highlight w:val="none"/>
              </w:rPr>
              <w:t>1、支持自动抽取类指标的维护。</w:t>
            </w:r>
          </w:p>
          <w:p>
            <w:pPr>
              <w:spacing w:line="360" w:lineRule="auto"/>
              <w:rPr>
                <w:rFonts w:ascii="宋体" w:hAnsi="宋体"/>
                <w:color w:val="auto"/>
                <w:sz w:val="24"/>
                <w:highlight w:val="none"/>
              </w:rPr>
            </w:pPr>
            <w:r>
              <w:rPr>
                <w:rFonts w:hint="eastAsia" w:ascii="宋体" w:hAnsi="宋体"/>
                <w:color w:val="auto"/>
                <w:sz w:val="24"/>
                <w:highlight w:val="none"/>
              </w:rPr>
              <w:t>2、支持手工填报类指标的维护。</w:t>
            </w:r>
          </w:p>
          <w:p>
            <w:pPr>
              <w:spacing w:line="360" w:lineRule="auto"/>
              <w:rPr>
                <w:rFonts w:ascii="宋体" w:hAnsi="宋体"/>
                <w:color w:val="auto"/>
                <w:sz w:val="24"/>
                <w:highlight w:val="none"/>
              </w:rPr>
            </w:pPr>
            <w:r>
              <w:rPr>
                <w:rFonts w:hint="eastAsia" w:ascii="宋体" w:hAnsi="宋体"/>
                <w:color w:val="auto"/>
                <w:sz w:val="24"/>
                <w:highlight w:val="none"/>
              </w:rPr>
              <w:t>3、支持自定义类指标的维护。</w:t>
            </w:r>
          </w:p>
          <w:p>
            <w:pPr>
              <w:spacing w:line="360" w:lineRule="auto"/>
              <w:rPr>
                <w:rFonts w:ascii="宋体" w:hAnsi="宋体"/>
                <w:color w:val="auto"/>
                <w:sz w:val="24"/>
                <w:highlight w:val="none"/>
              </w:rPr>
            </w:pPr>
            <w:r>
              <w:rPr>
                <w:rFonts w:hint="eastAsia" w:ascii="宋体" w:hAnsi="宋体"/>
                <w:color w:val="auto"/>
                <w:sz w:val="24"/>
                <w:highlight w:val="none"/>
              </w:rPr>
              <w:t>4、支持建立父子指标。</w:t>
            </w:r>
          </w:p>
          <w:p>
            <w:pPr>
              <w:spacing w:line="360" w:lineRule="auto"/>
              <w:rPr>
                <w:rFonts w:ascii="宋体" w:hAnsi="宋体"/>
                <w:color w:val="auto"/>
                <w:sz w:val="24"/>
                <w:highlight w:val="none"/>
              </w:rPr>
            </w:pPr>
            <w:r>
              <w:rPr>
                <w:rFonts w:hint="eastAsia" w:ascii="宋体" w:hAnsi="宋体"/>
                <w:b/>
                <w:bCs/>
                <w:color w:val="auto"/>
                <w:sz w:val="24"/>
                <w:highlight w:val="none"/>
              </w:rPr>
              <w:t>指标分配：</w:t>
            </w:r>
            <w:r>
              <w:rPr>
                <w:rFonts w:hint="eastAsia" w:ascii="宋体" w:hAnsi="宋体"/>
                <w:color w:val="auto"/>
                <w:sz w:val="24"/>
                <w:highlight w:val="none"/>
              </w:rPr>
              <w:t>支持填报类指标按科室分配。</w:t>
            </w:r>
          </w:p>
          <w:p>
            <w:pPr>
              <w:spacing w:line="360" w:lineRule="auto"/>
              <w:rPr>
                <w:rFonts w:ascii="宋体" w:hAnsi="宋体"/>
                <w:color w:val="auto"/>
                <w:sz w:val="24"/>
                <w:highlight w:val="none"/>
              </w:rPr>
            </w:pPr>
            <w:r>
              <w:rPr>
                <w:rFonts w:hint="eastAsia" w:ascii="宋体" w:hAnsi="宋体"/>
                <w:b/>
                <w:bCs/>
                <w:color w:val="auto"/>
                <w:sz w:val="24"/>
                <w:highlight w:val="none"/>
              </w:rPr>
              <w:t>指标分配（按科室）：</w:t>
            </w:r>
            <w:r>
              <w:rPr>
                <w:rFonts w:hint="eastAsia" w:ascii="宋体" w:hAnsi="宋体"/>
                <w:color w:val="auto"/>
                <w:sz w:val="24"/>
                <w:highlight w:val="none"/>
              </w:rPr>
              <w:t>支持按科室批量分配填报类指标。</w:t>
            </w:r>
          </w:p>
          <w:p>
            <w:pPr>
              <w:spacing w:line="360" w:lineRule="auto"/>
              <w:rPr>
                <w:rFonts w:ascii="宋体" w:hAnsi="宋体"/>
                <w:color w:val="auto"/>
                <w:sz w:val="24"/>
                <w:highlight w:val="none"/>
              </w:rPr>
            </w:pPr>
            <w:r>
              <w:rPr>
                <w:rFonts w:hint="eastAsia" w:ascii="宋体" w:hAnsi="宋体"/>
                <w:b/>
                <w:bCs/>
                <w:color w:val="auto"/>
                <w:sz w:val="24"/>
                <w:highlight w:val="none"/>
              </w:rPr>
              <w:t>参数维护：</w:t>
            </w:r>
            <w:r>
              <w:rPr>
                <w:rFonts w:hint="eastAsia" w:ascii="宋体" w:hAnsi="宋体"/>
                <w:color w:val="auto"/>
                <w:sz w:val="24"/>
                <w:highlight w:val="none"/>
              </w:rPr>
              <w:t>支持指标内置参数和自定义参数维护。</w:t>
            </w:r>
          </w:p>
          <w:p>
            <w:pPr>
              <w:spacing w:line="360" w:lineRule="auto"/>
              <w:rPr>
                <w:rFonts w:ascii="宋体" w:hAnsi="宋体"/>
                <w:b/>
                <w:bCs/>
                <w:color w:val="auto"/>
                <w:sz w:val="24"/>
                <w:highlight w:val="none"/>
              </w:rPr>
            </w:pPr>
            <w:r>
              <w:rPr>
                <w:rFonts w:hint="eastAsia" w:ascii="宋体" w:hAnsi="宋体"/>
                <w:b/>
                <w:bCs/>
                <w:color w:val="auto"/>
                <w:sz w:val="24"/>
                <w:highlight w:val="none"/>
              </w:rPr>
              <w:t>指标审核校准：</w:t>
            </w:r>
          </w:p>
          <w:p>
            <w:pPr>
              <w:spacing w:line="360" w:lineRule="auto"/>
              <w:rPr>
                <w:rFonts w:ascii="宋体" w:hAnsi="宋体"/>
                <w:color w:val="auto"/>
                <w:sz w:val="24"/>
                <w:highlight w:val="none"/>
              </w:rPr>
            </w:pPr>
            <w:r>
              <w:rPr>
                <w:rFonts w:hint="eastAsia" w:ascii="宋体" w:hAnsi="宋体"/>
                <w:color w:val="auto"/>
                <w:sz w:val="24"/>
                <w:highlight w:val="none"/>
              </w:rPr>
              <w:t>1、支持医务处对指标数据审核校准。</w:t>
            </w:r>
          </w:p>
          <w:p>
            <w:pPr>
              <w:spacing w:line="360" w:lineRule="auto"/>
              <w:rPr>
                <w:rFonts w:ascii="宋体" w:hAnsi="宋体"/>
                <w:color w:val="auto"/>
                <w:sz w:val="24"/>
                <w:highlight w:val="none"/>
              </w:rPr>
            </w:pPr>
            <w:r>
              <w:rPr>
                <w:rFonts w:hint="eastAsia" w:ascii="宋体" w:hAnsi="宋体"/>
                <w:color w:val="auto"/>
                <w:sz w:val="24"/>
                <w:highlight w:val="none"/>
              </w:rPr>
              <w:t>2、支持指标校准保留原始值。</w:t>
            </w:r>
          </w:p>
          <w:p>
            <w:pPr>
              <w:spacing w:line="360" w:lineRule="auto"/>
              <w:rPr>
                <w:rFonts w:ascii="宋体" w:hAnsi="宋体"/>
                <w:color w:val="auto"/>
                <w:sz w:val="24"/>
                <w:highlight w:val="none"/>
              </w:rPr>
            </w:pPr>
            <w:r>
              <w:rPr>
                <w:rFonts w:hint="eastAsia" w:ascii="宋体" w:hAnsi="宋体"/>
                <w:color w:val="auto"/>
                <w:sz w:val="24"/>
                <w:highlight w:val="none"/>
              </w:rPr>
              <w:t>3、支持批量审核、批量校准。</w:t>
            </w:r>
          </w:p>
          <w:p>
            <w:pPr>
              <w:spacing w:line="360" w:lineRule="auto"/>
              <w:rPr>
                <w:rFonts w:ascii="宋体" w:hAnsi="宋体"/>
                <w:color w:val="auto"/>
                <w:sz w:val="24"/>
                <w:highlight w:val="none"/>
              </w:rPr>
            </w:pPr>
            <w:r>
              <w:rPr>
                <w:rFonts w:hint="eastAsia" w:ascii="宋体" w:hAnsi="宋体"/>
                <w:color w:val="auto"/>
                <w:sz w:val="24"/>
                <w:highlight w:val="none"/>
              </w:rPr>
              <w:t>4、支持父子指标联动审核校准。</w:t>
            </w:r>
          </w:p>
          <w:p>
            <w:pPr>
              <w:spacing w:line="360" w:lineRule="auto"/>
              <w:rPr>
                <w:rFonts w:ascii="宋体" w:hAnsi="宋体"/>
                <w:color w:val="auto"/>
                <w:sz w:val="24"/>
                <w:highlight w:val="none"/>
              </w:rPr>
            </w:pPr>
            <w:r>
              <w:rPr>
                <w:rFonts w:hint="eastAsia" w:ascii="宋体" w:hAnsi="宋体"/>
                <w:b/>
                <w:bCs/>
                <w:color w:val="auto"/>
                <w:sz w:val="24"/>
                <w:highlight w:val="none"/>
              </w:rPr>
              <w:t>自定义指标：</w:t>
            </w:r>
            <w:r>
              <w:rPr>
                <w:rFonts w:hint="eastAsia" w:ascii="宋体" w:hAnsi="宋体"/>
                <w:color w:val="auto"/>
                <w:sz w:val="24"/>
                <w:highlight w:val="none"/>
              </w:rPr>
              <w:t>支持自定义指标的查询填报链接跳转。</w:t>
            </w:r>
          </w:p>
          <w:p>
            <w:pPr>
              <w:spacing w:line="360" w:lineRule="auto"/>
              <w:rPr>
                <w:rFonts w:ascii="宋体" w:hAnsi="宋体"/>
                <w:b/>
                <w:bCs/>
                <w:color w:val="auto"/>
                <w:sz w:val="24"/>
                <w:highlight w:val="none"/>
              </w:rPr>
            </w:pPr>
            <w:r>
              <w:rPr>
                <w:rFonts w:hint="eastAsia" w:ascii="宋体" w:hAnsi="宋体"/>
                <w:b/>
                <w:bCs/>
                <w:color w:val="auto"/>
                <w:sz w:val="24"/>
                <w:highlight w:val="none"/>
              </w:rPr>
              <w:t>指标查询：</w:t>
            </w:r>
          </w:p>
          <w:p>
            <w:pPr>
              <w:spacing w:line="360" w:lineRule="auto"/>
              <w:rPr>
                <w:rFonts w:ascii="宋体" w:hAnsi="宋体"/>
                <w:color w:val="auto"/>
                <w:sz w:val="24"/>
                <w:highlight w:val="none"/>
              </w:rPr>
            </w:pPr>
            <w:r>
              <w:rPr>
                <w:rFonts w:hint="eastAsia" w:ascii="宋体" w:hAnsi="宋体"/>
                <w:color w:val="auto"/>
                <w:sz w:val="24"/>
                <w:highlight w:val="none"/>
              </w:rPr>
              <w:t>1、支持按指标类型、统计粒度、统计单位、时间范围、指标名称等查询条件查询指标结果。</w:t>
            </w:r>
          </w:p>
          <w:p>
            <w:pPr>
              <w:spacing w:line="360" w:lineRule="auto"/>
              <w:rPr>
                <w:rFonts w:ascii="宋体" w:hAnsi="宋体"/>
                <w:color w:val="auto"/>
                <w:sz w:val="24"/>
                <w:highlight w:val="none"/>
              </w:rPr>
            </w:pPr>
            <w:r>
              <w:rPr>
                <w:rFonts w:hint="eastAsia" w:ascii="宋体" w:hAnsi="宋体"/>
                <w:color w:val="auto"/>
                <w:sz w:val="24"/>
                <w:highlight w:val="none"/>
              </w:rPr>
              <w:t>2、支持父子指标关联查询。</w:t>
            </w:r>
          </w:p>
          <w:p>
            <w:pPr>
              <w:spacing w:line="360" w:lineRule="auto"/>
              <w:rPr>
                <w:rFonts w:ascii="宋体" w:hAnsi="宋体"/>
                <w:b/>
                <w:bCs/>
                <w:color w:val="auto"/>
                <w:sz w:val="24"/>
                <w:highlight w:val="none"/>
              </w:rPr>
            </w:pPr>
            <w:r>
              <w:rPr>
                <w:rFonts w:hint="eastAsia" w:ascii="宋体" w:hAnsi="宋体"/>
                <w:b/>
                <w:bCs/>
                <w:color w:val="auto"/>
                <w:sz w:val="24"/>
                <w:highlight w:val="none"/>
              </w:rPr>
              <w:t>指标分析：</w:t>
            </w:r>
          </w:p>
          <w:p>
            <w:pPr>
              <w:spacing w:line="360" w:lineRule="auto"/>
              <w:rPr>
                <w:rFonts w:ascii="宋体" w:hAnsi="宋体"/>
                <w:color w:val="auto"/>
                <w:sz w:val="24"/>
                <w:highlight w:val="none"/>
              </w:rPr>
            </w:pPr>
            <w:r>
              <w:rPr>
                <w:rFonts w:hint="eastAsia" w:ascii="宋体" w:hAnsi="宋体"/>
                <w:color w:val="auto"/>
                <w:sz w:val="24"/>
                <w:highlight w:val="none"/>
              </w:rPr>
              <w:t>1、支持可视化图表展现指标走势分析。</w:t>
            </w:r>
          </w:p>
          <w:p>
            <w:pPr>
              <w:spacing w:line="360" w:lineRule="auto"/>
              <w:rPr>
                <w:rFonts w:ascii="宋体" w:hAnsi="宋体"/>
                <w:color w:val="auto"/>
                <w:sz w:val="24"/>
                <w:highlight w:val="none"/>
              </w:rPr>
            </w:pPr>
            <w:r>
              <w:rPr>
                <w:rFonts w:hint="eastAsia" w:ascii="宋体" w:hAnsi="宋体"/>
                <w:color w:val="auto"/>
                <w:sz w:val="24"/>
                <w:highlight w:val="none"/>
              </w:rPr>
              <w:t>2、支持指标多选进行对比分析。</w:t>
            </w:r>
          </w:p>
          <w:p>
            <w:pPr>
              <w:spacing w:line="360" w:lineRule="auto"/>
              <w:rPr>
                <w:rFonts w:ascii="宋体" w:hAnsi="宋体"/>
                <w:b/>
                <w:bCs/>
                <w:color w:val="auto"/>
                <w:sz w:val="24"/>
                <w:highlight w:val="none"/>
              </w:rPr>
            </w:pPr>
            <w:r>
              <w:rPr>
                <w:rFonts w:hint="eastAsia" w:ascii="宋体" w:hAnsi="宋体"/>
                <w:b/>
                <w:bCs/>
                <w:color w:val="auto"/>
                <w:sz w:val="24"/>
                <w:highlight w:val="none"/>
              </w:rPr>
              <w:t>（3）准入管理</w:t>
            </w:r>
          </w:p>
          <w:p>
            <w:pPr>
              <w:spacing w:line="360" w:lineRule="auto"/>
              <w:rPr>
                <w:rFonts w:ascii="宋体" w:hAnsi="宋体"/>
                <w:b/>
                <w:bCs/>
                <w:color w:val="auto"/>
                <w:sz w:val="24"/>
                <w:highlight w:val="none"/>
              </w:rPr>
            </w:pPr>
            <w:r>
              <w:rPr>
                <w:rFonts w:hint="eastAsia" w:ascii="宋体" w:hAnsi="宋体"/>
                <w:b/>
                <w:bCs/>
                <w:color w:val="auto"/>
                <w:sz w:val="24"/>
                <w:highlight w:val="none"/>
              </w:rPr>
              <w:t>医师权限管理：</w:t>
            </w:r>
          </w:p>
          <w:p>
            <w:pPr>
              <w:spacing w:line="360" w:lineRule="auto"/>
              <w:rPr>
                <w:rFonts w:ascii="宋体" w:hAnsi="宋体"/>
                <w:color w:val="auto"/>
                <w:sz w:val="24"/>
                <w:highlight w:val="none"/>
              </w:rPr>
            </w:pPr>
            <w:r>
              <w:rPr>
                <w:rFonts w:hint="eastAsia" w:ascii="宋体" w:hAnsi="宋体"/>
                <w:color w:val="auto"/>
                <w:sz w:val="24"/>
                <w:highlight w:val="none"/>
              </w:rPr>
              <w:t>1、支持按权限给人员直接授权和批量授权。</w:t>
            </w:r>
          </w:p>
          <w:p>
            <w:pPr>
              <w:spacing w:line="360" w:lineRule="auto"/>
              <w:rPr>
                <w:rFonts w:ascii="宋体" w:hAnsi="宋体"/>
                <w:color w:val="auto"/>
                <w:sz w:val="24"/>
                <w:highlight w:val="none"/>
              </w:rPr>
            </w:pPr>
            <w:r>
              <w:rPr>
                <w:rFonts w:hint="eastAsia" w:ascii="宋体" w:hAnsi="宋体"/>
                <w:color w:val="auto"/>
                <w:sz w:val="24"/>
                <w:highlight w:val="none"/>
              </w:rPr>
              <w:t>2、支持可视化图表展现权限按职称的分布情况。</w:t>
            </w:r>
          </w:p>
          <w:p>
            <w:pPr>
              <w:spacing w:line="360" w:lineRule="auto"/>
              <w:rPr>
                <w:rFonts w:ascii="宋体" w:hAnsi="宋体"/>
                <w:b/>
                <w:bCs/>
                <w:color w:val="auto"/>
                <w:sz w:val="24"/>
                <w:highlight w:val="none"/>
              </w:rPr>
            </w:pPr>
            <w:r>
              <w:rPr>
                <w:rFonts w:hint="eastAsia" w:ascii="宋体" w:hAnsi="宋体"/>
                <w:b/>
                <w:bCs/>
                <w:color w:val="auto"/>
                <w:sz w:val="24"/>
                <w:highlight w:val="none"/>
              </w:rPr>
              <w:t>医师权限申请：</w:t>
            </w:r>
          </w:p>
          <w:p>
            <w:pPr>
              <w:spacing w:line="360" w:lineRule="auto"/>
              <w:rPr>
                <w:rFonts w:ascii="宋体" w:hAnsi="宋体"/>
                <w:color w:val="auto"/>
                <w:sz w:val="24"/>
                <w:highlight w:val="none"/>
              </w:rPr>
            </w:pPr>
            <w:r>
              <w:rPr>
                <w:rFonts w:hint="eastAsia" w:ascii="宋体" w:hAnsi="宋体"/>
                <w:color w:val="auto"/>
                <w:sz w:val="24"/>
                <w:highlight w:val="none"/>
              </w:rPr>
              <w:t>1、支持个人的权限申请及权限重复申请校验。</w:t>
            </w:r>
          </w:p>
          <w:p>
            <w:pPr>
              <w:spacing w:line="360" w:lineRule="auto"/>
              <w:rPr>
                <w:rFonts w:ascii="宋体" w:hAnsi="宋体"/>
                <w:color w:val="auto"/>
                <w:sz w:val="24"/>
                <w:highlight w:val="none"/>
              </w:rPr>
            </w:pPr>
            <w:r>
              <w:rPr>
                <w:rFonts w:hint="eastAsia" w:ascii="宋体" w:hAnsi="宋体"/>
                <w:color w:val="auto"/>
                <w:sz w:val="24"/>
                <w:highlight w:val="none"/>
              </w:rPr>
              <w:t>2、支持权限审批流程的自定义配置。</w:t>
            </w:r>
          </w:p>
          <w:p>
            <w:pPr>
              <w:spacing w:line="360" w:lineRule="auto"/>
              <w:rPr>
                <w:rFonts w:ascii="宋体" w:hAnsi="宋体"/>
                <w:color w:val="auto"/>
                <w:sz w:val="24"/>
                <w:highlight w:val="none"/>
              </w:rPr>
            </w:pPr>
            <w:r>
              <w:rPr>
                <w:rFonts w:hint="eastAsia" w:ascii="宋体" w:hAnsi="宋体"/>
                <w:color w:val="auto"/>
                <w:sz w:val="24"/>
                <w:highlight w:val="none"/>
              </w:rPr>
              <w:t>3、支持权限审批流的可视化展现。</w:t>
            </w:r>
          </w:p>
          <w:p>
            <w:pPr>
              <w:spacing w:line="360" w:lineRule="auto"/>
              <w:rPr>
                <w:rFonts w:ascii="宋体" w:hAnsi="宋体"/>
                <w:color w:val="auto"/>
                <w:sz w:val="24"/>
                <w:highlight w:val="none"/>
              </w:rPr>
            </w:pPr>
            <w:r>
              <w:rPr>
                <w:rFonts w:hint="eastAsia" w:ascii="宋体" w:hAnsi="宋体"/>
                <w:color w:val="auto"/>
                <w:sz w:val="24"/>
                <w:highlight w:val="none"/>
              </w:rPr>
              <w:t>4、支持权限申请条件的自定义配置和判定。</w:t>
            </w:r>
          </w:p>
          <w:p>
            <w:pPr>
              <w:spacing w:line="360" w:lineRule="auto"/>
              <w:rPr>
                <w:rFonts w:ascii="宋体" w:hAnsi="宋体"/>
                <w:b/>
                <w:bCs/>
                <w:color w:val="auto"/>
                <w:sz w:val="24"/>
                <w:highlight w:val="none"/>
              </w:rPr>
            </w:pPr>
            <w:r>
              <w:rPr>
                <w:rFonts w:hint="eastAsia" w:ascii="宋体" w:hAnsi="宋体"/>
                <w:b/>
                <w:bCs/>
                <w:color w:val="auto"/>
                <w:sz w:val="24"/>
                <w:highlight w:val="none"/>
              </w:rPr>
              <w:t>权限申请审批：</w:t>
            </w:r>
          </w:p>
          <w:p>
            <w:pPr>
              <w:spacing w:line="360" w:lineRule="auto"/>
              <w:rPr>
                <w:rFonts w:ascii="宋体" w:hAnsi="宋体"/>
                <w:color w:val="auto"/>
                <w:sz w:val="24"/>
                <w:highlight w:val="none"/>
              </w:rPr>
            </w:pPr>
            <w:r>
              <w:rPr>
                <w:rFonts w:hint="eastAsia" w:ascii="宋体" w:hAnsi="宋体"/>
                <w:color w:val="auto"/>
                <w:sz w:val="24"/>
                <w:highlight w:val="none"/>
              </w:rPr>
              <w:t>1、支持权限申请的单个审批和批量审批。</w:t>
            </w:r>
          </w:p>
          <w:p>
            <w:pPr>
              <w:spacing w:line="360" w:lineRule="auto"/>
              <w:rPr>
                <w:rFonts w:ascii="宋体" w:hAnsi="宋体"/>
                <w:color w:val="auto"/>
                <w:sz w:val="24"/>
                <w:highlight w:val="none"/>
              </w:rPr>
            </w:pPr>
            <w:r>
              <w:rPr>
                <w:rFonts w:hint="eastAsia" w:ascii="宋体" w:hAnsi="宋体"/>
                <w:color w:val="auto"/>
                <w:sz w:val="24"/>
                <w:highlight w:val="none"/>
              </w:rPr>
              <w:t>2、支持权限审批流程的自定义配置。</w:t>
            </w:r>
          </w:p>
          <w:p>
            <w:pPr>
              <w:spacing w:line="360" w:lineRule="auto"/>
              <w:rPr>
                <w:rFonts w:ascii="宋体" w:hAnsi="宋体"/>
                <w:color w:val="auto"/>
                <w:sz w:val="24"/>
                <w:highlight w:val="none"/>
              </w:rPr>
            </w:pPr>
            <w:r>
              <w:rPr>
                <w:rFonts w:hint="eastAsia" w:ascii="宋体" w:hAnsi="宋体"/>
                <w:color w:val="auto"/>
                <w:sz w:val="24"/>
                <w:highlight w:val="none"/>
              </w:rPr>
              <w:t>3、支持权限审批流的可视化展现。</w:t>
            </w:r>
          </w:p>
          <w:p>
            <w:pPr>
              <w:spacing w:line="360" w:lineRule="auto"/>
              <w:rPr>
                <w:rFonts w:ascii="宋体" w:hAnsi="宋体"/>
                <w:color w:val="auto"/>
                <w:sz w:val="24"/>
                <w:highlight w:val="none"/>
              </w:rPr>
            </w:pPr>
            <w:r>
              <w:rPr>
                <w:rFonts w:hint="eastAsia" w:ascii="宋体" w:hAnsi="宋体"/>
                <w:color w:val="auto"/>
                <w:sz w:val="24"/>
                <w:highlight w:val="none"/>
              </w:rPr>
              <w:t>4、支持权限申请条件的自定义配置和判定。</w:t>
            </w:r>
          </w:p>
          <w:p>
            <w:pPr>
              <w:spacing w:line="360" w:lineRule="auto"/>
              <w:rPr>
                <w:rFonts w:ascii="宋体" w:hAnsi="宋体"/>
                <w:b/>
                <w:bCs/>
                <w:color w:val="auto"/>
                <w:sz w:val="24"/>
                <w:highlight w:val="none"/>
              </w:rPr>
            </w:pPr>
            <w:r>
              <w:rPr>
                <w:rFonts w:hint="eastAsia" w:ascii="宋体" w:hAnsi="宋体"/>
                <w:b/>
                <w:bCs/>
                <w:color w:val="auto"/>
                <w:sz w:val="24"/>
                <w:highlight w:val="none"/>
              </w:rPr>
              <w:t>权限申请流程：</w:t>
            </w:r>
          </w:p>
          <w:p>
            <w:pPr>
              <w:spacing w:line="360" w:lineRule="auto"/>
              <w:rPr>
                <w:rFonts w:ascii="宋体" w:hAnsi="宋体"/>
                <w:color w:val="auto"/>
                <w:sz w:val="24"/>
                <w:highlight w:val="none"/>
              </w:rPr>
            </w:pPr>
            <w:r>
              <w:rPr>
                <w:rFonts w:hint="eastAsia" w:ascii="宋体" w:hAnsi="宋体"/>
                <w:color w:val="auto"/>
                <w:sz w:val="24"/>
                <w:highlight w:val="none"/>
              </w:rPr>
              <w:t>1、支持按权限分类配置不同的审批流。</w:t>
            </w:r>
          </w:p>
          <w:p>
            <w:pPr>
              <w:spacing w:line="360" w:lineRule="auto"/>
              <w:rPr>
                <w:rFonts w:ascii="宋体" w:hAnsi="宋体"/>
                <w:color w:val="auto"/>
                <w:sz w:val="24"/>
                <w:highlight w:val="none"/>
              </w:rPr>
            </w:pPr>
            <w:r>
              <w:rPr>
                <w:rFonts w:hint="eastAsia" w:ascii="宋体" w:hAnsi="宋体"/>
                <w:color w:val="auto"/>
                <w:sz w:val="24"/>
                <w:highlight w:val="none"/>
              </w:rPr>
              <w:t>2、支持按权限分配配置不同的权限申请条件规则包。。</w:t>
            </w:r>
          </w:p>
          <w:p>
            <w:pPr>
              <w:spacing w:line="360" w:lineRule="auto"/>
              <w:rPr>
                <w:rFonts w:ascii="宋体" w:hAnsi="宋体"/>
                <w:b/>
                <w:bCs/>
                <w:color w:val="auto"/>
                <w:sz w:val="24"/>
                <w:highlight w:val="none"/>
              </w:rPr>
            </w:pPr>
            <w:r>
              <w:rPr>
                <w:rFonts w:hint="eastAsia" w:ascii="宋体" w:hAnsi="宋体"/>
                <w:b/>
                <w:bCs/>
                <w:color w:val="auto"/>
                <w:sz w:val="24"/>
                <w:highlight w:val="none"/>
              </w:rPr>
              <w:t>医疗技术论证记录：</w:t>
            </w:r>
          </w:p>
          <w:p>
            <w:pPr>
              <w:spacing w:line="360" w:lineRule="auto"/>
              <w:rPr>
                <w:rFonts w:ascii="宋体" w:hAnsi="宋体"/>
                <w:color w:val="auto"/>
                <w:sz w:val="24"/>
                <w:highlight w:val="none"/>
              </w:rPr>
            </w:pPr>
            <w:r>
              <w:rPr>
                <w:rFonts w:hint="eastAsia" w:ascii="宋体" w:hAnsi="宋体"/>
                <w:color w:val="auto"/>
                <w:sz w:val="24"/>
                <w:highlight w:val="none"/>
              </w:rPr>
              <w:t>1、支持医疗技术的论证记录管理。</w:t>
            </w:r>
          </w:p>
          <w:p>
            <w:pPr>
              <w:spacing w:line="360" w:lineRule="auto"/>
              <w:rPr>
                <w:rFonts w:ascii="宋体" w:hAnsi="宋体"/>
                <w:color w:val="auto"/>
                <w:sz w:val="24"/>
                <w:highlight w:val="none"/>
              </w:rPr>
            </w:pPr>
            <w:r>
              <w:rPr>
                <w:rFonts w:hint="eastAsia" w:ascii="宋体" w:hAnsi="宋体"/>
                <w:color w:val="auto"/>
                <w:sz w:val="24"/>
                <w:highlight w:val="none"/>
              </w:rPr>
              <w:t>2、支持医疗技术论证记录文书模板的自定义配置。</w:t>
            </w:r>
          </w:p>
          <w:p>
            <w:pPr>
              <w:spacing w:line="360" w:lineRule="auto"/>
              <w:rPr>
                <w:rFonts w:ascii="宋体" w:hAnsi="宋体"/>
                <w:color w:val="auto"/>
                <w:sz w:val="24"/>
                <w:highlight w:val="none"/>
              </w:rPr>
            </w:pPr>
            <w:r>
              <w:rPr>
                <w:rFonts w:hint="eastAsia" w:ascii="宋体" w:hAnsi="宋体"/>
                <w:color w:val="auto"/>
                <w:sz w:val="24"/>
                <w:highlight w:val="none"/>
              </w:rPr>
              <w:t>3、支持医疗技术论证记录的审批流程自定义配置。</w:t>
            </w:r>
          </w:p>
          <w:p>
            <w:pPr>
              <w:spacing w:line="360" w:lineRule="auto"/>
              <w:rPr>
                <w:rFonts w:ascii="宋体" w:hAnsi="宋体"/>
                <w:color w:val="auto"/>
                <w:sz w:val="24"/>
                <w:highlight w:val="none"/>
              </w:rPr>
            </w:pPr>
            <w:r>
              <w:rPr>
                <w:rFonts w:hint="eastAsia" w:ascii="宋体" w:hAnsi="宋体"/>
                <w:color w:val="auto"/>
                <w:sz w:val="24"/>
                <w:highlight w:val="none"/>
              </w:rPr>
              <w:t>4、支持医疗技术论证记录的审批流程可视化展现。</w:t>
            </w:r>
          </w:p>
          <w:p>
            <w:pPr>
              <w:spacing w:line="360" w:lineRule="auto"/>
              <w:rPr>
                <w:rFonts w:ascii="宋体" w:hAnsi="宋体"/>
                <w:b/>
                <w:bCs/>
                <w:color w:val="auto"/>
                <w:sz w:val="24"/>
                <w:highlight w:val="none"/>
              </w:rPr>
            </w:pPr>
            <w:r>
              <w:rPr>
                <w:rFonts w:hint="eastAsia" w:ascii="宋体" w:hAnsi="宋体"/>
                <w:b/>
                <w:bCs/>
                <w:color w:val="auto"/>
                <w:sz w:val="24"/>
                <w:highlight w:val="none"/>
              </w:rPr>
              <w:t>医疗技术开展情况分析：</w:t>
            </w:r>
          </w:p>
          <w:p>
            <w:pPr>
              <w:spacing w:line="360" w:lineRule="auto"/>
              <w:rPr>
                <w:rFonts w:ascii="宋体" w:hAnsi="宋体"/>
                <w:color w:val="auto"/>
                <w:sz w:val="24"/>
                <w:highlight w:val="none"/>
              </w:rPr>
            </w:pPr>
            <w:r>
              <w:rPr>
                <w:rFonts w:hint="eastAsia" w:ascii="宋体" w:hAnsi="宋体"/>
                <w:color w:val="auto"/>
                <w:sz w:val="24"/>
                <w:highlight w:val="none"/>
              </w:rPr>
              <w:t>1、支持按年份汇总分析医疗技术开展情况：已开展医疗技术总数、本年度开展医疗技术总数、本年度废止医疗技术总数。</w:t>
            </w:r>
          </w:p>
          <w:p>
            <w:pPr>
              <w:spacing w:line="360" w:lineRule="auto"/>
              <w:rPr>
                <w:rFonts w:ascii="宋体" w:hAnsi="宋体"/>
                <w:color w:val="auto"/>
                <w:sz w:val="24"/>
                <w:highlight w:val="none"/>
              </w:rPr>
            </w:pPr>
            <w:r>
              <w:rPr>
                <w:rFonts w:hint="eastAsia" w:ascii="宋体" w:hAnsi="宋体"/>
                <w:color w:val="auto"/>
                <w:sz w:val="24"/>
                <w:highlight w:val="none"/>
              </w:rPr>
              <w:t>2、支持通过可视化图表展现医疗技术开展分布情况，包括：医疗技术分类分布、医疗技术级别分布、新技术开展科室分布、新技术级别分布、近5年新技术数量走势分析、近5年新技术开展科室分布。</w:t>
            </w:r>
          </w:p>
          <w:p>
            <w:pPr>
              <w:spacing w:line="360" w:lineRule="auto"/>
              <w:rPr>
                <w:rFonts w:ascii="宋体" w:hAnsi="宋体"/>
                <w:b/>
                <w:bCs/>
                <w:color w:val="auto"/>
                <w:sz w:val="24"/>
                <w:highlight w:val="none"/>
              </w:rPr>
            </w:pPr>
            <w:r>
              <w:rPr>
                <w:rFonts w:hint="eastAsia" w:ascii="宋体" w:hAnsi="宋体"/>
                <w:b/>
                <w:bCs/>
                <w:color w:val="auto"/>
                <w:sz w:val="24"/>
                <w:highlight w:val="none"/>
              </w:rPr>
              <w:t>新技术开展申请：</w:t>
            </w:r>
          </w:p>
          <w:p>
            <w:pPr>
              <w:spacing w:line="360" w:lineRule="auto"/>
              <w:rPr>
                <w:rFonts w:ascii="宋体" w:hAnsi="宋体"/>
                <w:color w:val="auto"/>
                <w:sz w:val="24"/>
                <w:highlight w:val="none"/>
              </w:rPr>
            </w:pPr>
            <w:r>
              <w:rPr>
                <w:rFonts w:hint="eastAsia" w:ascii="宋体" w:hAnsi="宋体"/>
                <w:color w:val="auto"/>
                <w:sz w:val="24"/>
                <w:highlight w:val="none"/>
              </w:rPr>
              <w:t>1、支持新技术开展申请文书模板的自定义配置。</w:t>
            </w:r>
          </w:p>
          <w:p>
            <w:pPr>
              <w:spacing w:line="360" w:lineRule="auto"/>
              <w:rPr>
                <w:rFonts w:ascii="宋体" w:hAnsi="宋体"/>
                <w:color w:val="auto"/>
                <w:sz w:val="24"/>
                <w:highlight w:val="none"/>
              </w:rPr>
            </w:pPr>
            <w:r>
              <w:rPr>
                <w:rFonts w:hint="eastAsia" w:ascii="宋体" w:hAnsi="宋体"/>
                <w:color w:val="auto"/>
                <w:sz w:val="24"/>
                <w:highlight w:val="none"/>
              </w:rPr>
              <w:t>2、支持新技术开展申请审批流程的自定义配置。</w:t>
            </w:r>
          </w:p>
          <w:p>
            <w:pPr>
              <w:spacing w:line="360" w:lineRule="auto"/>
              <w:rPr>
                <w:rFonts w:ascii="宋体" w:hAnsi="宋体"/>
                <w:color w:val="auto"/>
                <w:sz w:val="24"/>
                <w:highlight w:val="none"/>
              </w:rPr>
            </w:pPr>
            <w:r>
              <w:rPr>
                <w:rFonts w:hint="eastAsia" w:ascii="宋体" w:hAnsi="宋体"/>
                <w:color w:val="auto"/>
                <w:sz w:val="24"/>
                <w:highlight w:val="none"/>
              </w:rPr>
              <w:t>3、支持新技术开展申请的审批流程可视化展现。</w:t>
            </w:r>
          </w:p>
          <w:p>
            <w:pPr>
              <w:spacing w:line="360" w:lineRule="auto"/>
              <w:rPr>
                <w:rFonts w:ascii="宋体" w:hAnsi="宋体"/>
                <w:b/>
                <w:bCs/>
                <w:color w:val="auto"/>
                <w:sz w:val="24"/>
                <w:highlight w:val="none"/>
              </w:rPr>
            </w:pPr>
            <w:r>
              <w:rPr>
                <w:rFonts w:hint="eastAsia" w:ascii="宋体" w:hAnsi="宋体"/>
                <w:b/>
                <w:bCs/>
                <w:color w:val="auto"/>
                <w:sz w:val="24"/>
                <w:highlight w:val="none"/>
              </w:rPr>
              <w:t>新技术申请审批：</w:t>
            </w:r>
          </w:p>
          <w:p>
            <w:pPr>
              <w:spacing w:line="360" w:lineRule="auto"/>
              <w:rPr>
                <w:rFonts w:ascii="宋体" w:hAnsi="宋体"/>
                <w:color w:val="auto"/>
                <w:sz w:val="24"/>
                <w:highlight w:val="none"/>
              </w:rPr>
            </w:pPr>
            <w:r>
              <w:rPr>
                <w:rFonts w:hint="eastAsia" w:ascii="宋体" w:hAnsi="宋体"/>
                <w:color w:val="auto"/>
                <w:sz w:val="24"/>
                <w:highlight w:val="none"/>
              </w:rPr>
              <w:t>1、支持新技术开展申请审批流程的自定义配置。</w:t>
            </w:r>
          </w:p>
          <w:p>
            <w:pPr>
              <w:spacing w:line="360" w:lineRule="auto"/>
              <w:rPr>
                <w:rFonts w:ascii="宋体" w:hAnsi="宋体"/>
                <w:color w:val="auto"/>
                <w:sz w:val="24"/>
                <w:highlight w:val="none"/>
              </w:rPr>
            </w:pPr>
            <w:r>
              <w:rPr>
                <w:rFonts w:hint="eastAsia" w:ascii="宋体" w:hAnsi="宋体"/>
                <w:color w:val="auto"/>
                <w:sz w:val="24"/>
                <w:highlight w:val="none"/>
              </w:rPr>
              <w:t>2、支持新技术开展申请的审批流程可视化展现。</w:t>
            </w:r>
          </w:p>
          <w:p>
            <w:pPr>
              <w:spacing w:line="360" w:lineRule="auto"/>
              <w:rPr>
                <w:rFonts w:ascii="宋体" w:hAnsi="宋体"/>
                <w:b/>
                <w:bCs/>
                <w:color w:val="auto"/>
                <w:sz w:val="24"/>
                <w:highlight w:val="none"/>
              </w:rPr>
            </w:pPr>
            <w:r>
              <w:rPr>
                <w:rFonts w:hint="eastAsia" w:ascii="宋体" w:hAnsi="宋体"/>
                <w:b/>
                <w:bCs/>
                <w:color w:val="auto"/>
                <w:sz w:val="24"/>
                <w:highlight w:val="none"/>
              </w:rPr>
              <w:t>新技术申请论证：</w:t>
            </w:r>
          </w:p>
          <w:p>
            <w:pPr>
              <w:spacing w:line="360" w:lineRule="auto"/>
              <w:rPr>
                <w:rFonts w:ascii="宋体" w:hAnsi="宋体"/>
                <w:color w:val="auto"/>
                <w:sz w:val="24"/>
                <w:highlight w:val="none"/>
              </w:rPr>
            </w:pPr>
            <w:r>
              <w:rPr>
                <w:rFonts w:hint="eastAsia" w:ascii="宋体" w:hAnsi="宋体"/>
                <w:color w:val="auto"/>
                <w:sz w:val="24"/>
                <w:highlight w:val="none"/>
              </w:rPr>
              <w:t>1、支持新技术申请论证文书模板的自定义配置。</w:t>
            </w:r>
          </w:p>
          <w:p>
            <w:pPr>
              <w:spacing w:line="360" w:lineRule="auto"/>
              <w:rPr>
                <w:rFonts w:ascii="宋体" w:hAnsi="宋体"/>
                <w:color w:val="auto"/>
                <w:sz w:val="24"/>
                <w:highlight w:val="none"/>
              </w:rPr>
            </w:pPr>
            <w:r>
              <w:rPr>
                <w:rFonts w:hint="eastAsia" w:ascii="宋体" w:hAnsi="宋体"/>
                <w:color w:val="auto"/>
                <w:sz w:val="24"/>
                <w:highlight w:val="none"/>
              </w:rPr>
              <w:t>2、支持新技术申请论证审批流程的自定义配置。</w:t>
            </w:r>
          </w:p>
          <w:p>
            <w:pPr>
              <w:spacing w:line="360" w:lineRule="auto"/>
              <w:rPr>
                <w:rFonts w:ascii="宋体" w:hAnsi="宋体"/>
                <w:color w:val="auto"/>
                <w:sz w:val="24"/>
                <w:highlight w:val="none"/>
              </w:rPr>
            </w:pPr>
            <w:r>
              <w:rPr>
                <w:rFonts w:ascii="宋体" w:hAnsi="宋体"/>
                <w:color w:val="auto"/>
                <w:sz w:val="24"/>
                <w:highlight w:val="none"/>
              </w:rPr>
              <w:t>3</w:t>
            </w:r>
            <w:r>
              <w:rPr>
                <w:rFonts w:hint="eastAsia" w:ascii="宋体" w:hAnsi="宋体"/>
                <w:color w:val="auto"/>
                <w:sz w:val="24"/>
                <w:highlight w:val="none"/>
              </w:rPr>
              <w:t>、支持新技术申请论证的审批流程可视化展现。</w:t>
            </w:r>
          </w:p>
          <w:p>
            <w:pPr>
              <w:spacing w:line="360" w:lineRule="auto"/>
              <w:rPr>
                <w:rFonts w:ascii="宋体" w:hAnsi="宋体"/>
                <w:b/>
                <w:bCs/>
                <w:color w:val="auto"/>
                <w:sz w:val="24"/>
                <w:highlight w:val="none"/>
              </w:rPr>
            </w:pPr>
            <w:r>
              <w:rPr>
                <w:rFonts w:hint="eastAsia" w:ascii="宋体" w:hAnsi="宋体"/>
                <w:b/>
                <w:bCs/>
                <w:color w:val="auto"/>
                <w:sz w:val="24"/>
                <w:highlight w:val="none"/>
              </w:rPr>
              <w:t>新技术实施监控：</w:t>
            </w:r>
          </w:p>
          <w:p>
            <w:pPr>
              <w:spacing w:line="360" w:lineRule="auto"/>
              <w:rPr>
                <w:rFonts w:ascii="宋体" w:hAnsi="宋体"/>
                <w:color w:val="auto"/>
                <w:sz w:val="24"/>
                <w:highlight w:val="none"/>
              </w:rPr>
            </w:pPr>
            <w:r>
              <w:rPr>
                <w:rFonts w:hint="eastAsia" w:ascii="宋体" w:hAnsi="宋体"/>
                <w:color w:val="auto"/>
                <w:sz w:val="24"/>
                <w:highlight w:val="none"/>
              </w:rPr>
              <w:t>1、支持对新技术开展情况的数据统计。</w:t>
            </w:r>
          </w:p>
          <w:p>
            <w:pPr>
              <w:spacing w:line="360" w:lineRule="auto"/>
              <w:rPr>
                <w:rFonts w:ascii="宋体" w:hAnsi="宋体"/>
                <w:color w:val="auto"/>
                <w:sz w:val="24"/>
                <w:highlight w:val="none"/>
              </w:rPr>
            </w:pPr>
            <w:r>
              <w:rPr>
                <w:rFonts w:hint="eastAsia" w:ascii="宋体" w:hAnsi="宋体"/>
                <w:color w:val="auto"/>
                <w:sz w:val="24"/>
                <w:highlight w:val="none"/>
              </w:rPr>
              <w:t>2、支持对新技术开展是否越权的数据统计。</w:t>
            </w:r>
          </w:p>
          <w:p>
            <w:pPr>
              <w:spacing w:line="360" w:lineRule="auto"/>
              <w:rPr>
                <w:rFonts w:ascii="宋体" w:hAnsi="宋体"/>
                <w:b/>
                <w:bCs/>
                <w:color w:val="auto"/>
                <w:sz w:val="24"/>
                <w:highlight w:val="none"/>
              </w:rPr>
            </w:pPr>
            <w:r>
              <w:rPr>
                <w:rFonts w:hint="eastAsia" w:ascii="宋体" w:hAnsi="宋体"/>
                <w:b/>
                <w:bCs/>
                <w:color w:val="auto"/>
                <w:sz w:val="24"/>
                <w:highlight w:val="none"/>
              </w:rPr>
              <w:t>（4）医疗监管</w:t>
            </w:r>
          </w:p>
          <w:p>
            <w:pPr>
              <w:spacing w:line="360" w:lineRule="auto"/>
              <w:rPr>
                <w:rFonts w:ascii="宋体" w:hAnsi="宋体"/>
                <w:b/>
                <w:bCs/>
                <w:color w:val="auto"/>
                <w:sz w:val="24"/>
                <w:highlight w:val="none"/>
              </w:rPr>
            </w:pPr>
            <w:r>
              <w:rPr>
                <w:rFonts w:hint="eastAsia" w:ascii="宋体" w:hAnsi="宋体"/>
                <w:b/>
                <w:bCs/>
                <w:color w:val="auto"/>
                <w:sz w:val="24"/>
                <w:highlight w:val="none"/>
              </w:rPr>
              <w:t>重点患者监管：</w:t>
            </w:r>
          </w:p>
          <w:p>
            <w:pPr>
              <w:spacing w:line="360" w:lineRule="auto"/>
              <w:rPr>
                <w:rFonts w:ascii="宋体" w:hAnsi="宋体"/>
                <w:color w:val="auto"/>
                <w:sz w:val="24"/>
                <w:highlight w:val="none"/>
              </w:rPr>
            </w:pPr>
            <w:r>
              <w:rPr>
                <w:rFonts w:hint="eastAsia" w:ascii="宋体" w:hAnsi="宋体"/>
                <w:color w:val="auto"/>
                <w:sz w:val="24"/>
                <w:highlight w:val="none"/>
              </w:rPr>
              <w:t>1、支持按时间范围、住院科室、病危病重等查询条件查询筛选住院患者。</w:t>
            </w:r>
          </w:p>
          <w:p>
            <w:pPr>
              <w:spacing w:line="360" w:lineRule="auto"/>
              <w:rPr>
                <w:rFonts w:ascii="宋体" w:hAnsi="宋体"/>
                <w:color w:val="auto"/>
                <w:sz w:val="24"/>
                <w:highlight w:val="none"/>
              </w:rPr>
            </w:pPr>
            <w:r>
              <w:rPr>
                <w:rFonts w:hint="eastAsia" w:ascii="宋体" w:hAnsi="宋体"/>
                <w:color w:val="auto"/>
                <w:sz w:val="24"/>
                <w:highlight w:val="none"/>
              </w:rPr>
              <w:t>2、支持将患者设为关注患者和取消关注。</w:t>
            </w:r>
          </w:p>
          <w:p>
            <w:pPr>
              <w:spacing w:line="360" w:lineRule="auto"/>
              <w:rPr>
                <w:rFonts w:ascii="宋体" w:hAnsi="宋体"/>
                <w:color w:val="auto"/>
                <w:sz w:val="24"/>
                <w:highlight w:val="none"/>
              </w:rPr>
            </w:pPr>
            <w:r>
              <w:rPr>
                <w:rFonts w:hint="eastAsia" w:ascii="宋体" w:hAnsi="宋体"/>
                <w:color w:val="auto"/>
                <w:sz w:val="24"/>
                <w:highlight w:val="none"/>
              </w:rPr>
              <w:t>3、支持查看患者的临床信息，包括：就诊信息、诊断、医嘱、检查、检验、病理、病历、费用等。</w:t>
            </w:r>
          </w:p>
          <w:p>
            <w:pPr>
              <w:spacing w:line="360" w:lineRule="auto"/>
              <w:rPr>
                <w:rFonts w:ascii="宋体" w:hAnsi="宋体"/>
                <w:b/>
                <w:bCs/>
                <w:color w:val="auto"/>
                <w:sz w:val="24"/>
                <w:highlight w:val="none"/>
              </w:rPr>
            </w:pPr>
            <w:r>
              <w:rPr>
                <w:rFonts w:hint="eastAsia" w:ascii="宋体" w:hAnsi="宋体"/>
                <w:b/>
                <w:bCs/>
                <w:color w:val="auto"/>
                <w:sz w:val="24"/>
                <w:highlight w:val="none"/>
              </w:rPr>
              <w:t>人员能力考核：</w:t>
            </w:r>
          </w:p>
          <w:p>
            <w:pPr>
              <w:spacing w:line="360" w:lineRule="auto"/>
              <w:rPr>
                <w:rFonts w:ascii="宋体" w:hAnsi="宋体"/>
                <w:color w:val="auto"/>
                <w:sz w:val="24"/>
                <w:highlight w:val="none"/>
              </w:rPr>
            </w:pPr>
            <w:r>
              <w:rPr>
                <w:rFonts w:hint="eastAsia" w:ascii="宋体" w:hAnsi="宋体"/>
                <w:color w:val="auto"/>
                <w:sz w:val="24"/>
                <w:highlight w:val="none"/>
              </w:rPr>
              <w:t>1、支持人员能力考核文书模板的自定义配置。</w:t>
            </w:r>
          </w:p>
          <w:p>
            <w:pPr>
              <w:spacing w:line="360" w:lineRule="auto"/>
              <w:rPr>
                <w:rFonts w:ascii="宋体" w:hAnsi="宋体"/>
                <w:color w:val="auto"/>
                <w:sz w:val="24"/>
                <w:highlight w:val="none"/>
              </w:rPr>
            </w:pPr>
            <w:r>
              <w:rPr>
                <w:rFonts w:hint="eastAsia" w:ascii="宋体" w:hAnsi="宋体"/>
                <w:color w:val="auto"/>
                <w:sz w:val="24"/>
                <w:highlight w:val="none"/>
              </w:rPr>
              <w:t>2、支持人员能力考核文书的自动算分。</w:t>
            </w:r>
          </w:p>
          <w:p>
            <w:pPr>
              <w:spacing w:line="360" w:lineRule="auto"/>
              <w:rPr>
                <w:rFonts w:ascii="宋体" w:hAnsi="宋体"/>
                <w:color w:val="auto"/>
                <w:sz w:val="24"/>
                <w:highlight w:val="none"/>
              </w:rPr>
            </w:pPr>
            <w:r>
              <w:rPr>
                <w:rFonts w:hint="eastAsia" w:ascii="宋体" w:hAnsi="宋体"/>
                <w:color w:val="auto"/>
                <w:sz w:val="24"/>
                <w:highlight w:val="none"/>
              </w:rPr>
              <w:t>3、支持人员能力考核记录管理和查询。</w:t>
            </w:r>
          </w:p>
          <w:p>
            <w:pPr>
              <w:spacing w:line="360" w:lineRule="auto"/>
              <w:rPr>
                <w:rFonts w:ascii="宋体" w:hAnsi="宋体"/>
                <w:b/>
                <w:bCs/>
                <w:color w:val="auto"/>
                <w:sz w:val="24"/>
                <w:highlight w:val="none"/>
              </w:rPr>
            </w:pPr>
            <w:r>
              <w:rPr>
                <w:rFonts w:hint="eastAsia" w:ascii="宋体" w:hAnsi="宋体"/>
                <w:b/>
                <w:bCs/>
                <w:color w:val="auto"/>
                <w:sz w:val="24"/>
                <w:highlight w:val="none"/>
              </w:rPr>
              <w:t>（5）人事管理</w:t>
            </w:r>
          </w:p>
          <w:p>
            <w:pPr>
              <w:spacing w:line="360" w:lineRule="auto"/>
              <w:rPr>
                <w:rFonts w:ascii="宋体" w:hAnsi="宋体"/>
                <w:b/>
                <w:bCs/>
                <w:color w:val="auto"/>
                <w:sz w:val="24"/>
                <w:highlight w:val="none"/>
              </w:rPr>
            </w:pPr>
            <w:r>
              <w:rPr>
                <w:rFonts w:hint="eastAsia" w:ascii="宋体" w:hAnsi="宋体"/>
                <w:b/>
                <w:bCs/>
                <w:color w:val="auto"/>
                <w:sz w:val="24"/>
                <w:highlight w:val="none"/>
              </w:rPr>
              <w:t>全院人员档案：</w:t>
            </w:r>
          </w:p>
          <w:p>
            <w:pPr>
              <w:spacing w:line="360" w:lineRule="auto"/>
              <w:rPr>
                <w:rFonts w:ascii="宋体" w:hAnsi="宋体"/>
                <w:color w:val="auto"/>
                <w:sz w:val="24"/>
                <w:highlight w:val="none"/>
              </w:rPr>
            </w:pPr>
            <w:r>
              <w:rPr>
                <w:rFonts w:hint="eastAsia" w:ascii="宋体" w:hAnsi="宋体"/>
                <w:color w:val="auto"/>
                <w:sz w:val="24"/>
                <w:highlight w:val="none"/>
              </w:rPr>
              <w:t>1、支持按科室查看人力资源分布情况，包括：职称分布、工作年限分布、学历分布、年龄分布、性别分布、专业分布的可视化图表展现。</w:t>
            </w:r>
          </w:p>
          <w:p>
            <w:pPr>
              <w:spacing w:line="360" w:lineRule="auto"/>
              <w:rPr>
                <w:rFonts w:ascii="宋体" w:hAnsi="宋体"/>
                <w:color w:val="auto"/>
                <w:sz w:val="24"/>
                <w:highlight w:val="none"/>
              </w:rPr>
            </w:pPr>
            <w:r>
              <w:rPr>
                <w:rFonts w:hint="eastAsia" w:ascii="宋体" w:hAnsi="宋体"/>
                <w:color w:val="auto"/>
                <w:sz w:val="24"/>
                <w:highlight w:val="none"/>
              </w:rPr>
              <w:t>2、支持按科室查看全院人员档案列表。</w:t>
            </w:r>
          </w:p>
          <w:p>
            <w:pPr>
              <w:spacing w:line="360" w:lineRule="auto"/>
              <w:rPr>
                <w:rFonts w:ascii="宋体" w:hAnsi="宋体"/>
                <w:b/>
                <w:bCs/>
                <w:color w:val="auto"/>
                <w:sz w:val="24"/>
                <w:highlight w:val="none"/>
              </w:rPr>
            </w:pPr>
            <w:r>
              <w:rPr>
                <w:rFonts w:hint="eastAsia" w:ascii="宋体" w:hAnsi="宋体"/>
                <w:b/>
                <w:bCs/>
                <w:color w:val="auto"/>
                <w:sz w:val="24"/>
                <w:highlight w:val="none"/>
              </w:rPr>
              <w:t>各科室人员档案：</w:t>
            </w:r>
          </w:p>
          <w:p>
            <w:pPr>
              <w:spacing w:line="360" w:lineRule="auto"/>
              <w:rPr>
                <w:rFonts w:ascii="宋体" w:hAnsi="宋体"/>
                <w:color w:val="auto"/>
                <w:sz w:val="24"/>
                <w:highlight w:val="none"/>
              </w:rPr>
            </w:pPr>
            <w:r>
              <w:rPr>
                <w:rFonts w:hint="eastAsia" w:ascii="宋体" w:hAnsi="宋体"/>
                <w:color w:val="auto"/>
                <w:sz w:val="24"/>
                <w:highlight w:val="none"/>
              </w:rPr>
              <w:t>1、支持查看本科室人员档案列表。</w:t>
            </w:r>
          </w:p>
          <w:p>
            <w:pPr>
              <w:spacing w:line="360" w:lineRule="auto"/>
              <w:rPr>
                <w:rFonts w:ascii="宋体" w:hAnsi="宋体"/>
                <w:color w:val="auto"/>
                <w:sz w:val="24"/>
                <w:highlight w:val="none"/>
              </w:rPr>
            </w:pPr>
            <w:r>
              <w:rPr>
                <w:rFonts w:hint="eastAsia" w:ascii="宋体" w:hAnsi="宋体"/>
                <w:color w:val="auto"/>
                <w:sz w:val="24"/>
                <w:highlight w:val="none"/>
              </w:rPr>
              <w:t>2、支持查看和编辑本科人员的档案资料详情，包括：基本信息、经历登记、证书登记、职称职务、社会关系、奖惩记录、合同登记、政治面貌；支持查看权限资料和任职资料。</w:t>
            </w:r>
          </w:p>
          <w:p>
            <w:pPr>
              <w:spacing w:line="360" w:lineRule="auto"/>
              <w:rPr>
                <w:rFonts w:ascii="宋体" w:hAnsi="宋体"/>
                <w:b/>
                <w:bCs/>
                <w:color w:val="auto"/>
                <w:sz w:val="24"/>
                <w:highlight w:val="none"/>
              </w:rPr>
            </w:pPr>
            <w:r>
              <w:rPr>
                <w:rFonts w:hint="eastAsia" w:ascii="宋体" w:hAnsi="宋体"/>
                <w:b/>
                <w:bCs/>
                <w:color w:val="auto"/>
                <w:sz w:val="24"/>
                <w:highlight w:val="none"/>
              </w:rPr>
              <w:t>（6）排班考勤</w:t>
            </w:r>
          </w:p>
          <w:p>
            <w:pPr>
              <w:spacing w:line="360" w:lineRule="auto"/>
              <w:rPr>
                <w:rFonts w:ascii="宋体" w:hAnsi="宋体"/>
                <w:color w:val="auto"/>
                <w:sz w:val="24"/>
                <w:highlight w:val="none"/>
              </w:rPr>
            </w:pPr>
            <w:r>
              <w:rPr>
                <w:rFonts w:hint="eastAsia" w:ascii="宋体" w:hAnsi="宋体"/>
                <w:b/>
                <w:bCs/>
                <w:color w:val="auto"/>
                <w:sz w:val="24"/>
                <w:highlight w:val="none"/>
              </w:rPr>
              <w:t>全院班次管理：</w:t>
            </w:r>
            <w:r>
              <w:rPr>
                <w:rFonts w:hint="eastAsia" w:ascii="宋体" w:hAnsi="宋体"/>
                <w:color w:val="auto"/>
                <w:sz w:val="24"/>
                <w:highlight w:val="none"/>
              </w:rPr>
              <w:t>支持医务处管理和维护全院排班班次。</w:t>
            </w:r>
          </w:p>
          <w:p>
            <w:pPr>
              <w:spacing w:line="360" w:lineRule="auto"/>
              <w:rPr>
                <w:rFonts w:ascii="宋体" w:hAnsi="宋体"/>
                <w:color w:val="auto"/>
                <w:sz w:val="24"/>
                <w:highlight w:val="none"/>
              </w:rPr>
            </w:pPr>
            <w:r>
              <w:rPr>
                <w:rFonts w:hint="eastAsia" w:ascii="宋体" w:hAnsi="宋体"/>
                <w:b/>
                <w:bCs/>
                <w:color w:val="auto"/>
                <w:sz w:val="24"/>
                <w:highlight w:val="none"/>
              </w:rPr>
              <w:t>本科班次管理：</w:t>
            </w:r>
            <w:r>
              <w:rPr>
                <w:rFonts w:hint="eastAsia" w:ascii="宋体" w:hAnsi="宋体"/>
                <w:color w:val="auto"/>
                <w:sz w:val="24"/>
                <w:highlight w:val="none"/>
              </w:rPr>
              <w:t>支持科室管理和维护本科室的排班班次。</w:t>
            </w:r>
          </w:p>
          <w:p>
            <w:pPr>
              <w:spacing w:line="360" w:lineRule="auto"/>
              <w:rPr>
                <w:rFonts w:ascii="宋体" w:hAnsi="宋体"/>
                <w:b/>
                <w:bCs/>
                <w:color w:val="auto"/>
                <w:sz w:val="24"/>
                <w:highlight w:val="none"/>
              </w:rPr>
            </w:pPr>
            <w:r>
              <w:rPr>
                <w:rFonts w:hint="eastAsia" w:ascii="宋体" w:hAnsi="宋体"/>
                <w:b/>
                <w:bCs/>
                <w:color w:val="auto"/>
                <w:sz w:val="24"/>
                <w:highlight w:val="none"/>
              </w:rPr>
              <w:t>科室排班：</w:t>
            </w:r>
          </w:p>
          <w:p>
            <w:pPr>
              <w:spacing w:line="360" w:lineRule="auto"/>
              <w:rPr>
                <w:rFonts w:ascii="宋体" w:hAnsi="宋体"/>
                <w:color w:val="auto"/>
                <w:sz w:val="24"/>
                <w:highlight w:val="none"/>
              </w:rPr>
            </w:pPr>
            <w:r>
              <w:rPr>
                <w:rFonts w:hint="eastAsia" w:ascii="宋体" w:hAnsi="宋体"/>
                <w:color w:val="auto"/>
                <w:sz w:val="24"/>
                <w:highlight w:val="none"/>
              </w:rPr>
              <w:t>1、支持科室人员按周排班。</w:t>
            </w:r>
          </w:p>
          <w:p>
            <w:pPr>
              <w:spacing w:line="360" w:lineRule="auto"/>
              <w:rPr>
                <w:rFonts w:ascii="宋体" w:hAnsi="宋体"/>
                <w:color w:val="auto"/>
                <w:sz w:val="24"/>
                <w:highlight w:val="none"/>
              </w:rPr>
            </w:pPr>
            <w:r>
              <w:rPr>
                <w:rFonts w:hint="eastAsia" w:ascii="宋体" w:hAnsi="宋体"/>
                <w:color w:val="auto"/>
                <w:sz w:val="24"/>
                <w:highlight w:val="none"/>
              </w:rPr>
              <w:t>2、支持科室排班分院区管理。</w:t>
            </w:r>
          </w:p>
          <w:p>
            <w:pPr>
              <w:spacing w:line="360" w:lineRule="auto"/>
              <w:rPr>
                <w:rFonts w:ascii="宋体" w:hAnsi="宋体"/>
                <w:color w:val="auto"/>
                <w:sz w:val="24"/>
                <w:highlight w:val="none"/>
              </w:rPr>
            </w:pPr>
            <w:r>
              <w:rPr>
                <w:rFonts w:hint="eastAsia" w:ascii="宋体" w:hAnsi="宋体"/>
                <w:color w:val="auto"/>
                <w:sz w:val="24"/>
                <w:highlight w:val="none"/>
              </w:rPr>
              <w:t>3、支持排班表的复制。</w:t>
            </w:r>
          </w:p>
          <w:p>
            <w:pPr>
              <w:spacing w:line="360" w:lineRule="auto"/>
              <w:rPr>
                <w:rFonts w:ascii="宋体" w:hAnsi="宋体"/>
                <w:color w:val="auto"/>
                <w:sz w:val="24"/>
                <w:highlight w:val="none"/>
              </w:rPr>
            </w:pPr>
            <w:r>
              <w:rPr>
                <w:rFonts w:hint="eastAsia" w:ascii="宋体" w:hAnsi="宋体"/>
                <w:color w:val="auto"/>
                <w:sz w:val="24"/>
                <w:highlight w:val="none"/>
              </w:rPr>
              <w:t>4、支持排班表的打印和导出。</w:t>
            </w:r>
          </w:p>
          <w:p>
            <w:pPr>
              <w:spacing w:line="360" w:lineRule="auto"/>
              <w:rPr>
                <w:rFonts w:ascii="宋体" w:hAnsi="宋体"/>
                <w:b/>
                <w:bCs/>
                <w:color w:val="auto"/>
                <w:sz w:val="24"/>
                <w:highlight w:val="none"/>
              </w:rPr>
            </w:pPr>
            <w:r>
              <w:rPr>
                <w:rFonts w:hint="eastAsia" w:ascii="宋体" w:hAnsi="宋体"/>
                <w:b/>
                <w:bCs/>
                <w:color w:val="auto"/>
                <w:sz w:val="24"/>
                <w:highlight w:val="none"/>
              </w:rPr>
              <w:t>（7）文档管理</w:t>
            </w:r>
          </w:p>
          <w:p>
            <w:pPr>
              <w:spacing w:line="360" w:lineRule="auto"/>
              <w:rPr>
                <w:rFonts w:ascii="宋体" w:hAnsi="宋体"/>
                <w:color w:val="auto"/>
                <w:sz w:val="24"/>
                <w:highlight w:val="none"/>
              </w:rPr>
            </w:pPr>
            <w:r>
              <w:rPr>
                <w:rFonts w:hint="eastAsia" w:ascii="宋体" w:hAnsi="宋体"/>
                <w:b/>
                <w:bCs/>
                <w:color w:val="auto"/>
                <w:sz w:val="24"/>
                <w:highlight w:val="none"/>
              </w:rPr>
              <w:t>审批流程：</w:t>
            </w:r>
            <w:r>
              <w:rPr>
                <w:rFonts w:hint="eastAsia" w:ascii="宋体" w:hAnsi="宋体"/>
                <w:color w:val="auto"/>
                <w:sz w:val="24"/>
                <w:highlight w:val="none"/>
              </w:rPr>
              <w:t>支持管理类文书审批流程的自定义配置。</w:t>
            </w:r>
          </w:p>
          <w:p>
            <w:pPr>
              <w:spacing w:line="360" w:lineRule="auto"/>
              <w:rPr>
                <w:rFonts w:ascii="宋体" w:hAnsi="宋体"/>
                <w:color w:val="auto"/>
                <w:sz w:val="24"/>
                <w:highlight w:val="none"/>
              </w:rPr>
            </w:pPr>
            <w:r>
              <w:rPr>
                <w:rFonts w:hint="eastAsia" w:ascii="宋体" w:hAnsi="宋体"/>
                <w:b/>
                <w:bCs/>
                <w:color w:val="auto"/>
                <w:sz w:val="24"/>
                <w:highlight w:val="none"/>
              </w:rPr>
              <w:t>文档类型：</w:t>
            </w:r>
            <w:r>
              <w:rPr>
                <w:rFonts w:hint="eastAsia" w:ascii="宋体" w:hAnsi="宋体"/>
                <w:color w:val="auto"/>
                <w:sz w:val="24"/>
                <w:highlight w:val="none"/>
              </w:rPr>
              <w:t>支持管理类文书的文档类型维护。</w:t>
            </w:r>
          </w:p>
          <w:p>
            <w:pPr>
              <w:spacing w:line="360" w:lineRule="auto"/>
              <w:rPr>
                <w:rFonts w:ascii="宋体" w:hAnsi="宋体"/>
                <w:color w:val="auto"/>
                <w:sz w:val="24"/>
                <w:highlight w:val="none"/>
              </w:rPr>
            </w:pPr>
            <w:r>
              <w:rPr>
                <w:rFonts w:hint="eastAsia" w:ascii="宋体" w:hAnsi="宋体"/>
                <w:b/>
                <w:bCs/>
                <w:color w:val="auto"/>
                <w:sz w:val="24"/>
                <w:highlight w:val="none"/>
              </w:rPr>
              <w:t>模板中心：</w:t>
            </w:r>
            <w:r>
              <w:rPr>
                <w:rFonts w:hint="eastAsia" w:ascii="宋体" w:hAnsi="宋体"/>
                <w:color w:val="auto"/>
                <w:sz w:val="24"/>
                <w:highlight w:val="none"/>
              </w:rPr>
              <w:t>支持管理类文书的文书模板制作。</w:t>
            </w:r>
          </w:p>
          <w:p>
            <w:pPr>
              <w:spacing w:line="360" w:lineRule="auto"/>
              <w:rPr>
                <w:rFonts w:ascii="宋体" w:hAnsi="宋体"/>
                <w:color w:val="auto"/>
                <w:sz w:val="24"/>
                <w:highlight w:val="none"/>
              </w:rPr>
            </w:pPr>
            <w:r>
              <w:rPr>
                <w:rFonts w:hint="eastAsia" w:ascii="宋体" w:hAnsi="宋体"/>
                <w:b/>
                <w:bCs/>
                <w:color w:val="auto"/>
                <w:sz w:val="24"/>
                <w:highlight w:val="none"/>
              </w:rPr>
              <w:t>文档中心：</w:t>
            </w:r>
            <w:r>
              <w:rPr>
                <w:rFonts w:hint="eastAsia" w:ascii="宋体" w:hAnsi="宋体"/>
                <w:color w:val="auto"/>
                <w:sz w:val="24"/>
                <w:highlight w:val="none"/>
              </w:rPr>
              <w:t>支持管理类文书的文书记录管理。</w:t>
            </w:r>
          </w:p>
          <w:p>
            <w:pPr>
              <w:spacing w:line="360" w:lineRule="auto"/>
              <w:rPr>
                <w:rFonts w:ascii="宋体" w:hAnsi="宋体"/>
                <w:b/>
                <w:bCs/>
                <w:color w:val="auto"/>
                <w:sz w:val="24"/>
                <w:highlight w:val="none"/>
              </w:rPr>
            </w:pPr>
            <w:r>
              <w:rPr>
                <w:rFonts w:hint="eastAsia" w:ascii="宋体" w:hAnsi="宋体"/>
                <w:b/>
                <w:bCs/>
                <w:color w:val="auto"/>
                <w:sz w:val="24"/>
                <w:highlight w:val="none"/>
              </w:rPr>
              <w:t>文档审核：</w:t>
            </w:r>
          </w:p>
          <w:p>
            <w:pPr>
              <w:spacing w:line="360" w:lineRule="auto"/>
              <w:rPr>
                <w:rFonts w:ascii="宋体" w:hAnsi="宋体"/>
                <w:color w:val="auto"/>
                <w:sz w:val="24"/>
                <w:highlight w:val="none"/>
              </w:rPr>
            </w:pPr>
            <w:r>
              <w:rPr>
                <w:rFonts w:hint="eastAsia" w:ascii="宋体" w:hAnsi="宋体"/>
                <w:color w:val="auto"/>
                <w:sz w:val="24"/>
                <w:highlight w:val="none"/>
              </w:rPr>
              <w:t>1、支持管理类文书的文档审核管理。</w:t>
            </w:r>
          </w:p>
          <w:p>
            <w:pPr>
              <w:pStyle w:val="201"/>
              <w:spacing w:before="0" w:line="360" w:lineRule="auto"/>
              <w:ind w:right="105" w:rightChars="5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2、支持审核流程的可视化展现。</w:t>
            </w:r>
          </w:p>
        </w:tc>
      </w:tr>
    </w:tbl>
    <w:p>
      <w:pPr>
        <w:pStyle w:val="7"/>
        <w:numPr>
          <w:ilvl w:val="4"/>
          <w:numId w:val="8"/>
        </w:numPr>
        <w:rPr>
          <w:rFonts w:ascii="宋体" w:hAnsi="宋体"/>
          <w:color w:val="auto"/>
          <w:szCs w:val="24"/>
          <w:highlight w:val="none"/>
        </w:rPr>
      </w:pPr>
      <w:bookmarkStart w:id="633" w:name="_Toc22015"/>
      <w:r>
        <w:rPr>
          <w:rFonts w:hint="eastAsia" w:ascii="宋体" w:hAnsi="宋体"/>
          <w:color w:val="auto"/>
          <w:szCs w:val="24"/>
          <w:highlight w:val="none"/>
        </w:rPr>
        <w:t>医院传染病报告管理系统</w:t>
      </w:r>
      <w:bookmarkEnd w:id="633"/>
    </w:p>
    <w:p>
      <w:pPr>
        <w:adjustRightInd w:val="0"/>
        <w:spacing w:line="360" w:lineRule="auto"/>
        <w:ind w:firstLine="567"/>
        <w:textAlignment w:val="baseline"/>
        <w:rPr>
          <w:rFonts w:ascii="宋体" w:hAnsi="宋体"/>
          <w:color w:val="auto"/>
          <w:kern w:val="0"/>
          <w:sz w:val="24"/>
          <w:highlight w:val="none"/>
        </w:rPr>
      </w:pPr>
      <w:r>
        <w:rPr>
          <w:rFonts w:hint="eastAsia" w:ascii="宋体" w:hAnsi="宋体"/>
          <w:color w:val="auto"/>
          <w:kern w:val="0"/>
          <w:sz w:val="24"/>
          <w:highlight w:val="none"/>
        </w:rPr>
        <w:t>医院传染病报告管理系统，建立传染病相关信息自动集中判断、通知与上报的体系，以改善目前系统缺陷。</w:t>
      </w:r>
    </w:p>
    <w:p>
      <w:pPr>
        <w:adjustRightInd w:val="0"/>
        <w:spacing w:line="360" w:lineRule="auto"/>
        <w:ind w:firstLine="567"/>
        <w:textAlignment w:val="baseline"/>
        <w:rPr>
          <w:rFonts w:ascii="宋体" w:hAnsi="宋体"/>
          <w:color w:val="auto"/>
          <w:kern w:val="0"/>
          <w:sz w:val="24"/>
          <w:highlight w:val="none"/>
        </w:rPr>
      </w:pPr>
      <w:r>
        <w:rPr>
          <w:rFonts w:hint="eastAsia" w:ascii="宋体" w:hAnsi="宋体"/>
          <w:color w:val="auto"/>
          <w:kern w:val="0"/>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trPr>
        <w:tc>
          <w:tcPr>
            <w:tcW w:w="1980"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系统</w:t>
            </w:r>
          </w:p>
        </w:tc>
        <w:tc>
          <w:tcPr>
            <w:tcW w:w="7087"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报卡管理</w:t>
            </w:r>
          </w:p>
        </w:tc>
        <w:tc>
          <w:tcPr>
            <w:tcW w:w="7087" w:type="dxa"/>
          </w:tcPr>
          <w:p>
            <w:pPr>
              <w:pStyle w:val="201"/>
              <w:numPr>
                <w:ilvl w:val="0"/>
                <w:numId w:val="9"/>
              </w:numPr>
              <w:spacing w:before="0"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对传染病报卡、检验报告、微生物报告、诊断信息、死亡医嘱信息，按预先设定的规则进行短信、微信、消息预警和警告通知预警，使医生接到预警信息后，及时进行判断处理避免大面积的传染病产生的感染事件发生,同时也有效的降低了传染病报卡迟报率。同时也可以第一时间填写其它类型的报卡(如：食源性报卡、肿瘤报卡、心脑血管报卡、死亡报卡)，这些报卡审核通过后，可以直接上传疾控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预警规则</w:t>
            </w:r>
          </w:p>
        </w:tc>
        <w:tc>
          <w:tcPr>
            <w:tcW w:w="7087" w:type="dxa"/>
          </w:tcPr>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支持预置传染病预警规则，食源性病历数据、肿瘤病历数据、心脑血管病历数据、死亡病历数据的监测规则，包括传染病类别、名称、途径、诊断名称、数据源及预警值等信息。</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支持传染病预警规则，食源性病历数据、肿瘤病历数据、心脑血管病历数据、死亡病历数据监测规则的灵活配置，变更后规则实时生效。</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支持监测记录列出全部的传染病预警病例数据、食源性病例数据、肿瘤病例数据、心脑血管病例数据、死亡病例数据，提供自定义条件设置，检索符合特定条件的监测记录数据。</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支持提供传染病预警病例、食源性病例、肿瘤病例、心脑血管病例、死亡病例的数据导出和统计功能。</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支持对需要处理的病例，可以录入反馈内容并推送给指定的责任人，推送支持消息、微信、短信等方式。</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系统支持提供传染病预警规则，规则覆盖甲、乙、丙类传染病。</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支持预警—干预—追踪—反馈的闭环管理，避免院内传染病大范围的爆发，有效降低传染病报卡的迟报率、漏报率。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统计查询</w:t>
            </w:r>
          </w:p>
        </w:tc>
        <w:tc>
          <w:tcPr>
            <w:tcW w:w="7087" w:type="dxa"/>
          </w:tcPr>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支持按照日、月、年维度，统计不同传染途径的患者数量、报卡数量。</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支持人工上报传染病报卡、肿瘤报卡、死亡报卡、食源性报卡、心脑血管报卡，通过Excel导出后上报上级主管部门。</w:t>
            </w:r>
          </w:p>
        </w:tc>
      </w:tr>
    </w:tbl>
    <w:p>
      <w:pPr>
        <w:pStyle w:val="7"/>
        <w:numPr>
          <w:ilvl w:val="4"/>
          <w:numId w:val="8"/>
        </w:numPr>
        <w:rPr>
          <w:rFonts w:ascii="宋体" w:hAnsi="宋体"/>
          <w:color w:val="auto"/>
          <w:szCs w:val="24"/>
          <w:highlight w:val="none"/>
        </w:rPr>
      </w:pPr>
      <w:bookmarkStart w:id="634" w:name="_Toc13143"/>
      <w:r>
        <w:rPr>
          <w:rFonts w:hint="eastAsia" w:ascii="宋体" w:hAnsi="宋体"/>
          <w:color w:val="auto"/>
          <w:szCs w:val="24"/>
          <w:highlight w:val="none"/>
        </w:rPr>
        <w:t>疾病预防控制信息系统</w:t>
      </w:r>
      <w:bookmarkEnd w:id="634"/>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系统支持根据《中华人民共和国传染病防治法》、《中华人民共和国传染病防治法》（修订草案征求意见稿）、《国家卫生计生委关于调整部分法定传染病病种管理工作的通知》国卫疾控发[2013]28 号、《传染病信息报告管理规范（2015 年版）》国卫办疾控发〔2015〕53 号、《国家卫生健康委办公厅关于调整肺结核传染病报告分类的通知》国卫办疾控函〔2019〕296号、《人口死亡信息登记管理规范（试行）》、《“健康中国 2030”规划纲要》、《疾病控制基本数据集》（WS 375.9-2012）、《基于健康档案的区域卫生信息平台技术规范》（WS/T448-2014）、《基于电子病历的医院信息平台技术规范》（WS/T 447-2014）等法律、规范、通知的要求实现以下功能：</w:t>
      </w:r>
    </w:p>
    <w:tbl>
      <w:tblPr>
        <w:tblStyle w:val="43"/>
        <w:tblW w:w="90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trPr>
        <w:tc>
          <w:tcPr>
            <w:tcW w:w="1980"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7097"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 w:hRule="atLeast"/>
        </w:trPr>
        <w:tc>
          <w:tcPr>
            <w:tcW w:w="1980" w:type="dxa"/>
            <w:vAlign w:val="center"/>
          </w:tcPr>
          <w:p>
            <w:pPr>
              <w:spacing w:line="360" w:lineRule="auto"/>
              <w:ind w:left="8" w:right="33"/>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疾病智能预警</w:t>
            </w:r>
          </w:p>
        </w:tc>
        <w:tc>
          <w:tcPr>
            <w:tcW w:w="7097" w:type="dxa"/>
            <w:vAlign w:val="center"/>
          </w:tcPr>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w:t>
            </w:r>
            <w:r>
              <w:rPr>
                <w:rFonts w:ascii="宋体" w:hAnsi="宋体" w:eastAsia="宋体"/>
                <w:color w:val="auto"/>
                <w:sz w:val="24"/>
                <w:highlight w:val="none"/>
                <w:lang w:eastAsia="zh-CN"/>
              </w:rPr>
              <w:t>通过连续数据的模型运算，</w:t>
            </w:r>
            <w:r>
              <w:rPr>
                <w:rFonts w:hint="eastAsia" w:ascii="宋体" w:hAnsi="宋体" w:eastAsia="宋体"/>
                <w:color w:val="auto"/>
                <w:sz w:val="24"/>
                <w:highlight w:val="none"/>
                <w:lang w:eastAsia="zh-CN"/>
              </w:rPr>
              <w:t>对</w:t>
            </w:r>
            <w:r>
              <w:rPr>
                <w:rFonts w:ascii="宋体" w:hAnsi="宋体" w:eastAsia="宋体"/>
                <w:color w:val="auto"/>
                <w:sz w:val="24"/>
                <w:highlight w:val="none"/>
                <w:lang w:eastAsia="zh-CN"/>
              </w:rPr>
              <w:t>疾病风险预测，测算相应的疾病风险</w:t>
            </w:r>
            <w:r>
              <w:rPr>
                <w:rFonts w:hint="eastAsia" w:ascii="宋体" w:hAnsi="宋体" w:eastAsia="宋体"/>
                <w:color w:val="auto"/>
                <w:sz w:val="24"/>
                <w:highlight w:val="none"/>
                <w:lang w:eastAsia="zh-CN"/>
              </w:rPr>
              <w:t>，提供</w:t>
            </w:r>
            <w:r>
              <w:rPr>
                <w:rFonts w:ascii="宋体" w:hAnsi="宋体" w:eastAsia="宋体"/>
                <w:color w:val="auto"/>
                <w:sz w:val="24"/>
                <w:highlight w:val="none"/>
                <w:lang w:eastAsia="zh-CN"/>
              </w:rPr>
              <w:t>预警和态势预报等功能</w:t>
            </w:r>
            <w:r>
              <w:rPr>
                <w:rFonts w:hint="eastAsia" w:ascii="宋体" w:hAnsi="宋体" w:eastAsia="宋体"/>
                <w:color w:val="auto"/>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1980" w:type="dxa"/>
            <w:vAlign w:val="center"/>
          </w:tcPr>
          <w:p>
            <w:pPr>
              <w:spacing w:line="360" w:lineRule="auto"/>
              <w:ind w:left="8" w:right="33"/>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辅助临床处置</w:t>
            </w:r>
          </w:p>
        </w:tc>
        <w:tc>
          <w:tcPr>
            <w:tcW w:w="7097" w:type="dxa"/>
            <w:vAlign w:val="center"/>
          </w:tcPr>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支持辅助医师填写报告卡的功能、报告卡类型、传染病报告卡管理、死亡报告卡管理、慢性病报告卡管理、肿瘤报告卡管理、食源性疾病报告卡管理.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 w:hRule="atLeast"/>
        </w:trPr>
        <w:tc>
          <w:tcPr>
            <w:tcW w:w="1980" w:type="dxa"/>
            <w:vAlign w:val="center"/>
          </w:tcPr>
          <w:p>
            <w:pPr>
              <w:spacing w:line="360" w:lineRule="auto"/>
              <w:ind w:left="8" w:right="33"/>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网络直报功能</w:t>
            </w:r>
          </w:p>
        </w:tc>
        <w:tc>
          <w:tcPr>
            <w:tcW w:w="7097" w:type="dxa"/>
            <w:vAlign w:val="center"/>
          </w:tcPr>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支持通过国家传染病网</w:t>
            </w:r>
            <w:r>
              <w:rPr>
                <w:rFonts w:ascii="宋体" w:hAnsi="宋体" w:eastAsia="宋体"/>
                <w:color w:val="auto"/>
                <w:sz w:val="24"/>
                <w:highlight w:val="none"/>
                <w:lang w:eastAsia="zh-CN"/>
              </w:rPr>
              <w:t>络直报系统</w:t>
            </w:r>
            <w:r>
              <w:rPr>
                <w:rFonts w:hint="eastAsia" w:ascii="宋体" w:hAnsi="宋体" w:eastAsia="宋体"/>
                <w:color w:val="auto"/>
                <w:sz w:val="24"/>
                <w:highlight w:val="none"/>
                <w:lang w:eastAsia="zh-CN"/>
              </w:rPr>
              <w:t>，</w:t>
            </w:r>
            <w:r>
              <w:rPr>
                <w:rFonts w:ascii="宋体" w:hAnsi="宋体" w:eastAsia="宋体"/>
                <w:color w:val="auto"/>
                <w:sz w:val="24"/>
                <w:highlight w:val="none"/>
                <w:lang w:eastAsia="zh-CN"/>
              </w:rPr>
              <w:t>将传染病报告卡通过网络报告</w:t>
            </w:r>
            <w:r>
              <w:rPr>
                <w:rFonts w:hint="eastAsia" w:ascii="宋体" w:hAnsi="宋体" w:eastAsia="宋体"/>
                <w:color w:val="auto"/>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 w:hRule="atLeast"/>
        </w:trPr>
        <w:tc>
          <w:tcPr>
            <w:tcW w:w="1980" w:type="dxa"/>
            <w:vAlign w:val="center"/>
          </w:tcPr>
          <w:p>
            <w:pPr>
              <w:spacing w:line="360" w:lineRule="auto"/>
              <w:ind w:left="8" w:right="33"/>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工作概况</w:t>
            </w:r>
          </w:p>
        </w:tc>
        <w:tc>
          <w:tcPr>
            <w:tcW w:w="7097" w:type="dxa"/>
            <w:vAlign w:val="center"/>
          </w:tcPr>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支持提供就诊日志（门诊日志、住院日志）、检验结果登记本、检查结果登记本功能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 w:hRule="atLeast"/>
        </w:trPr>
        <w:tc>
          <w:tcPr>
            <w:tcW w:w="1980" w:type="dxa"/>
            <w:vAlign w:val="center"/>
          </w:tcPr>
          <w:p>
            <w:pPr>
              <w:spacing w:line="360" w:lineRule="auto"/>
              <w:ind w:left="8" w:right="33"/>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聚集事件</w:t>
            </w:r>
          </w:p>
        </w:tc>
        <w:tc>
          <w:tcPr>
            <w:tcW w:w="7097" w:type="dxa"/>
            <w:vAlign w:val="center"/>
          </w:tcPr>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支持提供</w:t>
            </w:r>
            <w:r>
              <w:rPr>
                <w:rFonts w:ascii="宋体" w:hAnsi="宋体" w:eastAsia="宋体"/>
                <w:color w:val="auto"/>
                <w:sz w:val="24"/>
                <w:highlight w:val="none"/>
                <w:lang w:eastAsia="zh-CN"/>
              </w:rPr>
              <w:t>常见传染病防治及聚集性事件防控病例</w:t>
            </w:r>
            <w:r>
              <w:rPr>
                <w:rFonts w:hint="eastAsia" w:ascii="宋体" w:hAnsi="宋体" w:eastAsia="宋体"/>
                <w:color w:val="auto"/>
                <w:sz w:val="24"/>
                <w:highlight w:val="none"/>
                <w:lang w:eastAsia="zh-CN"/>
              </w:rPr>
              <w:t>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 w:hRule="atLeast"/>
        </w:trPr>
        <w:tc>
          <w:tcPr>
            <w:tcW w:w="1980" w:type="dxa"/>
            <w:vAlign w:val="center"/>
          </w:tcPr>
          <w:p>
            <w:pPr>
              <w:spacing w:line="360" w:lineRule="auto"/>
              <w:ind w:left="8" w:right="33"/>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统计报表</w:t>
            </w:r>
          </w:p>
        </w:tc>
        <w:tc>
          <w:tcPr>
            <w:tcW w:w="7097" w:type="dxa"/>
            <w:vAlign w:val="center"/>
          </w:tcPr>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支持对</w:t>
            </w:r>
            <w:r>
              <w:rPr>
                <w:rFonts w:ascii="宋体" w:hAnsi="宋体" w:eastAsia="宋体"/>
                <w:color w:val="auto"/>
                <w:sz w:val="24"/>
                <w:highlight w:val="none"/>
                <w:lang w:eastAsia="zh-CN"/>
              </w:rPr>
              <w:t>数据正确统计</w:t>
            </w:r>
            <w:r>
              <w:rPr>
                <w:rFonts w:hint="eastAsia" w:ascii="宋体" w:hAnsi="宋体" w:eastAsia="宋体"/>
                <w:color w:val="auto"/>
                <w:sz w:val="24"/>
                <w:highlight w:val="none"/>
                <w:lang w:eastAsia="zh-CN"/>
              </w:rPr>
              <w:t>，并提供多种形式</w:t>
            </w:r>
            <w:r>
              <w:rPr>
                <w:rFonts w:ascii="宋体" w:hAnsi="宋体" w:eastAsia="宋体"/>
                <w:color w:val="auto"/>
                <w:sz w:val="24"/>
                <w:highlight w:val="none"/>
                <w:lang w:eastAsia="zh-CN"/>
              </w:rPr>
              <w:t>疾病预防控制信息</w:t>
            </w:r>
            <w:r>
              <w:rPr>
                <w:rFonts w:hint="eastAsia" w:ascii="宋体" w:hAnsi="宋体" w:eastAsia="宋体"/>
                <w:color w:val="auto"/>
                <w:sz w:val="24"/>
                <w:highlight w:val="none"/>
                <w:lang w:eastAsia="zh-CN"/>
              </w:rPr>
              <w:t>年度、季度、月度、周、日</w:t>
            </w:r>
            <w:r>
              <w:rPr>
                <w:rFonts w:ascii="宋体" w:hAnsi="宋体" w:eastAsia="宋体"/>
                <w:color w:val="auto"/>
                <w:sz w:val="24"/>
                <w:highlight w:val="none"/>
                <w:lang w:eastAsia="zh-CN"/>
              </w:rPr>
              <w:t>报表</w:t>
            </w:r>
            <w:r>
              <w:rPr>
                <w:rFonts w:hint="eastAsia" w:ascii="宋体" w:hAnsi="宋体" w:eastAsia="宋体"/>
                <w:color w:val="auto"/>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 w:hRule="atLeast"/>
        </w:trPr>
        <w:tc>
          <w:tcPr>
            <w:tcW w:w="1980" w:type="dxa"/>
            <w:vAlign w:val="center"/>
          </w:tcPr>
          <w:p>
            <w:pPr>
              <w:spacing w:line="360" w:lineRule="auto"/>
              <w:ind w:left="8" w:right="33"/>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公告栏</w:t>
            </w:r>
          </w:p>
        </w:tc>
        <w:tc>
          <w:tcPr>
            <w:tcW w:w="7097" w:type="dxa"/>
            <w:vAlign w:val="center"/>
          </w:tcPr>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w:t>
            </w:r>
            <w:r>
              <w:rPr>
                <w:rFonts w:ascii="宋体" w:hAnsi="宋体" w:eastAsia="宋体"/>
                <w:color w:val="auto"/>
                <w:sz w:val="24"/>
                <w:highlight w:val="none"/>
                <w:lang w:eastAsia="zh-CN"/>
              </w:rPr>
              <w:t>用户每次登录系统时，在首页公告栏可以收到系统自动发送的消息，此消息内容可以根据不同业务需要定制发送内容</w:t>
            </w:r>
            <w:r>
              <w:rPr>
                <w:rFonts w:hint="eastAsia" w:ascii="宋体" w:hAnsi="宋体" w:eastAsia="宋体"/>
                <w:color w:val="auto"/>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 w:hRule="atLeast"/>
        </w:trPr>
        <w:tc>
          <w:tcPr>
            <w:tcW w:w="1980" w:type="dxa"/>
            <w:vAlign w:val="center"/>
          </w:tcPr>
          <w:p>
            <w:pPr>
              <w:spacing w:line="360" w:lineRule="auto"/>
              <w:ind w:left="8" w:right="33"/>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用户管理</w:t>
            </w:r>
          </w:p>
        </w:tc>
        <w:tc>
          <w:tcPr>
            <w:tcW w:w="7097" w:type="dxa"/>
            <w:vAlign w:val="center"/>
          </w:tcPr>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支持提供用户账号、密码和权限管理等功能。</w:t>
            </w:r>
          </w:p>
        </w:tc>
      </w:tr>
    </w:tbl>
    <w:p>
      <w:pPr>
        <w:spacing w:line="360" w:lineRule="auto"/>
        <w:ind w:firstLine="480" w:firstLineChars="200"/>
        <w:rPr>
          <w:rFonts w:ascii="宋体" w:hAnsi="宋体"/>
          <w:color w:val="auto"/>
          <w:sz w:val="24"/>
          <w:highlight w:val="none"/>
        </w:rPr>
      </w:pPr>
    </w:p>
    <w:p>
      <w:pPr>
        <w:pStyle w:val="7"/>
        <w:numPr>
          <w:ilvl w:val="4"/>
          <w:numId w:val="8"/>
        </w:numPr>
        <w:rPr>
          <w:rFonts w:ascii="宋体" w:hAnsi="宋体"/>
          <w:color w:val="auto"/>
          <w:szCs w:val="24"/>
          <w:highlight w:val="none"/>
        </w:rPr>
      </w:pPr>
      <w:bookmarkStart w:id="635" w:name="_Toc30184"/>
      <w:r>
        <w:rPr>
          <w:rFonts w:hint="eastAsia" w:ascii="宋体" w:hAnsi="宋体"/>
          <w:color w:val="auto"/>
          <w:szCs w:val="24"/>
          <w:highlight w:val="none"/>
        </w:rPr>
        <w:t>药库管理系统</w:t>
      </w:r>
      <w:bookmarkEnd w:id="635"/>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适用于一级库（药库科室）、二级库（药房科室）的药品（包含：西药、中药）库存管理。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trPr>
        <w:tc>
          <w:tcPr>
            <w:tcW w:w="1980"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功能模块</w:t>
            </w:r>
          </w:p>
        </w:tc>
        <w:tc>
          <w:tcPr>
            <w:tcW w:w="7097"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 w:hRule="atLeast"/>
        </w:trPr>
        <w:tc>
          <w:tcPr>
            <w:tcW w:w="1980" w:type="dxa"/>
            <w:vAlign w:val="center"/>
          </w:tcPr>
          <w:p>
            <w:pPr>
              <w:spacing w:line="360" w:lineRule="auto"/>
              <w:ind w:left="8" w:right="33"/>
              <w:jc w:val="center"/>
              <w:rPr>
                <w:rFonts w:ascii="宋体" w:hAnsi="宋体" w:cs="仿宋"/>
                <w:b/>
                <w:color w:val="auto"/>
                <w:sz w:val="24"/>
                <w:highlight w:val="none"/>
                <w:lang w:val="zh-CN" w:bidi="zh-CN"/>
              </w:rPr>
            </w:pPr>
            <w:r>
              <w:rPr>
                <w:rFonts w:hint="eastAsia" w:ascii="宋体" w:hAnsi="宋体"/>
                <w:color w:val="auto"/>
                <w:sz w:val="24"/>
                <w:highlight w:val="none"/>
              </w:rPr>
              <w:t>药库管理系统</w:t>
            </w:r>
          </w:p>
        </w:tc>
        <w:tc>
          <w:tcPr>
            <w:tcW w:w="7097" w:type="dxa"/>
            <w:vAlign w:val="center"/>
          </w:tcPr>
          <w:p>
            <w:pPr>
              <w:pStyle w:val="130"/>
              <w:ind w:firstLine="0"/>
              <w:rPr>
                <w:rFonts w:ascii="宋体" w:hAnsi="宋体"/>
                <w:b/>
                <w:color w:val="auto"/>
                <w:szCs w:val="24"/>
                <w:highlight w:val="none"/>
              </w:rPr>
            </w:pPr>
            <w:r>
              <w:rPr>
                <w:rFonts w:hint="eastAsia" w:ascii="宋体" w:hAnsi="宋体"/>
                <w:b/>
                <w:color w:val="auto"/>
                <w:szCs w:val="24"/>
                <w:highlight w:val="none"/>
              </w:rPr>
              <w:t>（1）基础数据</w:t>
            </w:r>
          </w:p>
          <w:p>
            <w:pPr>
              <w:pStyle w:val="130"/>
              <w:ind w:firstLine="0"/>
              <w:rPr>
                <w:rFonts w:ascii="宋体" w:hAnsi="宋体"/>
                <w:b/>
                <w:color w:val="auto"/>
                <w:szCs w:val="24"/>
                <w:highlight w:val="none"/>
              </w:rPr>
            </w:pPr>
            <w:r>
              <w:rPr>
                <w:rFonts w:hint="eastAsia" w:ascii="宋体" w:hAnsi="宋体"/>
                <w:b/>
                <w:color w:val="auto"/>
                <w:szCs w:val="24"/>
                <w:highlight w:val="none"/>
              </w:rPr>
              <w:t>药品通用名分类：</w:t>
            </w:r>
          </w:p>
          <w:p>
            <w:pPr>
              <w:pStyle w:val="130"/>
              <w:ind w:firstLine="0"/>
              <w:rPr>
                <w:rFonts w:ascii="宋体" w:hAnsi="宋体"/>
                <w:color w:val="auto"/>
                <w:szCs w:val="24"/>
                <w:highlight w:val="none"/>
              </w:rPr>
            </w:pPr>
            <w:r>
              <w:rPr>
                <w:rFonts w:hint="eastAsia" w:ascii="宋体" w:hAnsi="宋体"/>
                <w:color w:val="auto"/>
                <w:szCs w:val="24"/>
                <w:highlight w:val="none"/>
              </w:rPr>
              <w:t>1、支持药品通用名分类的新增、编辑、删除、刷新操作。</w:t>
            </w:r>
          </w:p>
          <w:p>
            <w:pPr>
              <w:pStyle w:val="130"/>
              <w:ind w:firstLine="0"/>
              <w:rPr>
                <w:rFonts w:ascii="宋体" w:hAnsi="宋体"/>
                <w:color w:val="auto"/>
                <w:szCs w:val="24"/>
                <w:highlight w:val="none"/>
              </w:rPr>
            </w:pPr>
            <w:r>
              <w:rPr>
                <w:rFonts w:hint="eastAsia" w:ascii="宋体" w:hAnsi="宋体"/>
                <w:color w:val="auto"/>
                <w:szCs w:val="24"/>
                <w:highlight w:val="none"/>
              </w:rPr>
              <w:t>2、支持药品通用名分类以列表形式显示。</w:t>
            </w:r>
          </w:p>
          <w:p>
            <w:pPr>
              <w:pStyle w:val="130"/>
              <w:ind w:firstLine="0"/>
              <w:rPr>
                <w:rFonts w:ascii="宋体" w:hAnsi="宋体"/>
                <w:color w:val="auto"/>
                <w:szCs w:val="24"/>
                <w:highlight w:val="none"/>
              </w:rPr>
            </w:pPr>
            <w:r>
              <w:rPr>
                <w:rFonts w:hint="eastAsia" w:ascii="宋体" w:hAnsi="宋体"/>
                <w:color w:val="auto"/>
                <w:szCs w:val="24"/>
                <w:highlight w:val="none"/>
              </w:rPr>
              <w:t>3、支持新增药品通用名分类的子项。</w:t>
            </w:r>
          </w:p>
          <w:p>
            <w:pPr>
              <w:pStyle w:val="130"/>
              <w:ind w:firstLine="0"/>
              <w:rPr>
                <w:rFonts w:ascii="宋体" w:hAnsi="宋体"/>
                <w:b/>
                <w:color w:val="auto"/>
                <w:szCs w:val="24"/>
                <w:highlight w:val="none"/>
              </w:rPr>
            </w:pPr>
            <w:r>
              <w:rPr>
                <w:rFonts w:hint="eastAsia" w:ascii="宋体" w:hAnsi="宋体"/>
                <w:b/>
                <w:color w:val="auto"/>
                <w:szCs w:val="24"/>
                <w:highlight w:val="none"/>
              </w:rPr>
              <w:t>药品通用名目录：</w:t>
            </w:r>
          </w:p>
          <w:p>
            <w:pPr>
              <w:pStyle w:val="130"/>
              <w:ind w:firstLine="0"/>
              <w:rPr>
                <w:rFonts w:ascii="宋体" w:hAnsi="宋体"/>
                <w:color w:val="auto"/>
                <w:szCs w:val="24"/>
                <w:highlight w:val="none"/>
              </w:rPr>
            </w:pPr>
            <w:r>
              <w:rPr>
                <w:rFonts w:hint="eastAsia" w:ascii="宋体" w:hAnsi="宋体"/>
                <w:color w:val="auto"/>
                <w:szCs w:val="24"/>
                <w:highlight w:val="none"/>
              </w:rPr>
              <w:t>1、支持药品通用名目录的新增、编辑、查看、删除、刷新、启用、停用操作。</w:t>
            </w:r>
          </w:p>
          <w:p>
            <w:pPr>
              <w:pStyle w:val="130"/>
              <w:ind w:firstLine="0"/>
              <w:rPr>
                <w:rFonts w:ascii="宋体" w:hAnsi="宋体"/>
                <w:color w:val="auto"/>
                <w:szCs w:val="24"/>
                <w:highlight w:val="none"/>
              </w:rPr>
            </w:pPr>
            <w:r>
              <w:rPr>
                <w:rFonts w:hint="eastAsia" w:ascii="宋体" w:hAnsi="宋体"/>
                <w:color w:val="auto"/>
                <w:szCs w:val="24"/>
                <w:highlight w:val="none"/>
              </w:rPr>
              <w:t>2、支持药品通用名目录以列表形式显示。</w:t>
            </w:r>
          </w:p>
          <w:p>
            <w:pPr>
              <w:pStyle w:val="130"/>
              <w:ind w:firstLine="0"/>
              <w:rPr>
                <w:rFonts w:ascii="宋体" w:hAnsi="宋体"/>
                <w:color w:val="auto"/>
                <w:szCs w:val="24"/>
                <w:highlight w:val="none"/>
              </w:rPr>
            </w:pPr>
            <w:r>
              <w:rPr>
                <w:rFonts w:hint="eastAsia" w:ascii="宋体" w:hAnsi="宋体"/>
                <w:color w:val="auto"/>
                <w:szCs w:val="24"/>
                <w:highlight w:val="none"/>
              </w:rPr>
              <w:t>3、支持选中一个药品通用名分类树里的一项，对应显示出该分类下的所有药品通用名目录信息。</w:t>
            </w:r>
          </w:p>
          <w:p>
            <w:pPr>
              <w:pStyle w:val="130"/>
              <w:ind w:firstLine="0"/>
              <w:rPr>
                <w:rFonts w:ascii="宋体" w:hAnsi="宋体"/>
                <w:color w:val="auto"/>
                <w:szCs w:val="24"/>
                <w:highlight w:val="none"/>
              </w:rPr>
            </w:pPr>
            <w:r>
              <w:rPr>
                <w:rFonts w:hint="eastAsia" w:ascii="宋体" w:hAnsi="宋体"/>
                <w:color w:val="auto"/>
                <w:szCs w:val="24"/>
                <w:highlight w:val="none"/>
              </w:rPr>
              <w:t>4、支持药品通用名目录的查询功能，可根据编码、通用名、服务类型、启用标识、抗菌药分类、毒麻分类进行筛选。</w:t>
            </w:r>
          </w:p>
          <w:p>
            <w:pPr>
              <w:pStyle w:val="130"/>
              <w:ind w:firstLine="0"/>
              <w:rPr>
                <w:rFonts w:ascii="宋体" w:hAnsi="宋体"/>
                <w:color w:val="auto"/>
                <w:szCs w:val="24"/>
                <w:highlight w:val="none"/>
              </w:rPr>
            </w:pPr>
            <w:r>
              <w:rPr>
                <w:rFonts w:hint="eastAsia" w:ascii="宋体" w:hAnsi="宋体"/>
                <w:color w:val="auto"/>
                <w:szCs w:val="24"/>
                <w:highlight w:val="none"/>
              </w:rPr>
              <w:t>药品基本信息：</w:t>
            </w:r>
          </w:p>
          <w:p>
            <w:pPr>
              <w:pStyle w:val="130"/>
              <w:ind w:firstLine="0"/>
              <w:rPr>
                <w:rFonts w:ascii="宋体" w:hAnsi="宋体"/>
                <w:color w:val="auto"/>
                <w:szCs w:val="24"/>
                <w:highlight w:val="none"/>
              </w:rPr>
            </w:pPr>
            <w:r>
              <w:rPr>
                <w:rFonts w:hint="eastAsia" w:ascii="宋体" w:hAnsi="宋体"/>
                <w:color w:val="auto"/>
                <w:szCs w:val="24"/>
                <w:highlight w:val="none"/>
              </w:rPr>
              <w:t>1、支持药品基本信息的新增、编辑、删除、查看、刷新、启用、停用、开放、停开、导出操作。</w:t>
            </w:r>
          </w:p>
          <w:p>
            <w:pPr>
              <w:pStyle w:val="130"/>
              <w:ind w:firstLine="0"/>
              <w:rPr>
                <w:rFonts w:ascii="宋体" w:hAnsi="宋体"/>
                <w:color w:val="auto"/>
                <w:szCs w:val="24"/>
                <w:highlight w:val="none"/>
              </w:rPr>
            </w:pPr>
            <w:r>
              <w:rPr>
                <w:rFonts w:hint="eastAsia" w:ascii="宋体" w:hAnsi="宋体"/>
                <w:color w:val="auto"/>
                <w:szCs w:val="24"/>
                <w:highlight w:val="none"/>
              </w:rPr>
              <w:t>2、支持仓库关系维护，选中一个药品，增加仓库关系，该仓库下就有该药品了，仓库关系列表信息里，需要选择仓库，包装单位，填写最高库存和最低库存，勾选启用状态和停发标志。</w:t>
            </w:r>
          </w:p>
          <w:p>
            <w:pPr>
              <w:pStyle w:val="130"/>
              <w:ind w:firstLine="0"/>
              <w:rPr>
                <w:rFonts w:ascii="宋体" w:hAnsi="宋体"/>
                <w:color w:val="auto"/>
                <w:szCs w:val="24"/>
                <w:highlight w:val="none"/>
              </w:rPr>
            </w:pPr>
            <w:r>
              <w:rPr>
                <w:rFonts w:hint="eastAsia" w:ascii="宋体" w:hAnsi="宋体"/>
                <w:color w:val="auto"/>
                <w:szCs w:val="24"/>
                <w:highlight w:val="none"/>
              </w:rPr>
              <w:t>3、支持科室基数药维护。</w:t>
            </w:r>
          </w:p>
          <w:p>
            <w:pPr>
              <w:pStyle w:val="130"/>
              <w:ind w:firstLine="0"/>
              <w:rPr>
                <w:rFonts w:ascii="宋体" w:hAnsi="宋体"/>
                <w:color w:val="auto"/>
                <w:szCs w:val="24"/>
                <w:highlight w:val="none"/>
              </w:rPr>
            </w:pPr>
            <w:r>
              <w:rPr>
                <w:rFonts w:hint="eastAsia" w:ascii="宋体" w:hAnsi="宋体"/>
                <w:color w:val="auto"/>
                <w:szCs w:val="24"/>
                <w:highlight w:val="none"/>
              </w:rPr>
              <w:t>4、支持虚拟入库功能。</w:t>
            </w:r>
          </w:p>
          <w:p>
            <w:pPr>
              <w:pStyle w:val="130"/>
              <w:ind w:firstLine="0"/>
              <w:rPr>
                <w:rFonts w:ascii="宋体" w:hAnsi="宋体"/>
                <w:color w:val="auto"/>
                <w:szCs w:val="24"/>
                <w:highlight w:val="none"/>
              </w:rPr>
            </w:pPr>
            <w:r>
              <w:rPr>
                <w:rFonts w:hint="eastAsia" w:ascii="宋体" w:hAnsi="宋体"/>
                <w:color w:val="auto"/>
                <w:szCs w:val="24"/>
                <w:highlight w:val="none"/>
              </w:rPr>
              <w:t>5、支持根据药品分类树对药品基本信息进行筛选。</w:t>
            </w:r>
          </w:p>
          <w:p>
            <w:pPr>
              <w:pStyle w:val="130"/>
              <w:ind w:firstLine="0"/>
              <w:rPr>
                <w:rFonts w:ascii="宋体" w:hAnsi="宋体"/>
                <w:color w:val="auto"/>
                <w:szCs w:val="24"/>
                <w:highlight w:val="none"/>
              </w:rPr>
            </w:pPr>
            <w:r>
              <w:rPr>
                <w:rFonts w:hint="eastAsia" w:ascii="宋体" w:hAnsi="宋体"/>
                <w:color w:val="auto"/>
                <w:szCs w:val="24"/>
                <w:highlight w:val="none"/>
              </w:rPr>
              <w:t>6、支持药品基本信息的查询，可根据物品编码、物品名称、抗菌药分类、毒麻药分类等进行查询。</w:t>
            </w:r>
          </w:p>
          <w:p>
            <w:pPr>
              <w:pStyle w:val="130"/>
              <w:ind w:firstLine="0"/>
              <w:rPr>
                <w:rFonts w:ascii="宋体" w:hAnsi="宋体"/>
                <w:color w:val="auto"/>
                <w:szCs w:val="24"/>
                <w:highlight w:val="none"/>
              </w:rPr>
            </w:pPr>
            <w:r>
              <w:rPr>
                <w:rFonts w:hint="eastAsia" w:ascii="宋体" w:hAnsi="宋体"/>
                <w:color w:val="auto"/>
                <w:szCs w:val="24"/>
                <w:highlight w:val="none"/>
              </w:rPr>
              <w:t>7、支持药品基本信息以列表的形式显示，选择一个药品分类，对应显示出该分类下所有药品信息。</w:t>
            </w:r>
          </w:p>
          <w:p>
            <w:pPr>
              <w:pStyle w:val="130"/>
              <w:ind w:firstLine="0"/>
              <w:rPr>
                <w:rFonts w:ascii="宋体" w:hAnsi="宋体"/>
                <w:b/>
                <w:color w:val="auto"/>
                <w:szCs w:val="24"/>
                <w:highlight w:val="none"/>
              </w:rPr>
            </w:pPr>
            <w:r>
              <w:rPr>
                <w:rFonts w:hint="eastAsia" w:ascii="宋体" w:hAnsi="宋体"/>
                <w:b/>
                <w:color w:val="auto"/>
                <w:szCs w:val="24"/>
                <w:highlight w:val="none"/>
              </w:rPr>
              <w:t>仓库：</w:t>
            </w:r>
          </w:p>
          <w:p>
            <w:pPr>
              <w:pStyle w:val="130"/>
              <w:ind w:firstLine="0"/>
              <w:rPr>
                <w:rFonts w:ascii="宋体" w:hAnsi="宋体"/>
                <w:color w:val="auto"/>
                <w:szCs w:val="24"/>
                <w:highlight w:val="none"/>
              </w:rPr>
            </w:pPr>
            <w:r>
              <w:rPr>
                <w:rFonts w:hint="eastAsia" w:ascii="宋体" w:hAnsi="宋体"/>
                <w:color w:val="auto"/>
                <w:szCs w:val="24"/>
                <w:highlight w:val="none"/>
              </w:rPr>
              <w:t>1、支持维护物品仓库。</w:t>
            </w:r>
          </w:p>
          <w:p>
            <w:pPr>
              <w:pStyle w:val="130"/>
              <w:ind w:firstLine="0"/>
              <w:rPr>
                <w:rFonts w:ascii="宋体" w:hAnsi="宋体"/>
                <w:color w:val="auto"/>
                <w:szCs w:val="24"/>
                <w:highlight w:val="none"/>
              </w:rPr>
            </w:pPr>
            <w:r>
              <w:rPr>
                <w:rFonts w:hint="eastAsia" w:ascii="宋体" w:hAnsi="宋体"/>
                <w:color w:val="auto"/>
                <w:szCs w:val="24"/>
                <w:highlight w:val="none"/>
              </w:rPr>
              <w:t>2、支持新增、复制新增、编辑、查看、删除、启用、停用仓库。支持批量新增仓库。</w:t>
            </w:r>
          </w:p>
          <w:p>
            <w:pPr>
              <w:pStyle w:val="130"/>
              <w:ind w:firstLine="0"/>
              <w:rPr>
                <w:rFonts w:ascii="宋体" w:hAnsi="宋体"/>
                <w:color w:val="auto"/>
                <w:szCs w:val="24"/>
                <w:highlight w:val="none"/>
              </w:rPr>
            </w:pPr>
            <w:r>
              <w:rPr>
                <w:rFonts w:hint="eastAsia" w:ascii="宋体" w:hAnsi="宋体"/>
                <w:color w:val="auto"/>
                <w:szCs w:val="24"/>
                <w:highlight w:val="none"/>
              </w:rPr>
              <w:t>3、支持药房、药库、基数药房、耗材库，四种类型的仓库。</w:t>
            </w:r>
          </w:p>
          <w:p>
            <w:pPr>
              <w:pStyle w:val="130"/>
              <w:ind w:firstLine="0"/>
              <w:rPr>
                <w:rFonts w:ascii="宋体" w:hAnsi="宋体"/>
                <w:b/>
                <w:color w:val="auto"/>
                <w:szCs w:val="24"/>
                <w:highlight w:val="none"/>
              </w:rPr>
            </w:pPr>
            <w:r>
              <w:rPr>
                <w:rFonts w:hint="eastAsia" w:ascii="宋体" w:hAnsi="宋体"/>
                <w:b/>
                <w:color w:val="auto"/>
                <w:szCs w:val="24"/>
                <w:highlight w:val="none"/>
              </w:rPr>
              <w:t>货位：</w:t>
            </w:r>
          </w:p>
          <w:p>
            <w:pPr>
              <w:pStyle w:val="130"/>
              <w:ind w:firstLine="0"/>
              <w:rPr>
                <w:rFonts w:ascii="宋体" w:hAnsi="宋体"/>
                <w:color w:val="auto"/>
                <w:szCs w:val="24"/>
                <w:highlight w:val="none"/>
              </w:rPr>
            </w:pPr>
            <w:r>
              <w:rPr>
                <w:rFonts w:hint="eastAsia" w:ascii="宋体" w:hAnsi="宋体"/>
                <w:color w:val="auto"/>
                <w:szCs w:val="24"/>
                <w:highlight w:val="none"/>
              </w:rPr>
              <w:t>1、支持用于按货位管理仓库的货位维护。</w:t>
            </w:r>
          </w:p>
          <w:p>
            <w:pPr>
              <w:pStyle w:val="130"/>
              <w:ind w:firstLine="0"/>
              <w:rPr>
                <w:rFonts w:ascii="宋体" w:hAnsi="宋体"/>
                <w:color w:val="auto"/>
                <w:szCs w:val="24"/>
                <w:highlight w:val="none"/>
              </w:rPr>
            </w:pPr>
            <w:r>
              <w:rPr>
                <w:rFonts w:hint="eastAsia" w:ascii="宋体" w:hAnsi="宋体"/>
                <w:color w:val="auto"/>
                <w:szCs w:val="24"/>
                <w:highlight w:val="none"/>
              </w:rPr>
              <w:t>2、支持新增、编辑、删除货位。</w:t>
            </w:r>
          </w:p>
          <w:p>
            <w:pPr>
              <w:pStyle w:val="130"/>
              <w:ind w:firstLine="0"/>
              <w:rPr>
                <w:rFonts w:ascii="宋体" w:hAnsi="宋体"/>
                <w:color w:val="auto"/>
                <w:szCs w:val="24"/>
                <w:highlight w:val="none"/>
              </w:rPr>
            </w:pPr>
            <w:r>
              <w:rPr>
                <w:rFonts w:hint="eastAsia" w:ascii="宋体" w:hAnsi="宋体"/>
                <w:color w:val="auto"/>
                <w:szCs w:val="24"/>
                <w:highlight w:val="none"/>
              </w:rPr>
              <w:t>3、支持维护货位编码、名称、描述和地点。</w:t>
            </w:r>
          </w:p>
          <w:p>
            <w:pPr>
              <w:pStyle w:val="130"/>
              <w:ind w:firstLine="0"/>
              <w:rPr>
                <w:rFonts w:ascii="宋体" w:hAnsi="宋体"/>
                <w:b/>
                <w:color w:val="auto"/>
                <w:szCs w:val="24"/>
                <w:highlight w:val="none"/>
              </w:rPr>
            </w:pPr>
            <w:r>
              <w:rPr>
                <w:rFonts w:hint="eastAsia" w:ascii="宋体" w:hAnsi="宋体"/>
                <w:b/>
                <w:color w:val="auto"/>
                <w:szCs w:val="24"/>
                <w:highlight w:val="none"/>
              </w:rPr>
              <w:t>仓库物品关系：</w:t>
            </w:r>
          </w:p>
          <w:p>
            <w:pPr>
              <w:pStyle w:val="130"/>
              <w:ind w:firstLine="0"/>
              <w:rPr>
                <w:rFonts w:ascii="宋体" w:hAnsi="宋体"/>
                <w:color w:val="auto"/>
                <w:szCs w:val="24"/>
                <w:highlight w:val="none"/>
              </w:rPr>
            </w:pPr>
            <w:r>
              <w:rPr>
                <w:rFonts w:hint="eastAsia" w:ascii="宋体" w:hAnsi="宋体"/>
                <w:color w:val="auto"/>
                <w:szCs w:val="24"/>
                <w:highlight w:val="none"/>
              </w:rPr>
              <w:t>1、支持仓库物品关系的新增、编辑、查看、删除、刷新、启用、停用、开放、停开、批量新增操作。</w:t>
            </w:r>
          </w:p>
          <w:p>
            <w:pPr>
              <w:pStyle w:val="130"/>
              <w:ind w:firstLine="0"/>
              <w:rPr>
                <w:rFonts w:ascii="宋体" w:hAnsi="宋体"/>
                <w:color w:val="auto"/>
                <w:szCs w:val="24"/>
                <w:highlight w:val="none"/>
              </w:rPr>
            </w:pPr>
            <w:r>
              <w:rPr>
                <w:rFonts w:hint="eastAsia" w:ascii="宋体" w:hAnsi="宋体"/>
                <w:color w:val="auto"/>
                <w:szCs w:val="24"/>
                <w:highlight w:val="none"/>
              </w:rPr>
              <w:t>2、支持选中一个仓库，显示出该仓库下所有的药品信息的功能。</w:t>
            </w:r>
          </w:p>
          <w:p>
            <w:pPr>
              <w:pStyle w:val="130"/>
              <w:ind w:firstLine="0"/>
              <w:rPr>
                <w:rFonts w:ascii="宋体" w:hAnsi="宋体"/>
                <w:color w:val="auto"/>
                <w:szCs w:val="24"/>
                <w:highlight w:val="none"/>
              </w:rPr>
            </w:pPr>
            <w:r>
              <w:rPr>
                <w:rFonts w:hint="eastAsia" w:ascii="宋体" w:hAnsi="宋体"/>
                <w:color w:val="auto"/>
                <w:szCs w:val="24"/>
                <w:highlight w:val="none"/>
              </w:rPr>
              <w:t>3、支持仓库下药品信息查询功能，选择一个仓库，可根据医疗物品和是否停开进行筛选。</w:t>
            </w:r>
          </w:p>
          <w:p>
            <w:pPr>
              <w:pStyle w:val="130"/>
              <w:ind w:firstLine="0"/>
              <w:rPr>
                <w:rFonts w:ascii="宋体" w:hAnsi="宋体"/>
                <w:color w:val="auto"/>
                <w:szCs w:val="24"/>
                <w:highlight w:val="none"/>
              </w:rPr>
            </w:pPr>
            <w:r>
              <w:rPr>
                <w:rFonts w:hint="eastAsia" w:ascii="宋体" w:hAnsi="宋体"/>
                <w:color w:val="auto"/>
                <w:szCs w:val="24"/>
                <w:highlight w:val="none"/>
              </w:rPr>
              <w:t>4、支持筛选条件，医疗物品下有很多药品名称参照。</w:t>
            </w:r>
          </w:p>
          <w:p>
            <w:pPr>
              <w:pStyle w:val="130"/>
              <w:ind w:firstLine="0"/>
              <w:rPr>
                <w:rFonts w:ascii="宋体" w:hAnsi="宋体"/>
                <w:b/>
                <w:color w:val="auto"/>
                <w:szCs w:val="24"/>
                <w:highlight w:val="none"/>
              </w:rPr>
            </w:pPr>
            <w:r>
              <w:rPr>
                <w:rFonts w:hint="eastAsia" w:ascii="宋体" w:hAnsi="宋体"/>
                <w:b/>
                <w:color w:val="auto"/>
                <w:szCs w:val="24"/>
                <w:highlight w:val="none"/>
              </w:rPr>
              <w:t>供应商与厂商字典：</w:t>
            </w:r>
          </w:p>
          <w:p>
            <w:pPr>
              <w:pStyle w:val="130"/>
              <w:ind w:firstLine="0"/>
              <w:rPr>
                <w:rFonts w:ascii="宋体" w:hAnsi="宋体"/>
                <w:color w:val="auto"/>
                <w:szCs w:val="24"/>
                <w:highlight w:val="none"/>
              </w:rPr>
            </w:pPr>
            <w:r>
              <w:rPr>
                <w:rFonts w:hint="eastAsia" w:ascii="宋体" w:hAnsi="宋体"/>
                <w:color w:val="auto"/>
                <w:szCs w:val="24"/>
                <w:highlight w:val="none"/>
              </w:rPr>
              <w:t>1、支持录入供应商、厂商数据，构成字典，方便查找。</w:t>
            </w:r>
          </w:p>
          <w:p>
            <w:pPr>
              <w:pStyle w:val="130"/>
              <w:ind w:firstLine="0"/>
              <w:rPr>
                <w:rFonts w:ascii="宋体" w:hAnsi="宋体"/>
                <w:color w:val="auto"/>
                <w:szCs w:val="24"/>
                <w:highlight w:val="none"/>
              </w:rPr>
            </w:pPr>
            <w:r>
              <w:rPr>
                <w:rFonts w:hint="eastAsia" w:ascii="宋体" w:hAnsi="宋体"/>
                <w:color w:val="auto"/>
                <w:szCs w:val="24"/>
                <w:highlight w:val="none"/>
              </w:rPr>
              <w:t>2、支持新增、复制新增、删除供应商数据。</w:t>
            </w:r>
          </w:p>
          <w:p>
            <w:pPr>
              <w:pStyle w:val="130"/>
              <w:ind w:firstLine="0"/>
              <w:rPr>
                <w:rFonts w:ascii="宋体" w:hAnsi="宋体"/>
                <w:b/>
                <w:color w:val="auto"/>
                <w:szCs w:val="24"/>
                <w:highlight w:val="none"/>
              </w:rPr>
            </w:pPr>
            <w:r>
              <w:rPr>
                <w:rFonts w:hint="eastAsia" w:ascii="宋体" w:hAnsi="宋体"/>
                <w:b/>
                <w:color w:val="auto"/>
                <w:szCs w:val="24"/>
                <w:highlight w:val="none"/>
              </w:rPr>
              <w:t>药品分组维护：</w:t>
            </w:r>
          </w:p>
          <w:p>
            <w:pPr>
              <w:pStyle w:val="130"/>
              <w:ind w:firstLine="0"/>
              <w:rPr>
                <w:rFonts w:ascii="宋体" w:hAnsi="宋体"/>
                <w:color w:val="auto"/>
                <w:szCs w:val="24"/>
                <w:highlight w:val="none"/>
              </w:rPr>
            </w:pPr>
            <w:r>
              <w:rPr>
                <w:rFonts w:hint="eastAsia" w:ascii="宋体" w:hAnsi="宋体"/>
                <w:color w:val="auto"/>
                <w:szCs w:val="24"/>
                <w:highlight w:val="none"/>
              </w:rPr>
              <w:t>1、支持对药品进行分组管理。</w:t>
            </w:r>
          </w:p>
          <w:p>
            <w:pPr>
              <w:pStyle w:val="130"/>
              <w:ind w:firstLine="0"/>
              <w:rPr>
                <w:rFonts w:ascii="宋体" w:hAnsi="宋体"/>
                <w:color w:val="auto"/>
                <w:szCs w:val="24"/>
                <w:highlight w:val="none"/>
              </w:rPr>
            </w:pPr>
            <w:r>
              <w:rPr>
                <w:rFonts w:hint="eastAsia" w:ascii="宋体" w:hAnsi="宋体"/>
                <w:color w:val="auto"/>
                <w:szCs w:val="24"/>
                <w:highlight w:val="none"/>
              </w:rPr>
              <w:t>2、支持新增、复制新增、编辑、删除、启用、停用药品分组信息。</w:t>
            </w:r>
          </w:p>
          <w:p>
            <w:pPr>
              <w:pStyle w:val="130"/>
              <w:ind w:firstLine="0"/>
              <w:rPr>
                <w:rFonts w:ascii="宋体" w:hAnsi="宋体"/>
                <w:color w:val="auto"/>
                <w:szCs w:val="24"/>
                <w:highlight w:val="none"/>
              </w:rPr>
            </w:pPr>
            <w:r>
              <w:rPr>
                <w:rFonts w:hint="eastAsia" w:ascii="宋体" w:hAnsi="宋体"/>
                <w:b/>
                <w:color w:val="auto"/>
                <w:szCs w:val="24"/>
                <w:highlight w:val="none"/>
              </w:rPr>
              <w:t>药品分组明细维护：</w:t>
            </w:r>
            <w:r>
              <w:rPr>
                <w:rFonts w:hint="eastAsia" w:ascii="宋体" w:hAnsi="宋体"/>
                <w:color w:val="auto"/>
                <w:szCs w:val="24"/>
                <w:highlight w:val="none"/>
              </w:rPr>
              <w:t>支持在药品分组下，新增、编辑、删除药品明细。</w:t>
            </w:r>
          </w:p>
          <w:p>
            <w:pPr>
              <w:pStyle w:val="130"/>
              <w:ind w:firstLine="0"/>
              <w:rPr>
                <w:rFonts w:ascii="宋体" w:hAnsi="宋体"/>
                <w:b/>
                <w:color w:val="auto"/>
                <w:szCs w:val="24"/>
                <w:highlight w:val="none"/>
              </w:rPr>
            </w:pPr>
            <w:r>
              <w:rPr>
                <w:rFonts w:hint="eastAsia" w:ascii="宋体" w:hAnsi="宋体"/>
                <w:b/>
                <w:color w:val="auto"/>
                <w:szCs w:val="24"/>
                <w:highlight w:val="none"/>
              </w:rPr>
              <w:t>（2）采购管理</w:t>
            </w:r>
            <w:r>
              <w:rPr>
                <w:rFonts w:hint="eastAsia" w:ascii="宋体" w:hAnsi="宋体"/>
                <w:b/>
                <w:color w:val="auto"/>
                <w:szCs w:val="24"/>
                <w:highlight w:val="none"/>
              </w:rPr>
              <w:tab/>
            </w:r>
          </w:p>
          <w:p>
            <w:pPr>
              <w:pStyle w:val="130"/>
              <w:ind w:firstLine="0"/>
              <w:rPr>
                <w:rFonts w:ascii="宋体" w:hAnsi="宋体"/>
                <w:b/>
                <w:color w:val="auto"/>
                <w:szCs w:val="24"/>
                <w:highlight w:val="none"/>
              </w:rPr>
            </w:pPr>
            <w:r>
              <w:rPr>
                <w:rFonts w:hint="eastAsia" w:ascii="宋体" w:hAnsi="宋体"/>
                <w:b/>
                <w:color w:val="auto"/>
                <w:szCs w:val="24"/>
                <w:highlight w:val="none"/>
              </w:rPr>
              <w:t>采购计划：</w:t>
            </w:r>
          </w:p>
          <w:p>
            <w:pPr>
              <w:pStyle w:val="130"/>
              <w:ind w:firstLine="0"/>
              <w:rPr>
                <w:rFonts w:ascii="宋体" w:hAnsi="宋体"/>
                <w:color w:val="auto"/>
                <w:szCs w:val="24"/>
                <w:highlight w:val="none"/>
              </w:rPr>
            </w:pPr>
            <w:r>
              <w:rPr>
                <w:rFonts w:hint="eastAsia" w:ascii="宋体" w:hAnsi="宋体"/>
                <w:color w:val="auto"/>
                <w:szCs w:val="24"/>
                <w:highlight w:val="none"/>
              </w:rPr>
              <w:t>1、支持新增、编辑、删除采购计划。</w:t>
            </w:r>
          </w:p>
          <w:p>
            <w:pPr>
              <w:pStyle w:val="130"/>
              <w:ind w:firstLine="0"/>
              <w:rPr>
                <w:rFonts w:ascii="宋体" w:hAnsi="宋体"/>
                <w:color w:val="auto"/>
                <w:szCs w:val="24"/>
                <w:highlight w:val="none"/>
              </w:rPr>
            </w:pPr>
            <w:r>
              <w:rPr>
                <w:rFonts w:hint="eastAsia" w:ascii="宋体" w:hAnsi="宋体"/>
                <w:color w:val="auto"/>
                <w:szCs w:val="24"/>
                <w:highlight w:val="none"/>
              </w:rPr>
              <w:t>2、支持采购计划查看、打印、提交、审核、进度查看。</w:t>
            </w:r>
          </w:p>
          <w:p>
            <w:pPr>
              <w:pStyle w:val="130"/>
              <w:ind w:firstLine="0"/>
              <w:rPr>
                <w:rFonts w:ascii="宋体" w:hAnsi="宋体"/>
                <w:color w:val="auto"/>
                <w:szCs w:val="24"/>
                <w:highlight w:val="none"/>
              </w:rPr>
            </w:pPr>
            <w:r>
              <w:rPr>
                <w:rFonts w:hint="eastAsia" w:ascii="宋体" w:hAnsi="宋体"/>
                <w:color w:val="auto"/>
                <w:szCs w:val="24"/>
                <w:highlight w:val="none"/>
              </w:rPr>
              <w:t>3、支持按照制单日期、计划单号、计划名称、计划仓库、计划状态等，查询采购计划。</w:t>
            </w:r>
          </w:p>
          <w:p>
            <w:pPr>
              <w:pStyle w:val="130"/>
              <w:ind w:firstLine="0"/>
              <w:rPr>
                <w:rFonts w:ascii="宋体" w:hAnsi="宋体"/>
                <w:b/>
                <w:color w:val="auto"/>
                <w:szCs w:val="24"/>
                <w:highlight w:val="none"/>
              </w:rPr>
            </w:pPr>
            <w:r>
              <w:rPr>
                <w:rFonts w:hint="eastAsia" w:ascii="宋体" w:hAnsi="宋体"/>
                <w:b/>
                <w:color w:val="auto"/>
                <w:szCs w:val="24"/>
                <w:highlight w:val="none"/>
              </w:rPr>
              <w:t>采购订单：</w:t>
            </w:r>
          </w:p>
          <w:p>
            <w:pPr>
              <w:pStyle w:val="130"/>
              <w:ind w:firstLine="0"/>
              <w:rPr>
                <w:rFonts w:ascii="宋体" w:hAnsi="宋体"/>
                <w:color w:val="auto"/>
                <w:szCs w:val="24"/>
                <w:highlight w:val="none"/>
              </w:rPr>
            </w:pPr>
            <w:r>
              <w:rPr>
                <w:rFonts w:hint="eastAsia" w:ascii="宋体" w:hAnsi="宋体"/>
                <w:color w:val="auto"/>
                <w:szCs w:val="24"/>
                <w:highlight w:val="none"/>
              </w:rPr>
              <w:t>1、支持新增、编辑、删除采购订单。</w:t>
            </w:r>
          </w:p>
          <w:p>
            <w:pPr>
              <w:pStyle w:val="130"/>
              <w:ind w:firstLine="0"/>
              <w:rPr>
                <w:rFonts w:ascii="宋体" w:hAnsi="宋体"/>
                <w:color w:val="auto"/>
                <w:szCs w:val="24"/>
                <w:highlight w:val="none"/>
              </w:rPr>
            </w:pPr>
            <w:r>
              <w:rPr>
                <w:rFonts w:hint="eastAsia" w:ascii="宋体" w:hAnsi="宋体"/>
                <w:color w:val="auto"/>
                <w:szCs w:val="24"/>
                <w:highlight w:val="none"/>
              </w:rPr>
              <w:t>2、支持通过采购计划直接生成采购订单。</w:t>
            </w:r>
          </w:p>
          <w:p>
            <w:pPr>
              <w:pStyle w:val="130"/>
              <w:ind w:firstLine="0"/>
              <w:rPr>
                <w:rFonts w:ascii="宋体" w:hAnsi="宋体"/>
                <w:color w:val="auto"/>
                <w:szCs w:val="24"/>
                <w:highlight w:val="none"/>
              </w:rPr>
            </w:pPr>
            <w:r>
              <w:rPr>
                <w:rFonts w:hint="eastAsia" w:ascii="宋体" w:hAnsi="宋体"/>
                <w:color w:val="auto"/>
                <w:szCs w:val="24"/>
                <w:highlight w:val="none"/>
              </w:rPr>
              <w:t>3、支持采购订单查看、打印、提交、审核、进度查看。</w:t>
            </w:r>
          </w:p>
          <w:p>
            <w:pPr>
              <w:pStyle w:val="130"/>
              <w:ind w:firstLine="0"/>
              <w:rPr>
                <w:rFonts w:ascii="宋体" w:hAnsi="宋体"/>
                <w:b/>
                <w:color w:val="auto"/>
                <w:szCs w:val="24"/>
                <w:highlight w:val="none"/>
              </w:rPr>
            </w:pPr>
            <w:r>
              <w:rPr>
                <w:rFonts w:hint="eastAsia" w:ascii="宋体" w:hAnsi="宋体"/>
                <w:b/>
                <w:color w:val="auto"/>
                <w:szCs w:val="24"/>
                <w:highlight w:val="none"/>
              </w:rPr>
              <w:t>采购发票：</w:t>
            </w:r>
          </w:p>
          <w:p>
            <w:pPr>
              <w:pStyle w:val="130"/>
              <w:ind w:firstLine="0"/>
              <w:rPr>
                <w:rFonts w:ascii="宋体" w:hAnsi="宋体"/>
                <w:color w:val="auto"/>
                <w:szCs w:val="24"/>
                <w:highlight w:val="none"/>
              </w:rPr>
            </w:pPr>
            <w:r>
              <w:rPr>
                <w:rFonts w:hint="eastAsia" w:ascii="宋体" w:hAnsi="宋体"/>
                <w:color w:val="auto"/>
                <w:szCs w:val="24"/>
                <w:highlight w:val="none"/>
              </w:rPr>
              <w:t>1、支持通过采购单直接生成采购发票记录。</w:t>
            </w:r>
          </w:p>
          <w:p>
            <w:pPr>
              <w:pStyle w:val="130"/>
              <w:ind w:firstLine="0"/>
              <w:rPr>
                <w:rFonts w:ascii="宋体" w:hAnsi="宋体"/>
                <w:color w:val="auto"/>
                <w:szCs w:val="24"/>
                <w:highlight w:val="none"/>
              </w:rPr>
            </w:pPr>
            <w:r>
              <w:rPr>
                <w:rFonts w:hint="eastAsia" w:ascii="宋体" w:hAnsi="宋体"/>
                <w:color w:val="auto"/>
                <w:szCs w:val="24"/>
                <w:highlight w:val="none"/>
              </w:rPr>
              <w:t>2、支持采购发票查看、打印、编辑、删除、确认。</w:t>
            </w:r>
          </w:p>
          <w:p>
            <w:pPr>
              <w:pStyle w:val="130"/>
              <w:ind w:firstLine="0"/>
              <w:rPr>
                <w:rFonts w:ascii="宋体" w:hAnsi="宋体"/>
                <w:color w:val="auto"/>
                <w:szCs w:val="24"/>
                <w:highlight w:val="none"/>
              </w:rPr>
            </w:pPr>
            <w:r>
              <w:rPr>
                <w:rFonts w:hint="eastAsia" w:ascii="宋体" w:hAnsi="宋体"/>
                <w:color w:val="auto"/>
                <w:szCs w:val="24"/>
                <w:highlight w:val="none"/>
              </w:rPr>
              <w:t>3、支持按照是否红字、开票起止日期、发票单号、仓库、供应商、采购员，单据状态等，查询采购发票记录。</w:t>
            </w:r>
          </w:p>
          <w:p>
            <w:pPr>
              <w:pStyle w:val="130"/>
              <w:ind w:firstLine="0"/>
              <w:rPr>
                <w:rFonts w:ascii="宋体" w:hAnsi="宋体"/>
                <w:b/>
                <w:color w:val="auto"/>
                <w:szCs w:val="24"/>
                <w:highlight w:val="none"/>
              </w:rPr>
            </w:pPr>
            <w:r>
              <w:rPr>
                <w:rFonts w:hint="eastAsia" w:ascii="宋体" w:hAnsi="宋体"/>
                <w:b/>
                <w:color w:val="auto"/>
                <w:szCs w:val="24"/>
                <w:highlight w:val="none"/>
              </w:rPr>
              <w:t>采购结算：</w:t>
            </w:r>
          </w:p>
          <w:p>
            <w:pPr>
              <w:pStyle w:val="130"/>
              <w:ind w:firstLine="0"/>
              <w:rPr>
                <w:rFonts w:ascii="宋体" w:hAnsi="宋体"/>
                <w:color w:val="auto"/>
                <w:szCs w:val="24"/>
                <w:highlight w:val="none"/>
              </w:rPr>
            </w:pPr>
            <w:r>
              <w:rPr>
                <w:rFonts w:hint="eastAsia" w:ascii="宋体" w:hAnsi="宋体"/>
                <w:color w:val="auto"/>
                <w:szCs w:val="24"/>
                <w:highlight w:val="none"/>
              </w:rPr>
              <w:t>1、支持采购自动结算。</w:t>
            </w:r>
          </w:p>
          <w:p>
            <w:pPr>
              <w:pStyle w:val="130"/>
              <w:ind w:firstLine="0"/>
              <w:rPr>
                <w:rFonts w:ascii="宋体" w:hAnsi="宋体"/>
                <w:color w:val="auto"/>
                <w:szCs w:val="24"/>
                <w:highlight w:val="none"/>
              </w:rPr>
            </w:pPr>
            <w:r>
              <w:rPr>
                <w:rFonts w:hint="eastAsia" w:ascii="宋体" w:hAnsi="宋体"/>
                <w:color w:val="auto"/>
                <w:szCs w:val="24"/>
                <w:highlight w:val="none"/>
              </w:rPr>
              <w:t>2、支持按照结算起止日期、结算单号、仓库、供应商、采购部门，查询结算单据。</w:t>
            </w:r>
          </w:p>
          <w:p>
            <w:pPr>
              <w:pStyle w:val="130"/>
              <w:ind w:firstLine="0"/>
              <w:rPr>
                <w:rFonts w:ascii="宋体" w:hAnsi="宋体"/>
                <w:color w:val="auto"/>
                <w:szCs w:val="24"/>
                <w:highlight w:val="none"/>
              </w:rPr>
            </w:pPr>
            <w:r>
              <w:rPr>
                <w:rFonts w:hint="eastAsia" w:ascii="宋体" w:hAnsi="宋体"/>
                <w:color w:val="auto"/>
                <w:szCs w:val="24"/>
                <w:highlight w:val="none"/>
              </w:rPr>
              <w:t>3、支持结算单查看和打印。</w:t>
            </w:r>
          </w:p>
          <w:p>
            <w:pPr>
              <w:pStyle w:val="130"/>
              <w:ind w:firstLine="0"/>
              <w:rPr>
                <w:rFonts w:ascii="宋体" w:hAnsi="宋体"/>
                <w:b/>
                <w:color w:val="auto"/>
                <w:szCs w:val="24"/>
                <w:highlight w:val="none"/>
              </w:rPr>
            </w:pPr>
            <w:r>
              <w:rPr>
                <w:rFonts w:hint="eastAsia" w:ascii="宋体" w:hAnsi="宋体"/>
                <w:b/>
                <w:color w:val="auto"/>
                <w:szCs w:val="24"/>
                <w:highlight w:val="none"/>
              </w:rPr>
              <w:t>（3）入库管理</w:t>
            </w:r>
            <w:r>
              <w:rPr>
                <w:rFonts w:hint="eastAsia" w:ascii="宋体" w:hAnsi="宋体"/>
                <w:b/>
                <w:color w:val="auto"/>
                <w:szCs w:val="24"/>
                <w:highlight w:val="none"/>
              </w:rPr>
              <w:tab/>
            </w:r>
          </w:p>
          <w:p>
            <w:pPr>
              <w:pStyle w:val="130"/>
              <w:ind w:firstLine="0"/>
              <w:rPr>
                <w:rFonts w:ascii="宋体" w:hAnsi="宋体"/>
                <w:b/>
                <w:color w:val="auto"/>
                <w:szCs w:val="24"/>
                <w:highlight w:val="none"/>
              </w:rPr>
            </w:pPr>
            <w:r>
              <w:rPr>
                <w:rFonts w:hint="eastAsia" w:ascii="宋体" w:hAnsi="宋体"/>
                <w:b/>
                <w:color w:val="auto"/>
                <w:szCs w:val="24"/>
                <w:highlight w:val="none"/>
              </w:rPr>
              <w:t>采购入库：</w:t>
            </w:r>
          </w:p>
          <w:p>
            <w:pPr>
              <w:pStyle w:val="130"/>
              <w:ind w:firstLine="0"/>
              <w:rPr>
                <w:rFonts w:ascii="宋体" w:hAnsi="宋体"/>
                <w:color w:val="auto"/>
                <w:szCs w:val="24"/>
                <w:highlight w:val="none"/>
              </w:rPr>
            </w:pPr>
            <w:r>
              <w:rPr>
                <w:rFonts w:hint="eastAsia" w:ascii="宋体" w:hAnsi="宋体"/>
                <w:color w:val="auto"/>
                <w:szCs w:val="24"/>
                <w:highlight w:val="none"/>
              </w:rPr>
              <w:t>1、支持新增、编辑、删除采购入库单。</w:t>
            </w:r>
          </w:p>
          <w:p>
            <w:pPr>
              <w:pStyle w:val="130"/>
              <w:ind w:firstLine="0"/>
              <w:rPr>
                <w:rFonts w:ascii="宋体" w:hAnsi="宋体"/>
                <w:color w:val="auto"/>
                <w:szCs w:val="24"/>
                <w:highlight w:val="none"/>
              </w:rPr>
            </w:pPr>
            <w:r>
              <w:rPr>
                <w:rFonts w:hint="eastAsia" w:ascii="宋体" w:hAnsi="宋体"/>
                <w:color w:val="auto"/>
                <w:szCs w:val="24"/>
                <w:highlight w:val="none"/>
              </w:rPr>
              <w:t>2、支持通过采购订单直接生成采购入库单。</w:t>
            </w:r>
          </w:p>
          <w:p>
            <w:pPr>
              <w:pStyle w:val="130"/>
              <w:ind w:firstLine="0"/>
              <w:rPr>
                <w:rFonts w:ascii="宋体" w:hAnsi="宋体"/>
                <w:color w:val="auto"/>
                <w:szCs w:val="24"/>
                <w:highlight w:val="none"/>
              </w:rPr>
            </w:pPr>
            <w:r>
              <w:rPr>
                <w:rFonts w:hint="eastAsia" w:ascii="宋体" w:hAnsi="宋体"/>
                <w:color w:val="auto"/>
                <w:szCs w:val="24"/>
                <w:highlight w:val="none"/>
              </w:rPr>
              <w:t>3、支持采购入库单查看、打印、提交、确认。</w:t>
            </w:r>
          </w:p>
          <w:p>
            <w:pPr>
              <w:pStyle w:val="130"/>
              <w:ind w:firstLine="0"/>
              <w:rPr>
                <w:rFonts w:ascii="宋体" w:hAnsi="宋体"/>
                <w:color w:val="auto"/>
                <w:szCs w:val="24"/>
                <w:highlight w:val="none"/>
              </w:rPr>
            </w:pPr>
            <w:r>
              <w:rPr>
                <w:rFonts w:hint="eastAsia" w:ascii="宋体" w:hAnsi="宋体"/>
                <w:color w:val="auto"/>
                <w:szCs w:val="24"/>
                <w:highlight w:val="none"/>
              </w:rPr>
              <w:t>4、支持按照入库单号、入库仓库、供应商、入库单状态、入库日期等，查询采购入库单。</w:t>
            </w:r>
          </w:p>
          <w:p>
            <w:pPr>
              <w:pStyle w:val="130"/>
              <w:ind w:firstLine="0"/>
              <w:rPr>
                <w:rFonts w:ascii="宋体" w:hAnsi="宋体"/>
                <w:b/>
                <w:color w:val="auto"/>
                <w:szCs w:val="24"/>
                <w:highlight w:val="none"/>
              </w:rPr>
            </w:pPr>
            <w:r>
              <w:rPr>
                <w:rFonts w:hint="eastAsia" w:ascii="宋体" w:hAnsi="宋体"/>
                <w:b/>
                <w:color w:val="auto"/>
                <w:szCs w:val="24"/>
                <w:highlight w:val="none"/>
              </w:rPr>
              <w:t>采购退库：</w:t>
            </w:r>
          </w:p>
          <w:p>
            <w:pPr>
              <w:pStyle w:val="130"/>
              <w:ind w:firstLine="0"/>
              <w:rPr>
                <w:rFonts w:ascii="宋体" w:hAnsi="宋体"/>
                <w:color w:val="auto"/>
                <w:szCs w:val="24"/>
                <w:highlight w:val="none"/>
              </w:rPr>
            </w:pPr>
            <w:r>
              <w:rPr>
                <w:rFonts w:hint="eastAsia" w:ascii="宋体" w:hAnsi="宋体"/>
                <w:color w:val="auto"/>
                <w:szCs w:val="24"/>
                <w:highlight w:val="none"/>
              </w:rPr>
              <w:t>1、支持新增、编辑、删除采购退货单。</w:t>
            </w:r>
          </w:p>
          <w:p>
            <w:pPr>
              <w:pStyle w:val="130"/>
              <w:ind w:firstLine="0"/>
              <w:rPr>
                <w:rFonts w:ascii="宋体" w:hAnsi="宋体"/>
                <w:color w:val="auto"/>
                <w:szCs w:val="24"/>
                <w:highlight w:val="none"/>
              </w:rPr>
            </w:pPr>
            <w:r>
              <w:rPr>
                <w:rFonts w:hint="eastAsia" w:ascii="宋体" w:hAnsi="宋体"/>
                <w:color w:val="auto"/>
                <w:szCs w:val="24"/>
                <w:highlight w:val="none"/>
              </w:rPr>
              <w:t>2、支持通过采购入库单直接生成采购退货单。</w:t>
            </w:r>
          </w:p>
          <w:p>
            <w:pPr>
              <w:pStyle w:val="130"/>
              <w:ind w:firstLine="0"/>
              <w:rPr>
                <w:rFonts w:ascii="宋体" w:hAnsi="宋体"/>
                <w:color w:val="auto"/>
                <w:szCs w:val="24"/>
                <w:highlight w:val="none"/>
              </w:rPr>
            </w:pPr>
            <w:r>
              <w:rPr>
                <w:rFonts w:hint="eastAsia" w:ascii="宋体" w:hAnsi="宋体"/>
                <w:color w:val="auto"/>
                <w:szCs w:val="24"/>
                <w:highlight w:val="none"/>
              </w:rPr>
              <w:t>3、支持采购退货单查看、打印、确认。</w:t>
            </w:r>
          </w:p>
          <w:p>
            <w:pPr>
              <w:pStyle w:val="130"/>
              <w:ind w:firstLine="0"/>
              <w:rPr>
                <w:rFonts w:ascii="宋体" w:hAnsi="宋体"/>
                <w:b/>
                <w:color w:val="auto"/>
                <w:szCs w:val="24"/>
                <w:highlight w:val="none"/>
              </w:rPr>
            </w:pPr>
            <w:r>
              <w:rPr>
                <w:rFonts w:hint="eastAsia" w:ascii="宋体" w:hAnsi="宋体"/>
                <w:b/>
                <w:color w:val="auto"/>
                <w:szCs w:val="24"/>
                <w:highlight w:val="none"/>
              </w:rPr>
              <w:t>结余入库：</w:t>
            </w:r>
          </w:p>
          <w:p>
            <w:pPr>
              <w:pStyle w:val="130"/>
              <w:ind w:firstLine="0"/>
              <w:rPr>
                <w:rFonts w:ascii="宋体" w:hAnsi="宋体"/>
                <w:color w:val="auto"/>
                <w:szCs w:val="24"/>
                <w:highlight w:val="none"/>
              </w:rPr>
            </w:pPr>
            <w:r>
              <w:rPr>
                <w:rFonts w:hint="eastAsia" w:ascii="宋体" w:hAnsi="宋体"/>
                <w:color w:val="auto"/>
                <w:szCs w:val="24"/>
                <w:highlight w:val="none"/>
              </w:rPr>
              <w:t>1、支持新增、编辑、删除结余入库单。</w:t>
            </w:r>
          </w:p>
          <w:p>
            <w:pPr>
              <w:pStyle w:val="130"/>
              <w:ind w:firstLine="0"/>
              <w:rPr>
                <w:rFonts w:ascii="宋体" w:hAnsi="宋体"/>
                <w:color w:val="auto"/>
                <w:szCs w:val="24"/>
                <w:highlight w:val="none"/>
              </w:rPr>
            </w:pPr>
            <w:r>
              <w:rPr>
                <w:rFonts w:hint="eastAsia" w:ascii="宋体" w:hAnsi="宋体"/>
                <w:color w:val="auto"/>
                <w:szCs w:val="24"/>
                <w:highlight w:val="none"/>
              </w:rPr>
              <w:t>2、支持结余入库单查看、打印、确认。</w:t>
            </w:r>
          </w:p>
          <w:p>
            <w:pPr>
              <w:pStyle w:val="130"/>
              <w:ind w:firstLine="0"/>
              <w:rPr>
                <w:rFonts w:ascii="宋体" w:hAnsi="宋体"/>
                <w:color w:val="auto"/>
                <w:szCs w:val="24"/>
                <w:highlight w:val="none"/>
              </w:rPr>
            </w:pPr>
            <w:r>
              <w:rPr>
                <w:rFonts w:hint="eastAsia" w:ascii="宋体" w:hAnsi="宋体"/>
                <w:color w:val="auto"/>
                <w:szCs w:val="24"/>
                <w:highlight w:val="none"/>
              </w:rPr>
              <w:t>3、支持按照起止日期、入库单号、入库仓库、供应商、入库单状态等，查询结余入库单。</w:t>
            </w:r>
          </w:p>
          <w:p>
            <w:pPr>
              <w:pStyle w:val="130"/>
              <w:ind w:firstLine="0"/>
              <w:rPr>
                <w:rFonts w:ascii="宋体" w:hAnsi="宋体"/>
                <w:b/>
                <w:color w:val="auto"/>
                <w:szCs w:val="24"/>
                <w:highlight w:val="none"/>
              </w:rPr>
            </w:pPr>
            <w:r>
              <w:rPr>
                <w:rFonts w:hint="eastAsia" w:ascii="宋体" w:hAnsi="宋体"/>
                <w:b/>
                <w:color w:val="auto"/>
                <w:szCs w:val="24"/>
                <w:highlight w:val="none"/>
              </w:rPr>
              <w:t>其它入库：</w:t>
            </w:r>
          </w:p>
          <w:p>
            <w:pPr>
              <w:pStyle w:val="130"/>
              <w:ind w:firstLine="0"/>
              <w:rPr>
                <w:rFonts w:ascii="宋体" w:hAnsi="宋体"/>
                <w:color w:val="auto"/>
                <w:szCs w:val="24"/>
                <w:highlight w:val="none"/>
              </w:rPr>
            </w:pPr>
            <w:r>
              <w:rPr>
                <w:rFonts w:hint="eastAsia" w:ascii="宋体" w:hAnsi="宋体"/>
                <w:color w:val="auto"/>
                <w:szCs w:val="24"/>
                <w:highlight w:val="none"/>
              </w:rPr>
              <w:t>1、支持新增、编辑、删除其它入库单。</w:t>
            </w:r>
          </w:p>
          <w:p>
            <w:pPr>
              <w:pStyle w:val="130"/>
              <w:ind w:firstLine="0"/>
              <w:rPr>
                <w:rFonts w:ascii="宋体" w:hAnsi="宋体"/>
                <w:color w:val="auto"/>
                <w:szCs w:val="24"/>
                <w:highlight w:val="none"/>
              </w:rPr>
            </w:pPr>
            <w:r>
              <w:rPr>
                <w:rFonts w:hint="eastAsia" w:ascii="宋体" w:hAnsi="宋体"/>
                <w:color w:val="auto"/>
                <w:szCs w:val="24"/>
                <w:highlight w:val="none"/>
              </w:rPr>
              <w:t>2、支持其它入库单查看、打印、确认。</w:t>
            </w:r>
          </w:p>
          <w:p>
            <w:pPr>
              <w:pStyle w:val="130"/>
              <w:ind w:firstLine="0"/>
              <w:rPr>
                <w:rFonts w:ascii="宋体" w:hAnsi="宋体"/>
                <w:color w:val="auto"/>
                <w:szCs w:val="24"/>
                <w:highlight w:val="none"/>
              </w:rPr>
            </w:pPr>
            <w:r>
              <w:rPr>
                <w:rFonts w:hint="eastAsia" w:ascii="宋体" w:hAnsi="宋体"/>
                <w:color w:val="auto"/>
                <w:szCs w:val="24"/>
                <w:highlight w:val="none"/>
              </w:rPr>
              <w:t>3、支持按照起止日期、入库单号、入库仓库、供应商、入库单状态等，查询其它入库单。</w:t>
            </w:r>
          </w:p>
          <w:p>
            <w:pPr>
              <w:pStyle w:val="130"/>
              <w:ind w:firstLine="0"/>
              <w:rPr>
                <w:rFonts w:ascii="宋体" w:hAnsi="宋体"/>
                <w:b/>
                <w:color w:val="auto"/>
                <w:szCs w:val="24"/>
                <w:highlight w:val="none"/>
              </w:rPr>
            </w:pPr>
            <w:r>
              <w:rPr>
                <w:rFonts w:hint="eastAsia" w:ascii="宋体" w:hAnsi="宋体"/>
                <w:b/>
                <w:color w:val="auto"/>
                <w:szCs w:val="24"/>
                <w:highlight w:val="none"/>
              </w:rPr>
              <w:t>药品质量管理：</w:t>
            </w:r>
          </w:p>
          <w:p>
            <w:pPr>
              <w:pStyle w:val="130"/>
              <w:ind w:firstLine="0"/>
              <w:rPr>
                <w:rFonts w:ascii="宋体" w:hAnsi="宋体"/>
                <w:color w:val="auto"/>
                <w:szCs w:val="24"/>
                <w:highlight w:val="none"/>
              </w:rPr>
            </w:pPr>
            <w:r>
              <w:rPr>
                <w:rFonts w:hint="eastAsia" w:ascii="宋体" w:hAnsi="宋体"/>
                <w:color w:val="auto"/>
                <w:szCs w:val="24"/>
                <w:highlight w:val="none"/>
              </w:rPr>
              <w:t>1、支持新增、编辑、删除药品质量记录。</w:t>
            </w:r>
          </w:p>
          <w:p>
            <w:pPr>
              <w:pStyle w:val="130"/>
              <w:ind w:firstLine="0"/>
              <w:rPr>
                <w:rFonts w:ascii="宋体" w:hAnsi="宋体"/>
                <w:color w:val="auto"/>
                <w:szCs w:val="24"/>
                <w:highlight w:val="none"/>
              </w:rPr>
            </w:pPr>
            <w:r>
              <w:rPr>
                <w:rFonts w:hint="eastAsia" w:ascii="宋体" w:hAnsi="宋体"/>
                <w:color w:val="auto"/>
                <w:szCs w:val="24"/>
                <w:highlight w:val="none"/>
              </w:rPr>
              <w:t>2、支持药品质量记录审核。</w:t>
            </w:r>
          </w:p>
          <w:p>
            <w:pPr>
              <w:pStyle w:val="130"/>
              <w:ind w:firstLine="0"/>
              <w:rPr>
                <w:rFonts w:ascii="宋体" w:hAnsi="宋体"/>
                <w:color w:val="auto"/>
                <w:szCs w:val="24"/>
                <w:highlight w:val="none"/>
              </w:rPr>
            </w:pPr>
            <w:r>
              <w:rPr>
                <w:rFonts w:hint="eastAsia" w:ascii="宋体" w:hAnsi="宋体"/>
                <w:color w:val="auto"/>
                <w:szCs w:val="24"/>
                <w:highlight w:val="none"/>
              </w:rPr>
              <w:t>3、支持按照起止日期、仓库、药品名称、生产厂家、供应商、状态等，查询质量管理记录。</w:t>
            </w:r>
          </w:p>
          <w:p>
            <w:pPr>
              <w:pStyle w:val="130"/>
              <w:ind w:firstLine="0"/>
              <w:rPr>
                <w:rFonts w:ascii="宋体" w:hAnsi="宋体"/>
                <w:color w:val="auto"/>
                <w:szCs w:val="24"/>
                <w:highlight w:val="none"/>
              </w:rPr>
            </w:pPr>
            <w:r>
              <w:rPr>
                <w:rFonts w:hint="eastAsia" w:ascii="宋体" w:hAnsi="宋体"/>
                <w:color w:val="auto"/>
                <w:szCs w:val="24"/>
                <w:highlight w:val="none"/>
              </w:rPr>
              <w:t>4、支持过期、破损、发霉、变质及其他原因的药品质量管理。</w:t>
            </w:r>
          </w:p>
          <w:p>
            <w:pPr>
              <w:pStyle w:val="130"/>
              <w:ind w:firstLine="0"/>
              <w:rPr>
                <w:rFonts w:ascii="宋体" w:hAnsi="宋体"/>
                <w:b/>
                <w:color w:val="auto"/>
                <w:szCs w:val="24"/>
                <w:highlight w:val="none"/>
              </w:rPr>
            </w:pPr>
            <w:r>
              <w:rPr>
                <w:rFonts w:hint="eastAsia" w:ascii="宋体" w:hAnsi="宋体"/>
                <w:b/>
                <w:color w:val="auto"/>
                <w:szCs w:val="24"/>
                <w:highlight w:val="none"/>
              </w:rPr>
              <w:t>（4）出库管理</w:t>
            </w:r>
            <w:r>
              <w:rPr>
                <w:rFonts w:hint="eastAsia" w:ascii="宋体" w:hAnsi="宋体"/>
                <w:b/>
                <w:color w:val="auto"/>
                <w:szCs w:val="24"/>
                <w:highlight w:val="none"/>
              </w:rPr>
              <w:tab/>
            </w:r>
          </w:p>
          <w:p>
            <w:pPr>
              <w:pStyle w:val="130"/>
              <w:ind w:firstLine="0"/>
              <w:rPr>
                <w:rFonts w:ascii="宋体" w:hAnsi="宋体"/>
                <w:b/>
                <w:color w:val="auto"/>
                <w:szCs w:val="24"/>
                <w:highlight w:val="none"/>
              </w:rPr>
            </w:pPr>
            <w:r>
              <w:rPr>
                <w:rFonts w:hint="eastAsia" w:ascii="宋体" w:hAnsi="宋体"/>
                <w:b/>
                <w:color w:val="auto"/>
                <w:szCs w:val="24"/>
                <w:highlight w:val="none"/>
              </w:rPr>
              <w:t>领用申请：</w:t>
            </w:r>
          </w:p>
          <w:p>
            <w:pPr>
              <w:pStyle w:val="130"/>
              <w:ind w:firstLine="0"/>
              <w:rPr>
                <w:rFonts w:ascii="宋体" w:hAnsi="宋体"/>
                <w:color w:val="auto"/>
                <w:szCs w:val="24"/>
                <w:highlight w:val="none"/>
              </w:rPr>
            </w:pPr>
            <w:r>
              <w:rPr>
                <w:rFonts w:hint="eastAsia" w:ascii="宋体" w:hAnsi="宋体"/>
                <w:color w:val="auto"/>
                <w:szCs w:val="24"/>
                <w:highlight w:val="none"/>
              </w:rPr>
              <w:t>1、支持新增、编辑、删除领用申请单。</w:t>
            </w:r>
          </w:p>
          <w:p>
            <w:pPr>
              <w:pStyle w:val="130"/>
              <w:ind w:firstLine="0"/>
              <w:rPr>
                <w:rFonts w:ascii="宋体" w:hAnsi="宋体"/>
                <w:color w:val="auto"/>
                <w:szCs w:val="24"/>
                <w:highlight w:val="none"/>
              </w:rPr>
            </w:pPr>
            <w:r>
              <w:rPr>
                <w:rFonts w:hint="eastAsia" w:ascii="宋体" w:hAnsi="宋体"/>
                <w:color w:val="auto"/>
                <w:szCs w:val="24"/>
                <w:highlight w:val="none"/>
              </w:rPr>
              <w:t>2、支持领用申请单查看、打印、提交、取消提交。</w:t>
            </w:r>
          </w:p>
          <w:p>
            <w:pPr>
              <w:pStyle w:val="130"/>
              <w:ind w:firstLine="0"/>
              <w:rPr>
                <w:rFonts w:ascii="宋体" w:hAnsi="宋体"/>
                <w:color w:val="auto"/>
                <w:szCs w:val="24"/>
                <w:highlight w:val="none"/>
              </w:rPr>
            </w:pPr>
            <w:r>
              <w:rPr>
                <w:rFonts w:hint="eastAsia" w:ascii="宋体" w:hAnsi="宋体"/>
                <w:color w:val="auto"/>
                <w:szCs w:val="24"/>
                <w:highlight w:val="none"/>
              </w:rPr>
              <w:t>3、支持按照制单起止日期、仓库、单据状态等，查询领用申请单。</w:t>
            </w:r>
          </w:p>
          <w:p>
            <w:pPr>
              <w:pStyle w:val="130"/>
              <w:ind w:firstLine="0"/>
              <w:rPr>
                <w:rFonts w:ascii="宋体" w:hAnsi="宋体"/>
                <w:color w:val="auto"/>
                <w:szCs w:val="24"/>
                <w:highlight w:val="none"/>
              </w:rPr>
            </w:pPr>
            <w:r>
              <w:rPr>
                <w:rFonts w:hint="eastAsia" w:ascii="宋体" w:hAnsi="宋体"/>
                <w:color w:val="auto"/>
                <w:szCs w:val="24"/>
                <w:highlight w:val="none"/>
              </w:rPr>
              <w:t>4、支持单个/批量药品录入。</w:t>
            </w:r>
          </w:p>
          <w:p>
            <w:pPr>
              <w:pStyle w:val="130"/>
              <w:ind w:firstLine="0"/>
              <w:rPr>
                <w:rFonts w:ascii="宋体" w:hAnsi="宋体"/>
                <w:color w:val="auto"/>
                <w:szCs w:val="24"/>
                <w:highlight w:val="none"/>
              </w:rPr>
            </w:pPr>
            <w:r>
              <w:rPr>
                <w:rFonts w:hint="eastAsia" w:ascii="宋体" w:hAnsi="宋体"/>
                <w:color w:val="auto"/>
                <w:szCs w:val="24"/>
                <w:highlight w:val="none"/>
              </w:rPr>
              <w:t>5、支持科室基数药生成。</w:t>
            </w:r>
          </w:p>
          <w:p>
            <w:pPr>
              <w:pStyle w:val="130"/>
              <w:ind w:firstLine="0"/>
              <w:rPr>
                <w:rFonts w:ascii="宋体" w:hAnsi="宋体"/>
                <w:b/>
                <w:color w:val="auto"/>
                <w:szCs w:val="24"/>
                <w:highlight w:val="none"/>
              </w:rPr>
            </w:pPr>
            <w:r>
              <w:rPr>
                <w:rFonts w:hint="eastAsia" w:ascii="宋体" w:hAnsi="宋体"/>
                <w:b/>
                <w:color w:val="auto"/>
                <w:szCs w:val="24"/>
                <w:highlight w:val="none"/>
              </w:rPr>
              <w:t>领用出库：</w:t>
            </w:r>
          </w:p>
          <w:p>
            <w:pPr>
              <w:pStyle w:val="130"/>
              <w:ind w:firstLine="0"/>
              <w:rPr>
                <w:rFonts w:ascii="宋体" w:hAnsi="宋体"/>
                <w:color w:val="auto"/>
                <w:szCs w:val="24"/>
                <w:highlight w:val="none"/>
              </w:rPr>
            </w:pPr>
            <w:r>
              <w:rPr>
                <w:rFonts w:hint="eastAsia" w:ascii="宋体" w:hAnsi="宋体"/>
                <w:color w:val="auto"/>
                <w:szCs w:val="24"/>
                <w:highlight w:val="none"/>
              </w:rPr>
              <w:t>1、支持新增、编辑、删除领用出库单。</w:t>
            </w:r>
          </w:p>
          <w:p>
            <w:pPr>
              <w:pStyle w:val="130"/>
              <w:ind w:firstLine="0"/>
              <w:rPr>
                <w:rFonts w:ascii="宋体" w:hAnsi="宋体"/>
                <w:color w:val="auto"/>
                <w:szCs w:val="24"/>
                <w:highlight w:val="none"/>
              </w:rPr>
            </w:pPr>
            <w:r>
              <w:rPr>
                <w:rFonts w:hint="eastAsia" w:ascii="宋体" w:hAnsi="宋体"/>
                <w:color w:val="auto"/>
                <w:szCs w:val="24"/>
                <w:highlight w:val="none"/>
              </w:rPr>
              <w:t>2、支持通过领用申请单直接生成领用出库单。</w:t>
            </w:r>
          </w:p>
          <w:p>
            <w:pPr>
              <w:pStyle w:val="130"/>
              <w:ind w:firstLine="0"/>
              <w:rPr>
                <w:rFonts w:ascii="宋体" w:hAnsi="宋体"/>
                <w:color w:val="auto"/>
                <w:szCs w:val="24"/>
                <w:highlight w:val="none"/>
              </w:rPr>
            </w:pPr>
            <w:r>
              <w:rPr>
                <w:rFonts w:hint="eastAsia" w:ascii="宋体" w:hAnsi="宋体"/>
                <w:color w:val="auto"/>
                <w:szCs w:val="24"/>
                <w:highlight w:val="none"/>
              </w:rPr>
              <w:t>3、支持领用出库单查看、打印、提交、确认。</w:t>
            </w:r>
          </w:p>
          <w:p>
            <w:pPr>
              <w:pStyle w:val="130"/>
              <w:ind w:firstLine="0"/>
              <w:rPr>
                <w:rFonts w:ascii="宋体" w:hAnsi="宋体"/>
                <w:color w:val="auto"/>
                <w:szCs w:val="24"/>
                <w:highlight w:val="none"/>
              </w:rPr>
            </w:pPr>
            <w:r>
              <w:rPr>
                <w:rFonts w:hint="eastAsia" w:ascii="宋体" w:hAnsi="宋体"/>
                <w:color w:val="auto"/>
                <w:szCs w:val="24"/>
                <w:highlight w:val="none"/>
              </w:rPr>
              <w:t>4、支持按照起止日期、出库单号、出库仓库、领用科室、库单状态等，查询领用出库单。</w:t>
            </w:r>
          </w:p>
          <w:p>
            <w:pPr>
              <w:pStyle w:val="130"/>
              <w:ind w:firstLine="0"/>
              <w:rPr>
                <w:rFonts w:ascii="宋体" w:hAnsi="宋体"/>
                <w:b/>
                <w:color w:val="auto"/>
                <w:szCs w:val="24"/>
                <w:highlight w:val="none"/>
              </w:rPr>
            </w:pPr>
            <w:r>
              <w:rPr>
                <w:rFonts w:hint="eastAsia" w:ascii="宋体" w:hAnsi="宋体"/>
                <w:b/>
                <w:color w:val="auto"/>
                <w:szCs w:val="24"/>
                <w:highlight w:val="none"/>
              </w:rPr>
              <w:t>其它出库：</w:t>
            </w:r>
          </w:p>
          <w:p>
            <w:pPr>
              <w:pStyle w:val="130"/>
              <w:ind w:firstLine="0"/>
              <w:rPr>
                <w:rFonts w:ascii="宋体" w:hAnsi="宋体"/>
                <w:color w:val="auto"/>
                <w:szCs w:val="24"/>
                <w:highlight w:val="none"/>
              </w:rPr>
            </w:pPr>
            <w:r>
              <w:rPr>
                <w:rFonts w:hint="eastAsia" w:ascii="宋体" w:hAnsi="宋体"/>
                <w:color w:val="auto"/>
                <w:szCs w:val="24"/>
                <w:highlight w:val="none"/>
              </w:rPr>
              <w:t>1、支持新增、编辑、删除其它出库单。</w:t>
            </w:r>
          </w:p>
          <w:p>
            <w:pPr>
              <w:pStyle w:val="130"/>
              <w:ind w:firstLine="0"/>
              <w:rPr>
                <w:rFonts w:ascii="宋体" w:hAnsi="宋体"/>
                <w:color w:val="auto"/>
                <w:szCs w:val="24"/>
                <w:highlight w:val="none"/>
              </w:rPr>
            </w:pPr>
            <w:r>
              <w:rPr>
                <w:rFonts w:hint="eastAsia" w:ascii="宋体" w:hAnsi="宋体"/>
                <w:color w:val="auto"/>
                <w:szCs w:val="24"/>
                <w:highlight w:val="none"/>
              </w:rPr>
              <w:t>2、支持其它出库单查看、打印、提交、确认。</w:t>
            </w:r>
          </w:p>
          <w:p>
            <w:pPr>
              <w:pStyle w:val="130"/>
              <w:ind w:firstLine="0"/>
              <w:rPr>
                <w:rFonts w:ascii="宋体" w:hAnsi="宋体"/>
                <w:color w:val="auto"/>
                <w:szCs w:val="24"/>
                <w:highlight w:val="none"/>
              </w:rPr>
            </w:pPr>
            <w:r>
              <w:rPr>
                <w:rFonts w:hint="eastAsia" w:ascii="宋体" w:hAnsi="宋体"/>
                <w:color w:val="auto"/>
                <w:szCs w:val="24"/>
                <w:highlight w:val="none"/>
              </w:rPr>
              <w:t>3、支持按照起止日期、出库单号、出库仓库、领用科室、库单状态等，查询其它出库单。</w:t>
            </w:r>
          </w:p>
          <w:p>
            <w:pPr>
              <w:pStyle w:val="130"/>
              <w:ind w:firstLine="0"/>
              <w:rPr>
                <w:rFonts w:ascii="宋体" w:hAnsi="宋体"/>
                <w:color w:val="auto"/>
                <w:szCs w:val="24"/>
                <w:highlight w:val="none"/>
              </w:rPr>
            </w:pPr>
            <w:r>
              <w:rPr>
                <w:rFonts w:hint="eastAsia" w:ascii="宋体" w:hAnsi="宋体"/>
                <w:color w:val="auto"/>
                <w:szCs w:val="24"/>
                <w:highlight w:val="none"/>
              </w:rPr>
              <w:t>4、支持蓝字/红字出库。</w:t>
            </w:r>
          </w:p>
          <w:p>
            <w:pPr>
              <w:pStyle w:val="130"/>
              <w:ind w:firstLine="0"/>
              <w:rPr>
                <w:rFonts w:ascii="宋体" w:hAnsi="宋体"/>
                <w:b/>
                <w:color w:val="auto"/>
                <w:szCs w:val="24"/>
                <w:highlight w:val="none"/>
              </w:rPr>
            </w:pPr>
            <w:r>
              <w:rPr>
                <w:rFonts w:hint="eastAsia" w:ascii="宋体" w:hAnsi="宋体"/>
                <w:b/>
                <w:color w:val="auto"/>
                <w:szCs w:val="24"/>
                <w:highlight w:val="none"/>
              </w:rPr>
              <w:t>（5）调拨管理</w:t>
            </w:r>
          </w:p>
          <w:p>
            <w:pPr>
              <w:pStyle w:val="130"/>
              <w:ind w:firstLine="0"/>
              <w:rPr>
                <w:rFonts w:ascii="宋体" w:hAnsi="宋体"/>
                <w:b/>
                <w:color w:val="auto"/>
                <w:szCs w:val="24"/>
                <w:highlight w:val="none"/>
              </w:rPr>
            </w:pPr>
            <w:r>
              <w:rPr>
                <w:rFonts w:hint="eastAsia" w:ascii="宋体" w:hAnsi="宋体"/>
                <w:b/>
                <w:color w:val="auto"/>
                <w:szCs w:val="24"/>
                <w:highlight w:val="none"/>
              </w:rPr>
              <w:t>调拨申请</w:t>
            </w:r>
            <w:r>
              <w:rPr>
                <w:rFonts w:ascii="宋体" w:hAnsi="宋体"/>
                <w:b/>
                <w:color w:val="auto"/>
                <w:szCs w:val="24"/>
                <w:highlight w:val="none"/>
              </w:rPr>
              <w:t>:</w:t>
            </w:r>
          </w:p>
          <w:p>
            <w:pPr>
              <w:pStyle w:val="130"/>
              <w:ind w:firstLine="0"/>
              <w:rPr>
                <w:rFonts w:ascii="宋体" w:hAnsi="宋体"/>
                <w:color w:val="auto"/>
                <w:szCs w:val="24"/>
                <w:highlight w:val="none"/>
              </w:rPr>
            </w:pPr>
            <w:r>
              <w:rPr>
                <w:rFonts w:hint="eastAsia" w:ascii="宋体" w:hAnsi="宋体"/>
                <w:color w:val="auto"/>
                <w:szCs w:val="24"/>
                <w:highlight w:val="none"/>
              </w:rPr>
              <w:t>1、支持新增、编辑、删除调拨申请单。</w:t>
            </w:r>
          </w:p>
          <w:p>
            <w:pPr>
              <w:pStyle w:val="130"/>
              <w:ind w:firstLine="0"/>
              <w:rPr>
                <w:rFonts w:ascii="宋体" w:hAnsi="宋体"/>
                <w:color w:val="auto"/>
                <w:szCs w:val="24"/>
                <w:highlight w:val="none"/>
              </w:rPr>
            </w:pPr>
            <w:r>
              <w:rPr>
                <w:rFonts w:hint="eastAsia" w:ascii="宋体" w:hAnsi="宋体"/>
                <w:color w:val="auto"/>
                <w:szCs w:val="24"/>
                <w:highlight w:val="none"/>
              </w:rPr>
              <w:t>2、支持调拨申请单查看、打印、提交、取消提交。</w:t>
            </w:r>
          </w:p>
          <w:p>
            <w:pPr>
              <w:pStyle w:val="130"/>
              <w:ind w:firstLine="0"/>
              <w:rPr>
                <w:rFonts w:ascii="宋体" w:hAnsi="宋体"/>
                <w:color w:val="auto"/>
                <w:szCs w:val="24"/>
                <w:highlight w:val="none"/>
              </w:rPr>
            </w:pPr>
            <w:r>
              <w:rPr>
                <w:rFonts w:hint="eastAsia" w:ascii="宋体" w:hAnsi="宋体"/>
                <w:color w:val="auto"/>
                <w:szCs w:val="24"/>
                <w:highlight w:val="none"/>
              </w:rPr>
              <w:t>3、支持按照起止日期、转出仓库、转入仓库、单据状态等，查询调拨申请单。</w:t>
            </w:r>
          </w:p>
          <w:p>
            <w:pPr>
              <w:pStyle w:val="130"/>
              <w:ind w:firstLine="0"/>
              <w:rPr>
                <w:rFonts w:ascii="宋体" w:hAnsi="宋体"/>
                <w:color w:val="auto"/>
                <w:szCs w:val="24"/>
                <w:highlight w:val="none"/>
              </w:rPr>
            </w:pPr>
            <w:r>
              <w:rPr>
                <w:rFonts w:hint="eastAsia" w:ascii="宋体" w:hAnsi="宋体"/>
                <w:color w:val="auto"/>
                <w:szCs w:val="24"/>
                <w:highlight w:val="none"/>
              </w:rPr>
              <w:t>4、支持单个/批量药品录入。</w:t>
            </w:r>
          </w:p>
          <w:p>
            <w:pPr>
              <w:pStyle w:val="130"/>
              <w:ind w:firstLine="0"/>
              <w:rPr>
                <w:rFonts w:ascii="宋体" w:hAnsi="宋体"/>
                <w:color w:val="auto"/>
                <w:szCs w:val="24"/>
                <w:highlight w:val="none"/>
              </w:rPr>
            </w:pPr>
            <w:r>
              <w:rPr>
                <w:rFonts w:hint="eastAsia" w:ascii="宋体" w:hAnsi="宋体"/>
                <w:color w:val="auto"/>
                <w:szCs w:val="24"/>
                <w:highlight w:val="none"/>
              </w:rPr>
              <w:t>5、支持按照三种规则自动生成调拨申请明细。</w:t>
            </w:r>
          </w:p>
          <w:p>
            <w:pPr>
              <w:pStyle w:val="130"/>
              <w:ind w:firstLine="0"/>
              <w:rPr>
                <w:rFonts w:ascii="宋体" w:hAnsi="宋体"/>
                <w:color w:val="auto"/>
                <w:szCs w:val="24"/>
                <w:highlight w:val="none"/>
              </w:rPr>
            </w:pPr>
            <w:r>
              <w:rPr>
                <w:rFonts w:hint="eastAsia" w:ascii="宋体" w:hAnsi="宋体"/>
                <w:color w:val="auto"/>
                <w:szCs w:val="24"/>
                <w:highlight w:val="none"/>
              </w:rPr>
              <w:t>①现存量(转入仓库)&lt;=最低库存</w:t>
            </w:r>
          </w:p>
          <w:p>
            <w:pPr>
              <w:pStyle w:val="130"/>
              <w:ind w:firstLine="0"/>
              <w:rPr>
                <w:rFonts w:ascii="宋体" w:hAnsi="宋体"/>
                <w:color w:val="auto"/>
                <w:szCs w:val="24"/>
                <w:highlight w:val="none"/>
              </w:rPr>
            </w:pPr>
            <w:r>
              <w:rPr>
                <w:rFonts w:hint="eastAsia" w:ascii="宋体" w:hAnsi="宋体"/>
                <w:color w:val="auto"/>
                <w:szCs w:val="24"/>
                <w:highlight w:val="none"/>
              </w:rPr>
              <w:t>②现存量(转入仓库)&lt;最高库存</w:t>
            </w:r>
          </w:p>
          <w:p>
            <w:pPr>
              <w:pStyle w:val="130"/>
              <w:ind w:firstLine="0"/>
              <w:rPr>
                <w:rFonts w:ascii="宋体" w:hAnsi="宋体"/>
                <w:color w:val="auto"/>
                <w:szCs w:val="24"/>
                <w:highlight w:val="none"/>
              </w:rPr>
            </w:pPr>
            <w:r>
              <w:rPr>
                <w:rFonts w:hint="eastAsia" w:ascii="宋体" w:hAnsi="宋体"/>
                <w:color w:val="auto"/>
                <w:szCs w:val="24"/>
                <w:highlight w:val="none"/>
              </w:rPr>
              <w:t>③全部药品</w:t>
            </w:r>
          </w:p>
          <w:p>
            <w:pPr>
              <w:pStyle w:val="130"/>
              <w:ind w:firstLine="0"/>
              <w:rPr>
                <w:rFonts w:ascii="宋体" w:hAnsi="宋体"/>
                <w:color w:val="auto"/>
                <w:szCs w:val="24"/>
                <w:highlight w:val="none"/>
              </w:rPr>
            </w:pPr>
            <w:r>
              <w:rPr>
                <w:rFonts w:hint="eastAsia" w:ascii="宋体" w:hAnsi="宋体"/>
                <w:color w:val="auto"/>
                <w:szCs w:val="24"/>
                <w:highlight w:val="none"/>
              </w:rPr>
              <w:t>6、支持是否去掉转出仓库零库存的药品。</w:t>
            </w:r>
          </w:p>
          <w:p>
            <w:pPr>
              <w:pStyle w:val="130"/>
              <w:ind w:firstLine="0"/>
              <w:rPr>
                <w:rFonts w:ascii="宋体" w:hAnsi="宋体"/>
                <w:b/>
                <w:color w:val="auto"/>
                <w:szCs w:val="24"/>
                <w:highlight w:val="none"/>
              </w:rPr>
            </w:pPr>
            <w:r>
              <w:rPr>
                <w:rFonts w:hint="eastAsia" w:ascii="宋体" w:hAnsi="宋体"/>
                <w:b/>
                <w:color w:val="auto"/>
                <w:szCs w:val="24"/>
                <w:highlight w:val="none"/>
              </w:rPr>
              <w:t>调拨单：</w:t>
            </w:r>
          </w:p>
          <w:p>
            <w:pPr>
              <w:pStyle w:val="130"/>
              <w:ind w:firstLine="0"/>
              <w:rPr>
                <w:rFonts w:ascii="宋体" w:hAnsi="宋体"/>
                <w:color w:val="auto"/>
                <w:szCs w:val="24"/>
                <w:highlight w:val="none"/>
              </w:rPr>
            </w:pPr>
            <w:r>
              <w:rPr>
                <w:rFonts w:hint="eastAsia" w:ascii="宋体" w:hAnsi="宋体"/>
                <w:color w:val="auto"/>
                <w:szCs w:val="24"/>
                <w:highlight w:val="none"/>
              </w:rPr>
              <w:t>1、支持新增、编辑、删除调拨单。</w:t>
            </w:r>
          </w:p>
          <w:p>
            <w:pPr>
              <w:pStyle w:val="130"/>
              <w:ind w:firstLine="0"/>
              <w:rPr>
                <w:rFonts w:ascii="宋体" w:hAnsi="宋体"/>
                <w:color w:val="auto"/>
                <w:szCs w:val="24"/>
                <w:highlight w:val="none"/>
              </w:rPr>
            </w:pPr>
            <w:r>
              <w:rPr>
                <w:rFonts w:hint="eastAsia" w:ascii="宋体" w:hAnsi="宋体"/>
                <w:color w:val="auto"/>
                <w:szCs w:val="24"/>
                <w:highlight w:val="none"/>
              </w:rPr>
              <w:t>2、支持通过调拨申请单直接生成调拨单。</w:t>
            </w:r>
          </w:p>
          <w:p>
            <w:pPr>
              <w:pStyle w:val="130"/>
              <w:ind w:firstLine="0"/>
              <w:rPr>
                <w:rFonts w:ascii="宋体" w:hAnsi="宋体"/>
                <w:color w:val="auto"/>
                <w:szCs w:val="24"/>
                <w:highlight w:val="none"/>
              </w:rPr>
            </w:pPr>
            <w:r>
              <w:rPr>
                <w:rFonts w:hint="eastAsia" w:ascii="宋体" w:hAnsi="宋体"/>
                <w:color w:val="auto"/>
                <w:szCs w:val="24"/>
                <w:highlight w:val="none"/>
              </w:rPr>
              <w:t>3、支持调拨单查看、打印。</w:t>
            </w:r>
          </w:p>
          <w:p>
            <w:pPr>
              <w:pStyle w:val="130"/>
              <w:ind w:firstLine="0"/>
              <w:rPr>
                <w:rFonts w:ascii="宋体" w:hAnsi="宋体"/>
                <w:color w:val="auto"/>
                <w:szCs w:val="24"/>
                <w:highlight w:val="none"/>
              </w:rPr>
            </w:pPr>
            <w:r>
              <w:rPr>
                <w:rFonts w:hint="eastAsia" w:ascii="宋体" w:hAnsi="宋体"/>
                <w:color w:val="auto"/>
                <w:szCs w:val="24"/>
                <w:highlight w:val="none"/>
              </w:rPr>
              <w:t>4、支持按照起止日期、调拨单号、转出仓库、转入仓库、单据状态等，查询调拨单。</w:t>
            </w:r>
          </w:p>
          <w:p>
            <w:pPr>
              <w:pStyle w:val="130"/>
              <w:ind w:firstLine="0"/>
              <w:rPr>
                <w:rFonts w:ascii="宋体" w:hAnsi="宋体"/>
                <w:color w:val="auto"/>
                <w:szCs w:val="24"/>
                <w:highlight w:val="none"/>
              </w:rPr>
            </w:pPr>
            <w:r>
              <w:rPr>
                <w:rFonts w:hint="eastAsia" w:ascii="宋体" w:hAnsi="宋体"/>
                <w:color w:val="auto"/>
                <w:szCs w:val="24"/>
                <w:highlight w:val="none"/>
              </w:rPr>
              <w:t>5、支持出库确认、入库确认、回库确认。</w:t>
            </w:r>
          </w:p>
          <w:p>
            <w:pPr>
              <w:pStyle w:val="130"/>
              <w:ind w:firstLine="0"/>
              <w:rPr>
                <w:rFonts w:ascii="宋体" w:hAnsi="宋体"/>
                <w:color w:val="auto"/>
                <w:szCs w:val="24"/>
                <w:highlight w:val="none"/>
              </w:rPr>
            </w:pPr>
            <w:r>
              <w:rPr>
                <w:rFonts w:hint="eastAsia" w:ascii="宋体" w:hAnsi="宋体"/>
                <w:color w:val="auto"/>
                <w:szCs w:val="24"/>
                <w:highlight w:val="none"/>
              </w:rPr>
              <w:t>6、支持最高、最低库存校验。</w:t>
            </w:r>
          </w:p>
          <w:p>
            <w:pPr>
              <w:pStyle w:val="130"/>
              <w:ind w:firstLine="0"/>
              <w:rPr>
                <w:rFonts w:ascii="宋体" w:hAnsi="宋体"/>
                <w:color w:val="auto"/>
                <w:szCs w:val="24"/>
                <w:highlight w:val="none"/>
              </w:rPr>
            </w:pPr>
            <w:r>
              <w:rPr>
                <w:rFonts w:hint="eastAsia" w:ascii="宋体" w:hAnsi="宋体"/>
                <w:color w:val="auto"/>
                <w:szCs w:val="24"/>
                <w:highlight w:val="none"/>
              </w:rPr>
              <w:t>7、支持调拨药品金额合计。</w:t>
            </w:r>
          </w:p>
          <w:p>
            <w:pPr>
              <w:pStyle w:val="130"/>
              <w:ind w:firstLine="0"/>
              <w:rPr>
                <w:rFonts w:ascii="宋体" w:hAnsi="宋体"/>
                <w:b/>
                <w:color w:val="auto"/>
                <w:szCs w:val="24"/>
                <w:highlight w:val="none"/>
              </w:rPr>
            </w:pPr>
            <w:r>
              <w:rPr>
                <w:rFonts w:hint="eastAsia" w:ascii="宋体" w:hAnsi="宋体"/>
                <w:b/>
                <w:color w:val="auto"/>
                <w:szCs w:val="24"/>
                <w:highlight w:val="none"/>
              </w:rPr>
              <w:t>（6）盘点管理</w:t>
            </w:r>
            <w:r>
              <w:rPr>
                <w:rFonts w:hint="eastAsia" w:ascii="宋体" w:hAnsi="宋体"/>
                <w:b/>
                <w:color w:val="auto"/>
                <w:szCs w:val="24"/>
                <w:highlight w:val="none"/>
              </w:rPr>
              <w:tab/>
            </w:r>
          </w:p>
          <w:p>
            <w:pPr>
              <w:pStyle w:val="130"/>
              <w:ind w:firstLine="0"/>
              <w:rPr>
                <w:rFonts w:ascii="宋体" w:hAnsi="宋体"/>
                <w:b/>
                <w:color w:val="auto"/>
                <w:szCs w:val="24"/>
                <w:highlight w:val="none"/>
              </w:rPr>
            </w:pPr>
            <w:r>
              <w:rPr>
                <w:rFonts w:hint="eastAsia" w:ascii="宋体" w:hAnsi="宋体"/>
                <w:b/>
                <w:color w:val="auto"/>
                <w:szCs w:val="24"/>
                <w:highlight w:val="none"/>
              </w:rPr>
              <w:t>库存盘点：</w:t>
            </w:r>
          </w:p>
          <w:p>
            <w:pPr>
              <w:pStyle w:val="130"/>
              <w:ind w:firstLine="0"/>
              <w:rPr>
                <w:rFonts w:ascii="宋体" w:hAnsi="宋体"/>
                <w:color w:val="auto"/>
                <w:szCs w:val="24"/>
                <w:highlight w:val="none"/>
              </w:rPr>
            </w:pPr>
            <w:r>
              <w:rPr>
                <w:rFonts w:hint="eastAsia" w:ascii="宋体" w:hAnsi="宋体"/>
                <w:color w:val="auto"/>
                <w:szCs w:val="24"/>
                <w:highlight w:val="none"/>
              </w:rPr>
              <w:t>1、支持新增、编辑、删除盘点单。</w:t>
            </w:r>
          </w:p>
          <w:p>
            <w:pPr>
              <w:pStyle w:val="130"/>
              <w:ind w:firstLine="0"/>
              <w:rPr>
                <w:rFonts w:ascii="宋体" w:hAnsi="宋体"/>
                <w:color w:val="auto"/>
                <w:szCs w:val="24"/>
                <w:highlight w:val="none"/>
              </w:rPr>
            </w:pPr>
            <w:r>
              <w:rPr>
                <w:rFonts w:hint="eastAsia" w:ascii="宋体" w:hAnsi="宋体"/>
                <w:color w:val="auto"/>
                <w:szCs w:val="24"/>
                <w:highlight w:val="none"/>
              </w:rPr>
              <w:t>2、支持自动生成盘点明细。</w:t>
            </w:r>
          </w:p>
          <w:p>
            <w:pPr>
              <w:pStyle w:val="130"/>
              <w:ind w:firstLine="0"/>
              <w:rPr>
                <w:rFonts w:ascii="宋体" w:hAnsi="宋体"/>
                <w:color w:val="auto"/>
                <w:szCs w:val="24"/>
                <w:highlight w:val="none"/>
              </w:rPr>
            </w:pPr>
            <w:r>
              <w:rPr>
                <w:rFonts w:hint="eastAsia" w:ascii="宋体" w:hAnsi="宋体"/>
                <w:color w:val="auto"/>
                <w:szCs w:val="24"/>
                <w:highlight w:val="none"/>
              </w:rPr>
              <w:t>3、支持盘点结果录入、录入完成确认、取消确认。</w:t>
            </w:r>
          </w:p>
          <w:p>
            <w:pPr>
              <w:pStyle w:val="130"/>
              <w:ind w:firstLine="0"/>
              <w:rPr>
                <w:rFonts w:ascii="宋体" w:hAnsi="宋体"/>
                <w:color w:val="auto"/>
                <w:szCs w:val="24"/>
                <w:highlight w:val="none"/>
              </w:rPr>
            </w:pPr>
            <w:r>
              <w:rPr>
                <w:rFonts w:hint="eastAsia" w:ascii="宋体" w:hAnsi="宋体"/>
                <w:color w:val="auto"/>
                <w:szCs w:val="24"/>
                <w:highlight w:val="none"/>
              </w:rPr>
              <w:t>4、支持按照起止日期、盘点类型、盘点单号、盘点名称、盘点仓库、单据状态等，查询盘点单查询。</w:t>
            </w:r>
          </w:p>
          <w:p>
            <w:pPr>
              <w:pStyle w:val="130"/>
              <w:ind w:firstLine="0"/>
              <w:rPr>
                <w:rFonts w:ascii="宋体" w:hAnsi="宋体"/>
                <w:b/>
                <w:color w:val="auto"/>
                <w:szCs w:val="24"/>
                <w:highlight w:val="none"/>
              </w:rPr>
            </w:pPr>
            <w:r>
              <w:rPr>
                <w:rFonts w:hint="eastAsia" w:ascii="宋体" w:hAnsi="宋体"/>
                <w:b/>
                <w:color w:val="auto"/>
                <w:szCs w:val="24"/>
                <w:highlight w:val="none"/>
              </w:rPr>
              <w:t>盘点盈亏处理:</w:t>
            </w:r>
          </w:p>
          <w:p>
            <w:pPr>
              <w:pStyle w:val="130"/>
              <w:ind w:firstLine="0"/>
              <w:rPr>
                <w:rFonts w:ascii="宋体" w:hAnsi="宋体"/>
                <w:color w:val="auto"/>
                <w:szCs w:val="24"/>
                <w:highlight w:val="none"/>
              </w:rPr>
            </w:pPr>
            <w:r>
              <w:rPr>
                <w:rFonts w:hint="eastAsia" w:ascii="宋体" w:hAnsi="宋体"/>
                <w:color w:val="auto"/>
                <w:szCs w:val="24"/>
                <w:highlight w:val="none"/>
              </w:rPr>
              <w:t>1、支持盘点盈亏处理。</w:t>
            </w:r>
          </w:p>
          <w:p>
            <w:pPr>
              <w:pStyle w:val="130"/>
              <w:ind w:firstLine="0"/>
              <w:rPr>
                <w:rFonts w:ascii="宋体" w:hAnsi="宋体"/>
                <w:color w:val="auto"/>
                <w:szCs w:val="24"/>
                <w:highlight w:val="none"/>
              </w:rPr>
            </w:pPr>
            <w:r>
              <w:rPr>
                <w:rFonts w:hint="eastAsia" w:ascii="宋体" w:hAnsi="宋体"/>
                <w:color w:val="auto"/>
                <w:szCs w:val="24"/>
                <w:highlight w:val="none"/>
              </w:rPr>
              <w:t>2、支持只显示有盈亏的物品，支持自动显示盈亏数量、盈亏金额，支持盈亏说明填写。</w:t>
            </w:r>
          </w:p>
          <w:p>
            <w:pPr>
              <w:pStyle w:val="130"/>
              <w:ind w:firstLine="0"/>
              <w:rPr>
                <w:rFonts w:ascii="宋体" w:hAnsi="宋体"/>
                <w:color w:val="auto"/>
                <w:szCs w:val="24"/>
                <w:highlight w:val="none"/>
              </w:rPr>
            </w:pPr>
            <w:r>
              <w:rPr>
                <w:rFonts w:hint="eastAsia" w:ascii="宋体" w:hAnsi="宋体"/>
                <w:color w:val="auto"/>
                <w:szCs w:val="24"/>
                <w:highlight w:val="none"/>
              </w:rPr>
              <w:t>3、支持盈亏单查看、打印、提交、审批。</w:t>
            </w:r>
          </w:p>
          <w:p>
            <w:pPr>
              <w:pStyle w:val="130"/>
              <w:ind w:firstLine="0"/>
              <w:rPr>
                <w:rFonts w:ascii="宋体" w:hAnsi="宋体"/>
                <w:color w:val="auto"/>
                <w:szCs w:val="24"/>
                <w:highlight w:val="none"/>
              </w:rPr>
            </w:pPr>
            <w:r>
              <w:rPr>
                <w:rFonts w:hint="eastAsia" w:ascii="宋体" w:hAnsi="宋体"/>
                <w:color w:val="auto"/>
                <w:szCs w:val="24"/>
                <w:highlight w:val="none"/>
              </w:rPr>
              <w:t>4、支持按照盘点日期、盘点类型、盘点单号、盘点仓库、单据状态等，查询盘点单查询。</w:t>
            </w:r>
          </w:p>
          <w:p>
            <w:pPr>
              <w:pStyle w:val="130"/>
              <w:ind w:firstLine="0"/>
              <w:rPr>
                <w:rFonts w:ascii="宋体" w:hAnsi="宋体"/>
                <w:b/>
                <w:color w:val="auto"/>
                <w:szCs w:val="24"/>
                <w:highlight w:val="none"/>
              </w:rPr>
            </w:pPr>
            <w:r>
              <w:rPr>
                <w:rFonts w:hint="eastAsia" w:ascii="宋体" w:hAnsi="宋体"/>
                <w:b/>
                <w:color w:val="auto"/>
                <w:szCs w:val="24"/>
                <w:highlight w:val="none"/>
              </w:rPr>
              <w:t>(</w:t>
            </w:r>
            <w:r>
              <w:rPr>
                <w:rFonts w:ascii="宋体" w:hAnsi="宋体"/>
                <w:b/>
                <w:color w:val="auto"/>
                <w:szCs w:val="24"/>
                <w:highlight w:val="none"/>
              </w:rPr>
              <w:t>7)</w:t>
            </w:r>
            <w:r>
              <w:rPr>
                <w:rFonts w:hint="eastAsia" w:ascii="宋体" w:hAnsi="宋体"/>
                <w:b/>
                <w:color w:val="auto"/>
                <w:szCs w:val="24"/>
                <w:highlight w:val="none"/>
              </w:rPr>
              <w:t>售价管理</w:t>
            </w:r>
            <w:r>
              <w:rPr>
                <w:rFonts w:hint="eastAsia" w:ascii="宋体" w:hAnsi="宋体"/>
                <w:b/>
                <w:color w:val="auto"/>
                <w:szCs w:val="24"/>
                <w:highlight w:val="none"/>
              </w:rPr>
              <w:tab/>
            </w:r>
          </w:p>
          <w:p>
            <w:pPr>
              <w:pStyle w:val="130"/>
              <w:ind w:firstLine="0"/>
              <w:rPr>
                <w:rFonts w:ascii="宋体" w:hAnsi="宋体"/>
                <w:b/>
                <w:color w:val="auto"/>
                <w:szCs w:val="24"/>
                <w:highlight w:val="none"/>
              </w:rPr>
            </w:pPr>
            <w:r>
              <w:rPr>
                <w:rFonts w:hint="eastAsia" w:ascii="宋体" w:hAnsi="宋体"/>
                <w:b/>
                <w:color w:val="auto"/>
                <w:szCs w:val="24"/>
                <w:highlight w:val="none"/>
              </w:rPr>
              <w:t>调价单：</w:t>
            </w:r>
          </w:p>
          <w:p>
            <w:pPr>
              <w:pStyle w:val="130"/>
              <w:ind w:firstLine="0"/>
              <w:rPr>
                <w:rFonts w:ascii="宋体" w:hAnsi="宋体"/>
                <w:color w:val="auto"/>
                <w:szCs w:val="24"/>
                <w:highlight w:val="none"/>
              </w:rPr>
            </w:pPr>
            <w:r>
              <w:rPr>
                <w:rFonts w:hint="eastAsia" w:ascii="宋体" w:hAnsi="宋体"/>
                <w:color w:val="auto"/>
                <w:szCs w:val="24"/>
                <w:highlight w:val="none"/>
              </w:rPr>
              <w:t>1、支持药品调价，新增、编辑、删除调价单。</w:t>
            </w:r>
          </w:p>
          <w:p>
            <w:pPr>
              <w:pStyle w:val="130"/>
              <w:ind w:firstLine="0"/>
              <w:rPr>
                <w:rFonts w:ascii="宋体" w:hAnsi="宋体"/>
                <w:color w:val="auto"/>
                <w:szCs w:val="24"/>
                <w:highlight w:val="none"/>
              </w:rPr>
            </w:pPr>
            <w:r>
              <w:rPr>
                <w:rFonts w:hint="eastAsia" w:ascii="宋体" w:hAnsi="宋体"/>
                <w:color w:val="auto"/>
                <w:szCs w:val="24"/>
                <w:highlight w:val="none"/>
              </w:rPr>
              <w:t>2、支持调价单查看、打印、提交、审核、进度查看。</w:t>
            </w:r>
          </w:p>
          <w:p>
            <w:pPr>
              <w:pStyle w:val="130"/>
              <w:ind w:firstLine="0"/>
              <w:rPr>
                <w:rFonts w:ascii="宋体" w:hAnsi="宋体"/>
                <w:color w:val="auto"/>
                <w:szCs w:val="24"/>
                <w:highlight w:val="none"/>
              </w:rPr>
            </w:pPr>
            <w:r>
              <w:rPr>
                <w:rFonts w:hint="eastAsia" w:ascii="宋体" w:hAnsi="宋体"/>
                <w:color w:val="auto"/>
                <w:szCs w:val="24"/>
                <w:highlight w:val="none"/>
              </w:rPr>
              <w:t>3、支持按照起止日期、调价文号、物品、生产厂家、状态、机构等，查询调价单。</w:t>
            </w:r>
          </w:p>
          <w:p>
            <w:pPr>
              <w:pStyle w:val="130"/>
              <w:ind w:firstLine="0"/>
              <w:rPr>
                <w:rFonts w:ascii="宋体" w:hAnsi="宋体"/>
                <w:color w:val="auto"/>
                <w:szCs w:val="24"/>
                <w:highlight w:val="none"/>
              </w:rPr>
            </w:pPr>
            <w:r>
              <w:rPr>
                <w:rFonts w:hint="eastAsia" w:ascii="宋体" w:hAnsi="宋体"/>
                <w:color w:val="auto"/>
                <w:szCs w:val="24"/>
                <w:highlight w:val="none"/>
              </w:rPr>
              <w:t>4、支持指定调价生效日期，定时调价。</w:t>
            </w:r>
          </w:p>
          <w:p>
            <w:pPr>
              <w:pStyle w:val="130"/>
              <w:ind w:firstLine="0"/>
              <w:rPr>
                <w:rFonts w:ascii="宋体" w:hAnsi="宋体"/>
                <w:color w:val="auto"/>
                <w:szCs w:val="24"/>
                <w:highlight w:val="none"/>
              </w:rPr>
            </w:pPr>
            <w:r>
              <w:rPr>
                <w:rFonts w:hint="eastAsia" w:ascii="宋体" w:hAnsi="宋体"/>
                <w:color w:val="auto"/>
                <w:szCs w:val="24"/>
                <w:highlight w:val="none"/>
              </w:rPr>
              <w:t>5、支持调价时指定新售价模式：固定价格、零差价、加成价。</w:t>
            </w:r>
          </w:p>
          <w:p>
            <w:pPr>
              <w:pStyle w:val="130"/>
              <w:ind w:firstLine="0"/>
              <w:rPr>
                <w:rFonts w:ascii="宋体" w:hAnsi="宋体"/>
                <w:color w:val="auto"/>
                <w:szCs w:val="24"/>
                <w:highlight w:val="none"/>
              </w:rPr>
            </w:pPr>
            <w:r>
              <w:rPr>
                <w:rFonts w:hint="eastAsia" w:ascii="宋体" w:hAnsi="宋体"/>
                <w:color w:val="auto"/>
                <w:szCs w:val="24"/>
                <w:highlight w:val="none"/>
              </w:rPr>
              <w:t>6、支持要调价药品，在各库房结存查询。</w:t>
            </w:r>
          </w:p>
          <w:p>
            <w:pPr>
              <w:pStyle w:val="130"/>
              <w:ind w:firstLine="0"/>
              <w:rPr>
                <w:rFonts w:ascii="宋体" w:hAnsi="宋体"/>
                <w:color w:val="auto"/>
                <w:szCs w:val="24"/>
                <w:highlight w:val="none"/>
              </w:rPr>
            </w:pPr>
            <w:r>
              <w:rPr>
                <w:rFonts w:hint="eastAsia" w:ascii="宋体" w:hAnsi="宋体"/>
                <w:color w:val="auto"/>
                <w:szCs w:val="24"/>
                <w:highlight w:val="none"/>
              </w:rPr>
              <w:t>调价查询：</w:t>
            </w:r>
          </w:p>
          <w:p>
            <w:pPr>
              <w:pStyle w:val="130"/>
              <w:ind w:firstLine="0"/>
              <w:rPr>
                <w:rFonts w:ascii="宋体" w:hAnsi="宋体"/>
                <w:color w:val="auto"/>
                <w:szCs w:val="24"/>
                <w:highlight w:val="none"/>
              </w:rPr>
            </w:pPr>
            <w:r>
              <w:rPr>
                <w:rFonts w:hint="eastAsia" w:ascii="宋体" w:hAnsi="宋体"/>
                <w:color w:val="auto"/>
                <w:szCs w:val="24"/>
                <w:highlight w:val="none"/>
              </w:rPr>
              <w:t>1、支持调价查询，支持调价单打印。</w:t>
            </w:r>
          </w:p>
          <w:p>
            <w:pPr>
              <w:pStyle w:val="130"/>
              <w:ind w:firstLine="0"/>
              <w:rPr>
                <w:rFonts w:ascii="宋体" w:hAnsi="宋体"/>
                <w:color w:val="auto"/>
                <w:szCs w:val="24"/>
                <w:highlight w:val="none"/>
              </w:rPr>
            </w:pPr>
            <w:r>
              <w:rPr>
                <w:rFonts w:hint="eastAsia" w:ascii="宋体" w:hAnsi="宋体"/>
                <w:color w:val="auto"/>
                <w:szCs w:val="24"/>
                <w:highlight w:val="none"/>
              </w:rPr>
              <w:t>2、支持按照起止日期、调价文号、物品名称、物品分类等，查询调价单。</w:t>
            </w:r>
          </w:p>
        </w:tc>
      </w:tr>
    </w:tbl>
    <w:p>
      <w:pPr>
        <w:pStyle w:val="7"/>
        <w:numPr>
          <w:ilvl w:val="4"/>
          <w:numId w:val="8"/>
        </w:numPr>
        <w:rPr>
          <w:rFonts w:ascii="宋体" w:hAnsi="宋体"/>
          <w:color w:val="auto"/>
          <w:szCs w:val="24"/>
          <w:highlight w:val="none"/>
        </w:rPr>
      </w:pPr>
      <w:bookmarkStart w:id="636" w:name="_Toc17686"/>
      <w:r>
        <w:rPr>
          <w:rFonts w:hint="eastAsia" w:ascii="宋体" w:hAnsi="宋体"/>
          <w:color w:val="auto"/>
          <w:szCs w:val="24"/>
          <w:highlight w:val="none"/>
        </w:rPr>
        <w:t>门急诊药房管理系统</w:t>
      </w:r>
      <w:bookmarkEnd w:id="636"/>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门急诊药房管理系统需满足以下功能：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trPr>
        <w:tc>
          <w:tcPr>
            <w:tcW w:w="1980"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7087"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门急诊药房管理</w:t>
            </w:r>
          </w:p>
        </w:tc>
        <w:tc>
          <w:tcPr>
            <w:tcW w:w="7087" w:type="dxa"/>
          </w:tcPr>
          <w:p>
            <w:pPr>
              <w:pStyle w:val="130"/>
              <w:ind w:firstLine="0"/>
              <w:rPr>
                <w:rFonts w:ascii="宋体" w:hAnsi="宋体"/>
                <w:b/>
                <w:color w:val="auto"/>
                <w:szCs w:val="24"/>
                <w:highlight w:val="none"/>
              </w:rPr>
            </w:pPr>
            <w:r>
              <w:rPr>
                <w:rFonts w:hint="eastAsia" w:ascii="宋体" w:hAnsi="宋体"/>
                <w:b/>
                <w:color w:val="auto"/>
                <w:szCs w:val="24"/>
                <w:highlight w:val="none"/>
              </w:rPr>
              <w:t>（1）发药</w:t>
            </w:r>
          </w:p>
          <w:p>
            <w:pPr>
              <w:pStyle w:val="130"/>
              <w:ind w:firstLine="0"/>
              <w:rPr>
                <w:rFonts w:ascii="宋体" w:hAnsi="宋体"/>
                <w:b/>
                <w:color w:val="auto"/>
                <w:szCs w:val="24"/>
                <w:highlight w:val="none"/>
              </w:rPr>
            </w:pPr>
            <w:r>
              <w:rPr>
                <w:rFonts w:hint="eastAsia" w:ascii="宋体" w:hAnsi="宋体"/>
                <w:b/>
                <w:color w:val="auto"/>
                <w:szCs w:val="24"/>
                <w:highlight w:val="none"/>
              </w:rPr>
              <w:t>门急诊西药、中成药发药：</w:t>
            </w:r>
          </w:p>
          <w:p>
            <w:pPr>
              <w:pStyle w:val="130"/>
              <w:ind w:firstLine="0"/>
              <w:rPr>
                <w:rFonts w:ascii="宋体" w:hAnsi="宋体"/>
                <w:color w:val="auto"/>
                <w:szCs w:val="24"/>
                <w:highlight w:val="none"/>
              </w:rPr>
            </w:pPr>
            <w:r>
              <w:rPr>
                <w:rFonts w:hint="eastAsia" w:ascii="宋体" w:hAnsi="宋体"/>
                <w:color w:val="auto"/>
                <w:szCs w:val="24"/>
                <w:highlight w:val="none"/>
              </w:rPr>
              <w:t>1、支持门诊药房签到成功后，用于门诊西药、中成药发药操作。</w:t>
            </w:r>
          </w:p>
          <w:p>
            <w:pPr>
              <w:pStyle w:val="130"/>
              <w:ind w:firstLine="0"/>
              <w:rPr>
                <w:rFonts w:ascii="宋体" w:hAnsi="宋体"/>
                <w:color w:val="auto"/>
                <w:szCs w:val="24"/>
                <w:highlight w:val="none"/>
              </w:rPr>
            </w:pPr>
            <w:r>
              <w:rPr>
                <w:rFonts w:hint="eastAsia" w:ascii="宋体" w:hAnsi="宋体"/>
                <w:color w:val="auto"/>
                <w:szCs w:val="24"/>
                <w:highlight w:val="none"/>
              </w:rPr>
              <w:t>2、支持打印输液卡。</w:t>
            </w:r>
          </w:p>
          <w:p>
            <w:pPr>
              <w:pStyle w:val="130"/>
              <w:ind w:firstLine="0"/>
              <w:rPr>
                <w:rFonts w:ascii="宋体" w:hAnsi="宋体"/>
                <w:color w:val="auto"/>
                <w:szCs w:val="24"/>
                <w:highlight w:val="none"/>
              </w:rPr>
            </w:pPr>
            <w:r>
              <w:rPr>
                <w:rFonts w:hint="eastAsia" w:ascii="宋体" w:hAnsi="宋体"/>
                <w:color w:val="auto"/>
                <w:szCs w:val="24"/>
                <w:highlight w:val="none"/>
              </w:rPr>
              <w:t>3、支持记录配药人信息。</w:t>
            </w:r>
          </w:p>
          <w:p>
            <w:pPr>
              <w:pStyle w:val="130"/>
              <w:ind w:firstLine="0"/>
              <w:rPr>
                <w:rFonts w:ascii="宋体" w:hAnsi="宋体"/>
                <w:color w:val="auto"/>
                <w:szCs w:val="24"/>
                <w:highlight w:val="none"/>
              </w:rPr>
            </w:pPr>
            <w:r>
              <w:rPr>
                <w:rFonts w:hint="eastAsia" w:ascii="宋体" w:hAnsi="宋体"/>
                <w:color w:val="auto"/>
                <w:szCs w:val="24"/>
                <w:highlight w:val="none"/>
              </w:rPr>
              <w:t>4、支持根据已发药和未发药，对签到后的患者进行筛选。</w:t>
            </w:r>
          </w:p>
          <w:p>
            <w:pPr>
              <w:pStyle w:val="130"/>
              <w:ind w:firstLine="0"/>
              <w:rPr>
                <w:rFonts w:ascii="宋体" w:hAnsi="宋体"/>
                <w:b/>
                <w:color w:val="auto"/>
                <w:szCs w:val="24"/>
                <w:highlight w:val="none"/>
              </w:rPr>
            </w:pPr>
            <w:r>
              <w:rPr>
                <w:rFonts w:hint="eastAsia" w:ascii="宋体" w:hAnsi="宋体"/>
                <w:b/>
                <w:color w:val="auto"/>
                <w:szCs w:val="24"/>
                <w:highlight w:val="none"/>
              </w:rPr>
              <w:t>门急诊草药发药：</w:t>
            </w:r>
          </w:p>
          <w:p>
            <w:pPr>
              <w:pStyle w:val="130"/>
              <w:ind w:firstLine="0"/>
              <w:rPr>
                <w:rFonts w:ascii="宋体" w:hAnsi="宋体"/>
                <w:color w:val="auto"/>
                <w:szCs w:val="24"/>
                <w:highlight w:val="none"/>
              </w:rPr>
            </w:pPr>
            <w:r>
              <w:rPr>
                <w:rFonts w:hint="eastAsia" w:ascii="宋体" w:hAnsi="宋体"/>
                <w:color w:val="auto"/>
                <w:szCs w:val="24"/>
                <w:highlight w:val="none"/>
              </w:rPr>
              <w:t>1、支持门诊药房签到成功后，用于门诊草药发药操作。</w:t>
            </w:r>
          </w:p>
          <w:p>
            <w:pPr>
              <w:pStyle w:val="130"/>
              <w:ind w:firstLine="0"/>
              <w:rPr>
                <w:rFonts w:ascii="宋体" w:hAnsi="宋体"/>
                <w:color w:val="auto"/>
                <w:szCs w:val="24"/>
                <w:highlight w:val="none"/>
              </w:rPr>
            </w:pPr>
            <w:r>
              <w:rPr>
                <w:rFonts w:hint="eastAsia" w:ascii="宋体" w:hAnsi="宋体"/>
                <w:color w:val="auto"/>
                <w:szCs w:val="24"/>
                <w:highlight w:val="none"/>
              </w:rPr>
              <w:t>2、支持根据已发药和未发药，对签到后的患者进行筛选。</w:t>
            </w:r>
          </w:p>
          <w:p>
            <w:pPr>
              <w:pStyle w:val="130"/>
              <w:ind w:firstLine="0"/>
              <w:rPr>
                <w:rFonts w:ascii="宋体" w:hAnsi="宋体"/>
                <w:color w:val="auto"/>
                <w:szCs w:val="24"/>
                <w:highlight w:val="none"/>
              </w:rPr>
            </w:pPr>
            <w:r>
              <w:rPr>
                <w:rFonts w:hint="eastAsia" w:ascii="宋体" w:hAnsi="宋体"/>
                <w:color w:val="auto"/>
                <w:szCs w:val="24"/>
                <w:highlight w:val="none"/>
              </w:rPr>
              <w:t>3、支持对药品的费用进行查询，包含单价、数量和金额。</w:t>
            </w:r>
          </w:p>
          <w:p>
            <w:pPr>
              <w:pStyle w:val="130"/>
              <w:ind w:firstLine="0"/>
              <w:rPr>
                <w:rFonts w:ascii="宋体" w:hAnsi="宋体"/>
                <w:color w:val="auto"/>
                <w:szCs w:val="24"/>
                <w:highlight w:val="none"/>
              </w:rPr>
            </w:pPr>
            <w:r>
              <w:rPr>
                <w:rFonts w:hint="eastAsia" w:ascii="宋体" w:hAnsi="宋体"/>
                <w:color w:val="auto"/>
                <w:szCs w:val="24"/>
                <w:highlight w:val="none"/>
              </w:rPr>
              <w:t>4、支持打印处方单。</w:t>
            </w:r>
          </w:p>
          <w:p>
            <w:pPr>
              <w:pStyle w:val="130"/>
              <w:ind w:firstLine="0"/>
              <w:rPr>
                <w:rFonts w:ascii="宋体" w:hAnsi="宋体"/>
                <w:b/>
                <w:color w:val="auto"/>
                <w:szCs w:val="24"/>
                <w:highlight w:val="none"/>
              </w:rPr>
            </w:pPr>
            <w:r>
              <w:rPr>
                <w:rFonts w:hint="eastAsia" w:ascii="宋体" w:hAnsi="宋体"/>
                <w:b/>
                <w:color w:val="auto"/>
                <w:szCs w:val="24"/>
                <w:highlight w:val="none"/>
              </w:rPr>
              <w:t>门急诊医技发药：</w:t>
            </w:r>
          </w:p>
          <w:p>
            <w:pPr>
              <w:pStyle w:val="130"/>
              <w:ind w:firstLine="0"/>
              <w:rPr>
                <w:rFonts w:ascii="宋体" w:hAnsi="宋体"/>
                <w:color w:val="auto"/>
                <w:szCs w:val="24"/>
                <w:highlight w:val="none"/>
              </w:rPr>
            </w:pPr>
            <w:r>
              <w:rPr>
                <w:rFonts w:hint="eastAsia" w:ascii="宋体" w:hAnsi="宋体"/>
                <w:color w:val="auto"/>
                <w:szCs w:val="24"/>
                <w:highlight w:val="none"/>
              </w:rPr>
              <w:t>1、支持用于医技科室补录药品的发放。</w:t>
            </w:r>
          </w:p>
          <w:p>
            <w:pPr>
              <w:pStyle w:val="130"/>
              <w:ind w:firstLine="0"/>
              <w:rPr>
                <w:rFonts w:ascii="宋体" w:hAnsi="宋体"/>
                <w:color w:val="auto"/>
                <w:szCs w:val="24"/>
                <w:highlight w:val="none"/>
              </w:rPr>
            </w:pPr>
            <w:r>
              <w:rPr>
                <w:rFonts w:hint="eastAsia" w:ascii="宋体" w:hAnsi="宋体"/>
                <w:color w:val="auto"/>
                <w:szCs w:val="24"/>
                <w:highlight w:val="none"/>
              </w:rPr>
              <w:t>2、支持按照开立科室、药品类别、药品通用名、是否已发药的条件，过滤处方记录。</w:t>
            </w:r>
          </w:p>
          <w:p>
            <w:pPr>
              <w:pStyle w:val="130"/>
              <w:ind w:firstLine="0"/>
              <w:rPr>
                <w:rFonts w:ascii="宋体" w:hAnsi="宋体"/>
                <w:color w:val="auto"/>
                <w:szCs w:val="24"/>
                <w:highlight w:val="none"/>
              </w:rPr>
            </w:pPr>
            <w:r>
              <w:rPr>
                <w:rFonts w:hint="eastAsia" w:ascii="宋体" w:hAnsi="宋体"/>
                <w:color w:val="auto"/>
                <w:szCs w:val="24"/>
                <w:highlight w:val="none"/>
              </w:rPr>
              <w:t>3、支持打印明细和打印汇总。</w:t>
            </w:r>
          </w:p>
          <w:p>
            <w:pPr>
              <w:pStyle w:val="130"/>
              <w:ind w:firstLine="0"/>
              <w:rPr>
                <w:rFonts w:ascii="宋体" w:hAnsi="宋体"/>
                <w:color w:val="auto"/>
                <w:szCs w:val="24"/>
                <w:highlight w:val="none"/>
              </w:rPr>
            </w:pPr>
            <w:r>
              <w:rPr>
                <w:rFonts w:hint="eastAsia" w:ascii="宋体" w:hAnsi="宋体"/>
                <w:b/>
                <w:color w:val="auto"/>
                <w:szCs w:val="24"/>
                <w:highlight w:val="none"/>
              </w:rPr>
              <w:t>门诊处方批量打印：</w:t>
            </w:r>
            <w:r>
              <w:rPr>
                <w:rFonts w:hint="eastAsia" w:ascii="宋体" w:hAnsi="宋体"/>
                <w:color w:val="auto"/>
                <w:szCs w:val="24"/>
                <w:highlight w:val="none"/>
              </w:rPr>
              <w:t>支持用于门诊处方批量打印。</w:t>
            </w:r>
          </w:p>
          <w:p>
            <w:pPr>
              <w:pStyle w:val="130"/>
              <w:ind w:firstLine="0"/>
              <w:rPr>
                <w:rFonts w:ascii="宋体" w:hAnsi="宋体"/>
                <w:color w:val="auto"/>
                <w:szCs w:val="24"/>
                <w:highlight w:val="none"/>
              </w:rPr>
            </w:pPr>
            <w:r>
              <w:rPr>
                <w:rFonts w:hint="eastAsia" w:ascii="宋体" w:hAnsi="宋体"/>
                <w:b/>
                <w:color w:val="auto"/>
                <w:szCs w:val="24"/>
                <w:highlight w:val="none"/>
              </w:rPr>
              <w:t>门急诊配药单处方打印：</w:t>
            </w:r>
            <w:r>
              <w:rPr>
                <w:rFonts w:hint="eastAsia" w:ascii="宋体" w:hAnsi="宋体"/>
                <w:color w:val="auto"/>
                <w:szCs w:val="24"/>
                <w:highlight w:val="none"/>
              </w:rPr>
              <w:t>支持用于打印门急诊配药单处方。</w:t>
            </w:r>
          </w:p>
          <w:p>
            <w:pPr>
              <w:pStyle w:val="130"/>
              <w:ind w:firstLine="0"/>
              <w:rPr>
                <w:rFonts w:ascii="宋体" w:hAnsi="宋体"/>
                <w:b/>
                <w:color w:val="auto"/>
                <w:szCs w:val="24"/>
                <w:highlight w:val="none"/>
              </w:rPr>
            </w:pPr>
            <w:r>
              <w:rPr>
                <w:rFonts w:hint="eastAsia" w:ascii="宋体" w:hAnsi="宋体"/>
                <w:b/>
                <w:color w:val="auto"/>
                <w:szCs w:val="24"/>
                <w:highlight w:val="none"/>
              </w:rPr>
              <w:t>门急诊发药查询：</w:t>
            </w:r>
          </w:p>
          <w:p>
            <w:pPr>
              <w:pStyle w:val="130"/>
              <w:ind w:firstLine="0"/>
              <w:rPr>
                <w:rFonts w:ascii="宋体" w:hAnsi="宋体"/>
                <w:color w:val="auto"/>
                <w:szCs w:val="24"/>
                <w:highlight w:val="none"/>
              </w:rPr>
            </w:pPr>
            <w:r>
              <w:rPr>
                <w:rFonts w:hint="eastAsia" w:ascii="宋体" w:hAnsi="宋体"/>
                <w:color w:val="auto"/>
                <w:szCs w:val="24"/>
                <w:highlight w:val="none"/>
              </w:rPr>
              <w:t>1、支持门诊药房发药成功后，用于门诊西药、中成药发药查询和显示。</w:t>
            </w:r>
          </w:p>
          <w:p>
            <w:pPr>
              <w:pStyle w:val="130"/>
              <w:ind w:firstLine="0"/>
              <w:rPr>
                <w:rFonts w:ascii="宋体" w:hAnsi="宋体"/>
                <w:color w:val="auto"/>
                <w:szCs w:val="24"/>
                <w:highlight w:val="none"/>
              </w:rPr>
            </w:pPr>
            <w:r>
              <w:rPr>
                <w:rFonts w:hint="eastAsia" w:ascii="宋体" w:hAnsi="宋体"/>
                <w:color w:val="auto"/>
                <w:szCs w:val="24"/>
                <w:highlight w:val="none"/>
              </w:rPr>
              <w:t>2、支持按照全部、普通、毒麻查询三天内门诊发药信息。</w:t>
            </w:r>
          </w:p>
          <w:p>
            <w:pPr>
              <w:pStyle w:val="130"/>
              <w:ind w:firstLine="0"/>
              <w:rPr>
                <w:rFonts w:ascii="宋体" w:hAnsi="宋体"/>
                <w:color w:val="auto"/>
                <w:szCs w:val="24"/>
                <w:highlight w:val="none"/>
              </w:rPr>
            </w:pPr>
            <w:r>
              <w:rPr>
                <w:rFonts w:hint="eastAsia" w:ascii="宋体" w:hAnsi="宋体"/>
                <w:color w:val="auto"/>
                <w:szCs w:val="24"/>
                <w:highlight w:val="none"/>
              </w:rPr>
              <w:t>3、支持按照就诊卡号、患者姓名、患者编码、发药人、窗口、开立日期、发药状态、处方号进行查询发药信息。</w:t>
            </w:r>
          </w:p>
          <w:p>
            <w:pPr>
              <w:pStyle w:val="130"/>
              <w:ind w:firstLine="0"/>
              <w:rPr>
                <w:rFonts w:ascii="宋体" w:hAnsi="宋体"/>
                <w:color w:val="auto"/>
                <w:szCs w:val="24"/>
                <w:highlight w:val="none"/>
              </w:rPr>
            </w:pPr>
            <w:r>
              <w:rPr>
                <w:rFonts w:hint="eastAsia" w:ascii="宋体" w:hAnsi="宋体"/>
                <w:color w:val="auto"/>
                <w:szCs w:val="24"/>
                <w:highlight w:val="none"/>
              </w:rPr>
              <w:t>4、支持发药信息的查看和打印。</w:t>
            </w:r>
          </w:p>
          <w:p>
            <w:pPr>
              <w:pStyle w:val="130"/>
              <w:ind w:firstLine="0"/>
              <w:rPr>
                <w:rFonts w:ascii="宋体" w:hAnsi="宋体"/>
                <w:b/>
                <w:color w:val="auto"/>
                <w:szCs w:val="24"/>
                <w:highlight w:val="none"/>
              </w:rPr>
            </w:pPr>
            <w:r>
              <w:rPr>
                <w:rFonts w:hint="eastAsia" w:ascii="宋体" w:hAnsi="宋体"/>
                <w:b/>
                <w:color w:val="auto"/>
                <w:szCs w:val="24"/>
                <w:highlight w:val="none"/>
              </w:rPr>
              <w:t>（2）退药</w:t>
            </w:r>
            <w:r>
              <w:rPr>
                <w:rFonts w:hint="eastAsia" w:ascii="宋体" w:hAnsi="宋体"/>
                <w:b/>
                <w:color w:val="auto"/>
                <w:szCs w:val="24"/>
                <w:highlight w:val="none"/>
              </w:rPr>
              <w:tab/>
            </w:r>
          </w:p>
          <w:p>
            <w:pPr>
              <w:pStyle w:val="130"/>
              <w:ind w:firstLine="0"/>
              <w:rPr>
                <w:rFonts w:ascii="宋体" w:hAnsi="宋体"/>
                <w:b/>
                <w:color w:val="auto"/>
                <w:szCs w:val="24"/>
                <w:highlight w:val="none"/>
              </w:rPr>
            </w:pPr>
            <w:r>
              <w:rPr>
                <w:rFonts w:hint="eastAsia" w:ascii="宋体" w:hAnsi="宋体"/>
                <w:b/>
                <w:color w:val="auto"/>
                <w:szCs w:val="24"/>
                <w:highlight w:val="none"/>
              </w:rPr>
              <w:t>门急诊退药：</w:t>
            </w:r>
          </w:p>
          <w:p>
            <w:pPr>
              <w:pStyle w:val="130"/>
              <w:ind w:firstLine="0"/>
              <w:rPr>
                <w:rFonts w:ascii="宋体" w:hAnsi="宋体"/>
                <w:color w:val="auto"/>
                <w:szCs w:val="24"/>
                <w:highlight w:val="none"/>
              </w:rPr>
            </w:pPr>
            <w:r>
              <w:rPr>
                <w:rFonts w:hint="eastAsia" w:ascii="宋体" w:hAnsi="宋体"/>
                <w:color w:val="auto"/>
                <w:szCs w:val="24"/>
                <w:highlight w:val="none"/>
              </w:rPr>
              <w:t>1、支持门诊药房发药成功后，用于门诊西药、中成药退药操作。</w:t>
            </w:r>
          </w:p>
          <w:p>
            <w:pPr>
              <w:pStyle w:val="130"/>
              <w:ind w:firstLine="0"/>
              <w:rPr>
                <w:rFonts w:ascii="宋体" w:hAnsi="宋体"/>
                <w:color w:val="auto"/>
                <w:szCs w:val="24"/>
                <w:highlight w:val="none"/>
              </w:rPr>
            </w:pPr>
            <w:r>
              <w:rPr>
                <w:rFonts w:hint="eastAsia" w:ascii="宋体" w:hAnsi="宋体"/>
                <w:color w:val="auto"/>
                <w:szCs w:val="24"/>
                <w:highlight w:val="none"/>
              </w:rPr>
              <w:t>2、支持按卡号或证件号查询出患者信息。</w:t>
            </w:r>
          </w:p>
          <w:p>
            <w:pPr>
              <w:pStyle w:val="130"/>
              <w:ind w:firstLine="0"/>
              <w:rPr>
                <w:rFonts w:ascii="宋体" w:hAnsi="宋体"/>
                <w:color w:val="auto"/>
                <w:szCs w:val="24"/>
                <w:highlight w:val="none"/>
              </w:rPr>
            </w:pPr>
            <w:r>
              <w:rPr>
                <w:rFonts w:hint="eastAsia" w:ascii="宋体" w:hAnsi="宋体"/>
                <w:color w:val="auto"/>
                <w:szCs w:val="24"/>
                <w:highlight w:val="none"/>
              </w:rPr>
              <w:t>3、支持患者已发药信息的显示以及可退数量的录入。</w:t>
            </w:r>
          </w:p>
          <w:p>
            <w:pPr>
              <w:pStyle w:val="130"/>
              <w:ind w:firstLine="0"/>
              <w:rPr>
                <w:rFonts w:ascii="宋体" w:hAnsi="宋体"/>
                <w:b/>
                <w:color w:val="auto"/>
                <w:szCs w:val="24"/>
                <w:highlight w:val="none"/>
              </w:rPr>
            </w:pPr>
            <w:r>
              <w:rPr>
                <w:rFonts w:hint="eastAsia" w:ascii="宋体" w:hAnsi="宋体"/>
                <w:b/>
                <w:color w:val="auto"/>
                <w:szCs w:val="24"/>
                <w:highlight w:val="none"/>
              </w:rPr>
              <w:t>门急诊退药查询：</w:t>
            </w:r>
          </w:p>
          <w:p>
            <w:pPr>
              <w:pStyle w:val="130"/>
              <w:ind w:firstLine="0"/>
              <w:rPr>
                <w:rFonts w:ascii="宋体" w:hAnsi="宋体"/>
                <w:color w:val="auto"/>
                <w:szCs w:val="24"/>
                <w:highlight w:val="none"/>
              </w:rPr>
            </w:pPr>
            <w:r>
              <w:rPr>
                <w:rFonts w:hint="eastAsia" w:ascii="宋体" w:hAnsi="宋体"/>
                <w:color w:val="auto"/>
                <w:szCs w:val="24"/>
                <w:highlight w:val="none"/>
              </w:rPr>
              <w:t>1、支持用于对门急诊退药信息进行查询。</w:t>
            </w:r>
          </w:p>
          <w:p>
            <w:pPr>
              <w:pStyle w:val="130"/>
              <w:ind w:firstLine="0"/>
              <w:rPr>
                <w:rFonts w:ascii="宋体" w:hAnsi="宋体"/>
                <w:color w:val="auto"/>
                <w:szCs w:val="24"/>
                <w:highlight w:val="none"/>
              </w:rPr>
            </w:pPr>
            <w:r>
              <w:rPr>
                <w:rFonts w:hint="eastAsia" w:ascii="宋体" w:hAnsi="宋体"/>
                <w:color w:val="auto"/>
                <w:szCs w:val="24"/>
                <w:highlight w:val="none"/>
              </w:rPr>
              <w:t>2、支持根据缴费日期、开立日期、患者编码、患者姓名、处方号等进行查询。</w:t>
            </w:r>
          </w:p>
          <w:p>
            <w:pPr>
              <w:pStyle w:val="130"/>
              <w:ind w:firstLine="0"/>
              <w:rPr>
                <w:rFonts w:ascii="宋体" w:hAnsi="宋体"/>
                <w:color w:val="auto"/>
                <w:szCs w:val="24"/>
                <w:highlight w:val="none"/>
              </w:rPr>
            </w:pPr>
            <w:r>
              <w:rPr>
                <w:rFonts w:hint="eastAsia" w:ascii="宋体" w:hAnsi="宋体"/>
                <w:color w:val="auto"/>
                <w:szCs w:val="24"/>
                <w:highlight w:val="none"/>
              </w:rPr>
              <w:t>3、支持查询结果显示药品基本信息以及已发数量、已退数量。</w:t>
            </w:r>
          </w:p>
          <w:p>
            <w:pPr>
              <w:pStyle w:val="130"/>
              <w:ind w:firstLine="0"/>
              <w:rPr>
                <w:rFonts w:ascii="宋体" w:hAnsi="宋体"/>
                <w:b/>
                <w:color w:val="auto"/>
                <w:szCs w:val="24"/>
                <w:highlight w:val="none"/>
              </w:rPr>
            </w:pPr>
            <w:r>
              <w:rPr>
                <w:rFonts w:hint="eastAsia" w:ascii="宋体" w:hAnsi="宋体"/>
                <w:b/>
                <w:color w:val="auto"/>
                <w:szCs w:val="24"/>
                <w:highlight w:val="none"/>
              </w:rPr>
              <w:t>（3）报表统计</w:t>
            </w:r>
          </w:p>
          <w:p>
            <w:pPr>
              <w:pStyle w:val="130"/>
              <w:ind w:firstLine="0"/>
              <w:rPr>
                <w:rFonts w:ascii="宋体" w:hAnsi="宋体"/>
                <w:b/>
                <w:color w:val="auto"/>
                <w:szCs w:val="24"/>
                <w:highlight w:val="none"/>
              </w:rPr>
            </w:pPr>
            <w:r>
              <w:rPr>
                <w:rFonts w:hint="eastAsia" w:ascii="宋体" w:hAnsi="宋体"/>
                <w:b/>
                <w:color w:val="auto"/>
                <w:szCs w:val="24"/>
                <w:highlight w:val="none"/>
              </w:rPr>
              <w:t>门诊发药工作量统计：</w:t>
            </w:r>
          </w:p>
          <w:p>
            <w:pPr>
              <w:pStyle w:val="130"/>
              <w:ind w:firstLine="0"/>
              <w:rPr>
                <w:rFonts w:ascii="宋体" w:hAnsi="宋体"/>
                <w:color w:val="auto"/>
                <w:szCs w:val="24"/>
                <w:highlight w:val="none"/>
              </w:rPr>
            </w:pPr>
            <w:r>
              <w:rPr>
                <w:rFonts w:hint="eastAsia" w:ascii="宋体" w:hAnsi="宋体"/>
                <w:color w:val="auto"/>
                <w:szCs w:val="24"/>
                <w:highlight w:val="none"/>
              </w:rPr>
              <w:t>1、支持按药房、日期，统计门诊发药人发药处方量及金额。</w:t>
            </w:r>
          </w:p>
          <w:p>
            <w:pPr>
              <w:pStyle w:val="130"/>
              <w:ind w:firstLine="0"/>
              <w:rPr>
                <w:rFonts w:ascii="宋体" w:hAnsi="宋体"/>
                <w:color w:val="auto"/>
                <w:szCs w:val="24"/>
                <w:highlight w:val="none"/>
              </w:rPr>
            </w:pPr>
            <w:r>
              <w:rPr>
                <w:rFonts w:hint="eastAsia" w:ascii="宋体" w:hAnsi="宋体"/>
                <w:color w:val="auto"/>
                <w:szCs w:val="24"/>
                <w:highlight w:val="none"/>
              </w:rPr>
              <w:t>2、支持打印和导出。</w:t>
            </w:r>
          </w:p>
          <w:p>
            <w:pPr>
              <w:pStyle w:val="130"/>
              <w:ind w:firstLine="0"/>
              <w:rPr>
                <w:rFonts w:ascii="宋体" w:hAnsi="宋体"/>
                <w:b/>
                <w:color w:val="auto"/>
                <w:szCs w:val="24"/>
                <w:highlight w:val="none"/>
              </w:rPr>
            </w:pPr>
            <w:r>
              <w:rPr>
                <w:rFonts w:hint="eastAsia" w:ascii="宋体" w:hAnsi="宋体"/>
                <w:b/>
                <w:color w:val="auto"/>
                <w:szCs w:val="24"/>
                <w:highlight w:val="none"/>
              </w:rPr>
              <w:t>药房发药收费对比统计：</w:t>
            </w:r>
          </w:p>
          <w:p>
            <w:pPr>
              <w:pStyle w:val="130"/>
              <w:ind w:firstLine="0"/>
              <w:rPr>
                <w:rFonts w:ascii="宋体" w:hAnsi="宋体"/>
                <w:color w:val="auto"/>
                <w:szCs w:val="24"/>
                <w:highlight w:val="none"/>
              </w:rPr>
            </w:pPr>
            <w:r>
              <w:rPr>
                <w:rFonts w:hint="eastAsia" w:ascii="宋体" w:hAnsi="宋体"/>
                <w:color w:val="auto"/>
                <w:szCs w:val="24"/>
                <w:highlight w:val="none"/>
              </w:rPr>
              <w:t>1、支持按日期，统计各药房发药金额、收费金额，及差额等。</w:t>
            </w:r>
          </w:p>
          <w:p>
            <w:pPr>
              <w:pStyle w:val="130"/>
              <w:ind w:firstLine="0"/>
              <w:rPr>
                <w:rFonts w:ascii="宋体" w:hAnsi="宋体"/>
                <w:color w:val="auto"/>
                <w:szCs w:val="24"/>
                <w:highlight w:val="none"/>
              </w:rPr>
            </w:pPr>
            <w:r>
              <w:rPr>
                <w:rFonts w:hint="eastAsia" w:ascii="宋体" w:hAnsi="宋体"/>
                <w:color w:val="auto"/>
                <w:szCs w:val="24"/>
                <w:highlight w:val="none"/>
              </w:rPr>
              <w:t>2、支持打印和导出。</w:t>
            </w:r>
          </w:p>
          <w:p>
            <w:pPr>
              <w:pStyle w:val="130"/>
              <w:ind w:firstLine="0"/>
              <w:rPr>
                <w:rFonts w:ascii="宋体" w:hAnsi="宋体"/>
                <w:color w:val="auto"/>
                <w:szCs w:val="24"/>
                <w:highlight w:val="none"/>
              </w:rPr>
            </w:pPr>
            <w:r>
              <w:rPr>
                <w:rFonts w:hint="eastAsia" w:ascii="宋体" w:hAnsi="宋体"/>
                <w:b/>
                <w:color w:val="auto"/>
                <w:szCs w:val="24"/>
                <w:highlight w:val="none"/>
              </w:rPr>
              <w:t>门诊发药统计：</w:t>
            </w:r>
            <w:r>
              <w:rPr>
                <w:rFonts w:hint="eastAsia" w:ascii="宋体" w:hAnsi="宋体"/>
                <w:color w:val="auto"/>
                <w:szCs w:val="24"/>
                <w:highlight w:val="none"/>
              </w:rPr>
              <w:t>支持按药房、日期，统计此药房发药情况。</w:t>
            </w:r>
          </w:p>
          <w:p>
            <w:pPr>
              <w:pStyle w:val="130"/>
              <w:ind w:firstLine="0"/>
              <w:rPr>
                <w:rFonts w:ascii="宋体" w:hAnsi="宋体"/>
                <w:color w:val="auto"/>
                <w:szCs w:val="24"/>
                <w:highlight w:val="none"/>
              </w:rPr>
            </w:pPr>
            <w:r>
              <w:rPr>
                <w:rFonts w:hint="eastAsia" w:ascii="宋体" w:hAnsi="宋体"/>
                <w:b/>
                <w:color w:val="auto"/>
                <w:szCs w:val="24"/>
                <w:highlight w:val="none"/>
              </w:rPr>
              <w:t>药品月结单：</w:t>
            </w:r>
            <w:r>
              <w:rPr>
                <w:rFonts w:hint="eastAsia" w:ascii="宋体" w:hAnsi="宋体"/>
                <w:color w:val="auto"/>
                <w:szCs w:val="24"/>
                <w:highlight w:val="none"/>
              </w:rPr>
              <w:t>支持用于统计、打印药品月结单。</w:t>
            </w:r>
          </w:p>
          <w:p>
            <w:pPr>
              <w:pStyle w:val="130"/>
              <w:ind w:firstLine="0"/>
              <w:rPr>
                <w:rFonts w:ascii="宋体" w:hAnsi="宋体"/>
                <w:color w:val="auto"/>
                <w:szCs w:val="24"/>
                <w:highlight w:val="none"/>
              </w:rPr>
            </w:pPr>
            <w:r>
              <w:rPr>
                <w:rFonts w:hint="eastAsia" w:ascii="宋体" w:hAnsi="宋体"/>
                <w:b/>
                <w:color w:val="auto"/>
                <w:szCs w:val="24"/>
                <w:highlight w:val="none"/>
              </w:rPr>
              <w:t>门诊药品消耗统计：</w:t>
            </w:r>
            <w:r>
              <w:rPr>
                <w:rFonts w:hint="eastAsia" w:ascii="宋体" w:hAnsi="宋体"/>
                <w:color w:val="auto"/>
                <w:szCs w:val="24"/>
                <w:highlight w:val="none"/>
              </w:rPr>
              <w:t>支持用于统计、打印门诊药品消耗情况。</w:t>
            </w:r>
          </w:p>
          <w:p>
            <w:pPr>
              <w:pStyle w:val="130"/>
              <w:ind w:firstLine="0"/>
              <w:rPr>
                <w:rFonts w:ascii="宋体" w:hAnsi="宋体"/>
                <w:color w:val="auto"/>
                <w:szCs w:val="24"/>
                <w:highlight w:val="none"/>
              </w:rPr>
            </w:pPr>
            <w:r>
              <w:rPr>
                <w:rFonts w:hint="eastAsia" w:ascii="宋体" w:hAnsi="宋体"/>
                <w:b/>
                <w:color w:val="auto"/>
                <w:szCs w:val="24"/>
                <w:highlight w:val="none"/>
              </w:rPr>
              <w:t>抗菌药统计：</w:t>
            </w:r>
            <w:r>
              <w:rPr>
                <w:rFonts w:hint="eastAsia" w:ascii="宋体" w:hAnsi="宋体"/>
                <w:color w:val="auto"/>
                <w:szCs w:val="24"/>
                <w:highlight w:val="none"/>
              </w:rPr>
              <w:t>支持用于统计、打印抗菌药使用情况。</w:t>
            </w:r>
          </w:p>
          <w:p>
            <w:pPr>
              <w:pStyle w:val="130"/>
              <w:ind w:firstLine="0"/>
              <w:rPr>
                <w:rFonts w:ascii="宋体" w:hAnsi="宋体"/>
                <w:color w:val="auto"/>
                <w:szCs w:val="24"/>
                <w:highlight w:val="none"/>
              </w:rPr>
            </w:pPr>
            <w:r>
              <w:rPr>
                <w:rFonts w:hint="eastAsia" w:ascii="宋体" w:hAnsi="宋体"/>
                <w:b/>
                <w:color w:val="auto"/>
                <w:szCs w:val="24"/>
                <w:highlight w:val="none"/>
              </w:rPr>
              <w:t>预付费退药查询：</w:t>
            </w:r>
            <w:r>
              <w:rPr>
                <w:rFonts w:hint="eastAsia" w:ascii="宋体" w:hAnsi="宋体"/>
                <w:color w:val="auto"/>
                <w:szCs w:val="24"/>
                <w:highlight w:val="none"/>
              </w:rPr>
              <w:t>支持用于预付费的退药记录查询。</w:t>
            </w:r>
          </w:p>
          <w:p>
            <w:pPr>
              <w:pStyle w:val="130"/>
              <w:ind w:firstLine="0"/>
              <w:rPr>
                <w:rFonts w:ascii="宋体" w:hAnsi="宋体"/>
                <w:color w:val="auto"/>
                <w:szCs w:val="24"/>
                <w:highlight w:val="none"/>
              </w:rPr>
            </w:pPr>
            <w:r>
              <w:rPr>
                <w:rFonts w:hint="eastAsia" w:ascii="宋体" w:hAnsi="宋体"/>
                <w:b/>
                <w:color w:val="auto"/>
                <w:szCs w:val="24"/>
                <w:highlight w:val="none"/>
              </w:rPr>
              <w:t>智能药柜药品使用汇总：</w:t>
            </w:r>
            <w:r>
              <w:rPr>
                <w:rFonts w:hint="eastAsia" w:ascii="宋体" w:hAnsi="宋体"/>
                <w:color w:val="auto"/>
                <w:szCs w:val="24"/>
                <w:highlight w:val="none"/>
              </w:rPr>
              <w:t>支持用于智能药柜药品使用汇总。</w:t>
            </w:r>
          </w:p>
          <w:p>
            <w:pPr>
              <w:pStyle w:val="130"/>
              <w:ind w:firstLine="0"/>
              <w:rPr>
                <w:rFonts w:ascii="宋体" w:hAnsi="宋体"/>
                <w:color w:val="auto"/>
                <w:szCs w:val="24"/>
                <w:highlight w:val="none"/>
              </w:rPr>
            </w:pPr>
            <w:r>
              <w:rPr>
                <w:rFonts w:hint="eastAsia" w:ascii="宋体" w:hAnsi="宋体"/>
                <w:b/>
                <w:color w:val="auto"/>
                <w:szCs w:val="24"/>
                <w:highlight w:val="none"/>
              </w:rPr>
              <w:t>智能药柜药品使用记录：</w:t>
            </w:r>
            <w:r>
              <w:rPr>
                <w:rFonts w:hint="eastAsia" w:ascii="宋体" w:hAnsi="宋体"/>
                <w:color w:val="auto"/>
                <w:szCs w:val="24"/>
                <w:highlight w:val="none"/>
              </w:rPr>
              <w:t>支持用于智能药柜药品使用记录。</w:t>
            </w:r>
          </w:p>
          <w:p>
            <w:pPr>
              <w:pStyle w:val="130"/>
              <w:ind w:firstLine="0"/>
              <w:rPr>
                <w:rFonts w:ascii="宋体" w:hAnsi="宋体"/>
                <w:color w:val="auto"/>
                <w:szCs w:val="24"/>
                <w:highlight w:val="none"/>
              </w:rPr>
            </w:pPr>
            <w:r>
              <w:rPr>
                <w:rFonts w:hint="eastAsia" w:ascii="宋体" w:hAnsi="宋体"/>
                <w:b/>
                <w:color w:val="auto"/>
                <w:szCs w:val="24"/>
                <w:highlight w:val="none"/>
              </w:rPr>
              <w:t>药房发药统计：</w:t>
            </w:r>
            <w:r>
              <w:rPr>
                <w:rFonts w:hint="eastAsia" w:ascii="宋体" w:hAnsi="宋体"/>
                <w:color w:val="auto"/>
                <w:szCs w:val="24"/>
                <w:highlight w:val="none"/>
              </w:rPr>
              <w:t>支持用于统计各药房发药情况。</w:t>
            </w:r>
          </w:p>
          <w:p>
            <w:pPr>
              <w:pStyle w:val="130"/>
              <w:ind w:firstLine="0"/>
              <w:rPr>
                <w:rFonts w:ascii="宋体" w:hAnsi="宋体"/>
                <w:color w:val="auto"/>
                <w:szCs w:val="24"/>
                <w:highlight w:val="none"/>
              </w:rPr>
            </w:pPr>
            <w:r>
              <w:rPr>
                <w:rFonts w:hint="eastAsia" w:ascii="宋体" w:hAnsi="宋体"/>
                <w:b/>
                <w:color w:val="auto"/>
                <w:szCs w:val="24"/>
                <w:highlight w:val="none"/>
              </w:rPr>
              <w:t>药品调价查询：</w:t>
            </w:r>
            <w:r>
              <w:rPr>
                <w:rFonts w:hint="eastAsia" w:ascii="宋体" w:hAnsi="宋体"/>
                <w:color w:val="auto"/>
                <w:szCs w:val="24"/>
                <w:highlight w:val="none"/>
              </w:rPr>
              <w:t>支持用于药品调价查询。</w:t>
            </w:r>
          </w:p>
          <w:p>
            <w:pPr>
              <w:pStyle w:val="130"/>
              <w:ind w:firstLine="0"/>
              <w:rPr>
                <w:rFonts w:ascii="宋体" w:hAnsi="宋体"/>
                <w:color w:val="auto"/>
                <w:szCs w:val="24"/>
                <w:highlight w:val="none"/>
              </w:rPr>
            </w:pPr>
            <w:r>
              <w:rPr>
                <w:rFonts w:hint="eastAsia" w:ascii="宋体" w:hAnsi="宋体"/>
                <w:b/>
                <w:color w:val="auto"/>
                <w:szCs w:val="24"/>
                <w:highlight w:val="none"/>
              </w:rPr>
              <w:t>药品账页开放情况统计：</w:t>
            </w:r>
            <w:r>
              <w:rPr>
                <w:rFonts w:hint="eastAsia" w:ascii="宋体" w:hAnsi="宋体"/>
                <w:color w:val="auto"/>
                <w:szCs w:val="24"/>
                <w:highlight w:val="none"/>
              </w:rPr>
              <w:t>支持针对指定药房，统计药品账页开放情况。</w:t>
            </w:r>
          </w:p>
          <w:p>
            <w:pPr>
              <w:pStyle w:val="130"/>
              <w:ind w:firstLine="0"/>
              <w:rPr>
                <w:rFonts w:ascii="宋体" w:hAnsi="宋体"/>
                <w:b/>
                <w:color w:val="auto"/>
                <w:szCs w:val="24"/>
                <w:highlight w:val="none"/>
              </w:rPr>
            </w:pPr>
            <w:r>
              <w:rPr>
                <w:rFonts w:hint="eastAsia" w:ascii="宋体" w:hAnsi="宋体"/>
                <w:b/>
                <w:color w:val="auto"/>
                <w:szCs w:val="24"/>
                <w:highlight w:val="none"/>
              </w:rPr>
              <w:t>门诊发药明细查询：</w:t>
            </w:r>
          </w:p>
          <w:p>
            <w:pPr>
              <w:pStyle w:val="130"/>
              <w:ind w:firstLine="0"/>
              <w:rPr>
                <w:rFonts w:ascii="宋体" w:hAnsi="宋体"/>
                <w:color w:val="auto"/>
                <w:szCs w:val="24"/>
                <w:highlight w:val="none"/>
              </w:rPr>
            </w:pPr>
            <w:r>
              <w:rPr>
                <w:rFonts w:hint="eastAsia" w:ascii="宋体" w:hAnsi="宋体"/>
                <w:color w:val="auto"/>
                <w:szCs w:val="24"/>
                <w:highlight w:val="none"/>
              </w:rPr>
              <w:t>1、支持门诊发药明细打印和导出。</w:t>
            </w:r>
          </w:p>
          <w:p>
            <w:pPr>
              <w:pStyle w:val="130"/>
              <w:ind w:firstLine="0"/>
              <w:rPr>
                <w:rFonts w:ascii="宋体" w:hAnsi="宋体"/>
                <w:color w:val="auto"/>
                <w:szCs w:val="24"/>
                <w:highlight w:val="none"/>
              </w:rPr>
            </w:pPr>
            <w:r>
              <w:rPr>
                <w:rFonts w:hint="eastAsia" w:ascii="宋体" w:hAnsi="宋体"/>
                <w:color w:val="auto"/>
                <w:szCs w:val="24"/>
                <w:highlight w:val="none"/>
              </w:rPr>
              <w:t>2、支持按照日期、发药区分、药品、发药人、患者、开立科室、药品类型、药品分类等维护，查询门诊发药明细。</w:t>
            </w:r>
          </w:p>
          <w:p>
            <w:pPr>
              <w:pStyle w:val="130"/>
              <w:ind w:firstLine="0"/>
              <w:rPr>
                <w:rFonts w:ascii="宋体" w:hAnsi="宋体"/>
                <w:b/>
                <w:color w:val="auto"/>
                <w:szCs w:val="24"/>
                <w:highlight w:val="none"/>
              </w:rPr>
            </w:pPr>
            <w:r>
              <w:rPr>
                <w:rFonts w:hint="eastAsia" w:ascii="宋体" w:hAnsi="宋体"/>
                <w:b/>
                <w:color w:val="auto"/>
                <w:szCs w:val="24"/>
                <w:highlight w:val="none"/>
              </w:rPr>
              <w:t>门诊药房工作量统计：</w:t>
            </w:r>
          </w:p>
          <w:p>
            <w:pPr>
              <w:pStyle w:val="130"/>
              <w:ind w:firstLine="0"/>
              <w:rPr>
                <w:rFonts w:ascii="宋体" w:hAnsi="宋体"/>
                <w:color w:val="auto"/>
                <w:szCs w:val="24"/>
                <w:highlight w:val="none"/>
              </w:rPr>
            </w:pPr>
            <w:r>
              <w:rPr>
                <w:rFonts w:hint="eastAsia" w:ascii="宋体" w:hAnsi="宋体"/>
                <w:color w:val="auto"/>
                <w:szCs w:val="24"/>
                <w:highlight w:val="none"/>
              </w:rPr>
              <w:t>1、支持门诊药房工作量打印和导出。</w:t>
            </w:r>
          </w:p>
          <w:p>
            <w:pPr>
              <w:pStyle w:val="201"/>
              <w:spacing w:line="360" w:lineRule="auto"/>
              <w:ind w:left="0"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2、支持按照日期、统计当前药房，每个药师摆药处方数，药品种类数，发药处方数，药品种类，金额等信息。</w:t>
            </w:r>
          </w:p>
        </w:tc>
      </w:tr>
    </w:tbl>
    <w:p>
      <w:pPr>
        <w:pStyle w:val="7"/>
        <w:numPr>
          <w:ilvl w:val="4"/>
          <w:numId w:val="8"/>
        </w:numPr>
        <w:rPr>
          <w:rFonts w:ascii="宋体" w:hAnsi="宋体"/>
          <w:color w:val="auto"/>
          <w:szCs w:val="24"/>
          <w:highlight w:val="none"/>
        </w:rPr>
      </w:pPr>
      <w:bookmarkStart w:id="637" w:name="_Toc24278"/>
      <w:r>
        <w:rPr>
          <w:rFonts w:hint="eastAsia" w:ascii="宋体" w:hAnsi="宋体"/>
          <w:color w:val="auto"/>
          <w:szCs w:val="24"/>
          <w:highlight w:val="none"/>
        </w:rPr>
        <w:t>住院药房管理系统</w:t>
      </w:r>
      <w:bookmarkEnd w:id="637"/>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住院药房管理系统需满足以下功能：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trPr>
        <w:tc>
          <w:tcPr>
            <w:tcW w:w="1980"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7087"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住院药房管理</w:t>
            </w:r>
          </w:p>
        </w:tc>
        <w:tc>
          <w:tcPr>
            <w:tcW w:w="7087" w:type="dxa"/>
          </w:tcPr>
          <w:p>
            <w:pPr>
              <w:pStyle w:val="130"/>
              <w:ind w:firstLine="0"/>
              <w:rPr>
                <w:rFonts w:ascii="宋体" w:hAnsi="宋体"/>
                <w:b/>
                <w:color w:val="auto"/>
                <w:szCs w:val="24"/>
                <w:highlight w:val="none"/>
              </w:rPr>
            </w:pPr>
            <w:r>
              <w:rPr>
                <w:rFonts w:hint="eastAsia" w:ascii="宋体" w:hAnsi="宋体"/>
                <w:b/>
                <w:color w:val="auto"/>
                <w:szCs w:val="24"/>
                <w:highlight w:val="none"/>
              </w:rPr>
              <w:t>（1）系统设置</w:t>
            </w:r>
          </w:p>
          <w:p>
            <w:pPr>
              <w:pStyle w:val="130"/>
              <w:ind w:firstLine="0"/>
              <w:rPr>
                <w:rFonts w:ascii="宋体" w:hAnsi="宋体"/>
                <w:b/>
                <w:color w:val="auto"/>
                <w:szCs w:val="24"/>
                <w:highlight w:val="none"/>
              </w:rPr>
            </w:pPr>
            <w:r>
              <w:rPr>
                <w:rFonts w:hint="eastAsia" w:ascii="宋体" w:hAnsi="宋体"/>
                <w:b/>
                <w:color w:val="auto"/>
                <w:szCs w:val="24"/>
                <w:highlight w:val="none"/>
              </w:rPr>
              <w:t>药单类型维护：</w:t>
            </w:r>
          </w:p>
          <w:p>
            <w:pPr>
              <w:pStyle w:val="130"/>
              <w:ind w:firstLine="0"/>
              <w:rPr>
                <w:rFonts w:ascii="宋体" w:hAnsi="宋体"/>
                <w:color w:val="auto"/>
                <w:szCs w:val="24"/>
                <w:highlight w:val="none"/>
              </w:rPr>
            </w:pPr>
            <w:r>
              <w:rPr>
                <w:rFonts w:hint="eastAsia" w:ascii="宋体" w:hAnsi="宋体"/>
                <w:color w:val="auto"/>
                <w:szCs w:val="24"/>
                <w:highlight w:val="none"/>
              </w:rPr>
              <w:t>1、支持对药单的新增、编辑、删除操作。</w:t>
            </w:r>
          </w:p>
          <w:p>
            <w:pPr>
              <w:pStyle w:val="130"/>
              <w:ind w:firstLine="0"/>
              <w:rPr>
                <w:rFonts w:ascii="宋体" w:hAnsi="宋体"/>
                <w:color w:val="auto"/>
                <w:szCs w:val="24"/>
                <w:highlight w:val="none"/>
              </w:rPr>
            </w:pPr>
            <w:r>
              <w:rPr>
                <w:rFonts w:hint="eastAsia" w:ascii="宋体" w:hAnsi="宋体"/>
                <w:color w:val="auto"/>
                <w:szCs w:val="24"/>
                <w:highlight w:val="none"/>
              </w:rPr>
              <w:t>2、支持药单中定义药单类型、摆药药房、摆药周期信息。</w:t>
            </w:r>
          </w:p>
          <w:p>
            <w:pPr>
              <w:pStyle w:val="130"/>
              <w:ind w:firstLine="0"/>
              <w:rPr>
                <w:rFonts w:ascii="宋体" w:hAnsi="宋体"/>
                <w:color w:val="auto"/>
                <w:szCs w:val="24"/>
                <w:highlight w:val="none"/>
              </w:rPr>
            </w:pPr>
            <w:r>
              <w:rPr>
                <w:rFonts w:hint="eastAsia" w:ascii="宋体" w:hAnsi="宋体"/>
                <w:color w:val="auto"/>
                <w:szCs w:val="24"/>
                <w:highlight w:val="none"/>
              </w:rPr>
              <w:t>药单匹配规则：</w:t>
            </w:r>
          </w:p>
          <w:p>
            <w:pPr>
              <w:pStyle w:val="130"/>
              <w:ind w:firstLine="0"/>
              <w:rPr>
                <w:rFonts w:ascii="宋体" w:hAnsi="宋体"/>
                <w:color w:val="auto"/>
                <w:szCs w:val="24"/>
                <w:highlight w:val="none"/>
              </w:rPr>
            </w:pPr>
            <w:r>
              <w:rPr>
                <w:rFonts w:hint="eastAsia" w:ascii="宋体" w:hAnsi="宋体"/>
                <w:color w:val="auto"/>
                <w:szCs w:val="24"/>
                <w:highlight w:val="none"/>
              </w:rPr>
              <w:t>1、支持药品配置规则维护。</w:t>
            </w:r>
          </w:p>
          <w:p>
            <w:pPr>
              <w:pStyle w:val="130"/>
              <w:ind w:firstLine="0"/>
              <w:rPr>
                <w:rFonts w:ascii="宋体" w:hAnsi="宋体"/>
                <w:color w:val="auto"/>
                <w:szCs w:val="24"/>
                <w:highlight w:val="none"/>
              </w:rPr>
            </w:pPr>
            <w:r>
              <w:rPr>
                <w:rFonts w:hint="eastAsia" w:ascii="宋体" w:hAnsi="宋体"/>
                <w:color w:val="auto"/>
                <w:szCs w:val="24"/>
                <w:highlight w:val="none"/>
              </w:rPr>
              <w:t>2、支持按照药单类型，配置使用该药单的条件，条件包括医疗服务、医疗服务类型、是否毒麻、是否自备药、是否出院带药、就诊类型、仓库、物品分类、用法、频次、长临、是否退药、执行科室等。</w:t>
            </w:r>
          </w:p>
          <w:p>
            <w:pPr>
              <w:pStyle w:val="130"/>
              <w:ind w:firstLine="0"/>
              <w:rPr>
                <w:rFonts w:ascii="宋体" w:hAnsi="宋体"/>
                <w:color w:val="auto"/>
                <w:szCs w:val="24"/>
                <w:highlight w:val="none"/>
              </w:rPr>
            </w:pPr>
            <w:r>
              <w:rPr>
                <w:rFonts w:hint="eastAsia" w:ascii="宋体" w:hAnsi="宋体"/>
                <w:b/>
                <w:color w:val="auto"/>
                <w:szCs w:val="24"/>
                <w:highlight w:val="none"/>
              </w:rPr>
              <w:t>药单打印配置：</w:t>
            </w:r>
            <w:r>
              <w:rPr>
                <w:rFonts w:hint="eastAsia" w:ascii="宋体" w:hAnsi="宋体"/>
                <w:color w:val="auto"/>
                <w:szCs w:val="24"/>
                <w:highlight w:val="none"/>
              </w:rPr>
              <w:t>支持按照药单使用场景，配置打印使用的模板，支持配置自动打印。</w:t>
            </w:r>
          </w:p>
          <w:p>
            <w:pPr>
              <w:pStyle w:val="130"/>
              <w:ind w:firstLine="0"/>
              <w:rPr>
                <w:rFonts w:ascii="宋体" w:hAnsi="宋体"/>
                <w:color w:val="auto"/>
                <w:szCs w:val="24"/>
                <w:highlight w:val="none"/>
              </w:rPr>
            </w:pPr>
            <w:r>
              <w:rPr>
                <w:rFonts w:hint="eastAsia" w:ascii="宋体" w:hAnsi="宋体"/>
                <w:b/>
                <w:color w:val="auto"/>
                <w:szCs w:val="24"/>
                <w:highlight w:val="none"/>
              </w:rPr>
              <w:t>药单打印模板管理：</w:t>
            </w:r>
            <w:r>
              <w:rPr>
                <w:rFonts w:hint="eastAsia" w:ascii="宋体" w:hAnsi="宋体"/>
                <w:color w:val="auto"/>
                <w:szCs w:val="24"/>
                <w:highlight w:val="none"/>
              </w:rPr>
              <w:t>支持配置打印模板名称，模板路径，适用的药单等信息。</w:t>
            </w:r>
          </w:p>
          <w:p>
            <w:pPr>
              <w:pStyle w:val="130"/>
              <w:ind w:firstLine="0"/>
              <w:rPr>
                <w:rFonts w:ascii="宋体" w:hAnsi="宋体"/>
                <w:b/>
                <w:color w:val="auto"/>
                <w:szCs w:val="24"/>
                <w:highlight w:val="none"/>
              </w:rPr>
            </w:pPr>
            <w:r>
              <w:rPr>
                <w:rFonts w:hint="eastAsia" w:ascii="宋体" w:hAnsi="宋体"/>
                <w:b/>
                <w:color w:val="auto"/>
                <w:szCs w:val="24"/>
                <w:highlight w:val="none"/>
              </w:rPr>
              <w:t>（2）住院发药</w:t>
            </w:r>
          </w:p>
          <w:p>
            <w:pPr>
              <w:pStyle w:val="130"/>
              <w:ind w:firstLine="0"/>
              <w:rPr>
                <w:rFonts w:ascii="宋体" w:hAnsi="宋体"/>
                <w:b/>
                <w:color w:val="auto"/>
                <w:szCs w:val="24"/>
                <w:highlight w:val="none"/>
              </w:rPr>
            </w:pPr>
            <w:r>
              <w:rPr>
                <w:rFonts w:hint="eastAsia" w:ascii="宋体" w:hAnsi="宋体"/>
                <w:b/>
                <w:color w:val="auto"/>
                <w:szCs w:val="24"/>
                <w:highlight w:val="none"/>
              </w:rPr>
              <w:t>病区统领单西成药摆药：</w:t>
            </w:r>
          </w:p>
          <w:p>
            <w:pPr>
              <w:pStyle w:val="130"/>
              <w:ind w:firstLine="0"/>
              <w:rPr>
                <w:rFonts w:ascii="宋体" w:hAnsi="宋体"/>
                <w:color w:val="auto"/>
                <w:szCs w:val="24"/>
                <w:highlight w:val="none"/>
              </w:rPr>
            </w:pPr>
            <w:r>
              <w:rPr>
                <w:rFonts w:hint="eastAsia" w:ascii="宋体" w:hAnsi="宋体"/>
                <w:color w:val="auto"/>
                <w:szCs w:val="24"/>
                <w:highlight w:val="none"/>
              </w:rPr>
              <w:t>1、支持系统发送请领药单后，根据病区、药单类型、请领单号、开始日期、结束日期进行摆药查询。</w:t>
            </w:r>
          </w:p>
          <w:p>
            <w:pPr>
              <w:pStyle w:val="130"/>
              <w:ind w:firstLine="0"/>
              <w:rPr>
                <w:rFonts w:ascii="宋体" w:hAnsi="宋体"/>
                <w:color w:val="auto"/>
                <w:szCs w:val="24"/>
                <w:highlight w:val="none"/>
              </w:rPr>
            </w:pPr>
            <w:r>
              <w:rPr>
                <w:rFonts w:hint="eastAsia" w:ascii="宋体" w:hAnsi="宋体"/>
                <w:color w:val="auto"/>
                <w:szCs w:val="24"/>
                <w:highlight w:val="none"/>
              </w:rPr>
              <w:t>2、支持用于完成西成药的发药操作。</w:t>
            </w:r>
          </w:p>
          <w:p>
            <w:pPr>
              <w:pStyle w:val="130"/>
              <w:ind w:firstLine="0"/>
              <w:rPr>
                <w:rFonts w:ascii="宋体" w:hAnsi="宋体"/>
                <w:b/>
                <w:color w:val="auto"/>
                <w:szCs w:val="24"/>
                <w:highlight w:val="none"/>
              </w:rPr>
            </w:pPr>
            <w:r>
              <w:rPr>
                <w:rFonts w:hint="eastAsia" w:ascii="宋体" w:hAnsi="宋体"/>
                <w:b/>
                <w:color w:val="auto"/>
                <w:szCs w:val="24"/>
                <w:highlight w:val="none"/>
              </w:rPr>
              <w:t>病区统领单草药摆药：</w:t>
            </w:r>
          </w:p>
          <w:p>
            <w:pPr>
              <w:pStyle w:val="130"/>
              <w:ind w:firstLine="0"/>
              <w:rPr>
                <w:rFonts w:ascii="宋体" w:hAnsi="宋体"/>
                <w:color w:val="auto"/>
                <w:szCs w:val="24"/>
                <w:highlight w:val="none"/>
              </w:rPr>
            </w:pPr>
            <w:r>
              <w:rPr>
                <w:rFonts w:hint="eastAsia" w:ascii="宋体" w:hAnsi="宋体"/>
                <w:color w:val="auto"/>
                <w:szCs w:val="24"/>
                <w:highlight w:val="none"/>
              </w:rPr>
              <w:t>1、支持系统发送请领药单后，根据请领病区、药单类型、请领单号、开始日期、结束日期进行摆药查询。</w:t>
            </w:r>
          </w:p>
          <w:p>
            <w:pPr>
              <w:pStyle w:val="130"/>
              <w:ind w:firstLine="0"/>
              <w:rPr>
                <w:rFonts w:ascii="宋体" w:hAnsi="宋体"/>
                <w:color w:val="auto"/>
                <w:szCs w:val="24"/>
                <w:highlight w:val="none"/>
              </w:rPr>
            </w:pPr>
            <w:r>
              <w:rPr>
                <w:rFonts w:hint="eastAsia" w:ascii="宋体" w:hAnsi="宋体"/>
                <w:color w:val="auto"/>
                <w:szCs w:val="24"/>
                <w:highlight w:val="none"/>
              </w:rPr>
              <w:t>2、支持用于对草药信息进行审核和发药。</w:t>
            </w:r>
          </w:p>
          <w:p>
            <w:pPr>
              <w:pStyle w:val="130"/>
              <w:ind w:firstLine="0"/>
              <w:rPr>
                <w:rFonts w:ascii="宋体" w:hAnsi="宋体"/>
                <w:b/>
                <w:color w:val="auto"/>
                <w:szCs w:val="24"/>
                <w:highlight w:val="none"/>
              </w:rPr>
            </w:pPr>
            <w:r>
              <w:rPr>
                <w:rFonts w:hint="eastAsia" w:ascii="宋体" w:hAnsi="宋体"/>
                <w:b/>
                <w:color w:val="auto"/>
                <w:szCs w:val="24"/>
                <w:highlight w:val="none"/>
              </w:rPr>
              <w:t>医技统领单西药、中成药批量摆药</w:t>
            </w:r>
            <w:r>
              <w:rPr>
                <w:rFonts w:hint="eastAsia" w:ascii="宋体" w:hAnsi="宋体"/>
                <w:b/>
                <w:color w:val="auto"/>
                <w:szCs w:val="24"/>
                <w:highlight w:val="none"/>
              </w:rPr>
              <w:tab/>
            </w:r>
            <w:r>
              <w:rPr>
                <w:rFonts w:hint="eastAsia" w:ascii="宋体" w:hAnsi="宋体"/>
                <w:b/>
                <w:color w:val="auto"/>
                <w:szCs w:val="24"/>
                <w:highlight w:val="none"/>
              </w:rPr>
              <w:t>：</w:t>
            </w:r>
          </w:p>
          <w:p>
            <w:pPr>
              <w:pStyle w:val="130"/>
              <w:ind w:firstLine="0"/>
              <w:rPr>
                <w:rFonts w:ascii="宋体" w:hAnsi="宋体"/>
                <w:color w:val="auto"/>
                <w:szCs w:val="24"/>
                <w:highlight w:val="none"/>
              </w:rPr>
            </w:pPr>
            <w:r>
              <w:rPr>
                <w:rFonts w:hint="eastAsia" w:ascii="宋体" w:hAnsi="宋体"/>
                <w:color w:val="auto"/>
                <w:szCs w:val="24"/>
                <w:highlight w:val="none"/>
              </w:rPr>
              <w:t>1、支持用于完成医技医生站开立药品的发药操作。</w:t>
            </w:r>
          </w:p>
          <w:p>
            <w:pPr>
              <w:pStyle w:val="130"/>
              <w:ind w:firstLine="0"/>
              <w:rPr>
                <w:rFonts w:ascii="宋体" w:hAnsi="宋体"/>
                <w:color w:val="auto"/>
                <w:szCs w:val="24"/>
                <w:highlight w:val="none"/>
              </w:rPr>
            </w:pPr>
            <w:r>
              <w:rPr>
                <w:rFonts w:hint="eastAsia" w:ascii="宋体" w:hAnsi="宋体"/>
                <w:color w:val="auto"/>
                <w:szCs w:val="24"/>
                <w:highlight w:val="none"/>
              </w:rPr>
              <w:t>2、支持系统生成请领药单后，根据请领科室、药单类型、处方类型、请领单号、开始日期、结束日期筛选，进行摆药。</w:t>
            </w:r>
          </w:p>
          <w:p>
            <w:pPr>
              <w:pStyle w:val="130"/>
              <w:ind w:firstLine="0"/>
              <w:rPr>
                <w:rFonts w:ascii="宋体" w:hAnsi="宋体"/>
                <w:color w:val="auto"/>
                <w:szCs w:val="24"/>
                <w:highlight w:val="none"/>
              </w:rPr>
            </w:pPr>
            <w:r>
              <w:rPr>
                <w:rFonts w:hint="eastAsia" w:ascii="宋体" w:hAnsi="宋体"/>
                <w:color w:val="auto"/>
                <w:szCs w:val="24"/>
                <w:highlight w:val="none"/>
              </w:rPr>
              <w:t>3、支持一个请领单对应着三个页签，包括医嘱信息、药品总汇、药品明细。</w:t>
            </w:r>
          </w:p>
          <w:p>
            <w:pPr>
              <w:pStyle w:val="130"/>
              <w:ind w:firstLine="0"/>
              <w:rPr>
                <w:rFonts w:ascii="宋体" w:hAnsi="宋体"/>
                <w:b/>
                <w:color w:val="auto"/>
                <w:szCs w:val="24"/>
                <w:highlight w:val="none"/>
              </w:rPr>
            </w:pPr>
            <w:r>
              <w:rPr>
                <w:rFonts w:hint="eastAsia" w:ascii="宋体" w:hAnsi="宋体"/>
                <w:b/>
                <w:color w:val="auto"/>
                <w:szCs w:val="24"/>
                <w:highlight w:val="none"/>
              </w:rPr>
              <w:t>住院药品配送：</w:t>
            </w:r>
          </w:p>
          <w:p>
            <w:pPr>
              <w:pStyle w:val="130"/>
              <w:ind w:firstLine="0"/>
              <w:rPr>
                <w:rFonts w:ascii="宋体" w:hAnsi="宋体"/>
                <w:color w:val="auto"/>
                <w:szCs w:val="24"/>
                <w:highlight w:val="none"/>
              </w:rPr>
            </w:pPr>
            <w:r>
              <w:rPr>
                <w:rFonts w:hint="eastAsia" w:ascii="宋体" w:hAnsi="宋体"/>
                <w:color w:val="auto"/>
                <w:szCs w:val="24"/>
                <w:highlight w:val="none"/>
              </w:rPr>
              <w:t>1、支持住院药房发药，打包，配送到住院病区。</w:t>
            </w:r>
          </w:p>
          <w:p>
            <w:pPr>
              <w:pStyle w:val="130"/>
              <w:ind w:firstLine="0"/>
              <w:rPr>
                <w:rFonts w:ascii="宋体" w:hAnsi="宋体"/>
                <w:color w:val="auto"/>
                <w:szCs w:val="24"/>
                <w:highlight w:val="none"/>
              </w:rPr>
            </w:pPr>
            <w:r>
              <w:rPr>
                <w:rFonts w:hint="eastAsia" w:ascii="宋体" w:hAnsi="宋体"/>
                <w:color w:val="auto"/>
                <w:szCs w:val="24"/>
                <w:highlight w:val="none"/>
              </w:rPr>
              <w:t>2、支持药房发送、病区接收闭环管理。</w:t>
            </w:r>
          </w:p>
          <w:p>
            <w:pPr>
              <w:pStyle w:val="130"/>
              <w:ind w:firstLine="0"/>
              <w:rPr>
                <w:rFonts w:ascii="宋体" w:hAnsi="宋体"/>
                <w:b/>
                <w:color w:val="auto"/>
                <w:szCs w:val="24"/>
                <w:highlight w:val="none"/>
              </w:rPr>
            </w:pPr>
            <w:r>
              <w:rPr>
                <w:rFonts w:hint="eastAsia" w:ascii="宋体" w:hAnsi="宋体"/>
                <w:b/>
                <w:color w:val="auto"/>
                <w:szCs w:val="24"/>
                <w:highlight w:val="none"/>
              </w:rPr>
              <w:t>住院摆药查询：</w:t>
            </w:r>
          </w:p>
          <w:p>
            <w:pPr>
              <w:pStyle w:val="130"/>
              <w:ind w:firstLine="0"/>
              <w:rPr>
                <w:rFonts w:ascii="宋体" w:hAnsi="宋体"/>
                <w:color w:val="auto"/>
                <w:szCs w:val="24"/>
                <w:highlight w:val="none"/>
              </w:rPr>
            </w:pPr>
            <w:r>
              <w:rPr>
                <w:rFonts w:hint="eastAsia" w:ascii="宋体" w:hAnsi="宋体"/>
                <w:color w:val="auto"/>
                <w:szCs w:val="24"/>
                <w:highlight w:val="none"/>
              </w:rPr>
              <w:t>1、支持用于查询已经发药的药品信息。</w:t>
            </w:r>
          </w:p>
          <w:p>
            <w:pPr>
              <w:pStyle w:val="130"/>
              <w:ind w:firstLine="0"/>
              <w:rPr>
                <w:rFonts w:ascii="宋体" w:hAnsi="宋体"/>
                <w:color w:val="auto"/>
                <w:szCs w:val="24"/>
                <w:highlight w:val="none"/>
              </w:rPr>
            </w:pPr>
            <w:r>
              <w:rPr>
                <w:rFonts w:hint="eastAsia" w:ascii="宋体" w:hAnsi="宋体"/>
                <w:color w:val="auto"/>
                <w:szCs w:val="24"/>
                <w:highlight w:val="none"/>
              </w:rPr>
              <w:t>2、支持根据摆药病区、患者、药单类型、摆药单号对住院摆药信息进行筛选。</w:t>
            </w:r>
          </w:p>
          <w:p>
            <w:pPr>
              <w:pStyle w:val="130"/>
              <w:ind w:firstLine="0"/>
              <w:rPr>
                <w:rFonts w:ascii="宋体" w:hAnsi="宋体"/>
                <w:color w:val="auto"/>
                <w:szCs w:val="24"/>
                <w:highlight w:val="none"/>
              </w:rPr>
            </w:pPr>
            <w:r>
              <w:rPr>
                <w:rFonts w:hint="eastAsia" w:ascii="宋体" w:hAnsi="宋体"/>
                <w:color w:val="auto"/>
                <w:szCs w:val="24"/>
                <w:highlight w:val="none"/>
              </w:rPr>
              <w:t>3、支持查询出的摆药信息以列表的形式在药单列表进行显示。</w:t>
            </w:r>
          </w:p>
          <w:p>
            <w:pPr>
              <w:pStyle w:val="130"/>
              <w:ind w:firstLine="0"/>
              <w:rPr>
                <w:rFonts w:ascii="宋体" w:hAnsi="宋体"/>
                <w:b/>
                <w:color w:val="auto"/>
                <w:szCs w:val="24"/>
                <w:highlight w:val="none"/>
              </w:rPr>
            </w:pPr>
            <w:r>
              <w:rPr>
                <w:rFonts w:hint="eastAsia" w:ascii="宋体" w:hAnsi="宋体"/>
                <w:b/>
                <w:color w:val="auto"/>
                <w:szCs w:val="24"/>
                <w:highlight w:val="none"/>
              </w:rPr>
              <w:t>（3）报表统计</w:t>
            </w:r>
          </w:p>
          <w:p>
            <w:pPr>
              <w:pStyle w:val="130"/>
              <w:ind w:firstLine="0"/>
              <w:rPr>
                <w:rFonts w:ascii="宋体" w:hAnsi="宋体"/>
                <w:color w:val="auto"/>
                <w:szCs w:val="24"/>
                <w:highlight w:val="none"/>
              </w:rPr>
            </w:pPr>
            <w:r>
              <w:rPr>
                <w:rFonts w:hint="eastAsia" w:ascii="宋体" w:hAnsi="宋体"/>
                <w:b/>
                <w:color w:val="auto"/>
                <w:szCs w:val="24"/>
                <w:highlight w:val="none"/>
              </w:rPr>
              <w:t>住院发药明细查询：</w:t>
            </w:r>
            <w:r>
              <w:rPr>
                <w:rFonts w:hint="eastAsia" w:ascii="宋体" w:hAnsi="宋体"/>
                <w:color w:val="auto"/>
                <w:szCs w:val="24"/>
                <w:highlight w:val="none"/>
              </w:rPr>
              <w:t>支持用于住院发药明细查询。</w:t>
            </w:r>
          </w:p>
          <w:p>
            <w:pPr>
              <w:pStyle w:val="130"/>
              <w:ind w:firstLine="0"/>
              <w:rPr>
                <w:rFonts w:ascii="宋体" w:hAnsi="宋体"/>
                <w:color w:val="auto"/>
                <w:szCs w:val="24"/>
                <w:highlight w:val="none"/>
              </w:rPr>
            </w:pPr>
            <w:r>
              <w:rPr>
                <w:rFonts w:hint="eastAsia" w:ascii="宋体" w:hAnsi="宋体"/>
                <w:b/>
                <w:color w:val="auto"/>
                <w:szCs w:val="24"/>
                <w:highlight w:val="none"/>
              </w:rPr>
              <w:t>大输液使用查询：</w:t>
            </w:r>
            <w:r>
              <w:rPr>
                <w:rFonts w:hint="eastAsia" w:ascii="宋体" w:hAnsi="宋体"/>
                <w:color w:val="auto"/>
                <w:szCs w:val="24"/>
                <w:highlight w:val="none"/>
              </w:rPr>
              <w:t>支持用于大输液使用查询。</w:t>
            </w:r>
          </w:p>
          <w:p>
            <w:pPr>
              <w:pStyle w:val="130"/>
              <w:ind w:firstLine="0"/>
              <w:rPr>
                <w:rFonts w:ascii="宋体" w:hAnsi="宋体"/>
                <w:color w:val="auto"/>
                <w:szCs w:val="24"/>
                <w:highlight w:val="none"/>
              </w:rPr>
            </w:pPr>
            <w:r>
              <w:rPr>
                <w:rFonts w:hint="eastAsia" w:ascii="宋体" w:hAnsi="宋体"/>
                <w:b/>
                <w:color w:val="auto"/>
                <w:szCs w:val="24"/>
                <w:highlight w:val="none"/>
              </w:rPr>
              <w:t>医技项目汇总统计查询：</w:t>
            </w:r>
            <w:r>
              <w:rPr>
                <w:rFonts w:hint="eastAsia" w:ascii="宋体" w:hAnsi="宋体"/>
                <w:color w:val="auto"/>
                <w:szCs w:val="24"/>
                <w:highlight w:val="none"/>
              </w:rPr>
              <w:t>支持用于医技项目汇总统计查询。</w:t>
            </w:r>
          </w:p>
          <w:p>
            <w:pPr>
              <w:pStyle w:val="130"/>
              <w:ind w:firstLine="0"/>
              <w:rPr>
                <w:rFonts w:ascii="宋体" w:hAnsi="宋体"/>
                <w:b/>
                <w:color w:val="auto"/>
                <w:szCs w:val="24"/>
                <w:highlight w:val="none"/>
              </w:rPr>
            </w:pPr>
            <w:r>
              <w:rPr>
                <w:rFonts w:hint="eastAsia" w:ascii="宋体" w:hAnsi="宋体"/>
                <w:b/>
                <w:color w:val="auto"/>
                <w:szCs w:val="24"/>
                <w:highlight w:val="none"/>
              </w:rPr>
              <w:t>常用药品统计：</w:t>
            </w:r>
          </w:p>
          <w:p>
            <w:pPr>
              <w:pStyle w:val="130"/>
              <w:ind w:firstLine="0"/>
              <w:rPr>
                <w:rFonts w:ascii="宋体" w:hAnsi="宋体"/>
                <w:color w:val="auto"/>
                <w:szCs w:val="24"/>
                <w:highlight w:val="none"/>
              </w:rPr>
            </w:pPr>
            <w:r>
              <w:rPr>
                <w:rFonts w:hint="eastAsia" w:ascii="宋体" w:hAnsi="宋体"/>
                <w:color w:val="auto"/>
                <w:szCs w:val="24"/>
                <w:highlight w:val="none"/>
              </w:rPr>
              <w:t>1、支持用于统计指定时间段内，发药数量最多的药品列表，并按照发药数量倒序排列。</w:t>
            </w:r>
          </w:p>
          <w:p>
            <w:pPr>
              <w:pStyle w:val="130"/>
              <w:ind w:firstLine="0"/>
              <w:rPr>
                <w:rFonts w:ascii="宋体" w:hAnsi="宋体"/>
                <w:color w:val="auto"/>
                <w:szCs w:val="24"/>
                <w:highlight w:val="none"/>
              </w:rPr>
            </w:pPr>
            <w:r>
              <w:rPr>
                <w:rFonts w:hint="eastAsia" w:ascii="宋体" w:hAnsi="宋体"/>
                <w:color w:val="auto"/>
                <w:szCs w:val="24"/>
                <w:highlight w:val="none"/>
              </w:rPr>
              <w:t>2、支持设置列表记录数，支持按照开单科室和开单医生统计。</w:t>
            </w:r>
          </w:p>
          <w:p>
            <w:pPr>
              <w:pStyle w:val="130"/>
              <w:ind w:firstLine="0"/>
              <w:rPr>
                <w:rFonts w:ascii="宋体" w:hAnsi="宋体"/>
                <w:color w:val="auto"/>
                <w:szCs w:val="24"/>
                <w:highlight w:val="none"/>
              </w:rPr>
            </w:pPr>
            <w:r>
              <w:rPr>
                <w:rFonts w:hint="eastAsia" w:ascii="宋体" w:hAnsi="宋体"/>
                <w:b/>
                <w:color w:val="auto"/>
                <w:szCs w:val="24"/>
                <w:highlight w:val="none"/>
              </w:rPr>
              <w:t>基药用药占比：</w:t>
            </w:r>
            <w:r>
              <w:rPr>
                <w:rFonts w:hint="eastAsia" w:ascii="宋体" w:hAnsi="宋体"/>
                <w:color w:val="auto"/>
                <w:szCs w:val="24"/>
                <w:highlight w:val="none"/>
              </w:rPr>
              <w:t>支持用于统计基药用药占比。</w:t>
            </w:r>
          </w:p>
          <w:p>
            <w:pPr>
              <w:pStyle w:val="130"/>
              <w:ind w:firstLine="0"/>
              <w:rPr>
                <w:rFonts w:ascii="宋体" w:hAnsi="宋体"/>
                <w:color w:val="auto"/>
                <w:szCs w:val="24"/>
                <w:highlight w:val="none"/>
              </w:rPr>
            </w:pPr>
            <w:r>
              <w:rPr>
                <w:rFonts w:hint="eastAsia" w:ascii="宋体" w:hAnsi="宋体"/>
                <w:b/>
                <w:color w:val="auto"/>
                <w:szCs w:val="24"/>
                <w:highlight w:val="none"/>
              </w:rPr>
              <w:t>药库药品库存分析：</w:t>
            </w:r>
            <w:r>
              <w:rPr>
                <w:rFonts w:hint="eastAsia" w:ascii="宋体" w:hAnsi="宋体"/>
                <w:color w:val="auto"/>
                <w:szCs w:val="24"/>
                <w:highlight w:val="none"/>
              </w:rPr>
              <w:t>支持用于对药库药品库存分析。</w:t>
            </w:r>
          </w:p>
          <w:p>
            <w:pPr>
              <w:pStyle w:val="130"/>
              <w:ind w:firstLine="0"/>
              <w:rPr>
                <w:rFonts w:ascii="宋体" w:hAnsi="宋体"/>
                <w:color w:val="auto"/>
                <w:szCs w:val="24"/>
                <w:highlight w:val="none"/>
              </w:rPr>
            </w:pPr>
            <w:r>
              <w:rPr>
                <w:rFonts w:hint="eastAsia" w:ascii="宋体" w:hAnsi="宋体"/>
                <w:b/>
                <w:color w:val="auto"/>
                <w:szCs w:val="24"/>
                <w:highlight w:val="none"/>
              </w:rPr>
              <w:t>药房药品库存分析：</w:t>
            </w:r>
            <w:r>
              <w:rPr>
                <w:rFonts w:hint="eastAsia" w:ascii="宋体" w:hAnsi="宋体"/>
                <w:color w:val="auto"/>
                <w:szCs w:val="24"/>
                <w:highlight w:val="none"/>
              </w:rPr>
              <w:t>支持用于对药房药品库存分析。</w:t>
            </w:r>
          </w:p>
          <w:p>
            <w:pPr>
              <w:pStyle w:val="130"/>
              <w:ind w:firstLine="0"/>
              <w:rPr>
                <w:rFonts w:ascii="宋体" w:hAnsi="宋体"/>
                <w:color w:val="auto"/>
                <w:szCs w:val="24"/>
                <w:highlight w:val="none"/>
              </w:rPr>
            </w:pPr>
            <w:r>
              <w:rPr>
                <w:rFonts w:hint="eastAsia" w:ascii="宋体" w:hAnsi="宋体"/>
                <w:b/>
                <w:color w:val="auto"/>
                <w:szCs w:val="24"/>
                <w:highlight w:val="none"/>
              </w:rPr>
              <w:t>药品消耗情况分析：</w:t>
            </w:r>
            <w:r>
              <w:rPr>
                <w:rFonts w:hint="eastAsia" w:ascii="宋体" w:hAnsi="宋体"/>
                <w:color w:val="auto"/>
                <w:szCs w:val="24"/>
                <w:highlight w:val="none"/>
              </w:rPr>
              <w:t>支持用于对药品消耗情况分析。</w:t>
            </w:r>
          </w:p>
        </w:tc>
      </w:tr>
    </w:tbl>
    <w:p>
      <w:pPr>
        <w:pStyle w:val="7"/>
        <w:numPr>
          <w:ilvl w:val="4"/>
          <w:numId w:val="8"/>
        </w:numPr>
        <w:rPr>
          <w:rFonts w:ascii="宋体" w:hAnsi="宋体"/>
          <w:color w:val="auto"/>
          <w:szCs w:val="24"/>
          <w:highlight w:val="none"/>
        </w:rPr>
      </w:pPr>
      <w:bookmarkStart w:id="638" w:name="_Toc22506"/>
      <w:r>
        <w:rPr>
          <w:rFonts w:hint="eastAsia" w:ascii="宋体" w:hAnsi="宋体"/>
          <w:color w:val="auto"/>
          <w:szCs w:val="24"/>
          <w:highlight w:val="none"/>
        </w:rPr>
        <w:t>病案无纸化系统</w:t>
      </w:r>
      <w:bookmarkEnd w:id="638"/>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病案指按规范记录病人疾病表现和诊疗情况的档案，由医疗机构的病案管理部门按相关规定保存。</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trPr>
        <w:tc>
          <w:tcPr>
            <w:tcW w:w="1980"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7087"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1980" w:type="dxa"/>
            <w:vAlign w:val="center"/>
          </w:tcPr>
          <w:p>
            <w:pPr>
              <w:spacing w:line="360" w:lineRule="auto"/>
              <w:ind w:left="9" w:right="33"/>
              <w:rPr>
                <w:rFonts w:ascii="宋体" w:hAnsi="宋体" w:cs="仿宋"/>
                <w:b/>
                <w:bCs/>
                <w:color w:val="auto"/>
                <w:sz w:val="24"/>
                <w:highlight w:val="none"/>
                <w:lang w:bidi="zh-CN"/>
              </w:rPr>
            </w:pPr>
            <w:r>
              <w:rPr>
                <w:rFonts w:hint="eastAsia" w:ascii="宋体" w:hAnsi="宋体" w:cs="仿宋"/>
                <w:b/>
                <w:bCs/>
                <w:color w:val="auto"/>
                <w:sz w:val="24"/>
                <w:highlight w:val="none"/>
                <w:lang w:bidi="zh-CN"/>
              </w:rPr>
              <w:t>病案无纸化系统</w:t>
            </w:r>
          </w:p>
        </w:tc>
        <w:tc>
          <w:tcPr>
            <w:tcW w:w="7087" w:type="dxa"/>
          </w:tcPr>
          <w:p>
            <w:pPr>
              <w:spacing w:line="360" w:lineRule="auto"/>
              <w:rPr>
                <w:rFonts w:ascii="宋体" w:hAnsi="宋体"/>
                <w:b/>
                <w:bCs/>
                <w:color w:val="auto"/>
                <w:sz w:val="24"/>
                <w:highlight w:val="none"/>
              </w:rPr>
            </w:pPr>
            <w:r>
              <w:rPr>
                <w:rFonts w:hint="eastAsia" w:ascii="宋体" w:hAnsi="宋体"/>
                <w:b/>
                <w:bCs/>
                <w:color w:val="auto"/>
                <w:sz w:val="24"/>
                <w:highlight w:val="none"/>
              </w:rPr>
              <w:t>（1）纸质病案数字化</w:t>
            </w:r>
          </w:p>
          <w:p>
            <w:pPr>
              <w:spacing w:line="360" w:lineRule="auto"/>
              <w:rPr>
                <w:rFonts w:ascii="宋体" w:hAnsi="宋体"/>
                <w:b/>
                <w:bCs/>
                <w:color w:val="auto"/>
                <w:sz w:val="24"/>
                <w:highlight w:val="none"/>
              </w:rPr>
            </w:pPr>
            <w:r>
              <w:rPr>
                <w:rFonts w:hint="eastAsia" w:ascii="宋体" w:hAnsi="宋体"/>
                <w:b/>
                <w:bCs/>
                <w:color w:val="auto"/>
                <w:sz w:val="24"/>
                <w:highlight w:val="none"/>
              </w:rPr>
              <w:t>纸质病历扫描登记：</w:t>
            </w:r>
          </w:p>
          <w:p>
            <w:pPr>
              <w:spacing w:line="360" w:lineRule="auto"/>
              <w:rPr>
                <w:rFonts w:ascii="宋体" w:hAnsi="宋体"/>
                <w:color w:val="auto"/>
                <w:sz w:val="24"/>
                <w:highlight w:val="none"/>
              </w:rPr>
            </w:pPr>
            <w:r>
              <w:rPr>
                <w:rFonts w:hint="eastAsia" w:ascii="宋体" w:hAnsi="宋体"/>
                <w:color w:val="auto"/>
                <w:sz w:val="24"/>
                <w:highlight w:val="none"/>
              </w:rPr>
              <w:t>1、支持创建数字化病案扫描任务。</w:t>
            </w:r>
          </w:p>
          <w:p>
            <w:pPr>
              <w:spacing w:line="360" w:lineRule="auto"/>
              <w:rPr>
                <w:rFonts w:ascii="宋体" w:hAnsi="宋体"/>
                <w:color w:val="auto"/>
                <w:sz w:val="24"/>
                <w:highlight w:val="none"/>
              </w:rPr>
            </w:pPr>
            <w:r>
              <w:rPr>
                <w:rFonts w:hint="eastAsia" w:ascii="宋体" w:hAnsi="宋体"/>
                <w:color w:val="auto"/>
                <w:sz w:val="24"/>
                <w:highlight w:val="none"/>
              </w:rPr>
              <w:t>2、支持从HIS导入数字化病案主记录，并创建扫描任务。</w:t>
            </w:r>
          </w:p>
          <w:p>
            <w:pPr>
              <w:spacing w:line="360" w:lineRule="auto"/>
              <w:rPr>
                <w:rFonts w:ascii="宋体" w:hAnsi="宋体"/>
                <w:color w:val="auto"/>
                <w:sz w:val="24"/>
                <w:highlight w:val="none"/>
              </w:rPr>
            </w:pPr>
            <w:r>
              <w:rPr>
                <w:rFonts w:hint="eastAsia" w:ascii="宋体" w:hAnsi="宋体"/>
                <w:color w:val="auto"/>
                <w:sz w:val="24"/>
                <w:highlight w:val="none"/>
              </w:rPr>
              <w:t>3、支持按需选择扫描的病案分类、数据集，并打印二维码识别页。</w:t>
            </w:r>
          </w:p>
          <w:p>
            <w:pPr>
              <w:spacing w:line="360" w:lineRule="auto"/>
              <w:rPr>
                <w:rFonts w:ascii="宋体" w:hAnsi="宋体"/>
                <w:b/>
                <w:bCs/>
                <w:color w:val="auto"/>
                <w:sz w:val="24"/>
                <w:highlight w:val="none"/>
              </w:rPr>
            </w:pPr>
            <w:r>
              <w:rPr>
                <w:rFonts w:hint="eastAsia" w:ascii="宋体" w:hAnsi="宋体"/>
                <w:b/>
                <w:bCs/>
                <w:color w:val="auto"/>
                <w:sz w:val="24"/>
                <w:highlight w:val="none"/>
              </w:rPr>
              <w:t>纸质病历扫描：</w:t>
            </w:r>
          </w:p>
          <w:p>
            <w:pPr>
              <w:spacing w:line="360" w:lineRule="auto"/>
              <w:rPr>
                <w:rFonts w:ascii="宋体" w:hAnsi="宋体"/>
                <w:color w:val="auto"/>
                <w:sz w:val="24"/>
                <w:highlight w:val="none"/>
              </w:rPr>
            </w:pPr>
            <w:r>
              <w:rPr>
                <w:rFonts w:hint="eastAsia" w:ascii="宋体" w:hAnsi="宋体"/>
                <w:color w:val="auto"/>
                <w:sz w:val="24"/>
                <w:highlight w:val="none"/>
              </w:rPr>
              <w:t>1、支持对接高拍仪，对纸张质量较差的医疗文书进行数字化处理。</w:t>
            </w:r>
          </w:p>
          <w:p>
            <w:pPr>
              <w:spacing w:line="360" w:lineRule="auto"/>
              <w:rPr>
                <w:rFonts w:ascii="宋体" w:hAnsi="宋体"/>
                <w:color w:val="auto"/>
                <w:sz w:val="24"/>
                <w:highlight w:val="none"/>
              </w:rPr>
            </w:pPr>
            <w:r>
              <w:rPr>
                <w:rFonts w:hint="eastAsia" w:ascii="宋体" w:hAnsi="宋体"/>
                <w:color w:val="auto"/>
                <w:sz w:val="24"/>
                <w:highlight w:val="none"/>
              </w:rPr>
              <w:t>2、支持对接高速扫描仪，对纸张质量较好的医疗文书进行批量数字化处理。</w:t>
            </w:r>
          </w:p>
          <w:p>
            <w:pPr>
              <w:spacing w:line="360" w:lineRule="auto"/>
              <w:rPr>
                <w:rFonts w:ascii="宋体" w:hAnsi="宋体"/>
                <w:b/>
                <w:bCs/>
                <w:color w:val="auto"/>
                <w:sz w:val="24"/>
                <w:highlight w:val="none"/>
              </w:rPr>
            </w:pPr>
            <w:r>
              <w:rPr>
                <w:rFonts w:hint="eastAsia" w:ascii="宋体" w:hAnsi="宋体"/>
                <w:b/>
                <w:bCs/>
                <w:color w:val="auto"/>
                <w:sz w:val="24"/>
                <w:highlight w:val="none"/>
              </w:rPr>
              <w:t>纸质病历扫描件归档：</w:t>
            </w:r>
          </w:p>
          <w:p>
            <w:pPr>
              <w:spacing w:line="360" w:lineRule="auto"/>
              <w:rPr>
                <w:rFonts w:ascii="宋体" w:hAnsi="宋体"/>
                <w:color w:val="auto"/>
                <w:sz w:val="24"/>
                <w:highlight w:val="none"/>
              </w:rPr>
            </w:pPr>
            <w:r>
              <w:rPr>
                <w:rFonts w:hint="eastAsia" w:ascii="宋体" w:hAnsi="宋体"/>
                <w:color w:val="auto"/>
                <w:sz w:val="24"/>
                <w:highlight w:val="none"/>
              </w:rPr>
              <w:t>1、支持预览采集到的纸质病历数字件。</w:t>
            </w:r>
          </w:p>
          <w:p>
            <w:pPr>
              <w:spacing w:line="360" w:lineRule="auto"/>
              <w:rPr>
                <w:rFonts w:ascii="宋体" w:hAnsi="宋体"/>
                <w:color w:val="auto"/>
                <w:sz w:val="24"/>
                <w:highlight w:val="none"/>
              </w:rPr>
            </w:pPr>
            <w:r>
              <w:rPr>
                <w:rFonts w:hint="eastAsia" w:ascii="宋体" w:hAnsi="宋体"/>
                <w:color w:val="auto"/>
                <w:sz w:val="24"/>
                <w:highlight w:val="none"/>
              </w:rPr>
              <w:t>2、支持对采集效果未达到要求的病案，可退回重新采集。</w:t>
            </w:r>
          </w:p>
          <w:p>
            <w:pPr>
              <w:spacing w:line="360" w:lineRule="auto"/>
              <w:rPr>
                <w:rFonts w:ascii="宋体" w:hAnsi="宋体"/>
                <w:color w:val="auto"/>
                <w:sz w:val="24"/>
                <w:highlight w:val="none"/>
              </w:rPr>
            </w:pPr>
            <w:r>
              <w:rPr>
                <w:rFonts w:hint="eastAsia" w:ascii="宋体" w:hAnsi="宋体"/>
                <w:color w:val="auto"/>
                <w:sz w:val="24"/>
                <w:highlight w:val="none"/>
              </w:rPr>
              <w:t>3、支持对采集完成的病案进行归档处理。</w:t>
            </w:r>
          </w:p>
          <w:p>
            <w:pPr>
              <w:spacing w:line="360" w:lineRule="auto"/>
              <w:rPr>
                <w:rFonts w:ascii="宋体" w:hAnsi="宋体"/>
                <w:b/>
                <w:bCs/>
                <w:color w:val="auto"/>
                <w:sz w:val="24"/>
                <w:highlight w:val="none"/>
              </w:rPr>
            </w:pPr>
            <w:r>
              <w:rPr>
                <w:rFonts w:hint="eastAsia" w:ascii="宋体" w:hAnsi="宋体"/>
                <w:b/>
                <w:bCs/>
                <w:color w:val="auto"/>
                <w:sz w:val="24"/>
                <w:highlight w:val="none"/>
              </w:rPr>
              <w:t>纸质病历浏览：</w:t>
            </w:r>
          </w:p>
          <w:p>
            <w:pPr>
              <w:spacing w:line="360" w:lineRule="auto"/>
              <w:rPr>
                <w:rFonts w:ascii="宋体" w:hAnsi="宋体"/>
                <w:color w:val="auto"/>
                <w:sz w:val="24"/>
                <w:highlight w:val="none"/>
              </w:rPr>
            </w:pPr>
            <w:r>
              <w:rPr>
                <w:rFonts w:hint="eastAsia" w:ascii="宋体" w:hAnsi="宋体"/>
                <w:color w:val="auto"/>
                <w:sz w:val="24"/>
                <w:highlight w:val="none"/>
              </w:rPr>
              <w:t>1、支持根据患者信息、就诊信息、操作人员信息、归档状态等查询采集后的数字化病案，并进行查看。</w:t>
            </w:r>
          </w:p>
          <w:p>
            <w:pPr>
              <w:spacing w:line="360" w:lineRule="auto"/>
              <w:rPr>
                <w:rFonts w:ascii="宋体" w:hAnsi="宋体"/>
                <w:color w:val="auto"/>
                <w:sz w:val="24"/>
                <w:highlight w:val="none"/>
              </w:rPr>
            </w:pPr>
            <w:r>
              <w:rPr>
                <w:rFonts w:hint="eastAsia" w:ascii="宋体" w:hAnsi="宋体"/>
                <w:b/>
                <w:bCs/>
                <w:color w:val="auto"/>
                <w:sz w:val="24"/>
                <w:highlight w:val="none"/>
              </w:rPr>
              <w:t>纸质病案基本信息修改：</w:t>
            </w:r>
            <w:r>
              <w:rPr>
                <w:rFonts w:hint="eastAsia" w:ascii="宋体" w:hAnsi="宋体"/>
                <w:color w:val="auto"/>
                <w:sz w:val="24"/>
                <w:highlight w:val="none"/>
              </w:rPr>
              <w:t>支持对病案摘要信息进行修改（患者信息、就诊信息）。</w:t>
            </w:r>
          </w:p>
          <w:p>
            <w:pPr>
              <w:spacing w:line="360" w:lineRule="auto"/>
              <w:rPr>
                <w:rFonts w:ascii="宋体" w:hAnsi="宋体"/>
                <w:b/>
                <w:bCs/>
                <w:color w:val="auto"/>
                <w:sz w:val="24"/>
                <w:highlight w:val="none"/>
              </w:rPr>
            </w:pPr>
            <w:r>
              <w:rPr>
                <w:rFonts w:hint="eastAsia" w:ascii="宋体" w:hAnsi="宋体"/>
                <w:b/>
                <w:bCs/>
                <w:color w:val="auto"/>
                <w:sz w:val="24"/>
                <w:highlight w:val="none"/>
              </w:rPr>
              <w:t>（2）数字化病案管理</w:t>
            </w:r>
          </w:p>
          <w:p>
            <w:pPr>
              <w:spacing w:line="360" w:lineRule="auto"/>
              <w:rPr>
                <w:rFonts w:ascii="宋体" w:hAnsi="宋体"/>
                <w:b/>
                <w:bCs/>
                <w:color w:val="auto"/>
                <w:sz w:val="24"/>
                <w:highlight w:val="none"/>
              </w:rPr>
            </w:pPr>
            <w:r>
              <w:rPr>
                <w:rFonts w:hint="eastAsia" w:ascii="宋体" w:hAnsi="宋体"/>
                <w:b/>
                <w:bCs/>
                <w:color w:val="auto"/>
                <w:sz w:val="24"/>
                <w:highlight w:val="none"/>
              </w:rPr>
              <w:t>病案签收（数字化）：</w:t>
            </w:r>
          </w:p>
          <w:p>
            <w:pPr>
              <w:spacing w:line="360" w:lineRule="auto"/>
              <w:rPr>
                <w:rFonts w:ascii="宋体" w:hAnsi="宋体"/>
                <w:color w:val="auto"/>
                <w:sz w:val="24"/>
                <w:highlight w:val="none"/>
              </w:rPr>
            </w:pPr>
            <w:r>
              <w:rPr>
                <w:rFonts w:hint="eastAsia" w:ascii="宋体" w:hAnsi="宋体"/>
                <w:color w:val="auto"/>
                <w:sz w:val="24"/>
                <w:highlight w:val="none"/>
              </w:rPr>
              <w:t>1、支持数字化病案签收。</w:t>
            </w:r>
          </w:p>
          <w:p>
            <w:pPr>
              <w:spacing w:line="360" w:lineRule="auto"/>
              <w:rPr>
                <w:rFonts w:ascii="宋体" w:hAnsi="宋体"/>
                <w:color w:val="auto"/>
                <w:sz w:val="24"/>
                <w:highlight w:val="none"/>
              </w:rPr>
            </w:pPr>
            <w:r>
              <w:rPr>
                <w:rFonts w:hint="eastAsia" w:ascii="宋体" w:hAnsi="宋体"/>
                <w:color w:val="auto"/>
                <w:sz w:val="24"/>
                <w:highlight w:val="none"/>
              </w:rPr>
              <w:t>2、支持查看数字化病案归档完成情况，对未完成的或未达到要求的PDF发回重采。</w:t>
            </w:r>
          </w:p>
          <w:p>
            <w:pPr>
              <w:spacing w:line="360" w:lineRule="auto"/>
              <w:rPr>
                <w:rFonts w:ascii="宋体" w:hAnsi="宋体"/>
                <w:color w:val="auto"/>
                <w:sz w:val="24"/>
                <w:highlight w:val="none"/>
              </w:rPr>
            </w:pPr>
            <w:r>
              <w:rPr>
                <w:rFonts w:hint="eastAsia" w:ascii="宋体" w:hAnsi="宋体"/>
                <w:color w:val="auto"/>
                <w:sz w:val="24"/>
                <w:highlight w:val="none"/>
              </w:rPr>
              <w:t>病案编目（数字化）：支持对病案首页进行病案编目。</w:t>
            </w:r>
          </w:p>
          <w:p>
            <w:pPr>
              <w:spacing w:line="360" w:lineRule="auto"/>
              <w:rPr>
                <w:rFonts w:ascii="宋体" w:hAnsi="宋体"/>
                <w:b/>
                <w:bCs/>
                <w:color w:val="auto"/>
                <w:sz w:val="24"/>
                <w:highlight w:val="none"/>
              </w:rPr>
            </w:pPr>
            <w:r>
              <w:rPr>
                <w:rFonts w:hint="eastAsia" w:ascii="宋体" w:hAnsi="宋体"/>
                <w:b/>
                <w:bCs/>
                <w:color w:val="auto"/>
                <w:sz w:val="24"/>
                <w:highlight w:val="none"/>
              </w:rPr>
              <w:t>病案整理归档（数字化）：</w:t>
            </w:r>
          </w:p>
          <w:p>
            <w:pPr>
              <w:spacing w:line="360" w:lineRule="auto"/>
              <w:rPr>
                <w:rFonts w:ascii="宋体" w:hAnsi="宋体"/>
                <w:color w:val="auto"/>
                <w:sz w:val="24"/>
                <w:highlight w:val="none"/>
              </w:rPr>
            </w:pPr>
            <w:r>
              <w:rPr>
                <w:rFonts w:hint="eastAsia" w:ascii="宋体" w:hAnsi="宋体"/>
                <w:color w:val="auto"/>
                <w:sz w:val="24"/>
                <w:highlight w:val="none"/>
              </w:rPr>
              <w:t>1、支持单份整理。</w:t>
            </w:r>
          </w:p>
          <w:p>
            <w:pPr>
              <w:spacing w:line="360" w:lineRule="auto"/>
              <w:rPr>
                <w:rFonts w:ascii="宋体" w:hAnsi="宋体"/>
                <w:color w:val="auto"/>
                <w:sz w:val="24"/>
                <w:highlight w:val="none"/>
              </w:rPr>
            </w:pPr>
            <w:r>
              <w:rPr>
                <w:rFonts w:hint="eastAsia" w:ascii="宋体" w:hAnsi="宋体"/>
                <w:color w:val="auto"/>
                <w:sz w:val="24"/>
                <w:highlight w:val="none"/>
              </w:rPr>
              <w:t>2、支持按照患者姓名、病案号、病案条码号查询整理列表进行批量整理通过。</w:t>
            </w:r>
          </w:p>
          <w:p>
            <w:pPr>
              <w:spacing w:line="360" w:lineRule="auto"/>
              <w:rPr>
                <w:rFonts w:ascii="宋体" w:hAnsi="宋体"/>
                <w:color w:val="auto"/>
                <w:sz w:val="24"/>
                <w:highlight w:val="none"/>
              </w:rPr>
            </w:pPr>
            <w:r>
              <w:rPr>
                <w:rFonts w:hint="eastAsia" w:ascii="宋体" w:hAnsi="宋体"/>
                <w:color w:val="auto"/>
                <w:sz w:val="24"/>
                <w:highlight w:val="none"/>
              </w:rPr>
              <w:t>3、支持对不合格的病案进行退回并填写退回原因。</w:t>
            </w:r>
          </w:p>
          <w:p>
            <w:pPr>
              <w:spacing w:line="360" w:lineRule="auto"/>
              <w:rPr>
                <w:rFonts w:ascii="宋体" w:hAnsi="宋体"/>
                <w:color w:val="auto"/>
                <w:sz w:val="24"/>
                <w:highlight w:val="none"/>
              </w:rPr>
            </w:pPr>
            <w:r>
              <w:rPr>
                <w:rFonts w:hint="eastAsia" w:ascii="宋体" w:hAnsi="宋体"/>
                <w:color w:val="auto"/>
                <w:sz w:val="24"/>
                <w:highlight w:val="none"/>
              </w:rPr>
              <w:t>4、支持对不合格的病案进行退回不用填写退回原因。</w:t>
            </w:r>
          </w:p>
          <w:p>
            <w:pPr>
              <w:spacing w:line="360" w:lineRule="auto"/>
              <w:rPr>
                <w:rFonts w:ascii="宋体" w:hAnsi="宋体"/>
                <w:color w:val="auto"/>
                <w:sz w:val="24"/>
                <w:highlight w:val="none"/>
              </w:rPr>
            </w:pPr>
            <w:r>
              <w:rPr>
                <w:rFonts w:hint="eastAsia" w:ascii="宋体" w:hAnsi="宋体"/>
                <w:color w:val="auto"/>
                <w:sz w:val="24"/>
                <w:highlight w:val="none"/>
              </w:rPr>
              <w:t>5、支持病案未签名操作，操作后的病案到整理未签名节点重新签名。</w:t>
            </w:r>
          </w:p>
          <w:p>
            <w:pPr>
              <w:spacing w:line="360" w:lineRule="auto"/>
              <w:rPr>
                <w:rFonts w:ascii="宋体" w:hAnsi="宋体"/>
                <w:color w:val="auto"/>
                <w:sz w:val="24"/>
                <w:highlight w:val="none"/>
              </w:rPr>
            </w:pPr>
            <w:r>
              <w:rPr>
                <w:rFonts w:hint="eastAsia" w:ascii="宋体" w:hAnsi="宋体"/>
                <w:color w:val="auto"/>
                <w:sz w:val="24"/>
                <w:highlight w:val="none"/>
              </w:rPr>
              <w:t>6、支持图像采集。</w:t>
            </w:r>
          </w:p>
          <w:p>
            <w:pPr>
              <w:spacing w:line="360" w:lineRule="auto"/>
              <w:rPr>
                <w:rFonts w:ascii="宋体" w:hAnsi="宋体"/>
                <w:b/>
                <w:bCs/>
                <w:color w:val="auto"/>
                <w:sz w:val="24"/>
                <w:highlight w:val="none"/>
              </w:rPr>
            </w:pPr>
            <w:r>
              <w:rPr>
                <w:rFonts w:hint="eastAsia" w:ascii="宋体" w:hAnsi="宋体"/>
                <w:b/>
                <w:bCs/>
                <w:color w:val="auto"/>
                <w:sz w:val="24"/>
                <w:highlight w:val="none"/>
              </w:rPr>
              <w:t>病案整理回退（数字化）：</w:t>
            </w:r>
          </w:p>
          <w:p>
            <w:pPr>
              <w:spacing w:line="360" w:lineRule="auto"/>
              <w:rPr>
                <w:rFonts w:ascii="宋体" w:hAnsi="宋体"/>
                <w:color w:val="auto"/>
                <w:sz w:val="24"/>
                <w:highlight w:val="none"/>
              </w:rPr>
            </w:pPr>
            <w:r>
              <w:rPr>
                <w:rFonts w:hint="eastAsia" w:ascii="宋体" w:hAnsi="宋体"/>
                <w:color w:val="auto"/>
                <w:sz w:val="24"/>
                <w:highlight w:val="none"/>
              </w:rPr>
              <w:t>1、支持按照患者姓名、病案条码号、病案条码号查询回退列表。</w:t>
            </w:r>
          </w:p>
          <w:p>
            <w:pPr>
              <w:spacing w:line="360" w:lineRule="auto"/>
              <w:rPr>
                <w:rFonts w:ascii="宋体" w:hAnsi="宋体"/>
                <w:color w:val="auto"/>
                <w:sz w:val="24"/>
                <w:highlight w:val="none"/>
              </w:rPr>
            </w:pPr>
            <w:r>
              <w:rPr>
                <w:rFonts w:hint="eastAsia" w:ascii="宋体" w:hAnsi="宋体"/>
                <w:color w:val="auto"/>
                <w:sz w:val="24"/>
                <w:highlight w:val="none"/>
              </w:rPr>
              <w:t>2、支持选中回退列表重新签收、病案预览。</w:t>
            </w:r>
          </w:p>
          <w:p>
            <w:pPr>
              <w:spacing w:line="360" w:lineRule="auto"/>
              <w:rPr>
                <w:rFonts w:ascii="宋体" w:hAnsi="宋体"/>
                <w:color w:val="auto"/>
                <w:sz w:val="24"/>
                <w:highlight w:val="none"/>
              </w:rPr>
            </w:pPr>
            <w:r>
              <w:rPr>
                <w:rFonts w:hint="eastAsia" w:ascii="宋体" w:hAnsi="宋体"/>
                <w:color w:val="auto"/>
                <w:sz w:val="24"/>
                <w:highlight w:val="none"/>
              </w:rPr>
              <w:t>3、支持导出。</w:t>
            </w:r>
          </w:p>
          <w:p>
            <w:pPr>
              <w:spacing w:line="360" w:lineRule="auto"/>
              <w:rPr>
                <w:rFonts w:ascii="宋体" w:hAnsi="宋体"/>
                <w:b/>
                <w:bCs/>
                <w:color w:val="auto"/>
                <w:sz w:val="24"/>
                <w:highlight w:val="none"/>
              </w:rPr>
            </w:pPr>
            <w:r>
              <w:rPr>
                <w:rFonts w:hint="eastAsia" w:ascii="宋体" w:hAnsi="宋体"/>
                <w:b/>
                <w:bCs/>
                <w:color w:val="auto"/>
                <w:sz w:val="24"/>
                <w:highlight w:val="none"/>
              </w:rPr>
              <w:t>病案检索（数字化）：</w:t>
            </w:r>
          </w:p>
          <w:p>
            <w:pPr>
              <w:spacing w:line="360" w:lineRule="auto"/>
              <w:rPr>
                <w:rFonts w:ascii="宋体" w:hAnsi="宋体"/>
                <w:color w:val="auto"/>
                <w:sz w:val="24"/>
                <w:highlight w:val="none"/>
              </w:rPr>
            </w:pPr>
            <w:r>
              <w:rPr>
                <w:rFonts w:hint="eastAsia" w:ascii="宋体" w:hAnsi="宋体"/>
                <w:color w:val="auto"/>
                <w:sz w:val="24"/>
                <w:highlight w:val="none"/>
              </w:rPr>
              <w:t>1、支持按照出院科室、身份证号、患者姓名、病案号、在院标识、病案状态、出院如期条件进行病案检索和病案预览。</w:t>
            </w:r>
          </w:p>
          <w:p>
            <w:pPr>
              <w:spacing w:line="360" w:lineRule="auto"/>
              <w:rPr>
                <w:rFonts w:ascii="宋体" w:hAnsi="宋体"/>
                <w:color w:val="auto"/>
                <w:sz w:val="24"/>
                <w:highlight w:val="none"/>
              </w:rPr>
            </w:pPr>
            <w:r>
              <w:rPr>
                <w:rFonts w:hint="eastAsia" w:ascii="宋体" w:hAnsi="宋体"/>
                <w:color w:val="auto"/>
                <w:sz w:val="24"/>
                <w:highlight w:val="none"/>
              </w:rPr>
              <w:t>2、支持导出。</w:t>
            </w:r>
          </w:p>
          <w:p>
            <w:pPr>
              <w:spacing w:line="360" w:lineRule="auto"/>
              <w:rPr>
                <w:rFonts w:ascii="宋体" w:hAnsi="宋体"/>
                <w:b/>
                <w:bCs/>
                <w:color w:val="auto"/>
                <w:sz w:val="24"/>
                <w:highlight w:val="none"/>
              </w:rPr>
            </w:pPr>
            <w:r>
              <w:rPr>
                <w:rFonts w:hint="eastAsia" w:ascii="宋体" w:hAnsi="宋体"/>
                <w:b/>
                <w:bCs/>
                <w:color w:val="auto"/>
                <w:sz w:val="24"/>
                <w:highlight w:val="none"/>
              </w:rPr>
              <w:t>病案归档查询（数字化）：</w:t>
            </w:r>
          </w:p>
          <w:p>
            <w:pPr>
              <w:spacing w:line="360" w:lineRule="auto"/>
              <w:rPr>
                <w:rFonts w:ascii="宋体" w:hAnsi="宋体"/>
                <w:color w:val="auto"/>
                <w:sz w:val="24"/>
                <w:highlight w:val="none"/>
              </w:rPr>
            </w:pPr>
            <w:r>
              <w:rPr>
                <w:rFonts w:hint="eastAsia" w:ascii="宋体" w:hAnsi="宋体"/>
                <w:color w:val="auto"/>
                <w:sz w:val="24"/>
                <w:highlight w:val="none"/>
              </w:rPr>
              <w:t>1、支持查询数字化病案归档完成情况。</w:t>
            </w:r>
          </w:p>
          <w:p>
            <w:pPr>
              <w:spacing w:line="360" w:lineRule="auto"/>
              <w:rPr>
                <w:rFonts w:ascii="宋体" w:hAnsi="宋体"/>
                <w:color w:val="auto"/>
                <w:sz w:val="24"/>
                <w:highlight w:val="none"/>
              </w:rPr>
            </w:pPr>
            <w:r>
              <w:rPr>
                <w:rFonts w:hint="eastAsia" w:ascii="宋体" w:hAnsi="宋体"/>
                <w:color w:val="auto"/>
                <w:sz w:val="24"/>
                <w:highlight w:val="none"/>
              </w:rPr>
              <w:t>2、支持查看归档文件清单。</w:t>
            </w:r>
          </w:p>
          <w:p>
            <w:pPr>
              <w:spacing w:line="360" w:lineRule="auto"/>
              <w:rPr>
                <w:rFonts w:ascii="宋体" w:hAnsi="宋体"/>
                <w:b/>
                <w:bCs/>
                <w:color w:val="auto"/>
                <w:sz w:val="24"/>
                <w:highlight w:val="none"/>
              </w:rPr>
            </w:pPr>
            <w:r>
              <w:rPr>
                <w:rFonts w:hint="eastAsia" w:ascii="宋体" w:hAnsi="宋体"/>
                <w:b/>
                <w:bCs/>
                <w:color w:val="auto"/>
                <w:sz w:val="24"/>
                <w:highlight w:val="none"/>
              </w:rPr>
              <w:t>（3）数字化病案复印</w:t>
            </w:r>
          </w:p>
          <w:p>
            <w:pPr>
              <w:spacing w:line="360" w:lineRule="auto"/>
              <w:rPr>
                <w:rFonts w:ascii="宋体" w:hAnsi="宋体"/>
                <w:color w:val="auto"/>
                <w:sz w:val="24"/>
                <w:highlight w:val="none"/>
              </w:rPr>
            </w:pPr>
            <w:r>
              <w:rPr>
                <w:rFonts w:hint="eastAsia" w:ascii="宋体" w:hAnsi="宋体"/>
                <w:b/>
                <w:bCs/>
                <w:color w:val="auto"/>
                <w:sz w:val="24"/>
                <w:highlight w:val="none"/>
              </w:rPr>
              <w:t>病案复印（数字化）：</w:t>
            </w:r>
            <w:r>
              <w:rPr>
                <w:rFonts w:hint="eastAsia" w:ascii="宋体" w:hAnsi="宋体"/>
                <w:color w:val="auto"/>
                <w:sz w:val="24"/>
                <w:highlight w:val="none"/>
              </w:rPr>
              <w:t>支持对邮寄登记好的病案进行复印，支持患者申请证件采集。</w:t>
            </w:r>
          </w:p>
          <w:p>
            <w:pPr>
              <w:spacing w:line="360" w:lineRule="auto"/>
              <w:rPr>
                <w:rFonts w:ascii="宋体" w:hAnsi="宋体"/>
                <w:color w:val="auto"/>
                <w:sz w:val="24"/>
                <w:highlight w:val="none"/>
              </w:rPr>
            </w:pPr>
            <w:r>
              <w:rPr>
                <w:rFonts w:hint="eastAsia" w:ascii="宋体" w:hAnsi="宋体"/>
                <w:b/>
                <w:bCs/>
                <w:color w:val="auto"/>
                <w:sz w:val="24"/>
                <w:highlight w:val="none"/>
              </w:rPr>
              <w:t>病案复印邮寄（数字化）：</w:t>
            </w:r>
            <w:r>
              <w:rPr>
                <w:rFonts w:hint="eastAsia" w:ascii="宋体" w:hAnsi="宋体"/>
                <w:color w:val="auto"/>
                <w:sz w:val="24"/>
                <w:highlight w:val="none"/>
              </w:rPr>
              <w:t>支持对需要邮寄的病案进行邮寄登记。</w:t>
            </w:r>
          </w:p>
          <w:p>
            <w:pPr>
              <w:spacing w:line="360" w:lineRule="auto"/>
              <w:rPr>
                <w:rFonts w:ascii="宋体" w:hAnsi="宋体"/>
                <w:color w:val="auto"/>
                <w:sz w:val="24"/>
                <w:highlight w:val="none"/>
              </w:rPr>
            </w:pPr>
            <w:r>
              <w:rPr>
                <w:rFonts w:hint="eastAsia" w:ascii="宋体" w:hAnsi="宋体"/>
                <w:b/>
                <w:bCs/>
                <w:color w:val="auto"/>
                <w:sz w:val="24"/>
                <w:highlight w:val="none"/>
              </w:rPr>
              <w:t>病案邮寄查询（数字化）：</w:t>
            </w:r>
            <w:r>
              <w:rPr>
                <w:rFonts w:hint="eastAsia" w:ascii="宋体" w:hAnsi="宋体"/>
                <w:color w:val="auto"/>
                <w:sz w:val="24"/>
                <w:highlight w:val="none"/>
              </w:rPr>
              <w:t>支持查询病案邮寄记录。</w:t>
            </w:r>
          </w:p>
          <w:p>
            <w:pPr>
              <w:spacing w:line="360" w:lineRule="auto"/>
              <w:rPr>
                <w:rFonts w:ascii="宋体" w:hAnsi="宋体"/>
                <w:b/>
                <w:bCs/>
                <w:color w:val="auto"/>
                <w:sz w:val="24"/>
                <w:highlight w:val="none"/>
              </w:rPr>
            </w:pPr>
            <w:r>
              <w:rPr>
                <w:rFonts w:hint="eastAsia" w:ascii="宋体" w:hAnsi="宋体"/>
                <w:b/>
                <w:bCs/>
                <w:color w:val="auto"/>
                <w:sz w:val="24"/>
                <w:highlight w:val="none"/>
              </w:rPr>
              <w:t>（4）数字化病案借阅</w:t>
            </w:r>
          </w:p>
          <w:p>
            <w:pPr>
              <w:spacing w:line="360" w:lineRule="auto"/>
              <w:rPr>
                <w:rFonts w:ascii="宋体" w:hAnsi="宋体"/>
                <w:b/>
                <w:bCs/>
                <w:color w:val="auto"/>
                <w:sz w:val="24"/>
                <w:highlight w:val="none"/>
              </w:rPr>
            </w:pPr>
            <w:r>
              <w:rPr>
                <w:rFonts w:hint="eastAsia" w:ascii="宋体" w:hAnsi="宋体"/>
                <w:b/>
                <w:bCs/>
                <w:color w:val="auto"/>
                <w:sz w:val="24"/>
                <w:highlight w:val="none"/>
              </w:rPr>
              <w:t>病案借阅（数字化）：</w:t>
            </w:r>
          </w:p>
          <w:p>
            <w:pPr>
              <w:spacing w:line="360" w:lineRule="auto"/>
              <w:rPr>
                <w:rFonts w:ascii="宋体" w:hAnsi="宋体"/>
                <w:color w:val="auto"/>
                <w:sz w:val="24"/>
                <w:highlight w:val="none"/>
              </w:rPr>
            </w:pPr>
            <w:r>
              <w:rPr>
                <w:rFonts w:hint="eastAsia" w:ascii="宋体" w:hAnsi="宋体"/>
                <w:color w:val="auto"/>
                <w:sz w:val="24"/>
                <w:highlight w:val="none"/>
              </w:rPr>
              <w:t>1、支持按照患者姓名、病案号查询病案检索列表。</w:t>
            </w:r>
          </w:p>
          <w:p>
            <w:pPr>
              <w:spacing w:line="360" w:lineRule="auto"/>
              <w:rPr>
                <w:rFonts w:ascii="宋体" w:hAnsi="宋体"/>
                <w:color w:val="auto"/>
                <w:sz w:val="24"/>
                <w:highlight w:val="none"/>
              </w:rPr>
            </w:pPr>
            <w:r>
              <w:rPr>
                <w:rFonts w:hint="eastAsia" w:ascii="宋体" w:hAnsi="宋体"/>
                <w:color w:val="auto"/>
                <w:sz w:val="24"/>
                <w:highlight w:val="none"/>
              </w:rPr>
              <w:t>2、支持选中患者申请借阅。</w:t>
            </w:r>
          </w:p>
          <w:p>
            <w:pPr>
              <w:spacing w:line="360" w:lineRule="auto"/>
              <w:rPr>
                <w:rFonts w:ascii="宋体" w:hAnsi="宋体"/>
                <w:color w:val="auto"/>
                <w:sz w:val="24"/>
                <w:highlight w:val="none"/>
              </w:rPr>
            </w:pPr>
            <w:r>
              <w:rPr>
                <w:rFonts w:hint="eastAsia" w:ascii="宋体" w:hAnsi="宋体"/>
                <w:color w:val="auto"/>
                <w:sz w:val="24"/>
                <w:highlight w:val="none"/>
              </w:rPr>
              <w:t>3、支持批量借阅。</w:t>
            </w:r>
          </w:p>
          <w:p>
            <w:pPr>
              <w:spacing w:line="360" w:lineRule="auto"/>
              <w:rPr>
                <w:rFonts w:ascii="宋体" w:hAnsi="宋体"/>
                <w:b/>
                <w:bCs/>
                <w:color w:val="auto"/>
                <w:sz w:val="24"/>
                <w:highlight w:val="none"/>
              </w:rPr>
            </w:pPr>
            <w:r>
              <w:rPr>
                <w:rFonts w:hint="eastAsia" w:ascii="宋体" w:hAnsi="宋体"/>
                <w:b/>
                <w:bCs/>
                <w:color w:val="auto"/>
                <w:sz w:val="24"/>
                <w:highlight w:val="none"/>
              </w:rPr>
              <w:t>借阅列表（数字化）：</w:t>
            </w:r>
          </w:p>
          <w:p>
            <w:pPr>
              <w:spacing w:line="360" w:lineRule="auto"/>
              <w:rPr>
                <w:rFonts w:ascii="宋体" w:hAnsi="宋体"/>
                <w:color w:val="auto"/>
                <w:sz w:val="24"/>
                <w:highlight w:val="none"/>
              </w:rPr>
            </w:pPr>
            <w:r>
              <w:rPr>
                <w:rFonts w:hint="eastAsia" w:ascii="宋体" w:hAnsi="宋体"/>
                <w:color w:val="auto"/>
                <w:sz w:val="24"/>
                <w:highlight w:val="none"/>
              </w:rPr>
              <w:t>1、支持按照病案号、患者姓名、借阅申请状态查询已借阅病案列表。</w:t>
            </w:r>
          </w:p>
          <w:p>
            <w:pPr>
              <w:spacing w:line="360" w:lineRule="auto"/>
              <w:rPr>
                <w:rFonts w:ascii="宋体" w:hAnsi="宋体"/>
                <w:color w:val="auto"/>
                <w:sz w:val="24"/>
                <w:highlight w:val="none"/>
              </w:rPr>
            </w:pPr>
            <w:r>
              <w:rPr>
                <w:rFonts w:hint="eastAsia" w:ascii="宋体" w:hAnsi="宋体"/>
                <w:color w:val="auto"/>
                <w:sz w:val="24"/>
                <w:highlight w:val="none"/>
              </w:rPr>
              <w:t>2、支持查看已借阅病案文件。</w:t>
            </w:r>
          </w:p>
          <w:p>
            <w:pPr>
              <w:spacing w:line="360" w:lineRule="auto"/>
              <w:rPr>
                <w:rFonts w:ascii="宋体" w:hAnsi="宋体"/>
                <w:color w:val="auto"/>
                <w:sz w:val="24"/>
                <w:highlight w:val="none"/>
              </w:rPr>
            </w:pPr>
            <w:r>
              <w:rPr>
                <w:rFonts w:hint="eastAsia" w:ascii="宋体" w:hAnsi="宋体"/>
                <w:color w:val="auto"/>
                <w:sz w:val="24"/>
                <w:highlight w:val="none"/>
              </w:rPr>
              <w:t>3、支持归还病案。</w:t>
            </w:r>
          </w:p>
          <w:p>
            <w:pPr>
              <w:spacing w:line="360" w:lineRule="auto"/>
              <w:rPr>
                <w:rFonts w:ascii="宋体" w:hAnsi="宋体"/>
                <w:b/>
                <w:bCs/>
                <w:color w:val="auto"/>
                <w:sz w:val="24"/>
                <w:highlight w:val="none"/>
              </w:rPr>
            </w:pPr>
            <w:r>
              <w:rPr>
                <w:rFonts w:hint="eastAsia" w:ascii="宋体" w:hAnsi="宋体"/>
                <w:b/>
                <w:bCs/>
                <w:color w:val="auto"/>
                <w:sz w:val="24"/>
                <w:highlight w:val="none"/>
              </w:rPr>
              <w:t>（5）数字化病案封存</w:t>
            </w:r>
          </w:p>
          <w:p>
            <w:pPr>
              <w:spacing w:line="360" w:lineRule="auto"/>
              <w:rPr>
                <w:rFonts w:ascii="宋体" w:hAnsi="宋体"/>
                <w:b/>
                <w:bCs/>
                <w:color w:val="auto"/>
                <w:sz w:val="24"/>
                <w:highlight w:val="none"/>
              </w:rPr>
            </w:pPr>
            <w:r>
              <w:rPr>
                <w:rFonts w:hint="eastAsia" w:ascii="宋体" w:hAnsi="宋体"/>
                <w:b/>
                <w:bCs/>
                <w:color w:val="auto"/>
                <w:sz w:val="24"/>
                <w:highlight w:val="none"/>
              </w:rPr>
              <w:t>病案封存（数字化）：</w:t>
            </w:r>
          </w:p>
          <w:p>
            <w:pPr>
              <w:spacing w:line="360" w:lineRule="auto"/>
              <w:rPr>
                <w:rFonts w:ascii="宋体" w:hAnsi="宋体"/>
                <w:color w:val="auto"/>
                <w:sz w:val="24"/>
                <w:highlight w:val="none"/>
              </w:rPr>
            </w:pPr>
            <w:r>
              <w:rPr>
                <w:rFonts w:hint="eastAsia" w:ascii="宋体" w:hAnsi="宋体"/>
                <w:color w:val="auto"/>
                <w:sz w:val="24"/>
                <w:highlight w:val="none"/>
              </w:rPr>
              <w:t>1、支持按照患者姓名、病案号查询病案检索列表。</w:t>
            </w:r>
          </w:p>
          <w:p>
            <w:pPr>
              <w:spacing w:line="360" w:lineRule="auto"/>
              <w:rPr>
                <w:rFonts w:ascii="宋体" w:hAnsi="宋体"/>
                <w:color w:val="auto"/>
                <w:sz w:val="24"/>
                <w:highlight w:val="none"/>
              </w:rPr>
            </w:pPr>
            <w:r>
              <w:rPr>
                <w:rFonts w:hint="eastAsia" w:ascii="宋体" w:hAnsi="宋体"/>
                <w:color w:val="auto"/>
                <w:sz w:val="24"/>
                <w:highlight w:val="none"/>
              </w:rPr>
              <w:t>2、支持选中患者病案封存。</w:t>
            </w:r>
          </w:p>
          <w:p>
            <w:pPr>
              <w:spacing w:line="360" w:lineRule="auto"/>
              <w:rPr>
                <w:rFonts w:ascii="宋体" w:hAnsi="宋体"/>
                <w:color w:val="auto"/>
                <w:sz w:val="24"/>
                <w:highlight w:val="none"/>
              </w:rPr>
            </w:pPr>
            <w:r>
              <w:rPr>
                <w:rFonts w:hint="eastAsia" w:ascii="宋体" w:hAnsi="宋体"/>
                <w:color w:val="auto"/>
                <w:sz w:val="24"/>
                <w:highlight w:val="none"/>
              </w:rPr>
              <w:t>3、支持病案部分封存。</w:t>
            </w:r>
          </w:p>
          <w:p>
            <w:pPr>
              <w:spacing w:line="360" w:lineRule="auto"/>
              <w:rPr>
                <w:rFonts w:ascii="宋体" w:hAnsi="宋体"/>
                <w:color w:val="auto"/>
                <w:sz w:val="24"/>
                <w:highlight w:val="none"/>
              </w:rPr>
            </w:pPr>
            <w:r>
              <w:rPr>
                <w:rFonts w:hint="eastAsia" w:ascii="宋体" w:hAnsi="宋体"/>
                <w:b/>
                <w:bCs/>
                <w:color w:val="auto"/>
                <w:sz w:val="24"/>
                <w:highlight w:val="none"/>
              </w:rPr>
              <w:t>病案解封（数字化）：</w:t>
            </w:r>
            <w:r>
              <w:rPr>
                <w:rFonts w:hint="eastAsia" w:ascii="宋体" w:hAnsi="宋体"/>
                <w:color w:val="auto"/>
                <w:sz w:val="24"/>
                <w:highlight w:val="none"/>
              </w:rPr>
              <w:t>支持病案解封。</w:t>
            </w:r>
          </w:p>
          <w:p>
            <w:pPr>
              <w:spacing w:line="360" w:lineRule="auto"/>
              <w:rPr>
                <w:rFonts w:ascii="宋体" w:hAnsi="宋体"/>
                <w:b/>
                <w:bCs/>
                <w:color w:val="auto"/>
                <w:sz w:val="24"/>
                <w:highlight w:val="none"/>
              </w:rPr>
            </w:pPr>
            <w:r>
              <w:rPr>
                <w:rFonts w:hint="eastAsia" w:ascii="宋体" w:hAnsi="宋体"/>
                <w:b/>
                <w:bCs/>
                <w:color w:val="auto"/>
                <w:sz w:val="24"/>
                <w:highlight w:val="none"/>
              </w:rPr>
              <w:t>（6）数字化病案质控</w:t>
            </w:r>
          </w:p>
          <w:p>
            <w:pPr>
              <w:spacing w:line="360" w:lineRule="auto"/>
              <w:rPr>
                <w:rFonts w:ascii="宋体" w:hAnsi="宋体"/>
                <w:b/>
                <w:bCs/>
                <w:color w:val="auto"/>
                <w:sz w:val="24"/>
                <w:highlight w:val="none"/>
              </w:rPr>
            </w:pPr>
            <w:r>
              <w:rPr>
                <w:rFonts w:hint="eastAsia" w:ascii="宋体" w:hAnsi="宋体"/>
                <w:b/>
                <w:bCs/>
                <w:color w:val="auto"/>
                <w:sz w:val="24"/>
                <w:highlight w:val="none"/>
              </w:rPr>
              <w:t>病案首页质控工作（数字化）：</w:t>
            </w:r>
          </w:p>
          <w:p>
            <w:pPr>
              <w:spacing w:line="360" w:lineRule="auto"/>
              <w:rPr>
                <w:rFonts w:ascii="宋体" w:hAnsi="宋体"/>
                <w:color w:val="auto"/>
                <w:sz w:val="24"/>
                <w:highlight w:val="none"/>
              </w:rPr>
            </w:pPr>
            <w:r>
              <w:rPr>
                <w:rFonts w:hint="eastAsia" w:ascii="宋体" w:hAnsi="宋体"/>
                <w:color w:val="auto"/>
                <w:sz w:val="24"/>
                <w:highlight w:val="none"/>
              </w:rPr>
              <w:t>1、支持病案首页质控。</w:t>
            </w:r>
          </w:p>
          <w:p>
            <w:pPr>
              <w:spacing w:line="360" w:lineRule="auto"/>
              <w:rPr>
                <w:rFonts w:ascii="宋体" w:hAnsi="宋体"/>
                <w:color w:val="auto"/>
                <w:sz w:val="24"/>
                <w:highlight w:val="none"/>
              </w:rPr>
            </w:pPr>
            <w:r>
              <w:rPr>
                <w:rFonts w:hint="eastAsia" w:ascii="宋体" w:hAnsi="宋体"/>
                <w:color w:val="auto"/>
                <w:sz w:val="24"/>
                <w:highlight w:val="none"/>
              </w:rPr>
              <w:t>2、支持通过患者姓名、科室、住院号、是否已质控、首页是否已提交、出院时间查询患者完成质控的记录。</w:t>
            </w:r>
          </w:p>
          <w:p>
            <w:pPr>
              <w:spacing w:line="360" w:lineRule="auto"/>
              <w:rPr>
                <w:rFonts w:ascii="宋体" w:hAnsi="宋体"/>
                <w:color w:val="auto"/>
                <w:sz w:val="24"/>
                <w:highlight w:val="none"/>
              </w:rPr>
            </w:pPr>
            <w:r>
              <w:rPr>
                <w:rFonts w:hint="eastAsia" w:ascii="宋体" w:hAnsi="宋体"/>
                <w:color w:val="auto"/>
                <w:sz w:val="24"/>
                <w:highlight w:val="none"/>
              </w:rPr>
              <w:t>3、支持对患者病案首页按照事先维护的质控项目对比，不满足项提交缺陷。</w:t>
            </w:r>
          </w:p>
        </w:tc>
      </w:tr>
    </w:tbl>
    <w:p>
      <w:pPr>
        <w:pStyle w:val="7"/>
        <w:numPr>
          <w:ilvl w:val="4"/>
          <w:numId w:val="8"/>
        </w:numPr>
        <w:rPr>
          <w:rFonts w:ascii="宋体" w:hAnsi="宋体"/>
          <w:color w:val="auto"/>
          <w:szCs w:val="24"/>
          <w:highlight w:val="none"/>
        </w:rPr>
      </w:pPr>
      <w:bookmarkStart w:id="639" w:name="_Toc17697"/>
      <w:r>
        <w:rPr>
          <w:rFonts w:hint="eastAsia" w:ascii="宋体" w:hAnsi="宋体"/>
          <w:color w:val="auto"/>
          <w:szCs w:val="24"/>
          <w:highlight w:val="none"/>
        </w:rPr>
        <w:t>院内多学科协作诊疗</w:t>
      </w:r>
      <w:bookmarkEnd w:id="639"/>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多学科协作诊疗（Multidisciplinary team, MDT）是指临床多个学科针对一个临床疾病，依托多学科团队，通过多学科的讨论，重点讨论患者在疾病诊断和治疗中的问题，制定最合理的规范化、个体化、连续性的综合治疗方案。</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trPr>
        <w:tc>
          <w:tcPr>
            <w:tcW w:w="1980"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系统</w:t>
            </w:r>
          </w:p>
        </w:tc>
        <w:tc>
          <w:tcPr>
            <w:tcW w:w="7087"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多学科协作诊疗</w:t>
            </w:r>
          </w:p>
        </w:tc>
        <w:tc>
          <w:tcPr>
            <w:tcW w:w="7087" w:type="dxa"/>
          </w:tcPr>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 xml:space="preserve">支持利用医嘱、电子病历、临床路径等临床信息，通过多学科诊疗信息的融合，实现多学科诊疗模式的信息化管理。 </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 xml:space="preserve">支持实现多学科会诊和多学科科研等，具备科室管理、申请管理、协作结果管理、 会诊级别管理、主动干预提醒、效果评价等功能。 </w:t>
            </w:r>
          </w:p>
          <w:p>
            <w:pPr>
              <w:pStyle w:val="201"/>
              <w:numPr>
                <w:ilvl w:val="0"/>
                <w:numId w:val="9"/>
              </w:numPr>
              <w:spacing w:before="0"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支持患者信息共享，包括患者基本信息、费用信息、电子病历、检查检验等信息。</w:t>
            </w:r>
          </w:p>
        </w:tc>
      </w:tr>
    </w:tbl>
    <w:p>
      <w:pPr>
        <w:spacing w:line="360" w:lineRule="auto"/>
        <w:ind w:firstLine="480" w:firstLineChars="200"/>
        <w:rPr>
          <w:rFonts w:ascii="宋体" w:hAnsi="宋体"/>
          <w:color w:val="auto"/>
          <w:sz w:val="24"/>
          <w:highlight w:val="none"/>
        </w:rPr>
      </w:pPr>
    </w:p>
    <w:p>
      <w:pPr>
        <w:pStyle w:val="7"/>
        <w:numPr>
          <w:ilvl w:val="4"/>
          <w:numId w:val="8"/>
        </w:numPr>
        <w:rPr>
          <w:rFonts w:ascii="宋体" w:hAnsi="宋体"/>
          <w:color w:val="auto"/>
          <w:szCs w:val="24"/>
          <w:highlight w:val="none"/>
        </w:rPr>
      </w:pPr>
      <w:bookmarkStart w:id="640" w:name="_Toc12754"/>
      <w:r>
        <w:rPr>
          <w:rFonts w:hint="eastAsia" w:ascii="宋体" w:hAnsi="宋体"/>
          <w:color w:val="auto"/>
          <w:szCs w:val="24"/>
          <w:highlight w:val="none"/>
        </w:rPr>
        <w:t>医疗统计系统</w:t>
      </w:r>
      <w:bookmarkEnd w:id="640"/>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医疗统计系统需满足以下功能：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trPr>
        <w:tc>
          <w:tcPr>
            <w:tcW w:w="1980"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7087"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医疗统计系统</w:t>
            </w:r>
          </w:p>
        </w:tc>
        <w:tc>
          <w:tcPr>
            <w:tcW w:w="7087" w:type="dxa"/>
          </w:tcPr>
          <w:p>
            <w:pPr>
              <w:pStyle w:val="130"/>
              <w:ind w:firstLine="0"/>
              <w:rPr>
                <w:rFonts w:ascii="宋体" w:hAnsi="宋体"/>
                <w:color w:val="auto"/>
                <w:szCs w:val="24"/>
                <w:highlight w:val="none"/>
              </w:rPr>
            </w:pPr>
            <w:r>
              <w:rPr>
                <w:rFonts w:hint="eastAsia" w:ascii="宋体" w:hAnsi="宋体"/>
                <w:b/>
                <w:color w:val="auto"/>
                <w:szCs w:val="24"/>
                <w:highlight w:val="none"/>
              </w:rPr>
              <w:t>门诊流量分析：支持</w:t>
            </w:r>
            <w:r>
              <w:rPr>
                <w:rFonts w:hint="eastAsia" w:ascii="宋体" w:hAnsi="宋体"/>
                <w:color w:val="auto"/>
                <w:szCs w:val="24"/>
                <w:highlight w:val="none"/>
              </w:rPr>
              <w:t>用于统计指定日期区间内，门急诊诊量动态人数和占比。</w:t>
            </w:r>
          </w:p>
          <w:p>
            <w:pPr>
              <w:pStyle w:val="130"/>
              <w:ind w:firstLine="0"/>
              <w:rPr>
                <w:rFonts w:ascii="宋体" w:hAnsi="宋体"/>
                <w:color w:val="auto"/>
                <w:szCs w:val="24"/>
                <w:highlight w:val="none"/>
              </w:rPr>
            </w:pPr>
            <w:r>
              <w:rPr>
                <w:rFonts w:hint="eastAsia" w:ascii="宋体" w:hAnsi="宋体"/>
                <w:b/>
                <w:color w:val="auto"/>
                <w:szCs w:val="24"/>
                <w:highlight w:val="none"/>
              </w:rPr>
              <w:t>分诊工作量统计：支持</w:t>
            </w:r>
            <w:r>
              <w:rPr>
                <w:rFonts w:hint="eastAsia" w:ascii="宋体" w:hAnsi="宋体"/>
                <w:color w:val="auto"/>
                <w:szCs w:val="24"/>
                <w:highlight w:val="none"/>
              </w:rPr>
              <w:t>用于统计分诊工作量。</w:t>
            </w:r>
          </w:p>
          <w:p>
            <w:pPr>
              <w:pStyle w:val="130"/>
              <w:ind w:firstLine="0"/>
              <w:rPr>
                <w:rFonts w:ascii="宋体" w:hAnsi="宋体"/>
                <w:color w:val="auto"/>
                <w:szCs w:val="24"/>
                <w:highlight w:val="none"/>
              </w:rPr>
            </w:pPr>
            <w:r>
              <w:rPr>
                <w:rFonts w:hint="eastAsia" w:ascii="宋体" w:hAnsi="宋体"/>
                <w:b/>
                <w:color w:val="auto"/>
                <w:szCs w:val="24"/>
                <w:highlight w:val="none"/>
              </w:rPr>
              <w:t>门急诊指标分析：支持</w:t>
            </w:r>
            <w:r>
              <w:rPr>
                <w:rFonts w:hint="eastAsia" w:ascii="宋体" w:hAnsi="宋体"/>
                <w:color w:val="auto"/>
                <w:szCs w:val="24"/>
                <w:highlight w:val="none"/>
              </w:rPr>
              <w:t>用于门急诊指标分析，含门急诊人次、各级医师出门诊次数等。</w:t>
            </w:r>
          </w:p>
          <w:p>
            <w:pPr>
              <w:pStyle w:val="130"/>
              <w:ind w:firstLine="0"/>
              <w:rPr>
                <w:rFonts w:ascii="宋体" w:hAnsi="宋体"/>
                <w:color w:val="auto"/>
                <w:szCs w:val="24"/>
                <w:highlight w:val="none"/>
              </w:rPr>
            </w:pPr>
            <w:r>
              <w:rPr>
                <w:rFonts w:hint="eastAsia" w:ascii="宋体" w:hAnsi="宋体"/>
                <w:b/>
                <w:color w:val="auto"/>
                <w:szCs w:val="24"/>
                <w:highlight w:val="none"/>
              </w:rPr>
              <w:t>门诊患者清单：支持</w:t>
            </w:r>
            <w:r>
              <w:rPr>
                <w:rFonts w:hint="eastAsia" w:ascii="宋体" w:hAnsi="宋体"/>
                <w:color w:val="auto"/>
                <w:szCs w:val="24"/>
                <w:highlight w:val="none"/>
              </w:rPr>
              <w:t>用于统计指定日期的门诊患者清单，主要包括就诊号、患者分类、患者姓名、性别、出生年月、过敏药物、工作单位、就诊日期、就诊次数等信息。</w:t>
            </w:r>
          </w:p>
          <w:p>
            <w:pPr>
              <w:pStyle w:val="130"/>
              <w:ind w:firstLine="0"/>
              <w:rPr>
                <w:rFonts w:ascii="宋体" w:hAnsi="宋体"/>
                <w:color w:val="auto"/>
                <w:szCs w:val="24"/>
                <w:highlight w:val="none"/>
              </w:rPr>
            </w:pPr>
            <w:r>
              <w:rPr>
                <w:rFonts w:hint="eastAsia" w:ascii="宋体" w:hAnsi="宋体"/>
                <w:b/>
                <w:color w:val="auto"/>
                <w:szCs w:val="24"/>
                <w:highlight w:val="none"/>
              </w:rPr>
              <w:t>医保代办人信息查询：支持</w:t>
            </w:r>
            <w:r>
              <w:rPr>
                <w:rFonts w:hint="eastAsia" w:ascii="宋体" w:hAnsi="宋体"/>
                <w:color w:val="auto"/>
                <w:szCs w:val="24"/>
                <w:highlight w:val="none"/>
              </w:rPr>
              <w:t>用于查询医保待办人信息，含患者编码、患者姓名、就诊日期、证件号、联系电话、待办人、待办人类型、待办人电话、待办人证件等信息。</w:t>
            </w:r>
          </w:p>
          <w:p>
            <w:pPr>
              <w:pStyle w:val="130"/>
              <w:ind w:firstLine="0"/>
              <w:rPr>
                <w:rFonts w:ascii="宋体" w:hAnsi="宋体"/>
                <w:b/>
                <w:color w:val="auto"/>
                <w:szCs w:val="24"/>
                <w:highlight w:val="none"/>
              </w:rPr>
            </w:pPr>
            <w:r>
              <w:rPr>
                <w:rFonts w:hint="eastAsia" w:ascii="宋体" w:hAnsi="宋体"/>
                <w:b/>
                <w:color w:val="auto"/>
                <w:szCs w:val="24"/>
                <w:highlight w:val="none"/>
              </w:rPr>
              <w:t>住院统计</w:t>
            </w:r>
          </w:p>
          <w:p>
            <w:pPr>
              <w:pStyle w:val="130"/>
              <w:ind w:firstLine="0"/>
              <w:rPr>
                <w:rFonts w:ascii="宋体" w:hAnsi="宋体"/>
                <w:color w:val="auto"/>
                <w:szCs w:val="24"/>
                <w:highlight w:val="none"/>
              </w:rPr>
            </w:pPr>
            <w:r>
              <w:rPr>
                <w:rFonts w:hint="eastAsia" w:ascii="宋体" w:hAnsi="宋体"/>
                <w:b/>
                <w:color w:val="auto"/>
                <w:szCs w:val="24"/>
                <w:highlight w:val="none"/>
              </w:rPr>
              <w:t>科室资源状况报表：</w:t>
            </w:r>
            <w:r>
              <w:rPr>
                <w:rFonts w:hint="eastAsia" w:ascii="宋体" w:hAnsi="宋体"/>
                <w:color w:val="auto"/>
                <w:szCs w:val="24"/>
                <w:highlight w:val="none"/>
              </w:rPr>
              <w:t>支持科室资源状况报表，显示病区的床位编制情况和床位使用状况。</w:t>
            </w:r>
          </w:p>
          <w:p>
            <w:pPr>
              <w:pStyle w:val="130"/>
              <w:ind w:firstLine="0"/>
              <w:rPr>
                <w:rFonts w:ascii="宋体" w:hAnsi="宋体"/>
                <w:color w:val="auto"/>
                <w:szCs w:val="24"/>
                <w:highlight w:val="none"/>
              </w:rPr>
            </w:pPr>
            <w:r>
              <w:rPr>
                <w:rFonts w:hint="eastAsia" w:ascii="宋体" w:hAnsi="宋体"/>
                <w:b/>
                <w:color w:val="auto"/>
                <w:szCs w:val="24"/>
                <w:highlight w:val="none"/>
              </w:rPr>
              <w:t>出入转科查询：</w:t>
            </w:r>
            <w:r>
              <w:rPr>
                <w:rFonts w:hint="eastAsia" w:ascii="宋体" w:hAnsi="宋体"/>
                <w:color w:val="auto"/>
                <w:szCs w:val="24"/>
                <w:highlight w:val="none"/>
              </w:rPr>
              <w:t>支持用于转科信息查询，按照转科时间段，转出科室、转入科室等信息，统计转科情况。</w:t>
            </w:r>
          </w:p>
          <w:p>
            <w:pPr>
              <w:pStyle w:val="130"/>
              <w:ind w:firstLine="0"/>
              <w:rPr>
                <w:rFonts w:ascii="宋体" w:hAnsi="宋体"/>
                <w:color w:val="auto"/>
                <w:szCs w:val="24"/>
                <w:highlight w:val="none"/>
              </w:rPr>
            </w:pPr>
            <w:r>
              <w:rPr>
                <w:rFonts w:hint="eastAsia" w:ascii="宋体" w:hAnsi="宋体"/>
                <w:b/>
                <w:color w:val="auto"/>
                <w:szCs w:val="24"/>
                <w:highlight w:val="none"/>
              </w:rPr>
              <w:t>出院未保存病案首页列表：</w:t>
            </w:r>
            <w:r>
              <w:rPr>
                <w:rFonts w:hint="eastAsia" w:ascii="宋体" w:hAnsi="宋体"/>
                <w:color w:val="auto"/>
                <w:szCs w:val="24"/>
                <w:highlight w:val="none"/>
              </w:rPr>
              <w:t>支持用于查询出院未保存病案首页列表。</w:t>
            </w:r>
          </w:p>
          <w:p>
            <w:pPr>
              <w:pStyle w:val="130"/>
              <w:ind w:firstLine="0"/>
              <w:rPr>
                <w:rFonts w:ascii="宋体" w:hAnsi="宋体"/>
                <w:color w:val="auto"/>
                <w:szCs w:val="24"/>
                <w:highlight w:val="none"/>
              </w:rPr>
            </w:pPr>
            <w:r>
              <w:rPr>
                <w:rFonts w:hint="eastAsia" w:ascii="宋体" w:hAnsi="宋体"/>
                <w:b/>
                <w:color w:val="auto"/>
                <w:szCs w:val="24"/>
                <w:highlight w:val="none"/>
              </w:rPr>
              <w:t>出院患者重点监控：</w:t>
            </w:r>
            <w:r>
              <w:rPr>
                <w:rFonts w:hint="eastAsia" w:ascii="宋体" w:hAnsi="宋体"/>
                <w:color w:val="auto"/>
                <w:szCs w:val="24"/>
                <w:highlight w:val="none"/>
              </w:rPr>
              <w:t>支持用于统计住院患者重点监控指标，含科室名称、总收入、出院人次、住院天数、平均住院天数、药品金额、基药常药金额、药占比、基常药占比、检查金额、检查比等。</w:t>
            </w:r>
          </w:p>
          <w:p>
            <w:pPr>
              <w:pStyle w:val="130"/>
              <w:ind w:firstLine="0"/>
              <w:rPr>
                <w:rFonts w:ascii="宋体" w:hAnsi="宋体"/>
                <w:color w:val="auto"/>
                <w:szCs w:val="24"/>
                <w:highlight w:val="none"/>
              </w:rPr>
            </w:pPr>
            <w:r>
              <w:rPr>
                <w:rFonts w:hint="eastAsia" w:ascii="宋体" w:hAnsi="宋体"/>
                <w:b/>
                <w:color w:val="auto"/>
                <w:szCs w:val="24"/>
                <w:highlight w:val="none"/>
              </w:rPr>
              <w:t>住院病人来源构成：</w:t>
            </w:r>
            <w:r>
              <w:rPr>
                <w:rFonts w:hint="eastAsia" w:ascii="宋体" w:hAnsi="宋体"/>
                <w:color w:val="auto"/>
                <w:szCs w:val="24"/>
                <w:highlight w:val="none"/>
              </w:rPr>
              <w:t>支持用于统计住院病人来源构成。</w:t>
            </w:r>
          </w:p>
          <w:p>
            <w:pPr>
              <w:pStyle w:val="130"/>
              <w:ind w:firstLine="0"/>
              <w:rPr>
                <w:rFonts w:ascii="宋体" w:hAnsi="宋体"/>
                <w:color w:val="auto"/>
                <w:szCs w:val="24"/>
                <w:highlight w:val="none"/>
              </w:rPr>
            </w:pPr>
            <w:r>
              <w:rPr>
                <w:rFonts w:hint="eastAsia" w:ascii="宋体" w:hAnsi="宋体"/>
                <w:b/>
                <w:color w:val="auto"/>
                <w:szCs w:val="24"/>
                <w:highlight w:val="none"/>
              </w:rPr>
              <w:t>出院病人回访：</w:t>
            </w:r>
            <w:r>
              <w:rPr>
                <w:rFonts w:hint="eastAsia" w:ascii="宋体" w:hAnsi="宋体"/>
                <w:color w:val="auto"/>
                <w:szCs w:val="24"/>
                <w:highlight w:val="none"/>
              </w:rPr>
              <w:t>支持出院病人回访报表。</w:t>
            </w:r>
          </w:p>
          <w:p>
            <w:pPr>
              <w:pStyle w:val="130"/>
              <w:ind w:firstLine="0"/>
              <w:rPr>
                <w:rFonts w:ascii="宋体" w:hAnsi="宋体"/>
                <w:color w:val="auto"/>
                <w:szCs w:val="24"/>
                <w:highlight w:val="none"/>
              </w:rPr>
            </w:pPr>
            <w:r>
              <w:rPr>
                <w:rFonts w:hint="eastAsia" w:ascii="宋体" w:hAnsi="宋体"/>
                <w:b/>
                <w:color w:val="auto"/>
                <w:szCs w:val="24"/>
                <w:highlight w:val="none"/>
              </w:rPr>
              <w:t>住院科室日报：</w:t>
            </w:r>
            <w:r>
              <w:rPr>
                <w:rFonts w:hint="eastAsia" w:ascii="宋体" w:hAnsi="宋体"/>
                <w:color w:val="auto"/>
                <w:szCs w:val="24"/>
                <w:highlight w:val="none"/>
              </w:rPr>
              <w:t>支持住院科室日报统计。</w:t>
            </w:r>
          </w:p>
          <w:p>
            <w:pPr>
              <w:pStyle w:val="130"/>
              <w:ind w:firstLine="0"/>
              <w:rPr>
                <w:rFonts w:ascii="宋体" w:hAnsi="宋体"/>
                <w:color w:val="auto"/>
                <w:szCs w:val="24"/>
                <w:highlight w:val="none"/>
              </w:rPr>
            </w:pPr>
            <w:r>
              <w:rPr>
                <w:rFonts w:hint="eastAsia" w:ascii="宋体" w:hAnsi="宋体"/>
                <w:b/>
                <w:color w:val="auto"/>
                <w:szCs w:val="24"/>
                <w:highlight w:val="none"/>
              </w:rPr>
              <w:t>在院危重病人清单：</w:t>
            </w:r>
            <w:r>
              <w:rPr>
                <w:rFonts w:hint="eastAsia" w:ascii="宋体" w:hAnsi="宋体"/>
                <w:color w:val="auto"/>
                <w:szCs w:val="24"/>
                <w:highlight w:val="none"/>
              </w:rPr>
              <w:t>支持在院危重病人清单报表。</w:t>
            </w:r>
          </w:p>
          <w:p>
            <w:pPr>
              <w:pStyle w:val="130"/>
              <w:ind w:firstLine="0"/>
              <w:rPr>
                <w:rFonts w:ascii="宋体" w:hAnsi="宋体"/>
                <w:color w:val="auto"/>
                <w:szCs w:val="24"/>
                <w:highlight w:val="none"/>
              </w:rPr>
            </w:pPr>
            <w:r>
              <w:rPr>
                <w:rFonts w:hint="eastAsia" w:ascii="宋体" w:hAnsi="宋体"/>
                <w:b/>
                <w:color w:val="auto"/>
                <w:szCs w:val="24"/>
                <w:highlight w:val="none"/>
              </w:rPr>
              <w:t>死亡病人登记簿：</w:t>
            </w:r>
            <w:r>
              <w:rPr>
                <w:rFonts w:hint="eastAsia" w:ascii="宋体" w:hAnsi="宋体"/>
                <w:color w:val="auto"/>
                <w:szCs w:val="24"/>
                <w:highlight w:val="none"/>
              </w:rPr>
              <w:t>支持用于统计指定日期区间，死亡病人记录，含床号、姓名、性别、年龄、科室、入院日期、住院天数、诊断等。</w:t>
            </w:r>
          </w:p>
          <w:p>
            <w:pPr>
              <w:pStyle w:val="130"/>
              <w:ind w:firstLine="0"/>
              <w:rPr>
                <w:rFonts w:ascii="宋体" w:hAnsi="宋体"/>
                <w:color w:val="auto"/>
                <w:szCs w:val="24"/>
                <w:highlight w:val="none"/>
              </w:rPr>
            </w:pPr>
            <w:r>
              <w:rPr>
                <w:rFonts w:hint="eastAsia" w:ascii="宋体" w:hAnsi="宋体"/>
                <w:b/>
                <w:color w:val="auto"/>
                <w:szCs w:val="24"/>
                <w:highlight w:val="none"/>
              </w:rPr>
              <w:t>在院特护病人清单：</w:t>
            </w:r>
            <w:r>
              <w:rPr>
                <w:rFonts w:hint="eastAsia" w:ascii="宋体" w:hAnsi="宋体"/>
                <w:color w:val="auto"/>
                <w:szCs w:val="24"/>
                <w:highlight w:val="none"/>
              </w:rPr>
              <w:t>支持用于统计在院特护病人清单。</w:t>
            </w:r>
          </w:p>
          <w:p>
            <w:pPr>
              <w:pStyle w:val="130"/>
              <w:ind w:firstLine="0"/>
              <w:rPr>
                <w:rFonts w:ascii="宋体" w:hAnsi="宋体"/>
                <w:color w:val="auto"/>
                <w:szCs w:val="24"/>
                <w:highlight w:val="none"/>
              </w:rPr>
            </w:pPr>
            <w:r>
              <w:rPr>
                <w:rFonts w:hint="eastAsia" w:ascii="宋体" w:hAnsi="宋体"/>
                <w:b/>
                <w:color w:val="auto"/>
                <w:szCs w:val="24"/>
                <w:highlight w:val="none"/>
              </w:rPr>
              <w:t>病房医疗工作报表：</w:t>
            </w:r>
            <w:r>
              <w:rPr>
                <w:rFonts w:hint="eastAsia" w:ascii="宋体" w:hAnsi="宋体"/>
                <w:color w:val="auto"/>
                <w:szCs w:val="24"/>
                <w:highlight w:val="none"/>
              </w:rPr>
              <w:t>支持用于病房医疗工作报表。</w:t>
            </w:r>
          </w:p>
          <w:p>
            <w:pPr>
              <w:pStyle w:val="130"/>
              <w:ind w:firstLine="0"/>
              <w:rPr>
                <w:rFonts w:ascii="宋体" w:hAnsi="宋体"/>
                <w:color w:val="auto"/>
                <w:szCs w:val="24"/>
                <w:highlight w:val="none"/>
              </w:rPr>
            </w:pPr>
            <w:r>
              <w:rPr>
                <w:rFonts w:hint="eastAsia" w:ascii="宋体" w:hAnsi="宋体"/>
                <w:b/>
                <w:color w:val="auto"/>
                <w:szCs w:val="24"/>
                <w:highlight w:val="none"/>
              </w:rPr>
              <w:t>在院患者分布情况：</w:t>
            </w:r>
            <w:r>
              <w:rPr>
                <w:rFonts w:hint="eastAsia" w:ascii="宋体" w:hAnsi="宋体"/>
                <w:color w:val="auto"/>
                <w:szCs w:val="24"/>
                <w:highlight w:val="none"/>
              </w:rPr>
              <w:t>支持用于统计在院患者分布情况。</w:t>
            </w:r>
          </w:p>
          <w:p>
            <w:pPr>
              <w:pStyle w:val="130"/>
              <w:ind w:firstLine="0"/>
              <w:rPr>
                <w:rFonts w:ascii="宋体" w:hAnsi="宋体"/>
                <w:color w:val="auto"/>
                <w:szCs w:val="24"/>
                <w:highlight w:val="none"/>
              </w:rPr>
            </w:pPr>
            <w:r>
              <w:rPr>
                <w:rFonts w:hint="eastAsia" w:ascii="宋体" w:hAnsi="宋体"/>
                <w:b/>
                <w:color w:val="auto"/>
                <w:szCs w:val="24"/>
                <w:highlight w:val="none"/>
              </w:rPr>
              <w:t>出入院人数统计：</w:t>
            </w:r>
            <w:r>
              <w:rPr>
                <w:rFonts w:hint="eastAsia" w:ascii="宋体" w:hAnsi="宋体"/>
                <w:color w:val="auto"/>
                <w:szCs w:val="24"/>
                <w:highlight w:val="none"/>
              </w:rPr>
              <w:t>支持用于出入院人数统计。</w:t>
            </w:r>
          </w:p>
          <w:p>
            <w:pPr>
              <w:pStyle w:val="130"/>
              <w:ind w:firstLine="0"/>
              <w:rPr>
                <w:rFonts w:ascii="宋体" w:hAnsi="宋体"/>
                <w:color w:val="auto"/>
                <w:szCs w:val="24"/>
                <w:highlight w:val="none"/>
              </w:rPr>
            </w:pPr>
            <w:r>
              <w:rPr>
                <w:rFonts w:hint="eastAsia" w:ascii="宋体" w:hAnsi="宋体"/>
                <w:b/>
                <w:color w:val="auto"/>
                <w:szCs w:val="24"/>
                <w:highlight w:val="none"/>
              </w:rPr>
              <w:t>住院大于30天的例数：</w:t>
            </w:r>
            <w:r>
              <w:rPr>
                <w:rFonts w:hint="eastAsia" w:ascii="宋体" w:hAnsi="宋体"/>
                <w:color w:val="auto"/>
                <w:szCs w:val="24"/>
                <w:highlight w:val="none"/>
              </w:rPr>
              <w:t>支持用户统计住院大于30天的病例。</w:t>
            </w:r>
          </w:p>
          <w:p>
            <w:pPr>
              <w:pStyle w:val="130"/>
              <w:ind w:firstLine="0"/>
              <w:rPr>
                <w:rFonts w:ascii="宋体" w:hAnsi="宋体"/>
                <w:color w:val="auto"/>
                <w:szCs w:val="24"/>
                <w:highlight w:val="none"/>
              </w:rPr>
            </w:pPr>
            <w:r>
              <w:rPr>
                <w:rFonts w:hint="eastAsia" w:ascii="宋体" w:hAnsi="宋体"/>
                <w:b/>
                <w:color w:val="auto"/>
                <w:szCs w:val="24"/>
                <w:highlight w:val="none"/>
              </w:rPr>
              <w:t>床位使用情况统计表：</w:t>
            </w:r>
            <w:r>
              <w:rPr>
                <w:rFonts w:hint="eastAsia" w:ascii="宋体" w:hAnsi="宋体"/>
                <w:color w:val="auto"/>
                <w:szCs w:val="24"/>
                <w:highlight w:val="none"/>
              </w:rPr>
              <w:t>支持用于统计床位使用情况。</w:t>
            </w:r>
          </w:p>
          <w:p>
            <w:pPr>
              <w:pStyle w:val="130"/>
              <w:ind w:firstLine="0"/>
              <w:rPr>
                <w:rFonts w:ascii="宋体" w:hAnsi="宋体"/>
                <w:color w:val="auto"/>
                <w:szCs w:val="24"/>
                <w:highlight w:val="none"/>
              </w:rPr>
            </w:pPr>
            <w:r>
              <w:rPr>
                <w:rFonts w:hint="eastAsia" w:ascii="宋体" w:hAnsi="宋体"/>
                <w:b/>
                <w:color w:val="auto"/>
                <w:szCs w:val="24"/>
                <w:highlight w:val="none"/>
              </w:rPr>
              <w:t>病区信息统计：</w:t>
            </w:r>
            <w:r>
              <w:rPr>
                <w:rFonts w:hint="eastAsia" w:ascii="宋体" w:hAnsi="宋体"/>
                <w:color w:val="auto"/>
                <w:szCs w:val="24"/>
                <w:highlight w:val="none"/>
              </w:rPr>
              <w:t>支持用于统计病区信息。</w:t>
            </w:r>
          </w:p>
          <w:p>
            <w:pPr>
              <w:pStyle w:val="130"/>
              <w:ind w:firstLine="0"/>
              <w:rPr>
                <w:rFonts w:ascii="宋体" w:hAnsi="宋体"/>
                <w:color w:val="auto"/>
                <w:szCs w:val="24"/>
                <w:highlight w:val="none"/>
              </w:rPr>
            </w:pPr>
            <w:r>
              <w:rPr>
                <w:rFonts w:hint="eastAsia" w:ascii="宋体" w:hAnsi="宋体"/>
                <w:b/>
                <w:color w:val="auto"/>
                <w:szCs w:val="24"/>
                <w:highlight w:val="none"/>
              </w:rPr>
              <w:t>医院工作量统计：</w:t>
            </w:r>
            <w:r>
              <w:rPr>
                <w:rFonts w:hint="eastAsia" w:ascii="宋体" w:hAnsi="宋体"/>
                <w:color w:val="auto"/>
                <w:szCs w:val="24"/>
                <w:highlight w:val="none"/>
              </w:rPr>
              <w:t>支持用于统计医院工作量，含门诊人次、住院人次等关键指标，及平均每一职工每天承担工作量、每一医生每天承担工作量等。</w:t>
            </w:r>
          </w:p>
          <w:p>
            <w:pPr>
              <w:pStyle w:val="130"/>
              <w:ind w:firstLine="0"/>
              <w:rPr>
                <w:rFonts w:ascii="宋体" w:hAnsi="宋体"/>
                <w:b/>
                <w:color w:val="auto"/>
                <w:szCs w:val="24"/>
                <w:highlight w:val="none"/>
              </w:rPr>
            </w:pPr>
            <w:r>
              <w:rPr>
                <w:rFonts w:hint="eastAsia" w:ascii="宋体" w:hAnsi="宋体"/>
                <w:b/>
                <w:color w:val="auto"/>
                <w:szCs w:val="24"/>
                <w:highlight w:val="none"/>
              </w:rPr>
              <w:t>医技统计</w:t>
            </w:r>
          </w:p>
          <w:p>
            <w:pPr>
              <w:pStyle w:val="130"/>
              <w:ind w:firstLine="0"/>
              <w:rPr>
                <w:rFonts w:ascii="宋体" w:hAnsi="宋体"/>
                <w:color w:val="auto"/>
                <w:szCs w:val="24"/>
                <w:highlight w:val="none"/>
              </w:rPr>
            </w:pPr>
            <w:r>
              <w:rPr>
                <w:rFonts w:hint="eastAsia" w:ascii="宋体" w:hAnsi="宋体"/>
                <w:b/>
                <w:color w:val="auto"/>
                <w:szCs w:val="24"/>
                <w:highlight w:val="none"/>
              </w:rPr>
              <w:t>医技项目工作量查询：</w:t>
            </w:r>
            <w:r>
              <w:rPr>
                <w:rFonts w:hint="eastAsia" w:ascii="宋体" w:hAnsi="宋体"/>
                <w:color w:val="auto"/>
                <w:szCs w:val="24"/>
                <w:highlight w:val="none"/>
              </w:rPr>
              <w:t>支持日期，操作员、就诊类型、执行科室、服务项目等维度，统计医技项目执行人次和金额等。</w:t>
            </w:r>
          </w:p>
          <w:p>
            <w:pPr>
              <w:pStyle w:val="130"/>
              <w:ind w:firstLine="0"/>
              <w:rPr>
                <w:rFonts w:ascii="宋体" w:hAnsi="宋体"/>
                <w:color w:val="auto"/>
                <w:szCs w:val="24"/>
                <w:highlight w:val="none"/>
              </w:rPr>
            </w:pPr>
            <w:r>
              <w:rPr>
                <w:rFonts w:hint="eastAsia" w:ascii="宋体" w:hAnsi="宋体"/>
                <w:b/>
                <w:color w:val="auto"/>
                <w:szCs w:val="24"/>
                <w:highlight w:val="none"/>
              </w:rPr>
              <w:t>医技项目汇总统计查询：</w:t>
            </w:r>
            <w:r>
              <w:rPr>
                <w:rFonts w:hint="eastAsia" w:ascii="宋体" w:hAnsi="宋体"/>
                <w:color w:val="auto"/>
                <w:szCs w:val="24"/>
                <w:highlight w:val="none"/>
              </w:rPr>
              <w:t>支持对指定的医技科室，按日期区间，从就诊类型、开单科室、医嘱项目、患者列表等维护，统计医技项目执行情况。</w:t>
            </w:r>
          </w:p>
          <w:p>
            <w:pPr>
              <w:pStyle w:val="130"/>
              <w:ind w:firstLine="0"/>
              <w:rPr>
                <w:rFonts w:ascii="宋体" w:hAnsi="宋体"/>
                <w:color w:val="auto"/>
                <w:szCs w:val="24"/>
                <w:highlight w:val="none"/>
              </w:rPr>
            </w:pPr>
            <w:r>
              <w:rPr>
                <w:rFonts w:hint="eastAsia" w:ascii="宋体" w:hAnsi="宋体"/>
                <w:b/>
                <w:color w:val="auto"/>
                <w:szCs w:val="24"/>
                <w:highlight w:val="none"/>
              </w:rPr>
              <w:t>执行技师工作量统计：</w:t>
            </w:r>
            <w:r>
              <w:rPr>
                <w:rFonts w:hint="eastAsia" w:ascii="宋体" w:hAnsi="宋体"/>
                <w:color w:val="auto"/>
                <w:szCs w:val="24"/>
                <w:highlight w:val="none"/>
              </w:rPr>
              <w:t>支持用于执行技师工作量统计。</w:t>
            </w:r>
          </w:p>
          <w:p>
            <w:pPr>
              <w:pStyle w:val="130"/>
              <w:ind w:firstLine="0"/>
              <w:rPr>
                <w:rFonts w:ascii="宋体" w:hAnsi="宋体"/>
                <w:b/>
                <w:color w:val="auto"/>
                <w:szCs w:val="24"/>
                <w:highlight w:val="none"/>
              </w:rPr>
            </w:pPr>
            <w:r>
              <w:rPr>
                <w:rFonts w:hint="eastAsia" w:ascii="宋体" w:hAnsi="宋体"/>
                <w:b/>
                <w:color w:val="auto"/>
                <w:szCs w:val="24"/>
                <w:highlight w:val="none"/>
              </w:rPr>
              <w:t>手术统计</w:t>
            </w:r>
          </w:p>
          <w:p>
            <w:pPr>
              <w:pStyle w:val="130"/>
              <w:ind w:firstLine="0"/>
              <w:rPr>
                <w:rFonts w:ascii="宋体" w:hAnsi="宋体"/>
                <w:color w:val="auto"/>
                <w:szCs w:val="24"/>
                <w:highlight w:val="none"/>
              </w:rPr>
            </w:pPr>
            <w:r>
              <w:rPr>
                <w:rFonts w:hint="eastAsia" w:ascii="宋体" w:hAnsi="宋体"/>
                <w:b/>
                <w:color w:val="auto"/>
                <w:szCs w:val="24"/>
                <w:highlight w:val="none"/>
              </w:rPr>
              <w:t>手术工作量统计查询：</w:t>
            </w:r>
            <w:r>
              <w:rPr>
                <w:rFonts w:hint="eastAsia" w:ascii="宋体" w:hAnsi="宋体"/>
                <w:color w:val="auto"/>
                <w:szCs w:val="24"/>
                <w:highlight w:val="none"/>
              </w:rPr>
              <w:t>支持按照日期区间，统计当前手术室，各临床科室患者的手术数量、手术费用等。</w:t>
            </w:r>
          </w:p>
          <w:p>
            <w:pPr>
              <w:pStyle w:val="130"/>
              <w:ind w:firstLine="0"/>
              <w:rPr>
                <w:rFonts w:ascii="宋体" w:hAnsi="宋体"/>
                <w:color w:val="auto"/>
                <w:szCs w:val="24"/>
                <w:highlight w:val="none"/>
              </w:rPr>
            </w:pPr>
            <w:r>
              <w:rPr>
                <w:rFonts w:hint="eastAsia" w:ascii="宋体" w:hAnsi="宋体"/>
                <w:b/>
                <w:color w:val="auto"/>
                <w:szCs w:val="24"/>
                <w:highlight w:val="none"/>
              </w:rPr>
              <w:t>危重手术工作量统计查询：</w:t>
            </w:r>
            <w:r>
              <w:rPr>
                <w:rFonts w:hint="eastAsia" w:ascii="宋体" w:hAnsi="宋体"/>
                <w:color w:val="auto"/>
                <w:szCs w:val="24"/>
                <w:highlight w:val="none"/>
              </w:rPr>
              <w:t>支持按照日期区间，统计当前手术室，危重手术数量。</w:t>
            </w:r>
          </w:p>
          <w:p>
            <w:pPr>
              <w:pStyle w:val="130"/>
              <w:ind w:firstLine="0"/>
              <w:rPr>
                <w:rFonts w:ascii="宋体" w:hAnsi="宋体"/>
                <w:color w:val="auto"/>
                <w:szCs w:val="24"/>
                <w:highlight w:val="none"/>
              </w:rPr>
            </w:pPr>
            <w:r>
              <w:rPr>
                <w:rFonts w:hint="eastAsia" w:ascii="宋体" w:hAnsi="宋体"/>
                <w:b/>
                <w:color w:val="auto"/>
                <w:szCs w:val="24"/>
                <w:highlight w:val="none"/>
              </w:rPr>
              <w:t>麻醉统计表：</w:t>
            </w:r>
            <w:r>
              <w:rPr>
                <w:rFonts w:hint="eastAsia" w:ascii="宋体" w:hAnsi="宋体"/>
                <w:color w:val="auto"/>
                <w:szCs w:val="24"/>
                <w:highlight w:val="none"/>
              </w:rPr>
              <w:t>支持用于统计指定日期区间，各类麻醉方式对应的手术数量。</w:t>
            </w:r>
          </w:p>
          <w:p>
            <w:pPr>
              <w:pStyle w:val="130"/>
              <w:ind w:firstLine="0"/>
              <w:rPr>
                <w:rFonts w:ascii="宋体" w:hAnsi="宋体"/>
                <w:color w:val="auto"/>
                <w:szCs w:val="24"/>
                <w:highlight w:val="none"/>
              </w:rPr>
            </w:pPr>
            <w:r>
              <w:rPr>
                <w:rFonts w:hint="eastAsia" w:ascii="宋体" w:hAnsi="宋体"/>
                <w:b/>
                <w:color w:val="auto"/>
                <w:szCs w:val="24"/>
                <w:highlight w:val="none"/>
              </w:rPr>
              <w:t>耗材统计表：</w:t>
            </w:r>
            <w:r>
              <w:rPr>
                <w:rFonts w:hint="eastAsia" w:ascii="宋体" w:hAnsi="宋体"/>
                <w:color w:val="auto"/>
                <w:szCs w:val="24"/>
                <w:highlight w:val="none"/>
              </w:rPr>
              <w:t>支持用于统计指定日期区间，各种耗材使用数量及金额。</w:t>
            </w:r>
          </w:p>
          <w:p>
            <w:pPr>
              <w:pStyle w:val="201"/>
              <w:spacing w:before="0" w:line="360" w:lineRule="auto"/>
              <w:ind w:right="105" w:rightChars="50" w:firstLine="482"/>
              <w:rPr>
                <w:rFonts w:ascii="宋体" w:hAnsi="宋体" w:eastAsia="宋体"/>
                <w:color w:val="auto"/>
                <w:sz w:val="24"/>
                <w:highlight w:val="none"/>
                <w:lang w:eastAsia="zh-CN"/>
              </w:rPr>
            </w:pPr>
            <w:r>
              <w:rPr>
                <w:rFonts w:hint="eastAsia" w:ascii="宋体" w:hAnsi="宋体" w:eastAsia="宋体"/>
                <w:b/>
                <w:color w:val="auto"/>
                <w:sz w:val="24"/>
                <w:highlight w:val="none"/>
                <w:lang w:eastAsia="zh-CN"/>
              </w:rPr>
              <w:t>护士工作量查询：</w:t>
            </w:r>
            <w:r>
              <w:rPr>
                <w:rFonts w:hint="eastAsia" w:ascii="宋体" w:hAnsi="宋体" w:eastAsia="宋体"/>
                <w:color w:val="auto"/>
                <w:sz w:val="24"/>
                <w:highlight w:val="none"/>
                <w:lang w:eastAsia="zh-CN"/>
              </w:rPr>
              <w:t>支持用于统计指定手术室、指定日期区间，护士参与手术数量，以及这些手术的手术级别分布。</w:t>
            </w:r>
          </w:p>
        </w:tc>
      </w:tr>
    </w:tbl>
    <w:p>
      <w:pPr>
        <w:pStyle w:val="7"/>
        <w:numPr>
          <w:ilvl w:val="4"/>
          <w:numId w:val="8"/>
        </w:numPr>
        <w:rPr>
          <w:rFonts w:ascii="宋体" w:hAnsi="宋体"/>
          <w:color w:val="auto"/>
          <w:szCs w:val="24"/>
          <w:highlight w:val="none"/>
        </w:rPr>
      </w:pPr>
      <w:bookmarkStart w:id="641" w:name="_Toc21937"/>
      <w:r>
        <w:rPr>
          <w:rFonts w:hint="eastAsia" w:ascii="宋体" w:hAnsi="宋体"/>
          <w:color w:val="auto"/>
          <w:szCs w:val="24"/>
          <w:highlight w:val="none"/>
        </w:rPr>
        <w:t>院长查询系统</w:t>
      </w:r>
      <w:bookmarkEnd w:id="641"/>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院长查询系统需满足以下功能：</w:t>
      </w:r>
    </w:p>
    <w:tbl>
      <w:tblPr>
        <w:tblStyle w:val="43"/>
        <w:tblW w:w="90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trPr>
        <w:tc>
          <w:tcPr>
            <w:tcW w:w="1980"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功能模块</w:t>
            </w:r>
          </w:p>
        </w:tc>
        <w:tc>
          <w:tcPr>
            <w:tcW w:w="7097"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 w:hRule="atLeast"/>
        </w:trPr>
        <w:tc>
          <w:tcPr>
            <w:tcW w:w="1980" w:type="dxa"/>
            <w:vAlign w:val="center"/>
          </w:tcPr>
          <w:p>
            <w:pPr>
              <w:spacing w:line="360" w:lineRule="auto"/>
              <w:ind w:left="8" w:right="33"/>
              <w:jc w:val="center"/>
              <w:rPr>
                <w:rFonts w:ascii="宋体" w:hAnsi="宋体" w:cs="仿宋"/>
                <w:b/>
                <w:bCs/>
                <w:color w:val="auto"/>
                <w:sz w:val="24"/>
                <w:highlight w:val="none"/>
                <w:lang w:val="zh-CN" w:bidi="zh-CN"/>
              </w:rPr>
            </w:pPr>
            <w:r>
              <w:rPr>
                <w:rFonts w:hint="eastAsia" w:ascii="宋体" w:hAnsi="宋体" w:cs="仿宋"/>
                <w:b/>
                <w:bCs/>
                <w:color w:val="auto"/>
                <w:sz w:val="24"/>
                <w:highlight w:val="none"/>
              </w:rPr>
              <w:t>院长查询系统</w:t>
            </w:r>
          </w:p>
        </w:tc>
        <w:tc>
          <w:tcPr>
            <w:tcW w:w="7097" w:type="dxa"/>
            <w:vAlign w:val="center"/>
          </w:tcPr>
          <w:p>
            <w:pPr>
              <w:pStyle w:val="130"/>
              <w:ind w:firstLine="0"/>
              <w:rPr>
                <w:rFonts w:ascii="宋体" w:hAnsi="宋体"/>
                <w:b/>
                <w:color w:val="auto"/>
                <w:szCs w:val="24"/>
                <w:highlight w:val="none"/>
              </w:rPr>
            </w:pPr>
            <w:r>
              <w:rPr>
                <w:rFonts w:hint="eastAsia" w:ascii="宋体" w:hAnsi="宋体"/>
                <w:b/>
                <w:color w:val="auto"/>
                <w:szCs w:val="24"/>
                <w:highlight w:val="none"/>
              </w:rPr>
              <w:t>（1）静态信息展示</w:t>
            </w:r>
          </w:p>
          <w:p>
            <w:pPr>
              <w:pStyle w:val="130"/>
              <w:ind w:firstLine="0"/>
              <w:rPr>
                <w:rFonts w:ascii="宋体" w:hAnsi="宋体"/>
                <w:b/>
                <w:color w:val="auto"/>
                <w:szCs w:val="24"/>
                <w:highlight w:val="none"/>
              </w:rPr>
            </w:pPr>
            <w:r>
              <w:rPr>
                <w:rFonts w:hint="eastAsia" w:ascii="宋体" w:hAnsi="宋体"/>
                <w:b/>
                <w:color w:val="auto"/>
                <w:szCs w:val="24"/>
                <w:highlight w:val="none"/>
              </w:rPr>
              <w:t>首页综合信息：</w:t>
            </w:r>
          </w:p>
          <w:p>
            <w:pPr>
              <w:pStyle w:val="130"/>
              <w:ind w:firstLine="0"/>
              <w:rPr>
                <w:rFonts w:ascii="宋体" w:hAnsi="宋体"/>
                <w:color w:val="auto"/>
                <w:szCs w:val="24"/>
                <w:highlight w:val="none"/>
              </w:rPr>
            </w:pPr>
            <w:r>
              <w:rPr>
                <w:rFonts w:hint="eastAsia" w:ascii="宋体" w:hAnsi="宋体"/>
                <w:color w:val="auto"/>
                <w:szCs w:val="24"/>
                <w:highlight w:val="none"/>
              </w:rPr>
              <w:t>1、支持门诊就诊人次、初诊人次和总人数进行统计展示。</w:t>
            </w:r>
          </w:p>
          <w:p>
            <w:pPr>
              <w:pStyle w:val="130"/>
              <w:ind w:firstLine="0"/>
              <w:rPr>
                <w:rFonts w:ascii="宋体" w:hAnsi="宋体"/>
                <w:color w:val="auto"/>
                <w:szCs w:val="24"/>
                <w:highlight w:val="none"/>
              </w:rPr>
            </w:pPr>
            <w:r>
              <w:rPr>
                <w:rFonts w:hint="eastAsia" w:ascii="宋体" w:hAnsi="宋体"/>
                <w:color w:val="auto"/>
                <w:szCs w:val="24"/>
                <w:highlight w:val="none"/>
              </w:rPr>
              <w:t>2、支持出诊医生信息、处方信息、在院患者信息、床位信息、出入信息等汇总展示。</w:t>
            </w:r>
          </w:p>
          <w:p>
            <w:pPr>
              <w:pStyle w:val="130"/>
              <w:ind w:firstLine="0"/>
              <w:rPr>
                <w:rFonts w:ascii="宋体" w:hAnsi="宋体"/>
                <w:b/>
                <w:color w:val="auto"/>
                <w:szCs w:val="24"/>
                <w:highlight w:val="none"/>
              </w:rPr>
            </w:pPr>
            <w:r>
              <w:rPr>
                <w:rFonts w:hint="eastAsia" w:ascii="宋体" w:hAnsi="宋体"/>
                <w:b/>
                <w:color w:val="auto"/>
                <w:szCs w:val="24"/>
                <w:highlight w:val="none"/>
              </w:rPr>
              <w:t>收入情况汇总：</w:t>
            </w:r>
          </w:p>
          <w:p>
            <w:pPr>
              <w:pStyle w:val="130"/>
              <w:ind w:firstLine="0"/>
              <w:rPr>
                <w:rFonts w:ascii="宋体" w:hAnsi="宋体"/>
                <w:color w:val="auto"/>
                <w:szCs w:val="24"/>
                <w:highlight w:val="none"/>
              </w:rPr>
            </w:pPr>
            <w:r>
              <w:rPr>
                <w:rFonts w:hint="eastAsia" w:ascii="宋体" w:hAnsi="宋体"/>
                <w:color w:val="auto"/>
                <w:szCs w:val="24"/>
                <w:highlight w:val="none"/>
              </w:rPr>
              <w:t>1、支持住院科室费用信息、门诊科室费用信息、全院科室费用、患者信息展示。</w:t>
            </w:r>
          </w:p>
          <w:p>
            <w:pPr>
              <w:pStyle w:val="130"/>
              <w:ind w:firstLine="0"/>
              <w:rPr>
                <w:rFonts w:ascii="宋体" w:hAnsi="宋体"/>
                <w:color w:val="auto"/>
                <w:szCs w:val="24"/>
                <w:highlight w:val="none"/>
              </w:rPr>
            </w:pPr>
            <w:r>
              <w:rPr>
                <w:rFonts w:hint="eastAsia" w:ascii="宋体" w:hAnsi="宋体"/>
                <w:color w:val="auto"/>
                <w:szCs w:val="24"/>
                <w:highlight w:val="none"/>
              </w:rPr>
              <w:t>2、支持分医疗收入和药品收入展示。</w:t>
            </w:r>
          </w:p>
          <w:p>
            <w:pPr>
              <w:pStyle w:val="130"/>
              <w:ind w:firstLine="0"/>
              <w:rPr>
                <w:rFonts w:ascii="宋体" w:hAnsi="宋体"/>
                <w:color w:val="auto"/>
                <w:szCs w:val="24"/>
                <w:highlight w:val="none"/>
              </w:rPr>
            </w:pPr>
            <w:r>
              <w:rPr>
                <w:rFonts w:hint="eastAsia" w:ascii="宋体" w:hAnsi="宋体"/>
                <w:b/>
                <w:color w:val="auto"/>
                <w:szCs w:val="24"/>
                <w:highlight w:val="none"/>
              </w:rPr>
              <w:t>手术安排信息：</w:t>
            </w:r>
            <w:r>
              <w:rPr>
                <w:rFonts w:hint="eastAsia" w:ascii="宋体" w:hAnsi="宋体"/>
                <w:color w:val="auto"/>
                <w:szCs w:val="24"/>
                <w:highlight w:val="none"/>
              </w:rPr>
              <w:t>支持展示手术病人、手术内容、手术医生和麻醉信息。</w:t>
            </w:r>
          </w:p>
          <w:p>
            <w:pPr>
              <w:pStyle w:val="130"/>
              <w:ind w:firstLine="0"/>
              <w:rPr>
                <w:rFonts w:ascii="宋体" w:hAnsi="宋体"/>
                <w:b/>
                <w:color w:val="auto"/>
                <w:szCs w:val="24"/>
                <w:highlight w:val="none"/>
              </w:rPr>
            </w:pPr>
            <w:r>
              <w:rPr>
                <w:rFonts w:hint="eastAsia" w:ascii="宋体" w:hAnsi="宋体"/>
                <w:b/>
                <w:color w:val="auto"/>
                <w:szCs w:val="24"/>
                <w:highlight w:val="none"/>
              </w:rPr>
              <w:t>（2）动态信息展示</w:t>
            </w:r>
          </w:p>
          <w:p>
            <w:pPr>
              <w:pStyle w:val="130"/>
              <w:ind w:firstLine="0"/>
              <w:rPr>
                <w:rFonts w:ascii="宋体" w:hAnsi="宋体"/>
                <w:color w:val="auto"/>
                <w:szCs w:val="24"/>
                <w:highlight w:val="none"/>
              </w:rPr>
            </w:pPr>
            <w:r>
              <w:rPr>
                <w:rFonts w:hint="eastAsia" w:ascii="宋体" w:hAnsi="宋体"/>
                <w:b/>
                <w:color w:val="auto"/>
                <w:szCs w:val="24"/>
                <w:highlight w:val="none"/>
              </w:rPr>
              <w:t>门诊挂号信息：</w:t>
            </w:r>
            <w:r>
              <w:rPr>
                <w:rFonts w:hint="eastAsia" w:ascii="宋体" w:hAnsi="宋体"/>
                <w:color w:val="auto"/>
                <w:szCs w:val="24"/>
                <w:highlight w:val="none"/>
              </w:rPr>
              <w:t>支持门诊和急诊当日门诊急诊量动态展示。</w:t>
            </w:r>
          </w:p>
          <w:p>
            <w:pPr>
              <w:pStyle w:val="130"/>
              <w:ind w:firstLine="0"/>
              <w:rPr>
                <w:rFonts w:ascii="宋体" w:hAnsi="宋体"/>
                <w:b/>
                <w:color w:val="auto"/>
                <w:szCs w:val="24"/>
                <w:highlight w:val="none"/>
              </w:rPr>
            </w:pPr>
            <w:r>
              <w:rPr>
                <w:rFonts w:hint="eastAsia" w:ascii="宋体" w:hAnsi="宋体"/>
                <w:b/>
                <w:color w:val="auto"/>
                <w:szCs w:val="24"/>
                <w:highlight w:val="none"/>
              </w:rPr>
              <w:t>病区动态信息：</w:t>
            </w:r>
          </w:p>
          <w:p>
            <w:pPr>
              <w:pStyle w:val="130"/>
              <w:ind w:firstLine="0"/>
              <w:rPr>
                <w:rFonts w:ascii="宋体" w:hAnsi="宋体"/>
                <w:color w:val="auto"/>
                <w:szCs w:val="24"/>
                <w:highlight w:val="none"/>
              </w:rPr>
            </w:pPr>
            <w:r>
              <w:rPr>
                <w:rFonts w:hint="eastAsia" w:ascii="宋体" w:hAnsi="宋体"/>
                <w:color w:val="auto"/>
                <w:szCs w:val="24"/>
                <w:highlight w:val="none"/>
              </w:rPr>
              <w:t>1、支持病区动态信息展示。</w:t>
            </w:r>
          </w:p>
          <w:p>
            <w:pPr>
              <w:pStyle w:val="130"/>
              <w:ind w:firstLine="0"/>
              <w:rPr>
                <w:rFonts w:ascii="宋体" w:hAnsi="宋体"/>
                <w:color w:val="auto"/>
                <w:szCs w:val="24"/>
                <w:highlight w:val="none"/>
              </w:rPr>
            </w:pPr>
            <w:r>
              <w:rPr>
                <w:rFonts w:hint="eastAsia" w:ascii="宋体" w:hAnsi="宋体"/>
                <w:color w:val="auto"/>
                <w:szCs w:val="24"/>
                <w:highlight w:val="none"/>
              </w:rPr>
              <w:t>2、支持当前床日情况展示。</w:t>
            </w:r>
          </w:p>
          <w:p>
            <w:pPr>
              <w:pStyle w:val="130"/>
              <w:ind w:firstLine="0"/>
              <w:rPr>
                <w:rFonts w:ascii="宋体" w:hAnsi="宋体"/>
                <w:b/>
                <w:color w:val="auto"/>
                <w:szCs w:val="24"/>
                <w:highlight w:val="none"/>
              </w:rPr>
            </w:pPr>
            <w:r>
              <w:rPr>
                <w:rFonts w:hint="eastAsia" w:ascii="宋体" w:hAnsi="宋体"/>
                <w:b/>
                <w:color w:val="auto"/>
                <w:szCs w:val="24"/>
                <w:highlight w:val="none"/>
              </w:rPr>
              <w:t>医技科室信息：</w:t>
            </w:r>
          </w:p>
          <w:p>
            <w:pPr>
              <w:pStyle w:val="130"/>
              <w:ind w:firstLine="0"/>
              <w:rPr>
                <w:rFonts w:ascii="宋体" w:hAnsi="宋体"/>
                <w:color w:val="auto"/>
                <w:szCs w:val="24"/>
                <w:highlight w:val="none"/>
              </w:rPr>
            </w:pPr>
            <w:r>
              <w:rPr>
                <w:rFonts w:hint="eastAsia" w:ascii="宋体" w:hAnsi="宋体"/>
                <w:color w:val="auto"/>
                <w:szCs w:val="24"/>
                <w:highlight w:val="none"/>
              </w:rPr>
              <w:t>1、支持显示科室工作量人人次和金额展示。</w:t>
            </w:r>
          </w:p>
          <w:p>
            <w:pPr>
              <w:pStyle w:val="201"/>
              <w:spacing w:before="0" w:line="360" w:lineRule="auto"/>
              <w:ind w:left="0"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2、支持图表展示信息。</w:t>
            </w:r>
          </w:p>
        </w:tc>
      </w:tr>
    </w:tbl>
    <w:p>
      <w:pPr>
        <w:pStyle w:val="7"/>
        <w:numPr>
          <w:ilvl w:val="4"/>
          <w:numId w:val="8"/>
        </w:numPr>
        <w:rPr>
          <w:rFonts w:ascii="宋体" w:hAnsi="宋体"/>
          <w:color w:val="auto"/>
          <w:szCs w:val="24"/>
          <w:highlight w:val="none"/>
        </w:rPr>
      </w:pPr>
      <w:bookmarkStart w:id="642" w:name="_Toc22386"/>
      <w:r>
        <w:rPr>
          <w:rFonts w:hint="eastAsia" w:ascii="宋体" w:hAnsi="宋体"/>
          <w:color w:val="auto"/>
          <w:szCs w:val="24"/>
          <w:highlight w:val="none"/>
        </w:rPr>
        <w:t>图书馆管理</w:t>
      </w:r>
      <w:bookmarkEnd w:id="642"/>
    </w:p>
    <w:p>
      <w:pPr>
        <w:pStyle w:val="8"/>
        <w:ind w:firstLine="480"/>
        <w:rPr>
          <w:rFonts w:ascii="宋体" w:hAnsi="宋体"/>
          <w:color w:val="auto"/>
          <w:szCs w:val="24"/>
          <w:highlight w:val="none"/>
        </w:rPr>
      </w:pPr>
      <w:r>
        <w:rPr>
          <w:rFonts w:hint="eastAsia" w:ascii="宋体" w:hAnsi="宋体"/>
          <w:color w:val="auto"/>
          <w:szCs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trPr>
        <w:tc>
          <w:tcPr>
            <w:tcW w:w="1980"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功能模块</w:t>
            </w:r>
          </w:p>
        </w:tc>
        <w:tc>
          <w:tcPr>
            <w:tcW w:w="7087"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atLeast"/>
        </w:trPr>
        <w:tc>
          <w:tcPr>
            <w:tcW w:w="1980" w:type="dxa"/>
            <w:vAlign w:val="center"/>
          </w:tcPr>
          <w:p>
            <w:pPr>
              <w:spacing w:line="360" w:lineRule="auto"/>
              <w:ind w:left="8" w:right="33"/>
              <w:jc w:val="center"/>
              <w:rPr>
                <w:rFonts w:ascii="宋体" w:hAnsi="宋体" w:cs="仿宋"/>
                <w:b/>
                <w:bCs/>
                <w:color w:val="auto"/>
                <w:sz w:val="24"/>
                <w:highlight w:val="none"/>
              </w:rPr>
            </w:pPr>
            <w:r>
              <w:rPr>
                <w:rFonts w:hint="eastAsia" w:ascii="宋体" w:hAnsi="宋体" w:cs="仿宋"/>
                <w:b/>
                <w:bCs/>
                <w:color w:val="auto"/>
                <w:sz w:val="24"/>
                <w:highlight w:val="none"/>
              </w:rPr>
              <w:t>读者管理</w:t>
            </w:r>
          </w:p>
        </w:tc>
        <w:tc>
          <w:tcPr>
            <w:tcW w:w="7087" w:type="dxa"/>
            <w:vAlign w:val="center"/>
          </w:tcPr>
          <w:p>
            <w:pPr>
              <w:pStyle w:val="201"/>
              <w:numPr>
                <w:ilvl w:val="0"/>
                <w:numId w:val="9"/>
              </w:numPr>
              <w:spacing w:before="0"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支持图书借阅、门禁识别、身份识别、缴纳滞留、打印复印等功能。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1980" w:type="dxa"/>
            <w:vAlign w:val="center"/>
          </w:tcPr>
          <w:p>
            <w:pPr>
              <w:spacing w:line="360" w:lineRule="auto"/>
              <w:ind w:left="8" w:right="33"/>
              <w:jc w:val="center"/>
              <w:rPr>
                <w:rFonts w:ascii="宋体" w:hAnsi="宋体" w:cs="仿宋"/>
                <w:b/>
                <w:bCs/>
                <w:color w:val="auto"/>
                <w:sz w:val="24"/>
                <w:highlight w:val="none"/>
              </w:rPr>
            </w:pPr>
            <w:r>
              <w:rPr>
                <w:rFonts w:hint="eastAsia" w:ascii="宋体" w:hAnsi="宋体" w:cs="仿宋"/>
                <w:b/>
                <w:bCs/>
                <w:color w:val="auto"/>
                <w:sz w:val="24"/>
                <w:highlight w:val="none"/>
              </w:rPr>
              <w:t>数据对接</w:t>
            </w:r>
          </w:p>
        </w:tc>
        <w:tc>
          <w:tcPr>
            <w:tcW w:w="7087" w:type="dxa"/>
            <w:vAlign w:val="center"/>
          </w:tcPr>
          <w:p>
            <w:pPr>
              <w:pStyle w:val="201"/>
              <w:numPr>
                <w:ilvl w:val="0"/>
                <w:numId w:val="9"/>
              </w:numPr>
              <w:spacing w:before="0"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支持实现与进修系统进行数据对接，从而确认人员的身份信息。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trPr>
        <w:tc>
          <w:tcPr>
            <w:tcW w:w="1980" w:type="dxa"/>
            <w:vAlign w:val="center"/>
          </w:tcPr>
          <w:p>
            <w:pPr>
              <w:spacing w:line="360" w:lineRule="auto"/>
              <w:ind w:left="8" w:right="33"/>
              <w:jc w:val="center"/>
              <w:rPr>
                <w:rFonts w:ascii="宋体" w:hAnsi="宋体" w:cs="仿宋"/>
                <w:b/>
                <w:bCs/>
                <w:color w:val="auto"/>
                <w:sz w:val="24"/>
                <w:highlight w:val="none"/>
              </w:rPr>
            </w:pPr>
            <w:r>
              <w:rPr>
                <w:rFonts w:hint="eastAsia" w:ascii="宋体" w:hAnsi="宋体" w:cs="仿宋"/>
                <w:b/>
                <w:bCs/>
                <w:color w:val="auto"/>
                <w:sz w:val="24"/>
                <w:highlight w:val="none"/>
              </w:rPr>
              <w:t>登录模块</w:t>
            </w:r>
          </w:p>
        </w:tc>
        <w:tc>
          <w:tcPr>
            <w:tcW w:w="7087" w:type="dxa"/>
            <w:vAlign w:val="center"/>
          </w:tcPr>
          <w:p>
            <w:pPr>
              <w:pStyle w:val="201"/>
              <w:numPr>
                <w:ilvl w:val="0"/>
                <w:numId w:val="9"/>
              </w:numPr>
              <w:spacing w:before="0"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支持用户登录功能，并按各用户的权限使用本系统。分为三类用户：公共权限查询，管理员的权限是借还书和管理书，超级管理员的权限是管理读者，管理图书分类，管理管理员登录帐户，管理逾期图书。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9" w:hRule="atLeast"/>
        </w:trPr>
        <w:tc>
          <w:tcPr>
            <w:tcW w:w="1980" w:type="dxa"/>
            <w:vAlign w:val="center"/>
          </w:tcPr>
          <w:p>
            <w:pPr>
              <w:spacing w:line="360" w:lineRule="auto"/>
              <w:ind w:left="8" w:right="33"/>
              <w:jc w:val="center"/>
              <w:rPr>
                <w:rFonts w:ascii="宋体" w:hAnsi="宋体" w:cs="仿宋"/>
                <w:b/>
                <w:bCs/>
                <w:color w:val="auto"/>
                <w:sz w:val="24"/>
                <w:highlight w:val="none"/>
              </w:rPr>
            </w:pPr>
            <w:r>
              <w:rPr>
                <w:rFonts w:hint="eastAsia" w:ascii="宋体" w:hAnsi="宋体" w:cs="仿宋"/>
                <w:b/>
                <w:bCs/>
                <w:color w:val="auto"/>
                <w:sz w:val="24"/>
                <w:highlight w:val="none"/>
              </w:rPr>
              <w:t>资源检索</w:t>
            </w:r>
          </w:p>
        </w:tc>
        <w:tc>
          <w:tcPr>
            <w:tcW w:w="7087" w:type="dxa"/>
            <w:vAlign w:val="center"/>
          </w:tcPr>
          <w:p>
            <w:pPr>
              <w:pStyle w:val="201"/>
              <w:numPr>
                <w:ilvl w:val="0"/>
                <w:numId w:val="9"/>
              </w:numPr>
              <w:spacing w:before="0"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支持纸质图书、电子文档、期刊等资源一站式检索，其中直接查询包括按图书编号直接查询，按书名查询，按作者查询，按出版社查询(可选模糊查询)，多条件查询。</w:t>
            </w:r>
          </w:p>
          <w:p>
            <w:pPr>
              <w:pStyle w:val="201"/>
              <w:numPr>
                <w:ilvl w:val="0"/>
                <w:numId w:val="9"/>
              </w:numPr>
              <w:spacing w:before="0"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支持按读者的要求选取所需要的图书直接查询和模糊查询，多条件查询。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1980" w:type="dxa"/>
            <w:vAlign w:val="center"/>
          </w:tcPr>
          <w:p>
            <w:pPr>
              <w:spacing w:line="360" w:lineRule="auto"/>
              <w:ind w:left="8" w:right="33"/>
              <w:jc w:val="center"/>
              <w:rPr>
                <w:rFonts w:ascii="宋体" w:hAnsi="宋体" w:cs="仿宋"/>
                <w:b/>
                <w:bCs/>
                <w:color w:val="auto"/>
                <w:sz w:val="24"/>
                <w:highlight w:val="none"/>
              </w:rPr>
            </w:pPr>
            <w:r>
              <w:rPr>
                <w:rFonts w:hint="eastAsia" w:ascii="宋体" w:hAnsi="宋体" w:cs="仿宋"/>
                <w:b/>
                <w:bCs/>
                <w:color w:val="auto"/>
                <w:sz w:val="24"/>
                <w:highlight w:val="none"/>
              </w:rPr>
              <w:t>图书借阅</w:t>
            </w:r>
          </w:p>
        </w:tc>
        <w:tc>
          <w:tcPr>
            <w:tcW w:w="7087" w:type="dxa"/>
            <w:vAlign w:val="center"/>
          </w:tcPr>
          <w:p>
            <w:pPr>
              <w:pStyle w:val="201"/>
              <w:numPr>
                <w:ilvl w:val="0"/>
                <w:numId w:val="9"/>
              </w:numPr>
              <w:spacing w:before="0"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支持图书管理员进行借书还书记录的登记和清除，包括借书操作和还书操作。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4" w:hRule="atLeast"/>
        </w:trPr>
        <w:tc>
          <w:tcPr>
            <w:tcW w:w="1980" w:type="dxa"/>
            <w:vAlign w:val="center"/>
          </w:tcPr>
          <w:p>
            <w:pPr>
              <w:spacing w:line="360" w:lineRule="auto"/>
              <w:ind w:left="8" w:right="33"/>
              <w:jc w:val="center"/>
              <w:rPr>
                <w:rFonts w:ascii="宋体" w:hAnsi="宋体" w:cs="仿宋"/>
                <w:b/>
                <w:bCs/>
                <w:color w:val="auto"/>
                <w:sz w:val="24"/>
                <w:highlight w:val="none"/>
              </w:rPr>
            </w:pPr>
            <w:r>
              <w:rPr>
                <w:rFonts w:hint="eastAsia" w:ascii="宋体" w:hAnsi="宋体" w:cs="仿宋"/>
                <w:b/>
                <w:bCs/>
                <w:color w:val="auto"/>
                <w:sz w:val="24"/>
                <w:highlight w:val="none"/>
              </w:rPr>
              <w:t>系统管理</w:t>
            </w:r>
          </w:p>
        </w:tc>
        <w:tc>
          <w:tcPr>
            <w:tcW w:w="7087" w:type="dxa"/>
            <w:vAlign w:val="center"/>
          </w:tcPr>
          <w:p>
            <w:pPr>
              <w:pStyle w:val="201"/>
              <w:numPr>
                <w:ilvl w:val="0"/>
                <w:numId w:val="9"/>
              </w:numPr>
              <w:spacing w:before="0"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支持图书管理员管理图书，包括图书信息的修改，新图书的增加，旧图书的删除。</w:t>
            </w:r>
          </w:p>
          <w:p>
            <w:pPr>
              <w:pStyle w:val="201"/>
              <w:numPr>
                <w:ilvl w:val="0"/>
                <w:numId w:val="9"/>
              </w:numPr>
              <w:spacing w:before="0"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支持超级管理员管理图书分类、管理信息、管理管理员登录帐户、管理逾期未还图书。</w:t>
            </w:r>
          </w:p>
        </w:tc>
      </w:tr>
    </w:tbl>
    <w:p>
      <w:pPr>
        <w:pStyle w:val="7"/>
        <w:numPr>
          <w:ilvl w:val="4"/>
          <w:numId w:val="8"/>
        </w:numPr>
        <w:rPr>
          <w:rFonts w:ascii="宋体" w:hAnsi="宋体"/>
          <w:color w:val="auto"/>
          <w:szCs w:val="24"/>
          <w:highlight w:val="none"/>
        </w:rPr>
      </w:pPr>
      <w:bookmarkStart w:id="643" w:name="_Toc18568"/>
      <w:r>
        <w:rPr>
          <w:rFonts w:hint="eastAsia" w:ascii="宋体" w:hAnsi="宋体"/>
          <w:color w:val="auto"/>
          <w:szCs w:val="24"/>
          <w:highlight w:val="none"/>
        </w:rPr>
        <w:t>三级医院等级评审系统</w:t>
      </w:r>
      <w:bookmarkEnd w:id="643"/>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为更好地辅助医院开展三级医院等级评审工作，在院内建立数据提取、清洗、挖掘、分析一体的三级医院等级评审系统。</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trPr>
        <w:tc>
          <w:tcPr>
            <w:tcW w:w="1980"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7097"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 w:hRule="atLeast"/>
        </w:trPr>
        <w:tc>
          <w:tcPr>
            <w:tcW w:w="1980" w:type="dxa"/>
            <w:vAlign w:val="center"/>
          </w:tcPr>
          <w:p>
            <w:pPr>
              <w:spacing w:line="360" w:lineRule="auto"/>
              <w:ind w:left="8" w:right="33"/>
              <w:jc w:val="center"/>
              <w:rPr>
                <w:rFonts w:ascii="宋体" w:hAnsi="宋体" w:cs="仿宋"/>
                <w:b/>
                <w:bCs/>
                <w:color w:val="auto"/>
                <w:sz w:val="24"/>
                <w:highlight w:val="none"/>
                <w:lang w:val="zh-CN" w:bidi="zh-CN"/>
              </w:rPr>
            </w:pPr>
            <w:r>
              <w:rPr>
                <w:rFonts w:hint="eastAsia" w:ascii="宋体" w:hAnsi="宋体" w:cs="仿宋"/>
                <w:b/>
                <w:bCs/>
                <w:color w:val="auto"/>
                <w:sz w:val="24"/>
                <w:highlight w:val="none"/>
              </w:rPr>
              <w:t>指标管理</w:t>
            </w:r>
          </w:p>
        </w:tc>
        <w:tc>
          <w:tcPr>
            <w:tcW w:w="7097" w:type="dxa"/>
            <w:vAlign w:val="center"/>
          </w:tcPr>
          <w:p>
            <w:pPr>
              <w:pStyle w:val="201"/>
              <w:numPr>
                <w:ilvl w:val="0"/>
                <w:numId w:val="9"/>
              </w:numPr>
              <w:spacing w:before="0"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支持提供数据采集标准的管理维护，包括数据范围标准、数据分类标准、数据值域标准、数据校验标准。</w:t>
            </w:r>
          </w:p>
          <w:p>
            <w:pPr>
              <w:pStyle w:val="201"/>
              <w:numPr>
                <w:ilvl w:val="0"/>
                <w:numId w:val="9"/>
              </w:numPr>
              <w:spacing w:before="0"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支持资源配置与运行数据指标：大部分是填报的数据，系统支持手工填报或导入的形式。</w:t>
            </w:r>
          </w:p>
          <w:p>
            <w:pPr>
              <w:pStyle w:val="201"/>
              <w:numPr>
                <w:ilvl w:val="0"/>
                <w:numId w:val="9"/>
              </w:numPr>
              <w:spacing w:before="0"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支持医疗服务能力与医院质量安全指标：每项指标都进行详细的拆解分析，分析出数据源的取值系统和取值字段。</w:t>
            </w:r>
          </w:p>
          <w:p>
            <w:pPr>
              <w:pStyle w:val="201"/>
              <w:numPr>
                <w:ilvl w:val="0"/>
                <w:numId w:val="9"/>
              </w:numPr>
              <w:spacing w:before="0"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支持重点专业质量控制指标：每项指标都进行详细的拆解分析，分析出数据源的取值系统和取值字段。</w:t>
            </w:r>
          </w:p>
          <w:p>
            <w:pPr>
              <w:pStyle w:val="201"/>
              <w:numPr>
                <w:ilvl w:val="0"/>
                <w:numId w:val="9"/>
              </w:numPr>
              <w:spacing w:before="0"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支持单病种（术种）质量控制指标：每项指标都进行详细的拆解分析，分析出数据源的取值系统和取值字段。</w:t>
            </w:r>
          </w:p>
          <w:p>
            <w:pPr>
              <w:pStyle w:val="201"/>
              <w:numPr>
                <w:ilvl w:val="0"/>
                <w:numId w:val="9"/>
              </w:numPr>
              <w:spacing w:before="0"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支持重点医疗技术临床应用质量控制指标：每项指标都进行详细的拆解分析，分析出数据源的取值系统和取值字段。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1980" w:type="dxa"/>
            <w:vAlign w:val="center"/>
          </w:tcPr>
          <w:p>
            <w:pPr>
              <w:spacing w:line="360" w:lineRule="auto"/>
              <w:ind w:left="8" w:right="33"/>
              <w:jc w:val="center"/>
              <w:rPr>
                <w:rFonts w:ascii="宋体" w:hAnsi="宋体" w:cs="仿宋"/>
                <w:b/>
                <w:bCs/>
                <w:color w:val="auto"/>
                <w:sz w:val="24"/>
                <w:highlight w:val="none"/>
                <w:lang w:val="zh-CN" w:bidi="zh-CN"/>
              </w:rPr>
            </w:pPr>
            <w:r>
              <w:rPr>
                <w:rFonts w:hint="eastAsia" w:ascii="宋体" w:hAnsi="宋体" w:cs="仿宋"/>
                <w:b/>
                <w:bCs/>
                <w:color w:val="auto"/>
                <w:sz w:val="24"/>
                <w:highlight w:val="none"/>
              </w:rPr>
              <w:t>数据采集</w:t>
            </w:r>
          </w:p>
        </w:tc>
        <w:tc>
          <w:tcPr>
            <w:tcW w:w="7097" w:type="dxa"/>
            <w:vAlign w:val="center"/>
          </w:tcPr>
          <w:p>
            <w:pPr>
              <w:pStyle w:val="201"/>
              <w:numPr>
                <w:ilvl w:val="0"/>
                <w:numId w:val="9"/>
              </w:numPr>
              <w:spacing w:before="0"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支持提供内置数据模型，提供人工和自动采集功能。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 w:hRule="atLeast"/>
        </w:trPr>
        <w:tc>
          <w:tcPr>
            <w:tcW w:w="1980" w:type="dxa"/>
            <w:vAlign w:val="center"/>
          </w:tcPr>
          <w:p>
            <w:pPr>
              <w:spacing w:line="360" w:lineRule="auto"/>
              <w:ind w:left="8" w:right="33"/>
              <w:jc w:val="center"/>
              <w:rPr>
                <w:rFonts w:ascii="宋体" w:hAnsi="宋体" w:cs="仿宋"/>
                <w:b/>
                <w:bCs/>
                <w:color w:val="auto"/>
                <w:sz w:val="24"/>
                <w:highlight w:val="none"/>
                <w:lang w:val="zh-CN" w:bidi="zh-CN"/>
              </w:rPr>
            </w:pPr>
            <w:r>
              <w:rPr>
                <w:rFonts w:hint="eastAsia" w:ascii="宋体" w:hAnsi="宋体" w:cs="仿宋"/>
                <w:b/>
                <w:bCs/>
                <w:color w:val="auto"/>
                <w:sz w:val="24"/>
                <w:highlight w:val="none"/>
              </w:rPr>
              <w:t>指标分析</w:t>
            </w:r>
          </w:p>
        </w:tc>
        <w:tc>
          <w:tcPr>
            <w:tcW w:w="7097" w:type="dxa"/>
            <w:vAlign w:val="center"/>
          </w:tcPr>
          <w:p>
            <w:pPr>
              <w:pStyle w:val="201"/>
              <w:numPr>
                <w:ilvl w:val="0"/>
                <w:numId w:val="9"/>
              </w:numPr>
              <w:spacing w:before="0"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支持提供各章节指标整体分析，可直观查看数据质量评分趋势与数据质量问题。指标分析范围包括以下内容：</w:t>
            </w:r>
          </w:p>
          <w:p>
            <w:pPr>
              <w:pStyle w:val="201"/>
              <w:numPr>
                <w:ilvl w:val="0"/>
                <w:numId w:val="21"/>
              </w:numPr>
              <w:spacing w:before="0"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资源配置与运行数据指标</w:t>
            </w:r>
          </w:p>
          <w:p>
            <w:pPr>
              <w:pStyle w:val="201"/>
              <w:numPr>
                <w:ilvl w:val="0"/>
                <w:numId w:val="21"/>
              </w:numPr>
              <w:spacing w:before="0"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医疗服务能力与医院质量安全指标</w:t>
            </w:r>
          </w:p>
          <w:p>
            <w:pPr>
              <w:pStyle w:val="201"/>
              <w:numPr>
                <w:ilvl w:val="0"/>
                <w:numId w:val="21"/>
              </w:numPr>
              <w:spacing w:before="0"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重点专业质量控制指标</w:t>
            </w:r>
            <w:r>
              <w:rPr>
                <w:rFonts w:ascii="宋体" w:hAnsi="宋体" w:eastAsia="宋体"/>
                <w:color w:val="auto"/>
                <w:sz w:val="24"/>
                <w:highlight w:val="none"/>
                <w:lang w:eastAsia="zh-CN"/>
              </w:rPr>
              <w:t xml:space="preserve"> </w:t>
            </w:r>
          </w:p>
          <w:p>
            <w:pPr>
              <w:pStyle w:val="201"/>
              <w:numPr>
                <w:ilvl w:val="0"/>
                <w:numId w:val="21"/>
              </w:numPr>
              <w:spacing w:before="0"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单病种（术种）质量控制指标</w:t>
            </w:r>
          </w:p>
          <w:p>
            <w:pPr>
              <w:pStyle w:val="201"/>
              <w:numPr>
                <w:ilvl w:val="0"/>
                <w:numId w:val="21"/>
              </w:numPr>
              <w:spacing w:before="0"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重点医疗技术临床应用质量控制指标</w:t>
            </w:r>
          </w:p>
        </w:tc>
      </w:tr>
    </w:tbl>
    <w:p>
      <w:pPr>
        <w:spacing w:line="360" w:lineRule="auto"/>
        <w:ind w:firstLine="480" w:firstLineChars="200"/>
        <w:rPr>
          <w:rFonts w:ascii="宋体" w:hAnsi="宋体"/>
          <w:color w:val="auto"/>
          <w:sz w:val="24"/>
          <w:highlight w:val="none"/>
        </w:rPr>
      </w:pPr>
    </w:p>
    <w:p>
      <w:pPr>
        <w:pStyle w:val="7"/>
        <w:numPr>
          <w:ilvl w:val="4"/>
          <w:numId w:val="8"/>
        </w:numPr>
        <w:rPr>
          <w:rFonts w:ascii="宋体" w:hAnsi="宋体"/>
          <w:color w:val="auto"/>
          <w:szCs w:val="24"/>
          <w:highlight w:val="none"/>
        </w:rPr>
      </w:pPr>
      <w:bookmarkStart w:id="644" w:name="_Toc5865"/>
      <w:r>
        <w:rPr>
          <w:rFonts w:hint="eastAsia" w:ascii="宋体" w:hAnsi="宋体"/>
          <w:color w:val="auto"/>
          <w:szCs w:val="24"/>
          <w:highlight w:val="none"/>
        </w:rPr>
        <w:t>三级公立医院绩效考核内控管理平台</w:t>
      </w:r>
      <w:bookmarkEnd w:id="644"/>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公立医院绩效考核内控平台为从医院内部完成指标的体系化、指标数据的准确收集、并加强考核数据分析应用的系统。</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trPr>
        <w:tc>
          <w:tcPr>
            <w:tcW w:w="1980"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7087"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指标管理模块</w:t>
            </w:r>
          </w:p>
        </w:tc>
        <w:tc>
          <w:tcPr>
            <w:tcW w:w="7087" w:type="dxa"/>
          </w:tcPr>
          <w:p>
            <w:pPr>
              <w:pStyle w:val="201"/>
              <w:numPr>
                <w:ilvl w:val="0"/>
                <w:numId w:val="9"/>
              </w:numPr>
              <w:spacing w:before="0" w:line="360" w:lineRule="auto"/>
              <w:ind w:left="368" w:right="105" w:rightChars="50" w:firstLine="478"/>
              <w:rPr>
                <w:rFonts w:ascii="宋体" w:hAnsi="宋体" w:eastAsia="宋体"/>
                <w:color w:val="auto"/>
                <w:sz w:val="24"/>
                <w:highlight w:val="none"/>
                <w:lang w:eastAsia="zh-CN"/>
              </w:rPr>
            </w:pPr>
            <w:r>
              <w:rPr>
                <w:rFonts w:hint="eastAsia" w:ascii="宋体" w:hAnsi="宋体" w:eastAsia="宋体"/>
                <w:color w:val="auto"/>
                <w:spacing w:val="-1"/>
                <w:sz w:val="24"/>
                <w:highlight w:val="none"/>
                <w:lang w:val="zh-CN" w:eastAsia="zh-CN" w:bidi="zh-CN"/>
              </w:rPr>
              <w:t>支持</w:t>
            </w:r>
            <w:r>
              <w:rPr>
                <w:rFonts w:hint="eastAsia" w:ascii="宋体" w:hAnsi="宋体" w:eastAsia="宋体"/>
                <w:color w:val="auto"/>
                <w:sz w:val="24"/>
                <w:highlight w:val="none"/>
                <w:lang w:eastAsia="zh-CN"/>
              </w:rPr>
              <w:t>在线维护指标的定义、来源、计算规则信息；提供指标扩展功能，维护新增指标信息；提供指标自定义阈值功能，维护指标阈值。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指标采集</w:t>
            </w:r>
          </w:p>
        </w:tc>
        <w:tc>
          <w:tcPr>
            <w:tcW w:w="7087" w:type="dxa"/>
          </w:tcPr>
          <w:p>
            <w:pPr>
              <w:pStyle w:val="201"/>
              <w:numPr>
                <w:ilvl w:val="0"/>
                <w:numId w:val="9"/>
              </w:numPr>
              <w:spacing w:before="0" w:line="360" w:lineRule="auto"/>
              <w:ind w:left="368" w:right="105" w:rightChars="50" w:firstLine="478"/>
              <w:rPr>
                <w:rFonts w:ascii="宋体" w:hAnsi="宋体" w:eastAsia="宋体"/>
                <w:color w:val="auto"/>
                <w:sz w:val="24"/>
                <w:highlight w:val="none"/>
                <w:lang w:eastAsia="zh-CN"/>
              </w:rPr>
            </w:pPr>
            <w:r>
              <w:rPr>
                <w:rFonts w:hint="eastAsia" w:ascii="宋体" w:hAnsi="宋体" w:eastAsia="宋体"/>
                <w:color w:val="auto"/>
                <w:spacing w:val="-1"/>
                <w:sz w:val="24"/>
                <w:highlight w:val="none"/>
                <w:lang w:val="zh-CN" w:eastAsia="zh-CN" w:bidi="zh-CN"/>
              </w:rPr>
              <w:t>支持</w:t>
            </w:r>
            <w:r>
              <w:rPr>
                <w:rFonts w:hint="eastAsia" w:ascii="宋体" w:hAnsi="宋体" w:eastAsia="宋体"/>
                <w:color w:val="auto"/>
                <w:sz w:val="24"/>
                <w:highlight w:val="none"/>
                <w:lang w:eastAsia="zh-CN"/>
              </w:rPr>
              <w:t>医院业务系统提供的数据，可直接展示；部分业务系统无法提供的数据，可手动填报。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指标分析</w:t>
            </w:r>
          </w:p>
        </w:tc>
        <w:tc>
          <w:tcPr>
            <w:tcW w:w="7087" w:type="dxa"/>
          </w:tcPr>
          <w:p>
            <w:pPr>
              <w:pStyle w:val="201"/>
              <w:numPr>
                <w:ilvl w:val="0"/>
                <w:numId w:val="9"/>
              </w:numPr>
              <w:spacing w:before="0" w:line="360" w:lineRule="auto"/>
              <w:ind w:left="368" w:right="105" w:rightChars="50" w:firstLine="478"/>
              <w:rPr>
                <w:rFonts w:ascii="宋体" w:hAnsi="宋体" w:eastAsia="宋体"/>
                <w:color w:val="auto"/>
                <w:sz w:val="24"/>
                <w:highlight w:val="none"/>
                <w:lang w:eastAsia="zh-CN"/>
              </w:rPr>
            </w:pPr>
            <w:r>
              <w:rPr>
                <w:rFonts w:hint="eastAsia" w:ascii="宋体" w:hAnsi="宋体" w:eastAsia="宋体"/>
                <w:color w:val="auto"/>
                <w:spacing w:val="-1"/>
                <w:sz w:val="24"/>
                <w:highlight w:val="none"/>
                <w:lang w:val="zh-CN" w:eastAsia="zh-CN" w:bidi="zh-CN"/>
              </w:rPr>
              <w:t>支持</w:t>
            </w:r>
            <w:r>
              <w:rPr>
                <w:rFonts w:hint="eastAsia" w:ascii="宋体" w:hAnsi="宋体" w:eastAsia="宋体"/>
                <w:color w:val="auto"/>
                <w:sz w:val="24"/>
                <w:highlight w:val="none"/>
                <w:lang w:eastAsia="zh-CN"/>
              </w:rPr>
              <w:t>根据医疗质量、运营效率、持续发展和满意度评价四个模块，对每一项指标都有相应维度的分析，基于每个指标的历史数据的对比，结合卫健委提出的指标导向，监控某项指标是否达标。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数据钻取</w:t>
            </w:r>
          </w:p>
        </w:tc>
        <w:tc>
          <w:tcPr>
            <w:tcW w:w="7087" w:type="dxa"/>
          </w:tcPr>
          <w:p>
            <w:pPr>
              <w:pStyle w:val="201"/>
              <w:numPr>
                <w:ilvl w:val="0"/>
                <w:numId w:val="9"/>
              </w:numPr>
              <w:spacing w:before="0" w:line="360" w:lineRule="auto"/>
              <w:ind w:left="368" w:right="105" w:rightChars="50" w:firstLine="478"/>
              <w:rPr>
                <w:rFonts w:ascii="宋体" w:hAnsi="宋体" w:eastAsia="宋体"/>
                <w:color w:val="auto"/>
                <w:sz w:val="24"/>
                <w:highlight w:val="none"/>
                <w:lang w:eastAsia="zh-CN"/>
              </w:rPr>
            </w:pPr>
            <w:r>
              <w:rPr>
                <w:rFonts w:hint="eastAsia" w:ascii="宋体" w:hAnsi="宋体" w:eastAsia="宋体"/>
                <w:color w:val="auto"/>
                <w:spacing w:val="-1"/>
                <w:sz w:val="24"/>
                <w:highlight w:val="none"/>
                <w:lang w:val="zh-CN" w:eastAsia="zh-CN" w:bidi="zh-CN"/>
              </w:rPr>
              <w:t>支持</w:t>
            </w:r>
            <w:r>
              <w:rPr>
                <w:rFonts w:hint="eastAsia" w:ascii="宋体" w:hAnsi="宋体" w:eastAsia="宋体"/>
                <w:color w:val="auto"/>
                <w:sz w:val="24"/>
                <w:highlight w:val="none"/>
                <w:lang w:eastAsia="zh-CN"/>
              </w:rPr>
              <w:t>指标分析中提供数据钻取功能，能够有效、快捷的发现异常数据源头。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移动端</w:t>
            </w:r>
          </w:p>
        </w:tc>
        <w:tc>
          <w:tcPr>
            <w:tcW w:w="7087" w:type="dxa"/>
          </w:tcPr>
          <w:p>
            <w:pPr>
              <w:pStyle w:val="201"/>
              <w:numPr>
                <w:ilvl w:val="0"/>
                <w:numId w:val="9"/>
              </w:numPr>
              <w:spacing w:before="0" w:line="360" w:lineRule="auto"/>
              <w:ind w:left="368" w:right="105" w:rightChars="50" w:firstLine="478"/>
              <w:rPr>
                <w:rFonts w:ascii="宋体" w:hAnsi="宋体" w:eastAsia="宋体"/>
                <w:color w:val="auto"/>
                <w:sz w:val="24"/>
                <w:highlight w:val="none"/>
                <w:lang w:eastAsia="zh-CN"/>
              </w:rPr>
            </w:pPr>
            <w:r>
              <w:rPr>
                <w:rFonts w:hint="eastAsia" w:ascii="宋体" w:hAnsi="宋体" w:eastAsia="宋体"/>
                <w:color w:val="auto"/>
                <w:spacing w:val="-1"/>
                <w:sz w:val="24"/>
                <w:highlight w:val="none"/>
                <w:lang w:val="zh-CN" w:eastAsia="zh-CN" w:bidi="zh-CN"/>
              </w:rPr>
              <w:t>支持</w:t>
            </w:r>
            <w:r>
              <w:rPr>
                <w:rFonts w:hint="eastAsia" w:ascii="宋体" w:hAnsi="宋体" w:eastAsia="宋体"/>
                <w:color w:val="auto"/>
                <w:sz w:val="24"/>
                <w:highlight w:val="none"/>
                <w:lang w:eastAsia="zh-CN"/>
              </w:rPr>
              <w:t>将指标按不同维度（年、季、月、周、天）在移动端展示、监控每个指标是否达标并给出相应的预警信息。</w:t>
            </w:r>
          </w:p>
        </w:tc>
      </w:tr>
    </w:tbl>
    <w:p>
      <w:pPr>
        <w:pStyle w:val="7"/>
        <w:numPr>
          <w:ilvl w:val="4"/>
          <w:numId w:val="8"/>
        </w:numPr>
        <w:rPr>
          <w:rFonts w:ascii="宋体" w:hAnsi="宋体"/>
          <w:color w:val="auto"/>
          <w:szCs w:val="24"/>
          <w:highlight w:val="none"/>
        </w:rPr>
      </w:pPr>
      <w:bookmarkStart w:id="645" w:name="_Toc30923"/>
      <w:r>
        <w:rPr>
          <w:rFonts w:hint="eastAsia" w:ascii="等线 Light" w:hAnsi="等线 Light" w:eastAsia="等线 Light" w:cs="宋体"/>
          <w:color w:val="auto"/>
          <w:kern w:val="0"/>
          <w:highlight w:val="none"/>
        </w:rPr>
        <w:t>医疗质量</w:t>
      </w:r>
      <w:r>
        <w:rPr>
          <w:rFonts w:hint="eastAsia" w:ascii="等线 Light" w:hAnsi="等线 Light" w:eastAsia="等线 Light" w:cs="宋体"/>
          <w:color w:val="auto"/>
          <w:kern w:val="0"/>
          <w:highlight w:val="none"/>
          <w:lang w:eastAsia="zh-CN"/>
        </w:rPr>
        <w:t>监控</w:t>
      </w:r>
      <w:r>
        <w:rPr>
          <w:rFonts w:hint="eastAsia" w:ascii="等线 Light" w:hAnsi="等线 Light" w:eastAsia="等线 Light" w:cs="宋体"/>
          <w:color w:val="auto"/>
          <w:kern w:val="0"/>
          <w:highlight w:val="none"/>
        </w:rPr>
        <w:t>系统</w:t>
      </w:r>
      <w:bookmarkEnd w:id="645"/>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通过构建事前规范、事中控制与事后分析的全面质量管理体系，涵盖医疗服务全过程和临床关键节点，对基础医疗质量指标、患者安全指标、合理用药指标、医院感染指标、重症指标、重返指标、手术麻醉指标、单病种指标进行指标阈值管理、数据采集、指标分析、数据质控以及结果推送，形成对指标的闭环管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2" w:hRule="atLeast"/>
          <w:tblHeader/>
        </w:trPr>
        <w:tc>
          <w:tcPr>
            <w:tcW w:w="1980"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7087"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4"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制度体系管理</w:t>
            </w:r>
          </w:p>
        </w:tc>
        <w:tc>
          <w:tcPr>
            <w:tcW w:w="7087" w:type="dxa"/>
          </w:tcPr>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支持为质控办主任与质控办工作人员提供国家、行业规范及院内制度质控文档的管理与维护功能，并提供临床科室浏览查阅。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指标体系管理</w:t>
            </w:r>
          </w:p>
        </w:tc>
        <w:tc>
          <w:tcPr>
            <w:tcW w:w="7087" w:type="dxa"/>
          </w:tcPr>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支持指标的管理维护功能，包括指标名称、指标值域、指标来源、责任科室。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数据采集</w:t>
            </w:r>
          </w:p>
        </w:tc>
        <w:tc>
          <w:tcPr>
            <w:tcW w:w="7087" w:type="dxa"/>
          </w:tcPr>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支持根据质控指标依赖的数据，提供人工和自动采集功能。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主题分析</w:t>
            </w:r>
          </w:p>
        </w:tc>
        <w:tc>
          <w:tcPr>
            <w:tcW w:w="7087" w:type="dxa"/>
          </w:tcPr>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支持提供各科室数据质量评估整体分析，可直观查看质量指标数据及趋势，发现数据质量问题。</w:t>
            </w:r>
          </w:p>
          <w:p>
            <w:pPr>
              <w:pStyle w:val="201"/>
              <w:numPr>
                <w:ilvl w:val="0"/>
                <w:numId w:val="22"/>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基础指标：住院患者死亡与自动出院例数、住院手术例数、住院手术死亡例数、住院危重抢救例数、死亡例数、急诊科危重抢救例数、急诊科危重抢救死亡例数、急诊抢救室患者死亡率、新生儿患者住院死亡率。</w:t>
            </w:r>
          </w:p>
          <w:p>
            <w:pPr>
              <w:pStyle w:val="201"/>
              <w:numPr>
                <w:ilvl w:val="0"/>
                <w:numId w:val="22"/>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 xml:space="preserve">患者安全：择期手术并发症发生率、因用药错误导致患者死亡发生率、手术过程异物遗留发生率、医源性气胸发生率、医源性意外穿刺或撕裂伤发生率、输血反应发生率、输液反应发生率、医院内跌倒/坠床发生率、住院患者跌倒伤害占比、跌倒患者年龄构成比、住院患者压疮发生率、住院患者 2 期及以上院内压力性损伤发生率、院内2期及以上压力性损伤患者年龄构成比、新生儿产伤发生率。 </w:t>
            </w:r>
          </w:p>
          <w:p>
            <w:pPr>
              <w:pStyle w:val="201"/>
              <w:numPr>
                <w:ilvl w:val="0"/>
                <w:numId w:val="22"/>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合理用药：抗菌药物处方数/每百张门诊处方（%）、注射剂处方数/每百张门诊处方（%）、药费收入占医疗总收入比重（%）、常用抗菌药物种类与可提供药敏试验种类比例（%）、临床用药所致的有害效应（不良事件）发生例数、临床用药所致的有害效应（不良事件）发生率、住院患者抗菌药物使用率、住院患者抗菌药物使用强度、住院患者特殊使用级抗菌药物使用量占比、抗菌药物占西药出库总金额比重（%）、住院患者抗菌药物治疗前病原学送检率、Ⅰ类切口手术抗菌药物预防使用率、住院患者静脉输液使用率、住院患者中药注射剂静脉输液使用率、急诊患者糖皮质激素静脉输液使用率、住院患者质子泵抑制药注射剂静脉使用率。</w:t>
            </w:r>
          </w:p>
          <w:p>
            <w:pPr>
              <w:pStyle w:val="201"/>
              <w:numPr>
                <w:ilvl w:val="0"/>
                <w:numId w:val="22"/>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感染指标：医院感染发病率、新生儿患者感染率、手术患者感染率、ICU 患者感染率、血液透析感染率、医院感染病例漏报率、医务人员手卫生依从率、住院患者抗菌药物使用率、抗菌药物治疗前病原学送检率、I类切口手术部位感染率、I类切口手术抗菌药物预防使用率、血管内导管相关血流感染发病率、呼吸机相关肺炎发病率、导尿管相关泌尿系感染发病率、ICU呼吸机相关性肺炎发病率、ICU血管内导管相关血流感染发病率、ICU导尿管相关泌尿系统感染发病率。</w:t>
            </w:r>
          </w:p>
          <w:p>
            <w:pPr>
              <w:pStyle w:val="201"/>
              <w:numPr>
                <w:ilvl w:val="0"/>
                <w:numId w:val="22"/>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重症指标：非预期的 24/48 小时重返重症医学科率、呼吸机相关肺炎发病率、ICU 血管内导管相关血流感染发病率、ICU 导尿管相关泌尿系统感染发病率、重症患者死亡率、急性生理与慢性健康评分、非计划行入 ICU 率、ICU 患者收治率、ICU 患者收治床日率、ICU 抗菌药物治疗前病原学送检率、ICU 深静脉血栓（DVT）预防率、ICU 患者预计病死率、ICU 患者标化病死指数、ICU 非计划气管插管拔管率、ICU 气管插管拔管后 48h 内再插管率。</w:t>
            </w:r>
          </w:p>
          <w:p>
            <w:pPr>
              <w:pStyle w:val="201"/>
              <w:numPr>
                <w:ilvl w:val="0"/>
                <w:numId w:val="22"/>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重返指标：住院患者出院后0-31天非预期再住院率、住院患者出院后0-31天非预期再住院率构成情况、重点病种患者出院31天内再住院率、重点手术患者出院31天内再住院率、手术患者术后31天内非预期重返手术室再次手术率、手术患者术后31天内非预期重返手术室再次手术率构成情况、重点手术患者重返手术室再次手术率、转出ICU 后 48h 内非预期重返率、转出ICU 后 48h 内非预期重返率构成情况。</w:t>
            </w:r>
          </w:p>
          <w:p>
            <w:pPr>
              <w:pStyle w:val="201"/>
              <w:numPr>
                <w:ilvl w:val="0"/>
                <w:numId w:val="22"/>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麻醉指标： PACU 入室低体温率、非计划转入 ICU 率、非计划二次气管插管率、手术患者麻醉并发症发生例数、手术患者麻醉并发症发生率。</w:t>
            </w:r>
          </w:p>
          <w:p>
            <w:pPr>
              <w:pStyle w:val="201"/>
              <w:numPr>
                <w:ilvl w:val="0"/>
                <w:numId w:val="22"/>
              </w:numPr>
              <w:spacing w:before="0"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单病种指标：基于单病种上报系统存储数据统计51个单病种的病例数、平均住院日、次均费用、病死率、手术患者并发症发生率。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1980" w:type="dxa"/>
            <w:vAlign w:val="center"/>
          </w:tcPr>
          <w:p>
            <w:pPr>
              <w:spacing w:line="360" w:lineRule="auto"/>
              <w:ind w:left="9" w:right="33"/>
              <w:jc w:val="center"/>
              <w:rPr>
                <w:rFonts w:ascii="宋体" w:hAnsi="宋体" w:cs="仿宋"/>
                <w:b/>
                <w:bCs/>
                <w:color w:val="auto"/>
                <w:sz w:val="24"/>
                <w:highlight w:val="none"/>
                <w:lang w:bidi="zh-CN"/>
              </w:rPr>
            </w:pPr>
            <w:r>
              <w:rPr>
                <w:rFonts w:hint="eastAsia" w:ascii="宋体" w:hAnsi="宋体" w:cs="仿宋"/>
                <w:b/>
                <w:bCs/>
                <w:color w:val="auto"/>
                <w:sz w:val="24"/>
                <w:highlight w:val="none"/>
                <w:lang w:bidi="zh-CN"/>
              </w:rPr>
              <w:t>预警推送</w:t>
            </w:r>
          </w:p>
        </w:tc>
        <w:tc>
          <w:tcPr>
            <w:tcW w:w="7087" w:type="dxa"/>
          </w:tcPr>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支持推送质控指标异常结果至各责任科室。</w:t>
            </w:r>
          </w:p>
        </w:tc>
      </w:tr>
    </w:tbl>
    <w:p>
      <w:pPr>
        <w:pStyle w:val="7"/>
        <w:numPr>
          <w:ilvl w:val="4"/>
          <w:numId w:val="8"/>
        </w:numPr>
        <w:rPr>
          <w:rFonts w:ascii="宋体" w:hAnsi="宋体"/>
          <w:color w:val="auto"/>
          <w:szCs w:val="24"/>
          <w:highlight w:val="none"/>
        </w:rPr>
      </w:pPr>
      <w:bookmarkStart w:id="646" w:name="_Toc5703"/>
      <w:r>
        <w:rPr>
          <w:rFonts w:hint="eastAsia" w:ascii="宋体" w:hAnsi="宋体"/>
          <w:color w:val="auto"/>
          <w:szCs w:val="24"/>
          <w:highlight w:val="none"/>
        </w:rPr>
        <w:t>危急值预警管理系统</w:t>
      </w:r>
      <w:bookmarkEnd w:id="646"/>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为了对医技结果风险有及时的预警功能，需建立危急值预警系统，系统要求能够做到当患者的检验、检查报告出现危急值的情况时，能够自动的通知相关人员，做 出迅速反应，保证患者生命安全。 能够处理的非正常结果包含危急值及异常值。 医技系统将结果推送给 CDR，CDR 调用规则服务，进行危急值、异常值判断。如果出现非正常情况，发送警告 HIS 系统及相关人员,进行及时应对。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6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blHeader/>
        </w:trPr>
        <w:tc>
          <w:tcPr>
            <w:tcW w:w="2153"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模块</w:t>
            </w:r>
          </w:p>
        </w:tc>
        <w:tc>
          <w:tcPr>
            <w:tcW w:w="6914"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4"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olor w:val="auto"/>
                <w:sz w:val="24"/>
                <w:highlight w:val="none"/>
              </w:rPr>
              <w:t>危急值预警管理系统</w:t>
            </w:r>
          </w:p>
        </w:tc>
        <w:tc>
          <w:tcPr>
            <w:tcW w:w="6914" w:type="dxa"/>
            <w:vAlign w:val="center"/>
          </w:tcPr>
          <w:p>
            <w:pPr>
              <w:numPr>
                <w:ilvl w:val="0"/>
                <w:numId w:val="23"/>
              </w:numPr>
              <w:spacing w:line="360" w:lineRule="auto"/>
              <w:rPr>
                <w:rFonts w:ascii="宋体" w:hAnsi="宋体"/>
                <w:color w:val="auto"/>
                <w:sz w:val="24"/>
                <w:highlight w:val="none"/>
              </w:rPr>
            </w:pPr>
            <w:r>
              <w:rPr>
                <w:rFonts w:hint="eastAsia" w:ascii="宋体" w:hAnsi="宋体"/>
                <w:color w:val="auto"/>
                <w:sz w:val="24"/>
                <w:highlight w:val="none"/>
              </w:rPr>
              <w:t>支持能够处理的非正常结果包含：</w:t>
            </w:r>
          </w:p>
          <w:p>
            <w:pPr>
              <w:numPr>
                <w:ilvl w:val="0"/>
                <w:numId w:val="24"/>
              </w:numPr>
              <w:spacing w:line="360" w:lineRule="auto"/>
              <w:rPr>
                <w:rFonts w:ascii="宋体" w:hAnsi="宋体"/>
                <w:color w:val="auto"/>
                <w:sz w:val="24"/>
                <w:highlight w:val="none"/>
              </w:rPr>
            </w:pPr>
            <w:r>
              <w:rPr>
                <w:rFonts w:hint="eastAsia" w:ascii="宋体" w:hAnsi="宋体"/>
                <w:color w:val="auto"/>
                <w:sz w:val="24"/>
                <w:highlight w:val="none"/>
              </w:rPr>
              <w:t>危急值：指一旦出现，威胁患者生命安全的检验结果，就需将其立即报告给临床医师，以便其立刻采取相应的治疗措施，否则将会因为错过最佳的治疗时机而使患者的生命安全受到威胁。</w:t>
            </w:r>
          </w:p>
          <w:p>
            <w:pPr>
              <w:numPr>
                <w:ilvl w:val="0"/>
                <w:numId w:val="24"/>
              </w:numPr>
              <w:spacing w:line="360" w:lineRule="auto"/>
              <w:rPr>
                <w:rFonts w:ascii="宋体" w:hAnsi="宋体"/>
                <w:color w:val="auto"/>
                <w:sz w:val="24"/>
                <w:highlight w:val="none"/>
              </w:rPr>
            </w:pPr>
            <w:r>
              <w:rPr>
                <w:rFonts w:hint="eastAsia" w:ascii="宋体" w:hAnsi="宋体"/>
                <w:color w:val="auto"/>
                <w:sz w:val="24"/>
                <w:highlight w:val="none"/>
              </w:rPr>
              <w:t>异常值：检验、检查结果不在参考值范围之内，严重程度达不到危急值程度。</w:t>
            </w:r>
          </w:p>
          <w:p>
            <w:pPr>
              <w:numPr>
                <w:ilvl w:val="0"/>
                <w:numId w:val="23"/>
              </w:numPr>
              <w:spacing w:line="360" w:lineRule="auto"/>
              <w:rPr>
                <w:rFonts w:ascii="宋体" w:hAnsi="宋体"/>
                <w:color w:val="auto"/>
                <w:sz w:val="24"/>
                <w:highlight w:val="none"/>
              </w:rPr>
            </w:pPr>
            <w:r>
              <w:rPr>
                <w:rFonts w:hint="eastAsia" w:ascii="宋体" w:hAnsi="宋体"/>
                <w:color w:val="auto"/>
                <w:sz w:val="24"/>
                <w:highlight w:val="none"/>
              </w:rPr>
              <w:t>支持根据检查、检验报告生成后，结合规则服务，进行危急值、异常值判断。当出现非正常情况，支持人工及自动预警通知。</w:t>
            </w:r>
          </w:p>
          <w:p>
            <w:pPr>
              <w:numPr>
                <w:ilvl w:val="0"/>
                <w:numId w:val="23"/>
              </w:numPr>
              <w:spacing w:line="360" w:lineRule="auto"/>
              <w:rPr>
                <w:rFonts w:ascii="宋体" w:hAnsi="宋体"/>
                <w:color w:val="auto"/>
                <w:sz w:val="24"/>
                <w:highlight w:val="none"/>
              </w:rPr>
            </w:pPr>
            <w:r>
              <w:rPr>
                <w:rFonts w:hint="eastAsia" w:ascii="宋体" w:hAnsi="宋体"/>
                <w:color w:val="auto"/>
                <w:sz w:val="24"/>
                <w:highlight w:val="none"/>
              </w:rPr>
              <w:t>支持危急值和异常值发出后，医生能够在系统中进行应答反馈操作，实现闭环管理。</w:t>
            </w:r>
          </w:p>
          <w:p>
            <w:pPr>
              <w:numPr>
                <w:ilvl w:val="0"/>
                <w:numId w:val="23"/>
              </w:numPr>
              <w:spacing w:line="360" w:lineRule="auto"/>
              <w:rPr>
                <w:rFonts w:ascii="宋体" w:hAnsi="宋体"/>
                <w:color w:val="auto"/>
                <w:sz w:val="24"/>
                <w:highlight w:val="none"/>
              </w:rPr>
            </w:pPr>
            <w:r>
              <w:rPr>
                <w:rFonts w:hint="eastAsia" w:ascii="宋体" w:hAnsi="宋体"/>
                <w:color w:val="auto"/>
                <w:sz w:val="24"/>
                <w:highlight w:val="none"/>
              </w:rPr>
              <w:t>支持按照患者维度进行危急值和异常值的显示，并能够展示各环节处理人员及时间间隔统计信息展示。</w:t>
            </w:r>
          </w:p>
          <w:p>
            <w:pPr>
              <w:numPr>
                <w:ilvl w:val="0"/>
                <w:numId w:val="23"/>
              </w:numPr>
              <w:spacing w:line="360" w:lineRule="auto"/>
              <w:rPr>
                <w:rFonts w:ascii="宋体" w:hAnsi="宋体"/>
                <w:color w:val="auto"/>
                <w:sz w:val="24"/>
                <w:highlight w:val="none"/>
              </w:rPr>
            </w:pPr>
            <w:r>
              <w:rPr>
                <w:rFonts w:hint="eastAsia" w:ascii="宋体" w:hAnsi="宋体"/>
                <w:color w:val="auto"/>
                <w:sz w:val="24"/>
                <w:highlight w:val="none"/>
              </w:rPr>
              <w:t>支持按照日、周、月、年维度展示危急值预警统计信息。</w:t>
            </w:r>
          </w:p>
          <w:p>
            <w:pPr>
              <w:numPr>
                <w:ilvl w:val="0"/>
                <w:numId w:val="23"/>
              </w:numPr>
              <w:spacing w:line="360" w:lineRule="auto"/>
              <w:rPr>
                <w:rFonts w:ascii="宋体" w:hAnsi="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olor w:val="auto"/>
                <w:sz w:val="24"/>
                <w:highlight w:val="none"/>
              </w:rPr>
              <w:t>提供危急值预警规则，并支持危急值相关规则的灵活配置。</w:t>
            </w:r>
          </w:p>
        </w:tc>
      </w:tr>
    </w:tbl>
    <w:p>
      <w:pPr>
        <w:spacing w:line="360" w:lineRule="auto"/>
        <w:ind w:firstLine="480" w:firstLineChars="200"/>
        <w:rPr>
          <w:rFonts w:ascii="宋体" w:hAnsi="宋体"/>
          <w:color w:val="auto"/>
          <w:sz w:val="24"/>
          <w:highlight w:val="none"/>
        </w:rPr>
      </w:pPr>
    </w:p>
    <w:p>
      <w:pPr>
        <w:pStyle w:val="7"/>
        <w:numPr>
          <w:ilvl w:val="4"/>
          <w:numId w:val="8"/>
        </w:numPr>
        <w:rPr>
          <w:rFonts w:ascii="宋体" w:hAnsi="宋体"/>
          <w:color w:val="auto"/>
          <w:szCs w:val="24"/>
          <w:highlight w:val="none"/>
        </w:rPr>
      </w:pPr>
      <w:bookmarkStart w:id="647" w:name="_Toc13789"/>
      <w:r>
        <w:rPr>
          <w:rFonts w:hint="eastAsia" w:ascii="宋体" w:hAnsi="宋体"/>
          <w:color w:val="auto"/>
          <w:szCs w:val="24"/>
          <w:highlight w:val="none"/>
        </w:rPr>
        <w:t>C</w:t>
      </w:r>
      <w:r>
        <w:rPr>
          <w:rFonts w:ascii="宋体" w:hAnsi="宋体"/>
          <w:color w:val="auto"/>
          <w:szCs w:val="24"/>
          <w:highlight w:val="none"/>
        </w:rPr>
        <w:t>A</w:t>
      </w:r>
      <w:r>
        <w:rPr>
          <w:rFonts w:hint="eastAsia" w:ascii="宋体" w:hAnsi="宋体"/>
          <w:color w:val="auto"/>
          <w:szCs w:val="24"/>
          <w:highlight w:val="none"/>
        </w:rPr>
        <w:t>移动签章</w:t>
      </w:r>
      <w:bookmarkEnd w:id="647"/>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在医院建立移动电子签名系统，系统基于微信小程序或APP的手机数字证书的身份认证和手机电子签名支撑体系，采用移动数字证书及移动电子签名技术，结合手机端微信及移动终端工具，实现移动电子签名应用与医院业务的有机结合，解决移动身份认证、授权管理、责任认定等安全问题，解决电子病历、电子处方等数据文件的真实性、完整性、有效性等问题，建立安全可信的医院医疗业务环境。建立数字证书</w:t>
      </w:r>
      <w:r>
        <w:rPr>
          <w:rFonts w:hint="default" w:ascii="宋体" w:hAnsi="宋体"/>
          <w:color w:val="auto"/>
          <w:sz w:val="24"/>
          <w:highlight w:val="none"/>
        </w:rPr>
        <w:t>4000</w:t>
      </w:r>
      <w:r>
        <w:rPr>
          <w:rFonts w:hint="eastAsia" w:ascii="宋体" w:hAnsi="宋体"/>
          <w:color w:val="auto"/>
          <w:sz w:val="24"/>
          <w:highlight w:val="none"/>
        </w:rPr>
        <w:t>个。</w:t>
      </w:r>
    </w:p>
    <w:p>
      <w:pPr>
        <w:spacing w:line="360" w:lineRule="auto"/>
        <w:ind w:firstLine="480" w:firstLineChars="200"/>
        <w:rPr>
          <w:rFonts w:ascii="宋体" w:hAnsi="宋体"/>
          <w:color w:val="auto"/>
          <w:sz w:val="24"/>
          <w:highlight w:val="none"/>
        </w:rPr>
      </w:pPr>
      <w:r>
        <w:rPr>
          <w:rFonts w:ascii="宋体" w:hAnsi="宋体"/>
          <w:color w:val="auto"/>
          <w:sz w:val="24"/>
          <w:highlight w:val="none"/>
        </w:rPr>
        <w:t>CA</w:t>
      </w:r>
      <w:r>
        <w:rPr>
          <w:rFonts w:hint="eastAsia" w:ascii="宋体" w:hAnsi="宋体"/>
          <w:color w:val="auto"/>
          <w:sz w:val="24"/>
          <w:highlight w:val="none"/>
        </w:rPr>
        <w:t>移动签章需满足以下功能要求：</w:t>
      </w:r>
    </w:p>
    <w:tbl>
      <w:tblPr>
        <w:tblStyle w:val="43"/>
        <w:tblW w:w="90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1"/>
        <w:gridCol w:w="74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trPr>
        <w:tc>
          <w:tcPr>
            <w:tcW w:w="1671"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4"/>
                <w:sz w:val="24"/>
                <w:highlight w:val="none"/>
              </w:rPr>
            </w:pPr>
            <w:r>
              <w:rPr>
                <w:rFonts w:hint="eastAsia" w:ascii="宋体" w:hAnsi="宋体" w:cs="仿宋"/>
                <w:b/>
                <w:color w:val="auto"/>
                <w:w w:val="104"/>
                <w:sz w:val="24"/>
                <w:highlight w:val="none"/>
              </w:rPr>
              <w:t>系统</w:t>
            </w:r>
          </w:p>
        </w:tc>
        <w:tc>
          <w:tcPr>
            <w:tcW w:w="7406"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4"/>
                <w:sz w:val="24"/>
                <w:highlight w:val="none"/>
              </w:rPr>
            </w:pPr>
            <w:r>
              <w:rPr>
                <w:rFonts w:hint="eastAsia" w:ascii="宋体" w:hAnsi="宋体" w:cs="仿宋"/>
                <w:b/>
                <w:color w:val="auto"/>
                <w:w w:val="104"/>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1671" w:type="dxa"/>
            <w:vAlign w:val="center"/>
          </w:tcPr>
          <w:p>
            <w:pPr>
              <w:spacing w:line="360" w:lineRule="auto"/>
              <w:ind w:left="6" w:right="34"/>
              <w:jc w:val="center"/>
              <w:rPr>
                <w:rFonts w:ascii="宋体" w:hAnsi="宋体" w:cs="仿宋"/>
                <w:b/>
                <w:color w:val="auto"/>
                <w:sz w:val="24"/>
                <w:highlight w:val="none"/>
                <w:lang w:val="zh-CN" w:bidi="zh-CN"/>
              </w:rPr>
            </w:pPr>
            <w:r>
              <w:rPr>
                <w:rFonts w:ascii="宋体" w:hAnsi="宋体" w:cs="仿宋"/>
                <w:b/>
                <w:color w:val="auto"/>
                <w:sz w:val="24"/>
                <w:highlight w:val="none"/>
                <w:lang w:val="zh-CN" w:bidi="zh-CN"/>
              </w:rPr>
              <w:t>CA</w:t>
            </w:r>
            <w:r>
              <w:rPr>
                <w:rFonts w:hint="eastAsia" w:ascii="宋体" w:hAnsi="宋体" w:cs="仿宋"/>
                <w:b/>
                <w:color w:val="auto"/>
                <w:sz w:val="24"/>
                <w:highlight w:val="none"/>
                <w:lang w:val="zh-CN" w:bidi="zh-CN"/>
              </w:rPr>
              <w:t>移动签章</w:t>
            </w:r>
          </w:p>
        </w:tc>
        <w:tc>
          <w:tcPr>
            <w:tcW w:w="7406" w:type="dxa"/>
            <w:vAlign w:val="center"/>
          </w:tcPr>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支持用户（如医生等）使用数字证书登录客户端，客户端通过调用客户端控件和数字签名验证服务器实现对数字证书的读取、解析、验证和展现，实现基于数字证书的安全登录。</w:t>
            </w:r>
          </w:p>
          <w:p>
            <w:pPr>
              <w:pStyle w:val="201"/>
              <w:numPr>
                <w:ilvl w:val="0"/>
                <w:numId w:val="9"/>
              </w:numPr>
              <w:spacing w:before="0" w:line="360" w:lineRule="auto"/>
              <w:ind w:left="368" w:right="105" w:rightChars="50" w:firstLine="478"/>
              <w:rPr>
                <w:rFonts w:ascii="宋体" w:hAnsi="宋体" w:eastAsia="宋体"/>
                <w:color w:val="auto"/>
                <w:sz w:val="24"/>
                <w:highlight w:val="none"/>
                <w:lang w:eastAsia="zh-CN"/>
              </w:rPr>
            </w:pPr>
            <w:r>
              <w:rPr>
                <w:rFonts w:hint="eastAsia" w:ascii="宋体" w:hAnsi="宋体" w:eastAsia="宋体"/>
                <w:color w:val="auto"/>
                <w:spacing w:val="-1"/>
                <w:sz w:val="24"/>
                <w:highlight w:val="none"/>
                <w:lang w:val="zh-CN" w:eastAsia="zh-CN" w:bidi="zh-CN"/>
              </w:rPr>
              <w:t>支持</w:t>
            </w:r>
            <w:r>
              <w:rPr>
                <w:rFonts w:hint="eastAsia" w:ascii="宋体" w:hAnsi="宋体" w:eastAsia="宋体"/>
                <w:color w:val="auto"/>
                <w:sz w:val="24"/>
                <w:highlight w:val="none"/>
                <w:lang w:eastAsia="zh-CN"/>
              </w:rPr>
              <w:t>通过集成部署时间戳服务系统，可以有效证明电子数据的有效性及产生时间，将经签名的一个可信赖的日期和时间与特定电子数据绑定在一起，为服务器端应用提供可信的时间证明，为医院提供可信时间服务。</w:t>
            </w:r>
          </w:p>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支持在医嘱单、检验单等医疗过程中实现电子签章功能，实现了电子病历中数字签名的可视化、图形化，使可靠电子签名在电子病历中可形象展现，并提供方便的签章验证辨伪操作界面。</w:t>
            </w:r>
          </w:p>
          <w:p>
            <w:pPr>
              <w:pStyle w:val="201"/>
              <w:numPr>
                <w:ilvl w:val="0"/>
                <w:numId w:val="9"/>
              </w:numPr>
              <w:spacing w:before="0" w:line="360" w:lineRule="auto"/>
              <w:ind w:left="368" w:right="105" w:rightChars="50" w:firstLine="478"/>
              <w:rPr>
                <w:rFonts w:ascii="宋体" w:hAnsi="宋体" w:eastAsia="宋体"/>
                <w:bCs/>
                <w:color w:val="auto"/>
                <w:sz w:val="24"/>
                <w:highlight w:val="none"/>
                <w:lang w:val="zh-CN" w:eastAsia="zh-CN" w:bidi="zh-CN"/>
              </w:rPr>
            </w:pPr>
            <w:r>
              <w:rPr>
                <w:rFonts w:hint="eastAsia" w:ascii="宋体" w:hAnsi="宋体" w:eastAsia="宋体"/>
                <w:color w:val="auto"/>
                <w:spacing w:val="-1"/>
                <w:sz w:val="24"/>
                <w:highlight w:val="none"/>
                <w:lang w:val="zh-CN" w:eastAsia="zh-CN" w:bidi="zh-CN"/>
              </w:rPr>
              <w:t>支持</w:t>
            </w:r>
            <w:r>
              <w:rPr>
                <w:rFonts w:hint="eastAsia" w:ascii="宋体" w:hAnsi="宋体" w:eastAsia="宋体"/>
                <w:color w:val="auto"/>
                <w:sz w:val="24"/>
                <w:highlight w:val="none"/>
                <w:lang w:eastAsia="zh-CN"/>
              </w:rPr>
              <w:t>数字签名验证服务器实现基于数字证书的身份认证、数字签名、数据加密等功能，核心是将提交的医疗数据进行数字签名，以保证数据的不可抵赖性、完整性需求，并在查询相关数据时，实现用户对于所查询的数据的有效性验证。通过部署数字签名验证服务器实现电子病历生成等医院内部重要业务环节中的数字签名及验证。</w:t>
            </w:r>
          </w:p>
        </w:tc>
      </w:tr>
    </w:tbl>
    <w:p>
      <w:pPr>
        <w:pStyle w:val="7"/>
        <w:numPr>
          <w:ilvl w:val="4"/>
          <w:numId w:val="8"/>
        </w:numPr>
        <w:rPr>
          <w:rFonts w:ascii="宋体" w:hAnsi="宋体"/>
          <w:color w:val="auto"/>
          <w:szCs w:val="24"/>
          <w:highlight w:val="none"/>
        </w:rPr>
      </w:pPr>
      <w:bookmarkStart w:id="648" w:name="_Toc27305"/>
      <w:r>
        <w:rPr>
          <w:rFonts w:hint="eastAsia" w:ascii="宋体" w:hAnsi="宋体"/>
          <w:color w:val="auto"/>
          <w:szCs w:val="24"/>
          <w:highlight w:val="none"/>
        </w:rPr>
        <w:t>医保软件</w:t>
      </w:r>
      <w:bookmarkEnd w:id="648"/>
    </w:p>
    <w:p>
      <w:pPr>
        <w:pStyle w:val="8"/>
        <w:ind w:firstLine="480"/>
        <w:rPr>
          <w:rFonts w:ascii="宋体" w:hAnsi="宋体"/>
          <w:color w:val="auto"/>
          <w:szCs w:val="24"/>
          <w:highlight w:val="none"/>
        </w:rPr>
      </w:pPr>
      <w:r>
        <w:rPr>
          <w:rFonts w:hint="eastAsia" w:ascii="宋体" w:hAnsi="宋体"/>
          <w:color w:val="auto"/>
          <w:szCs w:val="24"/>
          <w:highlight w:val="none"/>
        </w:rPr>
        <w:t>对医保软件进行升级维护，包括但不限于以下内容：</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6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blHeader/>
        </w:trPr>
        <w:tc>
          <w:tcPr>
            <w:tcW w:w="2153"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模块</w:t>
            </w:r>
          </w:p>
        </w:tc>
        <w:tc>
          <w:tcPr>
            <w:tcW w:w="6914"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olor w:val="auto"/>
                <w:sz w:val="24"/>
                <w:highlight w:val="none"/>
              </w:rPr>
              <w:t>医保软件维护</w:t>
            </w:r>
          </w:p>
        </w:tc>
        <w:tc>
          <w:tcPr>
            <w:tcW w:w="6914" w:type="dxa"/>
            <w:vAlign w:val="center"/>
          </w:tcPr>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支持代码表维护</w:t>
            </w:r>
          </w:p>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支持标准库维护</w:t>
            </w:r>
          </w:p>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支持政策参数维护</w:t>
            </w:r>
          </w:p>
        </w:tc>
      </w:tr>
    </w:tbl>
    <w:p>
      <w:pPr>
        <w:pStyle w:val="8"/>
        <w:ind w:firstLine="480"/>
        <w:rPr>
          <w:rFonts w:ascii="宋体" w:hAnsi="宋体"/>
          <w:color w:val="auto"/>
          <w:szCs w:val="24"/>
          <w:highlight w:val="none"/>
        </w:rPr>
      </w:pPr>
    </w:p>
    <w:p>
      <w:pPr>
        <w:pStyle w:val="7"/>
        <w:numPr>
          <w:ilvl w:val="4"/>
          <w:numId w:val="8"/>
        </w:numPr>
        <w:rPr>
          <w:rFonts w:ascii="宋体" w:hAnsi="宋体"/>
          <w:color w:val="auto"/>
          <w:szCs w:val="24"/>
          <w:highlight w:val="none"/>
        </w:rPr>
      </w:pPr>
      <w:bookmarkStart w:id="649" w:name="_Toc24202"/>
      <w:r>
        <w:rPr>
          <w:rFonts w:hint="eastAsia" w:ascii="宋体" w:hAnsi="宋体"/>
          <w:color w:val="auto"/>
          <w:szCs w:val="24"/>
          <w:highlight w:val="none"/>
        </w:rPr>
        <w:t>中国医院药物警戒系统</w:t>
      </w:r>
      <w:bookmarkEnd w:id="649"/>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完善我院使用的药物警戒系统，包括但不限于以下功能：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6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blHeader/>
        </w:trPr>
        <w:tc>
          <w:tcPr>
            <w:tcW w:w="2153"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模块</w:t>
            </w:r>
          </w:p>
        </w:tc>
        <w:tc>
          <w:tcPr>
            <w:tcW w:w="6914"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olor w:val="auto"/>
                <w:sz w:val="24"/>
                <w:highlight w:val="none"/>
              </w:rPr>
              <w:t>中国医院药物警戒系统升级</w:t>
            </w:r>
          </w:p>
        </w:tc>
        <w:tc>
          <w:tcPr>
            <w:tcW w:w="6914" w:type="dxa"/>
            <w:vAlign w:val="center"/>
          </w:tcPr>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完善ADR监测模块：增加新手指引、“智能填充”功能、要求在填写ADR报告的任何时候查看患者的病程和检验数据，增加“ADR报告到期提醒”栏目等。</w:t>
            </w:r>
          </w:p>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新增“药品评价系统”模块：包括评价方案试验、评价项目管理、资源配置国家药品批文库、药品说明书、ADR名称（WHO-ART）、ICD10疾病库、医学主题词库、药品生产厂家、药理作用分类、给药途经、药品剂型、剂量单位、检验项目、检查项目、诊断类型等标准词库，此外，药品、检验、检查、诊断等可以配置其同义词库。</w:t>
            </w:r>
          </w:p>
        </w:tc>
      </w:tr>
    </w:tbl>
    <w:p>
      <w:pPr>
        <w:spacing w:line="360" w:lineRule="auto"/>
        <w:ind w:firstLine="480" w:firstLineChars="200"/>
        <w:rPr>
          <w:rFonts w:ascii="宋体" w:hAnsi="宋体"/>
          <w:color w:val="auto"/>
          <w:sz w:val="24"/>
          <w:highlight w:val="none"/>
        </w:rPr>
      </w:pPr>
    </w:p>
    <w:p>
      <w:pPr>
        <w:pStyle w:val="7"/>
        <w:numPr>
          <w:ilvl w:val="4"/>
          <w:numId w:val="8"/>
        </w:numPr>
        <w:rPr>
          <w:rFonts w:ascii="宋体" w:hAnsi="宋体"/>
          <w:color w:val="auto"/>
          <w:szCs w:val="24"/>
          <w:highlight w:val="none"/>
        </w:rPr>
      </w:pPr>
      <w:bookmarkStart w:id="650" w:name="_Toc9545"/>
      <w:r>
        <w:rPr>
          <w:rFonts w:hint="eastAsia" w:ascii="宋体" w:hAnsi="宋体"/>
          <w:color w:val="auto"/>
          <w:szCs w:val="24"/>
          <w:highlight w:val="none"/>
        </w:rPr>
        <w:t>感染性疾病大数据平台</w:t>
      </w:r>
      <w:bookmarkEnd w:id="650"/>
    </w:p>
    <w:p>
      <w:pPr>
        <w:pStyle w:val="8"/>
        <w:ind w:firstLine="480"/>
        <w:rPr>
          <w:rFonts w:ascii="宋体" w:hAnsi="宋体"/>
          <w:color w:val="auto"/>
          <w:szCs w:val="24"/>
          <w:highlight w:val="none"/>
        </w:rPr>
      </w:pPr>
      <w:r>
        <w:rPr>
          <w:rFonts w:hint="eastAsia" w:ascii="宋体" w:hAnsi="宋体"/>
          <w:color w:val="auto"/>
          <w:szCs w:val="24"/>
          <w:highlight w:val="none"/>
        </w:rPr>
        <w:t>对感染性疾病大数据平台进行升级改造，包括但不限于：</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6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blHeader/>
        </w:trPr>
        <w:tc>
          <w:tcPr>
            <w:tcW w:w="2153"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模块</w:t>
            </w:r>
          </w:p>
        </w:tc>
        <w:tc>
          <w:tcPr>
            <w:tcW w:w="6914"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olor w:val="auto"/>
                <w:sz w:val="24"/>
                <w:highlight w:val="none"/>
              </w:rPr>
              <w:t>感染性疾病大数据平台升级</w:t>
            </w:r>
          </w:p>
        </w:tc>
        <w:tc>
          <w:tcPr>
            <w:tcW w:w="6914" w:type="dxa"/>
            <w:vAlign w:val="center"/>
          </w:tcPr>
          <w:p>
            <w:pPr>
              <w:pStyle w:val="201"/>
              <w:numPr>
                <w:ilvl w:val="0"/>
                <w:numId w:val="9"/>
              </w:numPr>
              <w:spacing w:before="0" w:line="360" w:lineRule="auto"/>
              <w:ind w:left="368" w:right="105" w:rightChars="50" w:firstLine="478"/>
              <w:rPr>
                <w:rFonts w:ascii="宋体" w:hAnsi="宋体" w:eastAsia="宋体"/>
                <w:color w:val="auto"/>
                <w:sz w:val="24"/>
                <w:highlight w:val="none"/>
                <w:lang w:eastAsia="zh-CN"/>
              </w:rPr>
            </w:pPr>
            <w:r>
              <w:rPr>
                <w:rFonts w:hint="eastAsia" w:ascii="宋体" w:hAnsi="宋体" w:eastAsia="宋体"/>
                <w:color w:val="auto"/>
                <w:spacing w:val="-1"/>
                <w:sz w:val="24"/>
                <w:highlight w:val="none"/>
                <w:lang w:val="zh-CN" w:eastAsia="zh-CN" w:bidi="zh-CN"/>
              </w:rPr>
              <w:t>支持</w:t>
            </w:r>
            <w:r>
              <w:rPr>
                <w:rFonts w:hint="eastAsia" w:ascii="宋体" w:hAnsi="宋体" w:eastAsia="宋体"/>
                <w:color w:val="auto"/>
                <w:sz w:val="24"/>
                <w:highlight w:val="none"/>
                <w:lang w:eastAsia="zh-CN"/>
              </w:rPr>
              <w:t>对移动端随访模块功能优化；</w:t>
            </w:r>
          </w:p>
          <w:p>
            <w:pPr>
              <w:pStyle w:val="201"/>
              <w:numPr>
                <w:ilvl w:val="0"/>
                <w:numId w:val="9"/>
              </w:numPr>
              <w:spacing w:before="0" w:line="360" w:lineRule="auto"/>
              <w:ind w:left="368" w:right="105" w:rightChars="50" w:firstLine="478"/>
              <w:rPr>
                <w:rFonts w:ascii="宋体" w:hAnsi="宋体" w:eastAsia="宋体"/>
                <w:color w:val="auto"/>
                <w:sz w:val="24"/>
                <w:highlight w:val="none"/>
                <w:lang w:eastAsia="zh-CN"/>
              </w:rPr>
            </w:pPr>
            <w:r>
              <w:rPr>
                <w:rFonts w:hint="eastAsia" w:ascii="宋体" w:hAnsi="宋体" w:eastAsia="宋体"/>
                <w:color w:val="auto"/>
                <w:spacing w:val="-1"/>
                <w:sz w:val="24"/>
                <w:highlight w:val="none"/>
                <w:lang w:val="zh-CN" w:eastAsia="zh-CN" w:bidi="zh-CN"/>
              </w:rPr>
              <w:t>支持</w:t>
            </w:r>
            <w:r>
              <w:rPr>
                <w:rFonts w:hint="eastAsia" w:ascii="宋体" w:hAnsi="宋体" w:eastAsia="宋体"/>
                <w:color w:val="auto"/>
                <w:sz w:val="24"/>
                <w:highlight w:val="none"/>
                <w:lang w:eastAsia="zh-CN"/>
              </w:rPr>
              <w:t>对智能数据驾驶舱模块数据可视化功能优化。</w:t>
            </w:r>
          </w:p>
        </w:tc>
      </w:tr>
    </w:tbl>
    <w:p>
      <w:pPr>
        <w:pStyle w:val="8"/>
        <w:ind w:firstLine="0" w:firstLineChars="0"/>
        <w:rPr>
          <w:rFonts w:ascii="宋体" w:hAnsi="宋体"/>
          <w:color w:val="auto"/>
          <w:szCs w:val="24"/>
          <w:highlight w:val="none"/>
        </w:rPr>
      </w:pPr>
    </w:p>
    <w:p>
      <w:pPr>
        <w:pStyle w:val="7"/>
        <w:numPr>
          <w:ilvl w:val="4"/>
          <w:numId w:val="8"/>
        </w:numPr>
        <w:rPr>
          <w:rFonts w:ascii="宋体" w:hAnsi="宋体"/>
          <w:color w:val="auto"/>
          <w:szCs w:val="24"/>
          <w:highlight w:val="none"/>
        </w:rPr>
      </w:pPr>
      <w:bookmarkStart w:id="651" w:name="_Toc7765"/>
      <w:r>
        <w:rPr>
          <w:rFonts w:hint="eastAsia" w:ascii="宋体" w:hAnsi="宋体"/>
          <w:color w:val="auto"/>
          <w:szCs w:val="24"/>
          <w:highlight w:val="none"/>
        </w:rPr>
        <w:t>医保飞行检查专项审核系统</w:t>
      </w:r>
      <w:bookmarkEnd w:id="651"/>
    </w:p>
    <w:p>
      <w:pPr>
        <w:pStyle w:val="8"/>
        <w:ind w:firstLine="480"/>
        <w:rPr>
          <w:rFonts w:ascii="宋体" w:hAnsi="宋体"/>
          <w:color w:val="auto"/>
          <w:szCs w:val="24"/>
          <w:highlight w:val="none"/>
        </w:rPr>
      </w:pPr>
      <w:r>
        <w:rPr>
          <w:rFonts w:hint="eastAsia" w:ascii="宋体" w:hAnsi="宋体"/>
          <w:color w:val="auto"/>
          <w:szCs w:val="24"/>
          <w:highlight w:val="none"/>
        </w:rPr>
        <w:t>飞行检查作为医保领域行之有效的监管手段，正在逐步常态化、规范化，也推动医院管理部门积极探索有效的管理手段，不断规范医疗服务行为，对院内医保基金使用行为进行日常监控。</w:t>
      </w:r>
    </w:p>
    <w:p>
      <w:pPr>
        <w:pStyle w:val="8"/>
        <w:ind w:firstLine="480"/>
        <w:rPr>
          <w:rFonts w:ascii="宋体" w:hAnsi="宋体"/>
          <w:color w:val="auto"/>
          <w:szCs w:val="24"/>
          <w:highlight w:val="none"/>
        </w:rPr>
      </w:pPr>
      <w:r>
        <w:rPr>
          <w:rFonts w:hint="eastAsia" w:ascii="宋体" w:hAnsi="宋体"/>
          <w:color w:val="auto"/>
          <w:szCs w:val="24"/>
          <w:highlight w:val="none"/>
        </w:rPr>
        <w:t>医保飞行检查专项审核系统需满足以下功能要求：</w:t>
      </w:r>
    </w:p>
    <w:tbl>
      <w:tblPr>
        <w:tblStyle w:val="43"/>
        <w:tblW w:w="90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1"/>
        <w:gridCol w:w="74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trPr>
        <w:tc>
          <w:tcPr>
            <w:tcW w:w="1671"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4"/>
                <w:sz w:val="24"/>
                <w:highlight w:val="none"/>
              </w:rPr>
            </w:pPr>
            <w:r>
              <w:rPr>
                <w:rFonts w:hint="eastAsia" w:ascii="宋体" w:hAnsi="宋体" w:cs="仿宋"/>
                <w:b/>
                <w:color w:val="auto"/>
                <w:w w:val="104"/>
                <w:sz w:val="24"/>
                <w:highlight w:val="none"/>
              </w:rPr>
              <w:t>系统</w:t>
            </w:r>
          </w:p>
        </w:tc>
        <w:tc>
          <w:tcPr>
            <w:tcW w:w="7406"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4"/>
                <w:sz w:val="24"/>
                <w:highlight w:val="none"/>
              </w:rPr>
            </w:pPr>
            <w:r>
              <w:rPr>
                <w:rFonts w:hint="eastAsia" w:ascii="宋体" w:hAnsi="宋体" w:cs="仿宋"/>
                <w:b/>
                <w:color w:val="auto"/>
                <w:w w:val="104"/>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1671" w:type="dxa"/>
            <w:vAlign w:val="center"/>
          </w:tcPr>
          <w:p>
            <w:pPr>
              <w:spacing w:line="360" w:lineRule="auto"/>
              <w:ind w:left="6" w:right="3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容器服务</w:t>
            </w:r>
          </w:p>
        </w:tc>
        <w:tc>
          <w:tcPr>
            <w:tcW w:w="7406" w:type="dxa"/>
            <w:vAlign w:val="center"/>
          </w:tcPr>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支持多集群管理</w:t>
            </w:r>
          </w:p>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支持容器管理</w:t>
            </w:r>
          </w:p>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支持负载均衡</w:t>
            </w:r>
          </w:p>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支持配置管理</w:t>
            </w:r>
          </w:p>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支持日志管理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1671" w:type="dxa"/>
            <w:vAlign w:val="center"/>
          </w:tcPr>
          <w:p>
            <w:pPr>
              <w:spacing w:line="360" w:lineRule="auto"/>
              <w:ind w:left="6" w:right="3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服务中心</w:t>
            </w:r>
          </w:p>
        </w:tc>
        <w:tc>
          <w:tcPr>
            <w:tcW w:w="7406" w:type="dxa"/>
            <w:vAlign w:val="center"/>
          </w:tcPr>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支持服务注册中心</w:t>
            </w:r>
          </w:p>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支持服务控制中心</w:t>
            </w:r>
          </w:p>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支持服务配置中心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1671" w:type="dxa"/>
            <w:vAlign w:val="center"/>
          </w:tcPr>
          <w:p>
            <w:pPr>
              <w:spacing w:line="360" w:lineRule="auto"/>
              <w:ind w:left="6" w:right="3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飞行检查平台</w:t>
            </w:r>
          </w:p>
        </w:tc>
        <w:tc>
          <w:tcPr>
            <w:tcW w:w="7406" w:type="dxa"/>
            <w:vAlign w:val="center"/>
          </w:tcPr>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支持A</w:t>
            </w:r>
            <w:r>
              <w:rPr>
                <w:rFonts w:ascii="宋体" w:hAnsi="宋体" w:eastAsia="宋体"/>
                <w:color w:val="auto"/>
                <w:sz w:val="24"/>
                <w:highlight w:val="none"/>
                <w:lang w:eastAsia="zh-CN"/>
              </w:rPr>
              <w:t>I</w:t>
            </w:r>
            <w:r>
              <w:rPr>
                <w:rFonts w:hint="eastAsia" w:ascii="宋体" w:hAnsi="宋体" w:eastAsia="宋体"/>
                <w:color w:val="auto"/>
                <w:sz w:val="24"/>
                <w:highlight w:val="none"/>
                <w:lang w:eastAsia="zh-CN"/>
              </w:rPr>
              <w:t>数据对照</w:t>
            </w:r>
          </w:p>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支持飞检规则模型管理</w:t>
            </w:r>
          </w:p>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支持飞检数据审核</w:t>
            </w:r>
          </w:p>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支持数据统计分析</w:t>
            </w:r>
          </w:p>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支持飞检报告生成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1671" w:type="dxa"/>
            <w:vAlign w:val="center"/>
          </w:tcPr>
          <w:p>
            <w:pPr>
              <w:spacing w:line="360" w:lineRule="auto"/>
              <w:ind w:left="6" w:right="3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A</w:t>
            </w:r>
            <w:r>
              <w:rPr>
                <w:rFonts w:ascii="宋体" w:hAnsi="宋体" w:cs="仿宋"/>
                <w:b/>
                <w:color w:val="auto"/>
                <w:sz w:val="24"/>
                <w:highlight w:val="none"/>
                <w:lang w:val="zh-CN" w:bidi="zh-CN"/>
              </w:rPr>
              <w:t>PI</w:t>
            </w:r>
            <w:r>
              <w:rPr>
                <w:rFonts w:hint="eastAsia" w:ascii="宋体" w:hAnsi="宋体" w:cs="仿宋"/>
                <w:b/>
                <w:color w:val="auto"/>
                <w:sz w:val="24"/>
                <w:highlight w:val="none"/>
                <w:lang w:val="zh-CN" w:bidi="zh-CN"/>
              </w:rPr>
              <w:t>接口网关</w:t>
            </w:r>
          </w:p>
        </w:tc>
        <w:tc>
          <w:tcPr>
            <w:tcW w:w="7406" w:type="dxa"/>
            <w:vAlign w:val="center"/>
          </w:tcPr>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支持统一认证</w:t>
            </w:r>
          </w:p>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支持A</w:t>
            </w:r>
            <w:r>
              <w:rPr>
                <w:rFonts w:ascii="宋体" w:hAnsi="宋体" w:eastAsia="宋体"/>
                <w:color w:val="auto"/>
                <w:sz w:val="24"/>
                <w:highlight w:val="none"/>
                <w:lang w:eastAsia="zh-CN"/>
              </w:rPr>
              <w:t>PI</w:t>
            </w:r>
            <w:r>
              <w:rPr>
                <w:rFonts w:hint="eastAsia" w:ascii="宋体" w:hAnsi="宋体" w:eastAsia="宋体"/>
                <w:color w:val="auto"/>
                <w:sz w:val="24"/>
                <w:highlight w:val="none"/>
                <w:lang w:eastAsia="zh-CN"/>
              </w:rPr>
              <w:t>授权</w:t>
            </w:r>
          </w:p>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支持A</w:t>
            </w:r>
            <w:r>
              <w:rPr>
                <w:rFonts w:ascii="宋体" w:hAnsi="宋体" w:eastAsia="宋体"/>
                <w:color w:val="auto"/>
                <w:sz w:val="24"/>
                <w:highlight w:val="none"/>
                <w:lang w:eastAsia="zh-CN"/>
              </w:rPr>
              <w:t>PI</w:t>
            </w:r>
            <w:r>
              <w:rPr>
                <w:rFonts w:hint="eastAsia" w:ascii="宋体" w:hAnsi="宋体" w:eastAsia="宋体"/>
                <w:color w:val="auto"/>
                <w:sz w:val="24"/>
                <w:highlight w:val="none"/>
                <w:lang w:eastAsia="zh-CN"/>
              </w:rPr>
              <w:t>限流</w:t>
            </w:r>
          </w:p>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支持故障隔离</w:t>
            </w:r>
          </w:p>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支持A</w:t>
            </w:r>
            <w:r>
              <w:rPr>
                <w:rFonts w:ascii="宋体" w:hAnsi="宋体" w:eastAsia="宋体"/>
                <w:color w:val="auto"/>
                <w:sz w:val="24"/>
                <w:highlight w:val="none"/>
                <w:lang w:eastAsia="zh-CN"/>
              </w:rPr>
              <w:t>PI</w:t>
            </w:r>
            <w:r>
              <w:rPr>
                <w:rFonts w:hint="eastAsia" w:ascii="宋体" w:hAnsi="宋体" w:eastAsia="宋体"/>
                <w:color w:val="auto"/>
                <w:sz w:val="24"/>
                <w:highlight w:val="none"/>
                <w:lang w:eastAsia="zh-CN"/>
              </w:rPr>
              <w:t>测试</w:t>
            </w:r>
          </w:p>
        </w:tc>
      </w:tr>
    </w:tbl>
    <w:p>
      <w:pPr>
        <w:pStyle w:val="7"/>
        <w:numPr>
          <w:ilvl w:val="4"/>
          <w:numId w:val="8"/>
        </w:numPr>
        <w:rPr>
          <w:rFonts w:ascii="宋体" w:hAnsi="宋体"/>
          <w:color w:val="auto"/>
          <w:szCs w:val="24"/>
          <w:highlight w:val="none"/>
        </w:rPr>
      </w:pPr>
      <w:bookmarkStart w:id="652" w:name="_Toc28167"/>
      <w:r>
        <w:rPr>
          <w:rFonts w:hint="eastAsia" w:ascii="宋体" w:hAnsi="宋体"/>
          <w:color w:val="auto"/>
          <w:szCs w:val="24"/>
          <w:highlight w:val="none"/>
        </w:rPr>
        <w:t>职业病管理信息系统</w:t>
      </w:r>
      <w:bookmarkEnd w:id="652"/>
    </w:p>
    <w:p>
      <w:pPr>
        <w:pStyle w:val="8"/>
        <w:ind w:firstLine="480"/>
        <w:rPr>
          <w:rFonts w:ascii="宋体" w:hAnsi="宋体"/>
          <w:color w:val="auto"/>
          <w:szCs w:val="24"/>
          <w:highlight w:val="none"/>
        </w:rPr>
      </w:pPr>
      <w:r>
        <w:rPr>
          <w:rFonts w:hint="eastAsia" w:ascii="宋体" w:hAnsi="宋体"/>
          <w:color w:val="auto"/>
          <w:szCs w:val="24"/>
          <w:highlight w:val="none"/>
        </w:rPr>
        <w:t>解决职业病预防，监控，检查，治疗等一系列管理问题，从监管行业、企业、从业者，到岗位，病症的统计分析，为职业病防治提供科学的决策依据，既能保护劳动者的合法权益，又能真正促进经济社会的和谐发展。</w:t>
      </w:r>
    </w:p>
    <w:p>
      <w:pPr>
        <w:pStyle w:val="8"/>
        <w:ind w:firstLine="480"/>
        <w:rPr>
          <w:rFonts w:ascii="宋体" w:hAnsi="宋体"/>
          <w:color w:val="auto"/>
          <w:szCs w:val="24"/>
          <w:highlight w:val="none"/>
        </w:rPr>
      </w:pPr>
      <w:r>
        <w:rPr>
          <w:rFonts w:hint="eastAsia" w:ascii="宋体" w:hAnsi="宋体"/>
          <w:color w:val="auto"/>
          <w:szCs w:val="24"/>
          <w:highlight w:val="none"/>
        </w:rPr>
        <w:t>需满足以下功能：</w:t>
      </w:r>
    </w:p>
    <w:tbl>
      <w:tblPr>
        <w:tblStyle w:val="43"/>
        <w:tblW w:w="90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1"/>
        <w:gridCol w:w="74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trPr>
        <w:tc>
          <w:tcPr>
            <w:tcW w:w="1671"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4"/>
                <w:sz w:val="24"/>
                <w:highlight w:val="none"/>
              </w:rPr>
            </w:pPr>
            <w:r>
              <w:rPr>
                <w:rFonts w:hint="eastAsia" w:ascii="宋体" w:hAnsi="宋体" w:cs="仿宋"/>
                <w:b/>
                <w:color w:val="auto"/>
                <w:w w:val="104"/>
                <w:sz w:val="24"/>
                <w:highlight w:val="none"/>
              </w:rPr>
              <w:t>系统</w:t>
            </w:r>
          </w:p>
        </w:tc>
        <w:tc>
          <w:tcPr>
            <w:tcW w:w="7406"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4"/>
                <w:sz w:val="24"/>
                <w:highlight w:val="none"/>
              </w:rPr>
            </w:pPr>
            <w:r>
              <w:rPr>
                <w:rFonts w:hint="eastAsia" w:ascii="宋体" w:hAnsi="宋体" w:cs="仿宋"/>
                <w:b/>
                <w:color w:val="auto"/>
                <w:w w:val="104"/>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1671" w:type="dxa"/>
            <w:vAlign w:val="center"/>
          </w:tcPr>
          <w:p>
            <w:pPr>
              <w:spacing w:line="360" w:lineRule="auto"/>
              <w:ind w:left="6" w:right="3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基础信息设置</w:t>
            </w:r>
          </w:p>
        </w:tc>
        <w:tc>
          <w:tcPr>
            <w:tcW w:w="7406" w:type="dxa"/>
            <w:vAlign w:val="center"/>
          </w:tcPr>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支持工种信息设置：由系统管理员录入并维护工种信息</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支持接害因素信息设置：由系统管理员录入并维护接害因素信息</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支持检查项目设置：由系统管理员录入并维护检查项目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1671" w:type="dxa"/>
            <w:vAlign w:val="center"/>
          </w:tcPr>
          <w:p>
            <w:pPr>
              <w:spacing w:line="360" w:lineRule="auto"/>
              <w:ind w:left="6" w:right="3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企业信息管理</w:t>
            </w:r>
          </w:p>
        </w:tc>
        <w:tc>
          <w:tcPr>
            <w:tcW w:w="7406" w:type="dxa"/>
            <w:vAlign w:val="center"/>
          </w:tcPr>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支持由医院工作人员负责录入并维护企业信息</w:t>
            </w:r>
          </w:p>
          <w:p>
            <w:pPr>
              <w:pStyle w:val="201"/>
              <w:numPr>
                <w:ilvl w:val="0"/>
                <w:numId w:val="9"/>
              </w:numPr>
              <w:spacing w:before="0"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支持企业信息：企业名称、企业地址、企业电话、企业法人、从事行业、接害因素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1671" w:type="dxa"/>
            <w:vAlign w:val="center"/>
          </w:tcPr>
          <w:p>
            <w:pPr>
              <w:spacing w:line="360" w:lineRule="auto"/>
              <w:ind w:left="6" w:right="3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体检人信息管理</w:t>
            </w:r>
          </w:p>
        </w:tc>
        <w:tc>
          <w:tcPr>
            <w:tcW w:w="7406" w:type="dxa"/>
            <w:vAlign w:val="center"/>
          </w:tcPr>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支持体检人信息：姓名、性别、身份证号码、婚姻状况、总工龄、接害工龄、接害因素、单位、工号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1671" w:type="dxa"/>
            <w:vAlign w:val="center"/>
          </w:tcPr>
          <w:p>
            <w:pPr>
              <w:spacing w:line="360" w:lineRule="auto"/>
              <w:ind w:left="6" w:right="3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体检管理</w:t>
            </w:r>
          </w:p>
        </w:tc>
        <w:tc>
          <w:tcPr>
            <w:tcW w:w="7406" w:type="dxa"/>
            <w:vAlign w:val="center"/>
          </w:tcPr>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支持岗前——先交费后体检</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支持在岗——预付费、企业挂账</w:t>
            </w:r>
          </w:p>
          <w:p>
            <w:pPr>
              <w:pStyle w:val="201"/>
              <w:numPr>
                <w:ilvl w:val="0"/>
                <w:numId w:val="9"/>
              </w:numPr>
              <w:spacing w:before="0"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支持离岗——预付费、企业挂账</w:t>
            </w:r>
          </w:p>
          <w:p>
            <w:pPr>
              <w:pStyle w:val="201"/>
              <w:numPr>
                <w:ilvl w:val="0"/>
                <w:numId w:val="9"/>
              </w:numPr>
              <w:spacing w:before="0"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支持体检完毕后由总检医师根据体检人的各个项目检查结果给出最终结论，下发诊断书（一式三份、需三名体检医师签字）分别给用人单位、体检人、和卫生监督所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1671" w:type="dxa"/>
            <w:vAlign w:val="center"/>
          </w:tcPr>
          <w:p>
            <w:pPr>
              <w:spacing w:line="360" w:lineRule="auto"/>
              <w:ind w:left="6" w:right="3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信息查询统计</w:t>
            </w:r>
          </w:p>
        </w:tc>
        <w:tc>
          <w:tcPr>
            <w:tcW w:w="7406" w:type="dxa"/>
            <w:vAlign w:val="center"/>
          </w:tcPr>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可查询企业信息、个人信息，可按时间、工种、接害因素、姓名、身份证号等查询相应信息，同时可以导出相应信息，管理者可根据相应信息作出决策，医务工作者可根据相应信息撰写《职业健康检查结果报告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1671" w:type="dxa"/>
            <w:vAlign w:val="center"/>
          </w:tcPr>
          <w:p>
            <w:pPr>
              <w:spacing w:line="360" w:lineRule="auto"/>
              <w:ind w:left="6" w:right="3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确诊职业病患者住院管理</w:t>
            </w:r>
          </w:p>
        </w:tc>
        <w:tc>
          <w:tcPr>
            <w:tcW w:w="7406" w:type="dxa"/>
            <w:vAlign w:val="center"/>
          </w:tcPr>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支持职业病患者住院登记，出院登记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1671" w:type="dxa"/>
            <w:vAlign w:val="center"/>
          </w:tcPr>
          <w:p>
            <w:pPr>
              <w:spacing w:line="360" w:lineRule="auto"/>
              <w:ind w:left="6" w:right="3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用户信息管理</w:t>
            </w:r>
          </w:p>
        </w:tc>
        <w:tc>
          <w:tcPr>
            <w:tcW w:w="7406" w:type="dxa"/>
            <w:vAlign w:val="center"/>
          </w:tcPr>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支持系统管理员可以根据不同的角色创建并管理相应的用户</w:t>
            </w:r>
          </w:p>
        </w:tc>
      </w:tr>
    </w:tbl>
    <w:p>
      <w:pPr>
        <w:pStyle w:val="8"/>
        <w:ind w:firstLine="0" w:firstLineChars="0"/>
        <w:rPr>
          <w:rFonts w:ascii="宋体" w:hAnsi="宋体"/>
          <w:color w:val="auto"/>
          <w:szCs w:val="24"/>
          <w:highlight w:val="none"/>
        </w:rPr>
      </w:pPr>
    </w:p>
    <w:p>
      <w:pPr>
        <w:pStyle w:val="7"/>
        <w:numPr>
          <w:ilvl w:val="4"/>
          <w:numId w:val="8"/>
        </w:numPr>
        <w:rPr>
          <w:rFonts w:ascii="宋体" w:hAnsi="宋体"/>
          <w:color w:val="auto"/>
          <w:szCs w:val="24"/>
          <w:highlight w:val="none"/>
        </w:rPr>
      </w:pPr>
      <w:bookmarkStart w:id="653" w:name="_Toc9826"/>
      <w:r>
        <w:rPr>
          <w:rFonts w:hint="eastAsia" w:ascii="宋体" w:hAnsi="宋体"/>
          <w:color w:val="auto"/>
          <w:szCs w:val="24"/>
          <w:highlight w:val="none"/>
        </w:rPr>
        <w:t>胸痛中心质控平台</w:t>
      </w:r>
      <w:bookmarkEnd w:id="653"/>
    </w:p>
    <w:p>
      <w:pPr>
        <w:pStyle w:val="8"/>
        <w:ind w:firstLine="480"/>
        <w:rPr>
          <w:rFonts w:ascii="宋体" w:hAnsi="宋体"/>
          <w:color w:val="auto"/>
          <w:szCs w:val="24"/>
          <w:highlight w:val="none"/>
        </w:rPr>
      </w:pPr>
      <w:r>
        <w:rPr>
          <w:rFonts w:hint="eastAsia" w:ascii="宋体" w:hAnsi="宋体"/>
          <w:color w:val="auto"/>
          <w:szCs w:val="24"/>
          <w:highlight w:val="none"/>
        </w:rPr>
        <w:t>对胸痛中心质控平台进行升级维护。包括但不限于以下功能：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6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blHeader/>
        </w:trPr>
        <w:tc>
          <w:tcPr>
            <w:tcW w:w="2153"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模块</w:t>
            </w:r>
          </w:p>
        </w:tc>
        <w:tc>
          <w:tcPr>
            <w:tcW w:w="6914"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olor w:val="auto"/>
                <w:sz w:val="24"/>
                <w:highlight w:val="none"/>
              </w:rPr>
              <w:t>胸痛中心质控平台升级</w:t>
            </w:r>
          </w:p>
        </w:tc>
        <w:tc>
          <w:tcPr>
            <w:tcW w:w="6914" w:type="dxa"/>
            <w:vAlign w:val="center"/>
          </w:tcPr>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支持质控报告的一键生成和一键导出；</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支持每年、每半年、每季度、每个月的质控指标概况；</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支持质控指标在全国、全省的排名情况；</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支持生成每年、每半年、每季度、每个月的质控报告；</w:t>
            </w:r>
          </w:p>
        </w:tc>
      </w:tr>
    </w:tbl>
    <w:p>
      <w:pPr>
        <w:pStyle w:val="8"/>
        <w:ind w:firstLine="0" w:firstLineChars="0"/>
        <w:rPr>
          <w:rFonts w:ascii="宋体" w:hAnsi="宋体"/>
          <w:color w:val="auto"/>
          <w:szCs w:val="24"/>
          <w:highlight w:val="none"/>
        </w:rPr>
      </w:pPr>
    </w:p>
    <w:p>
      <w:pPr>
        <w:pStyle w:val="6"/>
        <w:numPr>
          <w:ilvl w:val="3"/>
          <w:numId w:val="8"/>
        </w:numPr>
        <w:spacing w:before="280" w:after="290" w:line="376" w:lineRule="auto"/>
        <w:rPr>
          <w:rFonts w:ascii="宋体" w:hAnsi="宋体"/>
          <w:color w:val="auto"/>
          <w:sz w:val="24"/>
          <w:szCs w:val="24"/>
          <w:highlight w:val="none"/>
        </w:rPr>
      </w:pPr>
      <w:bookmarkStart w:id="654" w:name="_Toc16175"/>
      <w:r>
        <w:rPr>
          <w:rFonts w:hint="eastAsia" w:ascii="宋体" w:hAnsi="宋体"/>
          <w:color w:val="auto"/>
          <w:sz w:val="24"/>
          <w:highlight w:val="none"/>
          <w:lang w:eastAsia="zh-Hans"/>
        </w:rPr>
        <w:t>财务运营一体化</w:t>
      </w:r>
      <w:r>
        <w:rPr>
          <w:rFonts w:ascii="宋体" w:hAnsi="宋体"/>
          <w:color w:val="auto"/>
          <w:sz w:val="24"/>
          <w:highlight w:val="none"/>
          <w:lang w:eastAsia="zh-Hans"/>
        </w:rPr>
        <w:t>HRP</w:t>
      </w:r>
      <w:bookmarkEnd w:id="654"/>
    </w:p>
    <w:p>
      <w:pPr>
        <w:pStyle w:val="7"/>
        <w:numPr>
          <w:ilvl w:val="4"/>
          <w:numId w:val="8"/>
        </w:numPr>
        <w:rPr>
          <w:rFonts w:ascii="宋体" w:hAnsi="宋体"/>
          <w:color w:val="auto"/>
          <w:szCs w:val="24"/>
          <w:highlight w:val="none"/>
        </w:rPr>
      </w:pPr>
      <w:bookmarkStart w:id="655" w:name="_Toc18074"/>
      <w:r>
        <w:rPr>
          <w:rFonts w:hint="eastAsia" w:ascii="宋体" w:hAnsi="宋体"/>
          <w:color w:val="auto"/>
          <w:szCs w:val="24"/>
          <w:highlight w:val="none"/>
        </w:rPr>
        <w:t>财务管理</w:t>
      </w:r>
      <w:bookmarkEnd w:id="655"/>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blHeader/>
        </w:trPr>
        <w:tc>
          <w:tcPr>
            <w:tcW w:w="1980"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7087"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980"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olor w:val="auto"/>
                <w:sz w:val="24"/>
                <w:highlight w:val="none"/>
              </w:rPr>
              <w:t>总账</w:t>
            </w:r>
            <w:r>
              <w:rPr>
                <w:rFonts w:ascii="宋体" w:hAnsi="宋体"/>
                <w:color w:val="auto"/>
                <w:sz w:val="24"/>
                <w:highlight w:val="none"/>
              </w:rPr>
              <w:t>管理</w:t>
            </w:r>
          </w:p>
        </w:tc>
        <w:tc>
          <w:tcPr>
            <w:tcW w:w="7087" w:type="dxa"/>
            <w:vAlign w:val="center"/>
          </w:tcPr>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支持会计账簿管理，可以根据不同核算维度：币种、会计准则、科目体系建立不同的账簿；</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支持财务记账凭证管理，包括审批、登账、取消、冲销、取消、打印等；</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支持将供应链、固定资产、应收、应付等模块的凭证定期审核汇总、过账；</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支持财务凭证的批量处理，包括批量审批、批量登账、批量冲销、批量打印等；</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支持凭证多维度辅助记账：如成本中心、供应商、现金流量表项、项目等；</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支持财务余额及明细查询，支持出具财务标准核算报表及自定义报表。</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支持持财务会计和预算会计平行记账；</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支持根据业务或财务会计自动生成预算会计；</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支持提供预算会计和财务会计两套会计科目基础数据；</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支持提供维护政府会计准则要求的功能分类和部门经济分类，并能在核算和预算会计时，根据会计科目提供必需的辅助核算；</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支持账簿查询，能够根据科目进行这个科目相关所有的凭证查询；</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支持出具满足政府会计制度的法定报表，包括预算收入支出表等；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980"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ascii="宋体" w:hAnsi="宋体"/>
                <w:color w:val="auto"/>
                <w:sz w:val="24"/>
                <w:highlight w:val="none"/>
              </w:rPr>
              <w:t>应付管理</w:t>
            </w:r>
          </w:p>
        </w:tc>
        <w:tc>
          <w:tcPr>
            <w:tcW w:w="7087" w:type="dxa"/>
            <w:vAlign w:val="center"/>
          </w:tcPr>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支持三单匹配内控管理，支持寄售结算管理；</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支持采购、入库、发票、付款全数据链追溯管理；</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支持管理供应商付款条件、账龄等；</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支持付款申请线上管理，支持批量付款申请；</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支持发票质保金及押金质保金管理；</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支持发票、付款、预付款、预付款核销、质保金等单据自动生成会计凭证；</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支出出具应付、预付余额及明细往来报表。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980"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ascii="宋体" w:hAnsi="宋体"/>
                <w:color w:val="auto"/>
                <w:sz w:val="24"/>
                <w:highlight w:val="none"/>
              </w:rPr>
              <w:t>应收管理</w:t>
            </w:r>
          </w:p>
        </w:tc>
        <w:tc>
          <w:tcPr>
            <w:tcW w:w="7087" w:type="dxa"/>
            <w:vAlign w:val="center"/>
          </w:tcPr>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支持与HIS系统集成获取门诊、住院的收费数据并分别转换为财务记账可稽核的门诊收入、住院收入、住院预交、住院结算等记账凭证；</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支持系统同步HIS系统明细的收费项目与项目类别，并能提供不同院区、住院/门诊维护不同的收入会计科目，并能根据此对应关系自动生成收入类会计凭证；</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支持医院根据自身需要选择不同层级收费项目核算收入数据；</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支持系统同步HIS系统的收入明细数据，并能包括具体收入的执行科室与开单科室、病患信息、医疗项目信息、病种信息；</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支持对账单中的应收账款进行有效管理、包括应收账款的明细状况；针对不同的客户类型，如：医保客户、医疗合同单位、患者个人 、本院职工，系统提供不同的应收账龄分析报表；</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系统可自定义账龄时段，对不同客户（医保、职工</w:t>
            </w:r>
            <w:r>
              <w:rPr>
                <w:rFonts w:hint="eastAsia" w:ascii="宋体" w:hAnsi="宋体" w:eastAsia="宋体"/>
                <w:color w:val="auto"/>
                <w:sz w:val="24"/>
                <w:highlight w:val="none"/>
                <w:lang w:eastAsia="zh-CN"/>
              </w:rPr>
              <w:t>、商保等</w:t>
            </w:r>
            <w:r>
              <w:rPr>
                <w:rFonts w:ascii="宋体" w:hAnsi="宋体" w:eastAsia="宋体"/>
                <w:color w:val="auto"/>
                <w:sz w:val="24"/>
                <w:highlight w:val="none"/>
                <w:lang w:eastAsia="zh-CN"/>
              </w:rPr>
              <w:t>）进行多维度的账龄分析。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980"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olor w:val="auto"/>
                <w:sz w:val="24"/>
                <w:highlight w:val="none"/>
              </w:rPr>
              <w:t>资金管理</w:t>
            </w:r>
          </w:p>
        </w:tc>
        <w:tc>
          <w:tcPr>
            <w:tcW w:w="7087" w:type="dxa"/>
            <w:vAlign w:val="center"/>
          </w:tcPr>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支持提供出纳日记账记账、查询功能；</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支持与银行网银对接的银企直联功能：包括系统付款记录传送通过资金银企直联传递至银行完成支付；</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支持获取具体银行账户的交易明细付款记录传；</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支持查询具体银行账户的即时余额；</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支持月末将系统记录的收款明细按照银行的规则进行手续费自动计算，并与银行日记账核对，</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支持自动生成：银行余额调节表、企业未达账项报表；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980"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olor w:val="auto"/>
                <w:sz w:val="24"/>
                <w:highlight w:val="none"/>
              </w:rPr>
              <w:t>费用报销管理</w:t>
            </w:r>
          </w:p>
        </w:tc>
        <w:tc>
          <w:tcPr>
            <w:tcW w:w="7087" w:type="dxa"/>
            <w:vAlign w:val="center"/>
          </w:tcPr>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支持费用开支申请功能，并在费用申请时占用预算；</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支持各类费用报销模板选择填写费用报销；</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支持对不同模板进行预算调用和控制；</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支持对费用报销单进行线上审批；</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支持借款功能，员工可自己在系统提交借款；</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系统支持报销核销借款功能，进行报销时选择借款进行核销，财务审核时也可以查询未结借款；</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w:t>
            </w:r>
            <w:r>
              <w:rPr>
                <w:rFonts w:ascii="宋体" w:hAnsi="宋体" w:eastAsia="宋体"/>
                <w:color w:val="auto"/>
                <w:sz w:val="24"/>
                <w:highlight w:val="none"/>
                <w:lang w:eastAsia="zh-CN"/>
              </w:rPr>
              <w:t>提供报销单关联的申请、借款等可打开相关单据查询详细信息</w:t>
            </w:r>
            <w:r>
              <w:rPr>
                <w:rFonts w:hint="eastAsia" w:ascii="宋体" w:hAnsi="宋体" w:eastAsia="宋体"/>
                <w:color w:val="auto"/>
                <w:sz w:val="24"/>
                <w:highlight w:val="none"/>
                <w:lang w:eastAsia="zh-CN"/>
              </w:rPr>
              <w:t>，批完的要自动付款。</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电子档案管理：支持所有凭证电子化管理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980"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olor w:val="auto"/>
                <w:sz w:val="24"/>
                <w:highlight w:val="none"/>
              </w:rPr>
              <w:t>集团合并</w:t>
            </w:r>
          </w:p>
        </w:tc>
        <w:tc>
          <w:tcPr>
            <w:tcW w:w="7087" w:type="dxa"/>
            <w:vAlign w:val="center"/>
          </w:tcPr>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支持多个账簿集合的管理：账簿集，系统中按照账簿集进行数据的合并、抵消及报表出具，可以更灵活的组合各个账簿之间的关系；</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支持提供往来对账科目对应维护，并依托账簿集的跨账簿功能，提供在多个账簿内的往来对账抽取与数据展示；</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支持机构间或账簿间合并抵消；</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支持不同核算本位币账簿之间的折算功能；</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支持输出合并科目余额表、合并资产负债表、合并损益表等报表</w:t>
            </w:r>
          </w:p>
        </w:tc>
      </w:tr>
    </w:tbl>
    <w:p>
      <w:pPr>
        <w:pStyle w:val="8"/>
        <w:ind w:firstLine="480"/>
        <w:rPr>
          <w:color w:val="auto"/>
          <w:highlight w:val="none"/>
        </w:rPr>
      </w:pPr>
    </w:p>
    <w:p>
      <w:pPr>
        <w:pStyle w:val="7"/>
        <w:numPr>
          <w:ilvl w:val="4"/>
          <w:numId w:val="8"/>
        </w:numPr>
        <w:rPr>
          <w:rFonts w:ascii="宋体" w:hAnsi="宋体"/>
          <w:color w:val="auto"/>
          <w:szCs w:val="24"/>
          <w:highlight w:val="none"/>
        </w:rPr>
      </w:pPr>
      <w:bookmarkStart w:id="656" w:name="_Toc13456"/>
      <w:r>
        <w:rPr>
          <w:rFonts w:hint="eastAsia" w:ascii="宋体" w:hAnsi="宋体"/>
          <w:color w:val="auto"/>
          <w:szCs w:val="24"/>
          <w:highlight w:val="none"/>
        </w:rPr>
        <w:t>固定资产管理系统</w:t>
      </w:r>
      <w:bookmarkEnd w:id="656"/>
    </w:p>
    <w:p>
      <w:pPr>
        <w:pStyle w:val="8"/>
        <w:ind w:firstLine="480"/>
        <w:rPr>
          <w:rFonts w:ascii="宋体" w:hAnsi="宋体"/>
          <w:color w:val="auto"/>
          <w:szCs w:val="24"/>
          <w:highlight w:val="none"/>
        </w:rPr>
      </w:pPr>
      <w:r>
        <w:rPr>
          <w:rFonts w:hint="eastAsia" w:ascii="宋体" w:hAnsi="宋体"/>
          <w:color w:val="auto"/>
          <w:szCs w:val="24"/>
          <w:highlight w:val="none"/>
        </w:rPr>
        <w:t>要求固定资产管理系统，实现以下功能：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blHeader/>
        </w:trPr>
        <w:tc>
          <w:tcPr>
            <w:tcW w:w="1980"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7087"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980"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ascii="宋体" w:hAnsi="宋体"/>
                <w:color w:val="auto"/>
                <w:sz w:val="24"/>
                <w:highlight w:val="none"/>
              </w:rPr>
              <w:t>固定资产管理</w:t>
            </w:r>
          </w:p>
        </w:tc>
        <w:tc>
          <w:tcPr>
            <w:tcW w:w="7087" w:type="dxa"/>
            <w:vAlign w:val="center"/>
          </w:tcPr>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支持固定资产类别、编码、国标码等基础数据管理；</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支持固定资产验收、打印条码、进行一物一码管理；</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支持固定资产实物信息、财务信息、档案信息管理；</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支持固定资产折旧、报废、减值、调整价值等管理；</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支持固定资产各类处理与财务集成、自动生成会计凭证；</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支持医院多经费来源管理：包括新增、折旧、报废等财务集成处理；</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支持管理包括房屋建筑、无形资产、图书等资产管理</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支持低值资产类管理；</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支持固定资产盘点管理：</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支持移动端模块，支持扫</w:t>
            </w:r>
            <w:r>
              <w:rPr>
                <w:rFonts w:ascii="宋体" w:hAnsi="宋体" w:eastAsia="宋体"/>
                <w:color w:val="auto"/>
                <w:sz w:val="24"/>
                <w:highlight w:val="none"/>
                <w:lang w:eastAsia="zh-CN"/>
              </w:rPr>
              <w:t>码、PDA移动盘点等多种方式；</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支持盘点结果的差异处理。</w:t>
            </w:r>
          </w:p>
        </w:tc>
      </w:tr>
    </w:tbl>
    <w:p>
      <w:pPr>
        <w:pStyle w:val="8"/>
        <w:ind w:firstLine="480"/>
        <w:rPr>
          <w:rFonts w:ascii="宋体" w:hAnsi="宋体"/>
          <w:color w:val="auto"/>
          <w:szCs w:val="24"/>
          <w:highlight w:val="none"/>
        </w:rPr>
      </w:pPr>
    </w:p>
    <w:p>
      <w:pPr>
        <w:pStyle w:val="7"/>
        <w:numPr>
          <w:ilvl w:val="4"/>
          <w:numId w:val="8"/>
        </w:numPr>
        <w:rPr>
          <w:rFonts w:ascii="宋体" w:hAnsi="宋体" w:cs="宋体"/>
          <w:color w:val="auto"/>
          <w:kern w:val="0"/>
          <w:sz w:val="22"/>
          <w:szCs w:val="22"/>
          <w:highlight w:val="none"/>
        </w:rPr>
      </w:pPr>
      <w:bookmarkStart w:id="657" w:name="_Toc12316"/>
      <w:r>
        <w:rPr>
          <w:rFonts w:hint="eastAsia" w:ascii="宋体" w:hAnsi="宋体" w:cs="宋体"/>
          <w:color w:val="auto"/>
          <w:kern w:val="0"/>
          <w:sz w:val="22"/>
          <w:szCs w:val="22"/>
          <w:highlight w:val="none"/>
          <w:lang w:eastAsia="zh-CN"/>
        </w:rPr>
        <w:t>全面</w:t>
      </w:r>
      <w:r>
        <w:rPr>
          <w:rFonts w:hint="eastAsia" w:ascii="宋体" w:hAnsi="宋体" w:cs="宋体"/>
          <w:color w:val="auto"/>
          <w:kern w:val="0"/>
          <w:sz w:val="22"/>
          <w:szCs w:val="22"/>
          <w:highlight w:val="none"/>
        </w:rPr>
        <w:t>预算管理</w:t>
      </w:r>
      <w:bookmarkEnd w:id="657"/>
    </w:p>
    <w:p>
      <w:pPr>
        <w:pStyle w:val="8"/>
        <w:ind w:firstLine="480"/>
        <w:rPr>
          <w:color w:val="auto"/>
          <w:highlight w:val="none"/>
        </w:rPr>
      </w:pPr>
      <w:r>
        <w:rPr>
          <w:rFonts w:hint="eastAsia"/>
          <w:color w:val="auto"/>
          <w:highlight w:val="none"/>
        </w:rPr>
        <w:t>要求全面预算管理实现以下功能要求：</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blHeader/>
        </w:trPr>
        <w:tc>
          <w:tcPr>
            <w:tcW w:w="1980"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7087"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980"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olor w:val="auto"/>
                <w:sz w:val="24"/>
                <w:highlight w:val="none"/>
              </w:rPr>
              <w:t>全面预算管理</w:t>
            </w:r>
          </w:p>
        </w:tc>
        <w:tc>
          <w:tcPr>
            <w:tcW w:w="7087" w:type="dxa"/>
            <w:vAlign w:val="center"/>
          </w:tcPr>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支持维护收入预算计划及收入预算编制时用到的基础数据，包括预算模板的定义、授权、各类历史数据及增长比率、各类分解的方法；</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支持通过模板计算医院的年度预算，并依次分解形成科室年度预算、科室月度预算，将确定的科室月度预算汇总形成单位月度预算；</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支持维护支出预算编制时用到的基础信息；</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支持建设项目库及绩效目标管理</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支持支出预算编制，包括计算医院年度总科目预算，分解形成医院年度明细预算、职能科室年度预算、业务科室年度预算、业务科室月份预算等；</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支持二上二下预算流程节点；</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支持预算审批，实现预算的职能、单位进行二级审批，以最终下达；</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支持对收入预算，及时监控实际的执行进度，定期分析预算完成情况；</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支持对支出预算，根据不同的支出类型设置不同的执行监控级别；</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ascii="宋体" w:hAnsi="宋体" w:eastAsia="宋体"/>
                <w:color w:val="auto"/>
                <w:sz w:val="24"/>
                <w:highlight w:val="none"/>
                <w:lang w:eastAsia="zh-CN"/>
              </w:rPr>
              <w:t>支持出具预算执行进度分析报表及收支预算执行情况的综合分析</w:t>
            </w:r>
          </w:p>
        </w:tc>
      </w:tr>
    </w:tbl>
    <w:p>
      <w:pPr>
        <w:pStyle w:val="8"/>
        <w:ind w:firstLine="480"/>
        <w:rPr>
          <w:color w:val="auto"/>
          <w:highlight w:val="none"/>
        </w:rPr>
      </w:pPr>
    </w:p>
    <w:p>
      <w:pPr>
        <w:pStyle w:val="7"/>
        <w:numPr>
          <w:ilvl w:val="4"/>
          <w:numId w:val="8"/>
        </w:numPr>
        <w:rPr>
          <w:rFonts w:ascii="宋体" w:hAnsi="宋体" w:cs="宋体"/>
          <w:color w:val="auto"/>
          <w:kern w:val="0"/>
          <w:sz w:val="22"/>
          <w:szCs w:val="22"/>
          <w:highlight w:val="none"/>
        </w:rPr>
      </w:pPr>
      <w:bookmarkStart w:id="658" w:name="_Toc16404"/>
      <w:r>
        <w:rPr>
          <w:rFonts w:hint="eastAsia" w:ascii="宋体" w:hAnsi="宋体" w:cs="宋体"/>
          <w:color w:val="auto"/>
          <w:kern w:val="0"/>
          <w:sz w:val="22"/>
          <w:szCs w:val="22"/>
          <w:highlight w:val="none"/>
        </w:rPr>
        <w:t>合同管理</w:t>
      </w:r>
      <w:bookmarkEnd w:id="658"/>
    </w:p>
    <w:p>
      <w:pPr>
        <w:spacing w:line="360" w:lineRule="auto"/>
        <w:ind w:firstLine="480" w:firstLineChars="200"/>
        <w:rPr>
          <w:rFonts w:ascii="宋体" w:hAnsi="宋体"/>
          <w:color w:val="auto"/>
          <w:sz w:val="24"/>
          <w:highlight w:val="none"/>
          <w:shd w:val="clear" w:color="auto" w:fill="FFFFFF"/>
        </w:rPr>
      </w:pPr>
      <w:r>
        <w:rPr>
          <w:rFonts w:hint="eastAsia" w:ascii="宋体" w:hAnsi="宋体"/>
          <w:color w:val="auto"/>
          <w:sz w:val="24"/>
          <w:highlight w:val="none"/>
          <w:shd w:val="clear" w:color="auto" w:fill="FFFFFF"/>
        </w:rPr>
        <w:t>合同管理需满足以下功能：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89"/>
        <w:gridCol w:w="69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trPr>
        <w:tc>
          <w:tcPr>
            <w:tcW w:w="2089"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6978"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w:t>
            </w:r>
            <w:r>
              <w:rPr>
                <w:rFonts w:hint="eastAsia" w:ascii="宋体" w:hAnsi="宋体" w:cs="仿宋"/>
                <w:b/>
                <w:bCs/>
                <w:color w:val="auto"/>
                <w:sz w:val="24"/>
                <w:highlight w:val="none"/>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2089" w:type="dxa"/>
            <w:vAlign w:val="center"/>
          </w:tcPr>
          <w:p>
            <w:pPr>
              <w:jc w:val="center"/>
              <w:textAlignment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合同管理</w:t>
            </w:r>
          </w:p>
        </w:tc>
        <w:tc>
          <w:tcPr>
            <w:tcW w:w="6978" w:type="dxa"/>
            <w:vAlign w:val="center"/>
          </w:tcPr>
          <w:p>
            <w:pPr>
              <w:pStyle w:val="201"/>
              <w:numPr>
                <w:ilvl w:val="0"/>
                <w:numId w:val="9"/>
              </w:numPr>
              <w:spacing w:line="360" w:lineRule="auto"/>
              <w:ind w:right="105" w:rightChars="50" w:firstLine="482"/>
              <w:rPr>
                <w:rFonts w:ascii="宋体" w:hAnsi="宋体" w:eastAsia="宋体"/>
                <w:color w:val="auto"/>
                <w:sz w:val="24"/>
                <w:highlight w:val="none"/>
                <w:lang w:val="zh-CN" w:eastAsia="zh-CN" w:bidi="zh-CN"/>
              </w:rPr>
            </w:pPr>
            <w:r>
              <w:rPr>
                <w:rFonts w:ascii="宋体" w:hAnsi="宋体" w:eastAsia="宋体"/>
                <w:color w:val="auto"/>
                <w:sz w:val="24"/>
                <w:highlight w:val="none"/>
                <w:lang w:eastAsia="zh-CN"/>
              </w:rPr>
              <w:t>支持无合同标的仅规定条款的框架协议，仅限定单价的合同，以及明确单价及数量的合同</w:t>
            </w:r>
            <w:r>
              <w:rPr>
                <w:rFonts w:hint="eastAsia" w:ascii="宋体" w:hAnsi="宋体" w:eastAsia="宋体"/>
                <w:color w:val="auto"/>
                <w:sz w:val="24"/>
                <w:highlight w:val="none"/>
                <w:lang w:eastAsia="zh-CN"/>
              </w:rPr>
              <w:t>。</w:t>
            </w:r>
          </w:p>
          <w:p>
            <w:pPr>
              <w:pStyle w:val="201"/>
              <w:numPr>
                <w:ilvl w:val="0"/>
                <w:numId w:val="9"/>
              </w:numPr>
              <w:spacing w:line="360" w:lineRule="auto"/>
              <w:ind w:right="105" w:rightChars="50" w:firstLine="482"/>
              <w:rPr>
                <w:rFonts w:ascii="宋体" w:hAnsi="宋体" w:eastAsia="宋体"/>
                <w:color w:val="auto"/>
                <w:sz w:val="24"/>
                <w:highlight w:val="none"/>
                <w:lang w:val="zh-CN" w:eastAsia="zh-CN" w:bidi="zh-CN"/>
              </w:rPr>
            </w:pPr>
            <w:r>
              <w:rPr>
                <w:rFonts w:ascii="宋体" w:hAnsi="宋体" w:eastAsia="宋体"/>
                <w:color w:val="auto"/>
                <w:sz w:val="24"/>
                <w:highlight w:val="none"/>
                <w:lang w:eastAsia="zh-CN"/>
              </w:rPr>
              <w:t>支持合同的有效期控制，并可根据公司管控要求规定合同的总金额，并在后续采购执行过程中进行总金额的控制；</w:t>
            </w:r>
          </w:p>
          <w:p>
            <w:pPr>
              <w:pStyle w:val="201"/>
              <w:numPr>
                <w:ilvl w:val="0"/>
                <w:numId w:val="9"/>
              </w:numPr>
              <w:spacing w:line="360" w:lineRule="auto"/>
              <w:ind w:right="105" w:rightChars="50" w:firstLine="482"/>
              <w:rPr>
                <w:rFonts w:ascii="宋体" w:hAnsi="宋体" w:eastAsia="宋体"/>
                <w:color w:val="auto"/>
                <w:sz w:val="24"/>
                <w:highlight w:val="none"/>
                <w:lang w:val="zh-CN" w:eastAsia="zh-CN" w:bidi="zh-CN"/>
              </w:rPr>
            </w:pPr>
            <w:r>
              <w:rPr>
                <w:rFonts w:ascii="宋体" w:hAnsi="宋体" w:eastAsia="宋体"/>
                <w:color w:val="auto"/>
                <w:sz w:val="24"/>
                <w:highlight w:val="none"/>
                <w:lang w:eastAsia="zh-CN"/>
              </w:rPr>
              <w:t>支持引用采购申请形成采购合同，对于无采购申请的情况下，可直接创建合同；</w:t>
            </w:r>
          </w:p>
          <w:p>
            <w:pPr>
              <w:pStyle w:val="201"/>
              <w:numPr>
                <w:ilvl w:val="0"/>
                <w:numId w:val="9"/>
              </w:numPr>
              <w:spacing w:line="360" w:lineRule="auto"/>
              <w:ind w:right="105" w:rightChars="50" w:firstLine="482"/>
              <w:rPr>
                <w:rFonts w:ascii="宋体" w:hAnsi="宋体" w:eastAsia="宋体"/>
                <w:color w:val="auto"/>
                <w:sz w:val="24"/>
                <w:highlight w:val="none"/>
                <w:lang w:val="zh-CN" w:eastAsia="zh-CN" w:bidi="zh-CN"/>
              </w:rPr>
            </w:pPr>
            <w:r>
              <w:rPr>
                <w:rFonts w:ascii="宋体" w:hAnsi="宋体" w:eastAsia="宋体"/>
                <w:color w:val="auto"/>
                <w:sz w:val="24"/>
                <w:highlight w:val="none"/>
                <w:lang w:eastAsia="zh-CN"/>
              </w:rPr>
              <w:t>支持多方联合签署合同；</w:t>
            </w:r>
          </w:p>
          <w:p>
            <w:pPr>
              <w:pStyle w:val="201"/>
              <w:numPr>
                <w:ilvl w:val="0"/>
                <w:numId w:val="9"/>
              </w:numPr>
              <w:spacing w:line="360" w:lineRule="auto"/>
              <w:ind w:right="105" w:rightChars="50" w:firstLine="482"/>
              <w:rPr>
                <w:rFonts w:ascii="宋体" w:hAnsi="宋体" w:eastAsia="宋体"/>
                <w:color w:val="auto"/>
                <w:sz w:val="24"/>
                <w:highlight w:val="none"/>
                <w:lang w:val="zh-CN" w:eastAsia="zh-CN" w:bidi="zh-CN"/>
              </w:rPr>
            </w:pPr>
            <w:r>
              <w:rPr>
                <w:rFonts w:ascii="宋体" w:hAnsi="宋体" w:eastAsia="宋体"/>
                <w:color w:val="auto"/>
                <w:sz w:val="24"/>
                <w:highlight w:val="none"/>
                <w:lang w:eastAsia="zh-CN"/>
              </w:rPr>
              <w:t>支持合同的直接续签；</w:t>
            </w:r>
          </w:p>
          <w:p>
            <w:pPr>
              <w:pStyle w:val="201"/>
              <w:numPr>
                <w:ilvl w:val="0"/>
                <w:numId w:val="9"/>
              </w:numPr>
              <w:spacing w:line="360" w:lineRule="auto"/>
              <w:ind w:right="105" w:rightChars="50" w:firstLine="482"/>
              <w:rPr>
                <w:rFonts w:ascii="宋体" w:hAnsi="宋体" w:eastAsia="宋体"/>
                <w:color w:val="auto"/>
                <w:sz w:val="24"/>
                <w:highlight w:val="none"/>
                <w:lang w:val="zh-CN" w:eastAsia="zh-CN" w:bidi="zh-CN"/>
              </w:rPr>
            </w:pPr>
            <w:r>
              <w:rPr>
                <w:rFonts w:ascii="宋体" w:hAnsi="宋体" w:eastAsia="宋体"/>
                <w:color w:val="auto"/>
                <w:sz w:val="24"/>
                <w:highlight w:val="none"/>
                <w:lang w:eastAsia="zh-CN"/>
              </w:rPr>
              <w:t>支持合同的在线审批，跨部门跨公司审批等；</w:t>
            </w:r>
          </w:p>
          <w:p>
            <w:pPr>
              <w:pStyle w:val="201"/>
              <w:numPr>
                <w:ilvl w:val="0"/>
                <w:numId w:val="9"/>
              </w:numPr>
              <w:spacing w:line="360" w:lineRule="auto"/>
              <w:ind w:right="105" w:rightChars="50" w:firstLine="482"/>
              <w:rPr>
                <w:rFonts w:ascii="宋体" w:hAnsi="宋体" w:eastAsia="宋体"/>
                <w:color w:val="auto"/>
                <w:sz w:val="24"/>
                <w:highlight w:val="none"/>
                <w:lang w:val="zh-CN" w:eastAsia="zh-CN" w:bidi="zh-CN"/>
              </w:rPr>
            </w:pPr>
            <w:r>
              <w:rPr>
                <w:rFonts w:ascii="宋体" w:hAnsi="宋体" w:eastAsia="宋体"/>
                <w:color w:val="auto"/>
                <w:sz w:val="24"/>
                <w:highlight w:val="none"/>
                <w:lang w:eastAsia="zh-CN"/>
              </w:rPr>
              <w:t>支持合同签订后的执行结算，包括关联发票及付款；</w:t>
            </w:r>
          </w:p>
          <w:p>
            <w:pPr>
              <w:pStyle w:val="201"/>
              <w:numPr>
                <w:ilvl w:val="0"/>
                <w:numId w:val="9"/>
              </w:numPr>
              <w:spacing w:line="360" w:lineRule="auto"/>
              <w:ind w:right="105" w:rightChars="50" w:firstLine="482"/>
              <w:rPr>
                <w:rFonts w:ascii="宋体" w:hAnsi="宋体" w:eastAsia="宋体"/>
                <w:color w:val="auto"/>
                <w:sz w:val="24"/>
                <w:highlight w:val="none"/>
                <w:lang w:val="zh-CN" w:eastAsia="zh-CN" w:bidi="zh-CN"/>
              </w:rPr>
            </w:pPr>
            <w:r>
              <w:rPr>
                <w:rFonts w:ascii="宋体" w:hAnsi="宋体" w:eastAsia="宋体"/>
                <w:color w:val="auto"/>
                <w:sz w:val="24"/>
                <w:highlight w:val="none"/>
                <w:lang w:eastAsia="zh-CN"/>
              </w:rPr>
              <w:t>支持版本管理，合同审批通过后，对合同的修改都会产生新的合同版本，系统内可以查看不同的合同版本；</w:t>
            </w:r>
            <w:r>
              <w:rPr>
                <w:rFonts w:ascii="宋体" w:hAnsi="宋体" w:eastAsia="宋体"/>
                <w:color w:val="auto"/>
                <w:sz w:val="24"/>
                <w:highlight w:val="none"/>
                <w:lang w:eastAsia="zh-CN"/>
              </w:rPr>
              <w:br w:type="textWrapping"/>
            </w:r>
            <w:r>
              <w:rPr>
                <w:rFonts w:ascii="宋体" w:hAnsi="宋体" w:eastAsia="宋体"/>
                <w:color w:val="auto"/>
                <w:sz w:val="24"/>
                <w:highlight w:val="none"/>
                <w:lang w:eastAsia="zh-CN"/>
              </w:rPr>
              <w:t>合同支持中止、终止等处理。</w:t>
            </w:r>
          </w:p>
        </w:tc>
      </w:tr>
    </w:tbl>
    <w:p>
      <w:pPr>
        <w:spacing w:line="360" w:lineRule="auto"/>
        <w:ind w:firstLine="480" w:firstLineChars="200"/>
        <w:rPr>
          <w:rFonts w:ascii="宋体" w:hAnsi="宋体"/>
          <w:color w:val="auto"/>
          <w:sz w:val="24"/>
          <w:highlight w:val="none"/>
          <w:shd w:val="clear" w:color="auto" w:fill="FFFFFF"/>
        </w:rPr>
      </w:pPr>
    </w:p>
    <w:p>
      <w:pPr>
        <w:pStyle w:val="7"/>
        <w:numPr>
          <w:ilvl w:val="4"/>
          <w:numId w:val="8"/>
        </w:numPr>
        <w:rPr>
          <w:rFonts w:ascii="宋体" w:hAnsi="宋体"/>
          <w:color w:val="auto"/>
          <w:szCs w:val="24"/>
          <w:highlight w:val="none"/>
        </w:rPr>
      </w:pPr>
      <w:bookmarkStart w:id="659" w:name="_Toc26787"/>
      <w:r>
        <w:rPr>
          <w:rFonts w:hint="eastAsia" w:ascii="宋体" w:hAnsi="宋体"/>
          <w:color w:val="auto"/>
          <w:szCs w:val="24"/>
          <w:highlight w:val="none"/>
        </w:rPr>
        <w:t>成本管理系统（病种成本管理）</w:t>
      </w:r>
      <w:bookmarkEnd w:id="659"/>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全面支持最新《医院会计制度》、《医院财务制度》及卫生部《</w:t>
      </w:r>
      <w:r>
        <w:rPr>
          <w:rFonts w:ascii="宋体" w:hAnsi="宋体"/>
          <w:color w:val="auto"/>
          <w:sz w:val="24"/>
          <w:highlight w:val="none"/>
        </w:rPr>
        <w:t>医院成本管理暂行办法</w:t>
      </w:r>
      <w:r>
        <w:rPr>
          <w:rFonts w:hint="eastAsia" w:ascii="宋体" w:hAnsi="宋体"/>
          <w:color w:val="auto"/>
          <w:sz w:val="24"/>
          <w:highlight w:val="none"/>
        </w:rPr>
        <w:t>》全成本核算要求，遵循财务会计与责任会计体系的有机结合，建立基于全院所有核算单元的全成本核算、控制和计划体系。提供成本核算单元、成本分类、成本项目、收入项目、收费类别、收费项目、内部服务项目、分摊规则、参数值等基础信息进行维护的功能，支持科室成本、床日成本、诊次成本及病种成本的归集与分摊。</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trPr>
        <w:tc>
          <w:tcPr>
            <w:tcW w:w="1980"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功能模块</w:t>
            </w:r>
          </w:p>
        </w:tc>
        <w:tc>
          <w:tcPr>
            <w:tcW w:w="7097"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1980" w:type="dxa"/>
            <w:vAlign w:val="center"/>
          </w:tcPr>
          <w:p>
            <w:pPr>
              <w:spacing w:line="360" w:lineRule="auto"/>
              <w:ind w:left="6" w:right="3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成本数据采集/归集管理</w:t>
            </w:r>
          </w:p>
        </w:tc>
        <w:tc>
          <w:tcPr>
            <w:tcW w:w="7097" w:type="dxa"/>
            <w:vAlign w:val="center"/>
          </w:tcPr>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根据全成本核算的要求，系统自动归集成本，如带有成本中心、核算类别、人员类别、门诊、住院、挂号等辅助核算对象，以便进行精细化管控分析。对一些没有系统产生的数据，支持按模板半自动导入或全手工输入方式，录入到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1980" w:type="dxa"/>
            <w:vAlign w:val="center"/>
          </w:tcPr>
          <w:p>
            <w:pPr>
              <w:spacing w:line="360" w:lineRule="auto"/>
              <w:ind w:left="6" w:right="3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分摊分配模型管理</w:t>
            </w:r>
          </w:p>
        </w:tc>
        <w:tc>
          <w:tcPr>
            <w:tcW w:w="7097" w:type="dxa"/>
            <w:vAlign w:val="center"/>
          </w:tcPr>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基于医疗行业特点，对院方所需全成本分摊分配模型进行梳理，最终定义出医院各项费用分摊分配的科学模型并创建进系统；模型的是否合理，直接决定了全成本核算的成本，是全成本核算实施的核心工作。根据业务的变化、管理的提升，支持核算模型的快速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1980" w:type="dxa"/>
            <w:vAlign w:val="center"/>
          </w:tcPr>
          <w:p>
            <w:pPr>
              <w:spacing w:line="360" w:lineRule="auto"/>
              <w:ind w:left="6" w:right="3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分摊分配管理</w:t>
            </w:r>
          </w:p>
        </w:tc>
        <w:tc>
          <w:tcPr>
            <w:tcW w:w="7097" w:type="dxa"/>
            <w:vAlign w:val="center"/>
          </w:tcPr>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支持在成本核算数据采集/归集的基础上，按照分摊/分配模型，能实现院方一键完成所有分摊/分配工作；执行过程中支持模拟管理，以便检查分摊分配结果是否正确，无误后方进行正式分摊分配。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1980" w:type="dxa"/>
            <w:vAlign w:val="center"/>
          </w:tcPr>
          <w:p>
            <w:pPr>
              <w:spacing w:line="360" w:lineRule="auto"/>
              <w:ind w:left="6" w:right="3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多维成本核算</w:t>
            </w:r>
          </w:p>
        </w:tc>
        <w:tc>
          <w:tcPr>
            <w:tcW w:w="7097" w:type="dxa"/>
            <w:vAlign w:val="center"/>
          </w:tcPr>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支持床日成本，诊次成本，支持核算到每一个病人的成本，病种、项目、每诊次、床日成本等多维成本核算体系，满足现行财务会计制度《医院成本管理与核算》的要求。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1980" w:type="dxa"/>
            <w:vAlign w:val="center"/>
          </w:tcPr>
          <w:p>
            <w:pPr>
              <w:spacing w:line="360" w:lineRule="auto"/>
              <w:ind w:left="6" w:right="3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统计分析</w:t>
            </w:r>
          </w:p>
        </w:tc>
        <w:tc>
          <w:tcPr>
            <w:tcW w:w="7097" w:type="dxa"/>
            <w:vAlign w:val="center"/>
          </w:tcPr>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支持床日、诊次、医生的收益统计分析。每医生收入水平等统计核算。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1980" w:type="dxa"/>
            <w:vAlign w:val="center"/>
          </w:tcPr>
          <w:p>
            <w:pPr>
              <w:spacing w:line="360" w:lineRule="auto"/>
              <w:ind w:left="6" w:right="3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成本构成</w:t>
            </w:r>
          </w:p>
        </w:tc>
        <w:tc>
          <w:tcPr>
            <w:tcW w:w="7097" w:type="dxa"/>
            <w:vAlign w:val="center"/>
          </w:tcPr>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反映（门诊、住院各科室、核算单元、按人员归集）成本的构成情况，并按成本项目明细列示，揭示各项目对各科室医疗成本的影响程度以及控制成本的目标，指导科室解决成本中的问题，并且能对应财务收支明细表各明细科目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1980" w:type="dxa"/>
            <w:vAlign w:val="center"/>
          </w:tcPr>
          <w:p>
            <w:pPr>
              <w:spacing w:line="360" w:lineRule="auto"/>
              <w:ind w:left="6" w:right="3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成本控制</w:t>
            </w:r>
          </w:p>
        </w:tc>
        <w:tc>
          <w:tcPr>
            <w:tcW w:w="7097" w:type="dxa"/>
            <w:vAlign w:val="center"/>
          </w:tcPr>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支持从不同属性、不同角度为成本控制、应用提供了实际成本的成本额和成本率：如固定成本/变动成本、可控成本/不可控成本、直接成本/间接成本、人力成本/材料成本/药品成本/其他成本。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 w:hRule="atLeast"/>
        </w:trPr>
        <w:tc>
          <w:tcPr>
            <w:tcW w:w="1980" w:type="dxa"/>
            <w:vAlign w:val="center"/>
          </w:tcPr>
          <w:p>
            <w:pPr>
              <w:spacing w:line="360" w:lineRule="auto"/>
              <w:ind w:left="6" w:right="3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核算分析</w:t>
            </w:r>
          </w:p>
        </w:tc>
        <w:tc>
          <w:tcPr>
            <w:tcW w:w="7097" w:type="dxa"/>
            <w:vAlign w:val="center"/>
          </w:tcPr>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支持满足院、科、组多级核算分析（动态、静态）的结果应用及分析报告。</w:t>
            </w:r>
          </w:p>
        </w:tc>
      </w:tr>
    </w:tbl>
    <w:p>
      <w:pPr>
        <w:spacing w:line="360" w:lineRule="auto"/>
        <w:ind w:firstLine="480" w:firstLineChars="200"/>
        <w:rPr>
          <w:rFonts w:ascii="宋体" w:hAnsi="宋体"/>
          <w:color w:val="auto"/>
          <w:sz w:val="24"/>
          <w:highlight w:val="none"/>
        </w:rPr>
      </w:pPr>
    </w:p>
    <w:p>
      <w:pPr>
        <w:pStyle w:val="6"/>
        <w:numPr>
          <w:ilvl w:val="3"/>
          <w:numId w:val="8"/>
        </w:numPr>
        <w:spacing w:before="280" w:after="290" w:line="376" w:lineRule="auto"/>
        <w:rPr>
          <w:rFonts w:ascii="宋体" w:hAnsi="宋体"/>
          <w:color w:val="auto"/>
          <w:sz w:val="24"/>
          <w:szCs w:val="24"/>
          <w:highlight w:val="none"/>
        </w:rPr>
      </w:pPr>
      <w:bookmarkStart w:id="660" w:name="_Toc9089"/>
      <w:r>
        <w:rPr>
          <w:rFonts w:hint="eastAsia" w:ascii="宋体" w:hAnsi="宋体"/>
          <w:color w:val="auto"/>
          <w:sz w:val="24"/>
          <w:szCs w:val="24"/>
          <w:highlight w:val="none"/>
        </w:rPr>
        <w:t>运营管理系统</w:t>
      </w:r>
      <w:bookmarkEnd w:id="660"/>
    </w:p>
    <w:p>
      <w:pPr>
        <w:pStyle w:val="7"/>
        <w:numPr>
          <w:ilvl w:val="4"/>
          <w:numId w:val="8"/>
        </w:numPr>
        <w:rPr>
          <w:rFonts w:ascii="宋体" w:hAnsi="宋体"/>
          <w:color w:val="auto"/>
          <w:szCs w:val="24"/>
          <w:highlight w:val="none"/>
        </w:rPr>
      </w:pPr>
      <w:bookmarkStart w:id="661" w:name="_Toc23411"/>
      <w:r>
        <w:rPr>
          <w:rFonts w:hint="eastAsia" w:ascii="宋体" w:hAnsi="宋体"/>
          <w:color w:val="auto"/>
          <w:szCs w:val="24"/>
          <w:highlight w:val="none"/>
        </w:rPr>
        <w:t>医疗服务价格控费系统与分析系统</w:t>
      </w:r>
      <w:bookmarkEnd w:id="661"/>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为加强医院成本管理，满足医院控费的管理需求，落实医院医保物价控费与分析工作，从依靠数量的考核转变成为依靠质量的质量控制，提高员工积极性，</w:t>
      </w:r>
      <w:bookmarkStart w:id="662" w:name="_Hlk5807525"/>
      <w:r>
        <w:rPr>
          <w:rFonts w:hint="eastAsia" w:ascii="宋体" w:hAnsi="宋体"/>
          <w:color w:val="auto"/>
          <w:sz w:val="24"/>
          <w:highlight w:val="none"/>
        </w:rPr>
        <w:t>增强各级人员执行力，通过医保物价控费与分析系统对医院医保业务进行精细化管理。</w:t>
      </w:r>
      <w:bookmarkEnd w:id="662"/>
      <w:r>
        <w:rPr>
          <w:rFonts w:hint="eastAsia" w:ascii="宋体" w:hAnsi="宋体"/>
          <w:color w:val="auto"/>
          <w:sz w:val="24"/>
          <w:highlight w:val="none"/>
        </w:rPr>
        <w:t>通过系统实现医院医保基金“事前、事中、事后”的全流程管理，并与自治区医保局保持规则同步，确保基金的合理使用，减少医院损失。</w:t>
      </w:r>
    </w:p>
    <w:p>
      <w:pPr>
        <w:pStyle w:val="75"/>
        <w:ind w:firstLine="480"/>
        <w:rPr>
          <w:rFonts w:hAnsi="宋体"/>
          <w:color w:val="auto"/>
          <w:sz w:val="24"/>
          <w:szCs w:val="24"/>
          <w:highlight w:val="none"/>
        </w:rPr>
      </w:pPr>
      <w:r>
        <w:rPr>
          <w:rFonts w:hint="eastAsia" w:hAnsi="宋体"/>
          <w:color w:val="auto"/>
          <w:sz w:val="24"/>
          <w:szCs w:val="24"/>
          <w:highlight w:val="none"/>
        </w:rPr>
        <w:t>要求满足以下功能：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blHeader/>
        </w:trPr>
        <w:tc>
          <w:tcPr>
            <w:tcW w:w="1980"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7087"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80" w:type="dxa"/>
            <w:vMerge w:val="restart"/>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事前预警</w:t>
            </w: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事前预警接口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80" w:type="dxa"/>
            <w:vMerge w:val="continue"/>
          </w:tcPr>
          <w:p>
            <w:pPr>
              <w:spacing w:line="360" w:lineRule="auto"/>
              <w:ind w:left="8" w:right="33"/>
              <w:jc w:val="center"/>
              <w:rPr>
                <w:rFonts w:ascii="宋体" w:hAnsi="宋体" w:cs="仿宋"/>
                <w:b/>
                <w:bCs/>
                <w:color w:val="auto"/>
                <w:sz w:val="24"/>
                <w:highlight w:val="none"/>
              </w:rPr>
            </w:pP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医师反馈接口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80" w:type="dxa"/>
            <w:vMerge w:val="continue"/>
          </w:tcPr>
          <w:p>
            <w:pPr>
              <w:spacing w:line="360" w:lineRule="auto"/>
              <w:ind w:left="8" w:right="33"/>
              <w:jc w:val="center"/>
              <w:rPr>
                <w:rFonts w:ascii="宋体" w:hAnsi="宋体" w:cs="仿宋"/>
                <w:b/>
                <w:bCs/>
                <w:color w:val="auto"/>
                <w:sz w:val="24"/>
                <w:highlight w:val="none"/>
              </w:rPr>
            </w:pPr>
          </w:p>
        </w:tc>
        <w:tc>
          <w:tcPr>
            <w:tcW w:w="7087" w:type="dxa"/>
            <w:vAlign w:val="center"/>
          </w:tcPr>
          <w:p>
            <w:pPr>
              <w:widowControl/>
              <w:spacing w:after="120" w:afterLines="50"/>
              <w:jc w:val="center"/>
              <w:textAlignment w:val="center"/>
              <w:rPr>
                <w:rFonts w:ascii="宋体" w:hAnsi="宋体"/>
                <w:color w:val="auto"/>
                <w:spacing w:val="-1"/>
                <w:sz w:val="24"/>
                <w:highlight w:val="none"/>
                <w:lang w:val="zh-CN" w:bidi="zh-CN"/>
              </w:rPr>
            </w:pPr>
          </w:p>
          <w:p>
            <w:pPr>
              <w:widowControl/>
              <w:spacing w:after="120" w:afterLines="50"/>
              <w:jc w:val="center"/>
              <w:textAlignment w:val="center"/>
              <w:rPr>
                <w:rFonts w:ascii="宋体" w:hAnsi="宋体"/>
                <w:color w:val="auto"/>
                <w:spacing w:val="-1"/>
                <w:sz w:val="24"/>
                <w:highlight w:val="none"/>
                <w:lang w:val="zh-CN" w:bidi="zh-CN"/>
              </w:rPr>
            </w:pPr>
          </w:p>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事前监控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80"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事中管理</w:t>
            </w: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在院监控管理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80" w:type="dxa"/>
          </w:tcPr>
          <w:p>
            <w:pPr>
              <w:spacing w:line="360" w:lineRule="auto"/>
              <w:ind w:left="8" w:right="33"/>
              <w:jc w:val="center"/>
              <w:rPr>
                <w:rFonts w:ascii="宋体" w:hAnsi="宋体" w:cs="仿宋"/>
                <w:b/>
                <w:bCs/>
                <w:color w:val="auto"/>
                <w:sz w:val="24"/>
                <w:highlight w:val="none"/>
              </w:rPr>
            </w:pP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事中提醒辅助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80" w:type="dxa"/>
            <w:vMerge w:val="restart"/>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事后审核</w:t>
            </w: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执业医师审核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80" w:type="dxa"/>
            <w:vMerge w:val="continue"/>
          </w:tcPr>
          <w:p>
            <w:pPr>
              <w:spacing w:line="360" w:lineRule="auto"/>
              <w:ind w:left="8" w:right="33"/>
              <w:jc w:val="center"/>
              <w:rPr>
                <w:rFonts w:ascii="宋体" w:hAnsi="宋体" w:cs="仿宋"/>
                <w:b/>
                <w:bCs/>
                <w:color w:val="auto"/>
                <w:sz w:val="24"/>
                <w:highlight w:val="none"/>
              </w:rPr>
            </w:pP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机构科室审核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80" w:type="dxa"/>
            <w:vMerge w:val="continue"/>
          </w:tcPr>
          <w:p>
            <w:pPr>
              <w:spacing w:line="360" w:lineRule="auto"/>
              <w:ind w:left="8" w:right="33"/>
              <w:jc w:val="center"/>
              <w:rPr>
                <w:rFonts w:ascii="宋体" w:hAnsi="宋体" w:cs="仿宋"/>
                <w:b/>
                <w:bCs/>
                <w:color w:val="auto"/>
                <w:sz w:val="24"/>
                <w:highlight w:val="none"/>
              </w:rPr>
            </w:pP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机构规则审核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80" w:type="dxa"/>
            <w:vMerge w:val="continue"/>
          </w:tcPr>
          <w:p>
            <w:pPr>
              <w:spacing w:line="360" w:lineRule="auto"/>
              <w:ind w:left="8" w:right="33"/>
              <w:jc w:val="center"/>
              <w:rPr>
                <w:rFonts w:ascii="宋体" w:hAnsi="宋体" w:cs="仿宋"/>
                <w:b/>
                <w:bCs/>
                <w:color w:val="auto"/>
                <w:sz w:val="24"/>
                <w:highlight w:val="none"/>
              </w:rPr>
            </w:pP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违规项目审核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80" w:type="dxa"/>
            <w:vMerge w:val="continue"/>
          </w:tcPr>
          <w:p>
            <w:pPr>
              <w:spacing w:line="360" w:lineRule="auto"/>
              <w:ind w:left="8" w:right="33"/>
              <w:jc w:val="center"/>
              <w:rPr>
                <w:rFonts w:ascii="宋体" w:hAnsi="宋体" w:cs="仿宋"/>
                <w:b/>
                <w:bCs/>
                <w:color w:val="auto"/>
                <w:sz w:val="24"/>
                <w:highlight w:val="none"/>
              </w:rPr>
            </w:pP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疾病诊断审核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80" w:type="dxa"/>
            <w:vMerge w:val="continue"/>
          </w:tcPr>
          <w:p>
            <w:pPr>
              <w:spacing w:line="360" w:lineRule="auto"/>
              <w:ind w:left="8" w:right="33"/>
              <w:jc w:val="center"/>
              <w:rPr>
                <w:rFonts w:ascii="宋体" w:hAnsi="宋体" w:cs="仿宋"/>
                <w:b/>
                <w:bCs/>
                <w:color w:val="auto"/>
                <w:sz w:val="24"/>
                <w:highlight w:val="none"/>
              </w:rPr>
            </w:pP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合理用药规范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80" w:type="dxa"/>
            <w:vMerge w:val="continue"/>
          </w:tcPr>
          <w:p>
            <w:pPr>
              <w:spacing w:line="360" w:lineRule="auto"/>
              <w:ind w:left="8" w:right="33"/>
              <w:jc w:val="center"/>
              <w:rPr>
                <w:rFonts w:ascii="宋体" w:hAnsi="宋体" w:cs="仿宋"/>
                <w:b/>
                <w:bCs/>
                <w:color w:val="auto"/>
                <w:sz w:val="24"/>
                <w:highlight w:val="none"/>
              </w:rPr>
            </w:pP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合理诊疗规范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80" w:type="dxa"/>
            <w:vMerge w:val="continue"/>
          </w:tcPr>
          <w:p>
            <w:pPr>
              <w:spacing w:line="360" w:lineRule="auto"/>
              <w:ind w:left="8" w:right="33"/>
              <w:jc w:val="center"/>
              <w:rPr>
                <w:rFonts w:ascii="宋体" w:hAnsi="宋体" w:cs="仿宋"/>
                <w:b/>
                <w:bCs/>
                <w:color w:val="auto"/>
                <w:sz w:val="24"/>
                <w:highlight w:val="none"/>
              </w:rPr>
            </w:pP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合理收费规范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80"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指标评价</w:t>
            </w: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绩效指标评价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trPr>
        <w:tc>
          <w:tcPr>
            <w:tcW w:w="1980" w:type="dxa"/>
            <w:vMerge w:val="restart"/>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院内医保基金决策</w:t>
            </w: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总控指标配置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80" w:type="dxa"/>
            <w:vMerge w:val="continue"/>
          </w:tcPr>
          <w:p>
            <w:pPr>
              <w:spacing w:line="360" w:lineRule="auto"/>
              <w:ind w:left="8" w:right="33"/>
              <w:jc w:val="center"/>
              <w:rPr>
                <w:rFonts w:ascii="宋体" w:hAnsi="宋体" w:cs="仿宋"/>
                <w:b/>
                <w:bCs/>
                <w:color w:val="auto"/>
                <w:sz w:val="24"/>
                <w:highlight w:val="none"/>
              </w:rPr>
            </w:pP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总额控费首页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80" w:type="dxa"/>
            <w:vMerge w:val="continue"/>
          </w:tcPr>
          <w:p>
            <w:pPr>
              <w:spacing w:line="360" w:lineRule="auto"/>
              <w:ind w:left="8" w:right="33"/>
              <w:jc w:val="center"/>
              <w:rPr>
                <w:rFonts w:ascii="宋体" w:hAnsi="宋体" w:cs="仿宋"/>
                <w:b/>
                <w:bCs/>
                <w:color w:val="auto"/>
                <w:sz w:val="24"/>
                <w:highlight w:val="none"/>
              </w:rPr>
            </w:pP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基金总额运行分析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80" w:type="dxa"/>
            <w:vMerge w:val="continue"/>
          </w:tcPr>
          <w:p>
            <w:pPr>
              <w:spacing w:line="360" w:lineRule="auto"/>
              <w:ind w:left="8" w:right="33"/>
              <w:jc w:val="center"/>
              <w:rPr>
                <w:rFonts w:ascii="宋体" w:hAnsi="宋体" w:cs="仿宋"/>
                <w:b/>
                <w:bCs/>
                <w:color w:val="auto"/>
                <w:sz w:val="24"/>
                <w:highlight w:val="none"/>
              </w:rPr>
            </w:pP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基金总额月度分析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80" w:type="dxa"/>
            <w:vMerge w:val="continue"/>
          </w:tcPr>
          <w:p>
            <w:pPr>
              <w:spacing w:line="360" w:lineRule="auto"/>
              <w:ind w:left="8" w:right="33"/>
              <w:jc w:val="center"/>
              <w:rPr>
                <w:rFonts w:ascii="宋体" w:hAnsi="宋体" w:cs="仿宋"/>
                <w:b/>
                <w:bCs/>
                <w:color w:val="auto"/>
                <w:sz w:val="24"/>
                <w:highlight w:val="none"/>
              </w:rPr>
            </w:pP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科室总额运行分析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80" w:type="dxa"/>
            <w:vMerge w:val="continue"/>
          </w:tcPr>
          <w:p>
            <w:pPr>
              <w:spacing w:line="360" w:lineRule="auto"/>
              <w:ind w:left="8" w:right="33"/>
              <w:jc w:val="center"/>
              <w:rPr>
                <w:rFonts w:ascii="宋体" w:hAnsi="宋体" w:cs="仿宋"/>
                <w:b/>
                <w:bCs/>
                <w:color w:val="auto"/>
                <w:sz w:val="24"/>
                <w:highlight w:val="none"/>
              </w:rPr>
            </w:pP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总控指标运行分析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1980" w:type="dxa"/>
            <w:vMerge w:val="restart"/>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统计分析</w:t>
            </w: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科室情况分析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1980" w:type="dxa"/>
            <w:vMerge w:val="continue"/>
          </w:tcPr>
          <w:p>
            <w:pPr>
              <w:spacing w:line="360" w:lineRule="auto"/>
              <w:ind w:left="8" w:right="33"/>
              <w:jc w:val="center"/>
              <w:rPr>
                <w:rFonts w:ascii="宋体" w:hAnsi="宋体" w:cs="仿宋"/>
                <w:b/>
                <w:bCs/>
                <w:color w:val="auto"/>
                <w:sz w:val="24"/>
                <w:highlight w:val="none"/>
              </w:rPr>
            </w:pP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医生情况分析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1980" w:type="dxa"/>
            <w:vMerge w:val="continue"/>
          </w:tcPr>
          <w:p>
            <w:pPr>
              <w:spacing w:line="360" w:lineRule="auto"/>
              <w:ind w:left="8" w:right="33"/>
              <w:jc w:val="center"/>
              <w:rPr>
                <w:rFonts w:ascii="宋体" w:hAnsi="宋体" w:cs="仿宋"/>
                <w:b/>
                <w:bCs/>
                <w:color w:val="auto"/>
                <w:sz w:val="24"/>
                <w:highlight w:val="none"/>
              </w:rPr>
            </w:pP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医保费用分析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1980" w:type="dxa"/>
            <w:vMerge w:val="continue"/>
          </w:tcPr>
          <w:p>
            <w:pPr>
              <w:spacing w:line="360" w:lineRule="auto"/>
              <w:ind w:left="8" w:right="33"/>
              <w:jc w:val="center"/>
              <w:rPr>
                <w:rFonts w:ascii="宋体" w:hAnsi="宋体" w:cs="仿宋"/>
                <w:b/>
                <w:bCs/>
                <w:color w:val="auto"/>
                <w:sz w:val="24"/>
                <w:highlight w:val="none"/>
              </w:rPr>
            </w:pP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整体费用分析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1980" w:type="dxa"/>
            <w:vMerge w:val="continue"/>
          </w:tcPr>
          <w:p>
            <w:pPr>
              <w:spacing w:line="360" w:lineRule="auto"/>
              <w:ind w:left="8" w:right="33"/>
              <w:jc w:val="center"/>
              <w:rPr>
                <w:rFonts w:ascii="宋体" w:hAnsi="宋体" w:cs="仿宋"/>
                <w:b/>
                <w:bCs/>
                <w:color w:val="auto"/>
                <w:sz w:val="24"/>
                <w:highlight w:val="none"/>
              </w:rPr>
            </w:pP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药品使用分析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1980" w:type="dxa"/>
            <w:vMerge w:val="continue"/>
          </w:tcPr>
          <w:p>
            <w:pPr>
              <w:spacing w:line="360" w:lineRule="auto"/>
              <w:ind w:left="8" w:right="33"/>
              <w:jc w:val="center"/>
              <w:rPr>
                <w:rFonts w:ascii="宋体" w:hAnsi="宋体" w:cs="仿宋"/>
                <w:b/>
                <w:bCs/>
                <w:color w:val="auto"/>
                <w:sz w:val="24"/>
                <w:highlight w:val="none"/>
              </w:rPr>
            </w:pP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诊疗项目分析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1980" w:type="dxa"/>
            <w:vMerge w:val="continue"/>
          </w:tcPr>
          <w:p>
            <w:pPr>
              <w:spacing w:line="360" w:lineRule="auto"/>
              <w:ind w:left="8" w:right="33"/>
              <w:jc w:val="center"/>
              <w:rPr>
                <w:rFonts w:ascii="宋体" w:hAnsi="宋体" w:cs="仿宋"/>
                <w:b/>
                <w:bCs/>
                <w:color w:val="auto"/>
                <w:sz w:val="24"/>
                <w:highlight w:val="none"/>
              </w:rPr>
            </w:pP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疾病情况分析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1980" w:type="dxa"/>
            <w:vMerge w:val="continue"/>
          </w:tcPr>
          <w:p>
            <w:pPr>
              <w:spacing w:line="360" w:lineRule="auto"/>
              <w:ind w:left="8" w:right="33"/>
              <w:jc w:val="center"/>
              <w:rPr>
                <w:rFonts w:ascii="宋体" w:hAnsi="宋体" w:cs="仿宋"/>
                <w:b/>
                <w:bCs/>
                <w:color w:val="auto"/>
                <w:sz w:val="24"/>
                <w:highlight w:val="none"/>
              </w:rPr>
            </w:pP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门特、门慢情况分析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1980" w:type="dxa"/>
            <w:vMerge w:val="continue"/>
          </w:tcPr>
          <w:p>
            <w:pPr>
              <w:spacing w:line="360" w:lineRule="auto"/>
              <w:ind w:left="8" w:right="33"/>
              <w:jc w:val="center"/>
              <w:rPr>
                <w:rFonts w:ascii="宋体" w:hAnsi="宋体" w:cs="仿宋"/>
                <w:b/>
                <w:bCs/>
                <w:color w:val="auto"/>
                <w:sz w:val="24"/>
                <w:highlight w:val="none"/>
              </w:rPr>
            </w:pP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事前提醒统计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1980" w:type="dxa"/>
            <w:vMerge w:val="continue"/>
          </w:tcPr>
          <w:p>
            <w:pPr>
              <w:spacing w:line="360" w:lineRule="auto"/>
              <w:ind w:left="8" w:right="33"/>
              <w:jc w:val="center"/>
              <w:rPr>
                <w:rFonts w:ascii="宋体" w:hAnsi="宋体" w:cs="仿宋"/>
                <w:b/>
                <w:bCs/>
                <w:color w:val="auto"/>
                <w:sz w:val="24"/>
                <w:highlight w:val="none"/>
              </w:rPr>
            </w:pP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事后违规统计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1980" w:type="dxa"/>
            <w:vMerge w:val="continue"/>
          </w:tcPr>
          <w:p>
            <w:pPr>
              <w:spacing w:line="360" w:lineRule="auto"/>
              <w:ind w:left="8" w:right="33"/>
              <w:jc w:val="center"/>
              <w:rPr>
                <w:rFonts w:ascii="宋体" w:hAnsi="宋体" w:cs="仿宋"/>
                <w:b/>
                <w:bCs/>
                <w:color w:val="auto"/>
                <w:sz w:val="24"/>
                <w:highlight w:val="none"/>
              </w:rPr>
            </w:pP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医保运行监控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1980" w:type="dxa"/>
            <w:vMerge w:val="restart"/>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业务数据分析</w:t>
            </w: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普通门诊分析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1980" w:type="dxa"/>
            <w:vMerge w:val="continue"/>
          </w:tcPr>
          <w:p>
            <w:pPr>
              <w:spacing w:line="360" w:lineRule="auto"/>
              <w:ind w:left="8" w:right="33"/>
              <w:jc w:val="center"/>
              <w:rPr>
                <w:rFonts w:ascii="宋体" w:hAnsi="宋体" w:cs="仿宋"/>
                <w:b/>
                <w:bCs/>
                <w:color w:val="auto"/>
                <w:sz w:val="24"/>
                <w:highlight w:val="none"/>
              </w:rPr>
            </w:pP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住院统计分析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1980" w:type="dxa"/>
            <w:vMerge w:val="continue"/>
          </w:tcPr>
          <w:p>
            <w:pPr>
              <w:spacing w:line="360" w:lineRule="auto"/>
              <w:ind w:left="8" w:right="33"/>
              <w:jc w:val="center"/>
              <w:rPr>
                <w:rFonts w:ascii="宋体" w:hAnsi="宋体" w:cs="仿宋"/>
                <w:b/>
                <w:bCs/>
                <w:color w:val="auto"/>
                <w:sz w:val="24"/>
                <w:highlight w:val="none"/>
              </w:rPr>
            </w:pP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门特病分析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1980" w:type="dxa"/>
            <w:vMerge w:val="continue"/>
          </w:tcPr>
          <w:p>
            <w:pPr>
              <w:spacing w:line="360" w:lineRule="auto"/>
              <w:ind w:left="8" w:right="33"/>
              <w:jc w:val="center"/>
              <w:rPr>
                <w:rFonts w:ascii="宋体" w:hAnsi="宋体" w:cs="仿宋"/>
                <w:b/>
                <w:bCs/>
                <w:color w:val="auto"/>
                <w:sz w:val="24"/>
                <w:highlight w:val="none"/>
              </w:rPr>
            </w:pP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门慢病分析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1980" w:type="dxa"/>
            <w:vMerge w:val="restart"/>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基础数据管理</w:t>
            </w: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数据字典管理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1980" w:type="dxa"/>
            <w:vMerge w:val="continue"/>
          </w:tcPr>
          <w:p>
            <w:pPr>
              <w:spacing w:line="360" w:lineRule="auto"/>
              <w:ind w:left="8" w:right="33"/>
              <w:jc w:val="center"/>
              <w:rPr>
                <w:rFonts w:ascii="宋体" w:hAnsi="宋体" w:cs="仿宋"/>
                <w:b/>
                <w:bCs/>
                <w:color w:val="auto"/>
                <w:sz w:val="24"/>
                <w:highlight w:val="none"/>
              </w:rPr>
            </w:pP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疾病诊断维护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1980" w:type="dxa"/>
            <w:vMerge w:val="continue"/>
          </w:tcPr>
          <w:p>
            <w:pPr>
              <w:spacing w:line="360" w:lineRule="auto"/>
              <w:ind w:left="8" w:right="33"/>
              <w:jc w:val="center"/>
              <w:rPr>
                <w:rFonts w:ascii="宋体" w:hAnsi="宋体" w:cs="仿宋"/>
                <w:b/>
                <w:bCs/>
                <w:color w:val="auto"/>
                <w:sz w:val="24"/>
                <w:highlight w:val="none"/>
              </w:rPr>
            </w:pP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计划任务维护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1980" w:type="dxa"/>
            <w:vMerge w:val="continue"/>
          </w:tcPr>
          <w:p>
            <w:pPr>
              <w:spacing w:line="360" w:lineRule="auto"/>
              <w:ind w:left="8" w:right="33"/>
              <w:jc w:val="center"/>
              <w:rPr>
                <w:rFonts w:ascii="宋体" w:hAnsi="宋体" w:cs="仿宋"/>
                <w:b/>
                <w:bCs/>
                <w:color w:val="auto"/>
                <w:sz w:val="24"/>
                <w:highlight w:val="none"/>
              </w:rPr>
            </w:pP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计划任务结果管理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1980" w:type="dxa"/>
            <w:vMerge w:val="continue"/>
          </w:tcPr>
          <w:p>
            <w:pPr>
              <w:spacing w:line="360" w:lineRule="auto"/>
              <w:ind w:left="8" w:right="33"/>
              <w:jc w:val="center"/>
              <w:rPr>
                <w:rFonts w:ascii="宋体" w:hAnsi="宋体" w:cs="仿宋"/>
                <w:b/>
                <w:bCs/>
                <w:color w:val="auto"/>
                <w:sz w:val="24"/>
                <w:highlight w:val="none"/>
              </w:rPr>
            </w:pP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规则管理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1980" w:type="dxa"/>
            <w:vMerge w:val="continue"/>
          </w:tcPr>
          <w:p>
            <w:pPr>
              <w:spacing w:line="360" w:lineRule="auto"/>
              <w:ind w:left="8" w:right="33"/>
              <w:jc w:val="center"/>
              <w:rPr>
                <w:rFonts w:ascii="宋体" w:hAnsi="宋体" w:cs="仿宋"/>
                <w:b/>
                <w:bCs/>
                <w:color w:val="auto"/>
                <w:sz w:val="24"/>
                <w:highlight w:val="none"/>
              </w:rPr>
            </w:pP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药品说明书查询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1980" w:type="dxa"/>
            <w:vMerge w:val="continue"/>
          </w:tcPr>
          <w:p>
            <w:pPr>
              <w:spacing w:line="360" w:lineRule="auto"/>
              <w:ind w:left="8" w:right="33"/>
              <w:jc w:val="center"/>
              <w:rPr>
                <w:rFonts w:ascii="宋体" w:hAnsi="宋体" w:cs="仿宋"/>
                <w:b/>
                <w:bCs/>
                <w:color w:val="auto"/>
                <w:sz w:val="24"/>
                <w:highlight w:val="none"/>
              </w:rPr>
            </w:pP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医保政策管理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1980" w:type="dxa"/>
            <w:vMerge w:val="continue"/>
          </w:tcPr>
          <w:p>
            <w:pPr>
              <w:spacing w:line="360" w:lineRule="auto"/>
              <w:ind w:left="8" w:right="33"/>
              <w:jc w:val="center"/>
              <w:rPr>
                <w:rFonts w:ascii="宋体" w:hAnsi="宋体" w:cs="仿宋"/>
                <w:b/>
                <w:bCs/>
                <w:color w:val="auto"/>
                <w:sz w:val="24"/>
                <w:highlight w:val="none"/>
              </w:rPr>
            </w:pP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医保政策查询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1980" w:type="dxa"/>
            <w:vMerge w:val="continue"/>
          </w:tcPr>
          <w:p>
            <w:pPr>
              <w:spacing w:line="360" w:lineRule="auto"/>
              <w:ind w:left="8" w:right="33"/>
              <w:jc w:val="center"/>
              <w:rPr>
                <w:rFonts w:ascii="宋体" w:hAnsi="宋体" w:cs="仿宋"/>
                <w:b/>
                <w:bCs/>
                <w:color w:val="auto"/>
                <w:sz w:val="24"/>
                <w:highlight w:val="none"/>
              </w:rPr>
            </w:pP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药品信息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1980" w:type="dxa"/>
            <w:vMerge w:val="continue"/>
          </w:tcPr>
          <w:p>
            <w:pPr>
              <w:spacing w:line="360" w:lineRule="auto"/>
              <w:ind w:left="8" w:right="33"/>
              <w:jc w:val="center"/>
              <w:rPr>
                <w:rFonts w:ascii="宋体" w:hAnsi="宋体" w:cs="仿宋"/>
                <w:b/>
                <w:bCs/>
                <w:color w:val="auto"/>
                <w:sz w:val="24"/>
                <w:highlight w:val="none"/>
              </w:rPr>
            </w:pP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诊疗项目信息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1980" w:type="dxa"/>
            <w:vMerge w:val="continue"/>
          </w:tcPr>
          <w:p>
            <w:pPr>
              <w:spacing w:line="360" w:lineRule="auto"/>
              <w:ind w:left="8" w:right="33"/>
              <w:jc w:val="center"/>
              <w:rPr>
                <w:rFonts w:ascii="宋体" w:hAnsi="宋体" w:cs="仿宋"/>
                <w:b/>
                <w:bCs/>
                <w:color w:val="auto"/>
                <w:sz w:val="24"/>
                <w:highlight w:val="none"/>
              </w:rPr>
            </w:pP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材料信息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1980" w:type="dxa"/>
            <w:vMerge w:val="continue"/>
          </w:tcPr>
          <w:p>
            <w:pPr>
              <w:spacing w:line="360" w:lineRule="auto"/>
              <w:ind w:left="8" w:right="33"/>
              <w:jc w:val="center"/>
              <w:rPr>
                <w:rFonts w:ascii="宋体" w:hAnsi="宋体" w:cs="仿宋"/>
                <w:b/>
                <w:bCs/>
                <w:color w:val="auto"/>
                <w:sz w:val="24"/>
                <w:highlight w:val="none"/>
              </w:rPr>
            </w:pP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字典管理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1980" w:type="dxa"/>
            <w:vMerge w:val="continue"/>
          </w:tcPr>
          <w:p>
            <w:pPr>
              <w:spacing w:line="360" w:lineRule="auto"/>
              <w:ind w:left="8" w:right="33"/>
              <w:jc w:val="center"/>
              <w:rPr>
                <w:rFonts w:ascii="宋体" w:hAnsi="宋体" w:cs="仿宋"/>
                <w:b/>
                <w:bCs/>
                <w:color w:val="auto"/>
                <w:sz w:val="24"/>
                <w:highlight w:val="none"/>
              </w:rPr>
            </w:pP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规则配置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1980" w:type="dxa"/>
            <w:vMerge w:val="restart"/>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系统管理</w:t>
            </w: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用户管理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1980" w:type="dxa"/>
            <w:vMerge w:val="continue"/>
          </w:tcPr>
          <w:p>
            <w:pPr>
              <w:spacing w:line="360" w:lineRule="auto"/>
              <w:ind w:left="8" w:right="33"/>
              <w:jc w:val="center"/>
              <w:rPr>
                <w:rFonts w:ascii="宋体" w:hAnsi="宋体" w:cs="仿宋"/>
                <w:b/>
                <w:bCs/>
                <w:color w:val="auto"/>
                <w:sz w:val="24"/>
                <w:highlight w:val="none"/>
              </w:rPr>
            </w:pP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角色管理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1980" w:type="dxa"/>
            <w:vMerge w:val="continue"/>
          </w:tcPr>
          <w:p>
            <w:pPr>
              <w:spacing w:line="360" w:lineRule="auto"/>
              <w:ind w:left="8" w:right="33"/>
              <w:jc w:val="center"/>
              <w:rPr>
                <w:rFonts w:ascii="宋体" w:hAnsi="宋体" w:cs="仿宋"/>
                <w:b/>
                <w:bCs/>
                <w:color w:val="auto"/>
                <w:sz w:val="24"/>
                <w:highlight w:val="none"/>
              </w:rPr>
            </w:pPr>
          </w:p>
        </w:tc>
        <w:tc>
          <w:tcPr>
            <w:tcW w:w="7087" w:type="dxa"/>
            <w:vAlign w:val="center"/>
          </w:tcPr>
          <w:p>
            <w:pPr>
              <w:widowControl/>
              <w:spacing w:after="120" w:afterLines="50"/>
              <w:jc w:val="center"/>
              <w:textAlignment w:val="center"/>
              <w:rPr>
                <w:rFonts w:ascii="宋体" w:hAnsi="宋体" w:cs="宋体"/>
                <w:color w:val="auto"/>
                <w:sz w:val="24"/>
                <w:highlight w:val="none"/>
              </w:rPr>
            </w:pPr>
            <w:r>
              <w:rPr>
                <w:rFonts w:hint="eastAsia" w:ascii="宋体" w:hAnsi="宋体"/>
                <w:color w:val="auto"/>
                <w:spacing w:val="-1"/>
                <w:sz w:val="24"/>
                <w:highlight w:val="none"/>
                <w:lang w:val="zh-CN" w:bidi="zh-CN"/>
              </w:rPr>
              <w:t>支持</w:t>
            </w:r>
            <w:r>
              <w:rPr>
                <w:rFonts w:hint="eastAsia" w:ascii="宋体" w:hAnsi="宋体" w:cs="宋体"/>
                <w:color w:val="auto"/>
                <w:kern w:val="0"/>
                <w:sz w:val="24"/>
                <w:highlight w:val="none"/>
                <w:lang w:bidi="ar"/>
              </w:rPr>
              <w:t>模块管理</w:t>
            </w:r>
          </w:p>
        </w:tc>
      </w:tr>
    </w:tbl>
    <w:p>
      <w:pPr>
        <w:pStyle w:val="8"/>
        <w:ind w:firstLine="480"/>
        <w:rPr>
          <w:rFonts w:ascii="宋体" w:hAnsi="宋体"/>
          <w:color w:val="auto"/>
          <w:szCs w:val="24"/>
          <w:highlight w:val="none"/>
        </w:rPr>
      </w:pPr>
    </w:p>
    <w:p>
      <w:pPr>
        <w:pStyle w:val="7"/>
        <w:numPr>
          <w:ilvl w:val="4"/>
          <w:numId w:val="8"/>
        </w:numPr>
        <w:rPr>
          <w:rFonts w:ascii="宋体" w:hAnsi="宋体"/>
          <w:color w:val="auto"/>
          <w:szCs w:val="24"/>
          <w:highlight w:val="none"/>
        </w:rPr>
      </w:pPr>
      <w:bookmarkStart w:id="663" w:name="_Toc10087"/>
      <w:r>
        <w:rPr>
          <w:rFonts w:ascii="宋体" w:hAnsi="宋体"/>
          <w:color w:val="auto"/>
          <w:szCs w:val="24"/>
          <w:highlight w:val="none"/>
          <w:lang w:eastAsia="zh-Hans"/>
        </w:rPr>
        <w:t>DRG医保付费智能审核及DRG绩效考核</w:t>
      </w:r>
      <w:bookmarkEnd w:id="663"/>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用国家角度实施DRG/DIP方案的主要目的用于医保付费制度改革，将目前医保“按项目付费”转向“按病种付费”模式变革。这一颠覆性付费机制改革如果正式施行，将对医院的经营与财务收入带来重大影响。D</w:t>
      </w:r>
      <w:r>
        <w:rPr>
          <w:rFonts w:ascii="宋体" w:hAnsi="宋体"/>
          <w:color w:val="auto"/>
          <w:sz w:val="24"/>
          <w:highlight w:val="none"/>
        </w:rPr>
        <w:t>RG</w:t>
      </w:r>
      <w:r>
        <w:rPr>
          <w:rFonts w:hint="eastAsia" w:ascii="宋体" w:hAnsi="宋体"/>
          <w:color w:val="auto"/>
          <w:sz w:val="24"/>
          <w:highlight w:val="none"/>
        </w:rPr>
        <w:t>s管理系统协助医院进行医保改革。</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DRG系统需满足以下要求：</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blHeader/>
        </w:trPr>
        <w:tc>
          <w:tcPr>
            <w:tcW w:w="1980"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7087"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 w:hRule="atLeast"/>
        </w:trPr>
        <w:tc>
          <w:tcPr>
            <w:tcW w:w="1980" w:type="dxa"/>
            <w:vAlign w:val="center"/>
          </w:tcPr>
          <w:p>
            <w:pPr>
              <w:spacing w:line="360" w:lineRule="auto"/>
              <w:ind w:left="8" w:right="33"/>
              <w:jc w:val="center"/>
              <w:rPr>
                <w:rFonts w:ascii="宋体" w:hAnsi="宋体" w:cs="仿宋"/>
                <w:b/>
                <w:bCs/>
                <w:color w:val="auto"/>
                <w:sz w:val="24"/>
                <w:highlight w:val="none"/>
              </w:rPr>
            </w:pPr>
            <w:r>
              <w:rPr>
                <w:rFonts w:hint="eastAsia" w:ascii="宋体" w:hAnsi="宋体" w:cs="仿宋"/>
                <w:b/>
                <w:bCs/>
                <w:color w:val="auto"/>
                <w:sz w:val="24"/>
                <w:highlight w:val="none"/>
              </w:rPr>
              <w:t>DRGs病例自动分组服务</w:t>
            </w:r>
          </w:p>
        </w:tc>
        <w:tc>
          <w:tcPr>
            <w:tcW w:w="7087" w:type="dxa"/>
            <w:vAlign w:val="center"/>
          </w:tcPr>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支持在不改变医院现有业务流程的情况下智能的将各医院不同的疾病诊断编码、手术操作编码等不同的编码体系，与CHS-DRG分组器编码进行智能匹配，实时的响应用户的分组需求。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980" w:type="dxa"/>
            <w:vAlign w:val="center"/>
          </w:tcPr>
          <w:p>
            <w:pPr>
              <w:spacing w:line="360" w:lineRule="auto"/>
              <w:ind w:left="8" w:right="33"/>
              <w:jc w:val="center"/>
              <w:rPr>
                <w:rFonts w:ascii="宋体" w:hAnsi="宋体" w:cs="仿宋"/>
                <w:b/>
                <w:bCs/>
                <w:color w:val="auto"/>
                <w:sz w:val="24"/>
                <w:highlight w:val="none"/>
              </w:rPr>
            </w:pPr>
            <w:r>
              <w:rPr>
                <w:rFonts w:hint="eastAsia" w:ascii="宋体" w:hAnsi="宋体" w:cs="仿宋"/>
                <w:b/>
                <w:bCs/>
                <w:color w:val="auto"/>
                <w:sz w:val="24"/>
                <w:highlight w:val="none"/>
              </w:rPr>
              <w:t>DRGs医疗服务绩效评价</w:t>
            </w:r>
          </w:p>
        </w:tc>
        <w:tc>
          <w:tcPr>
            <w:tcW w:w="7087" w:type="dxa"/>
            <w:vAlign w:val="center"/>
          </w:tcPr>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通过DRGs医疗服务绩效评价系统，对医院出院病例按照DRGs分组进行精细化统计，比较出各评价对象在DRGs指标下的高低、分布和变化趋势，为医院、科室、医生内部绩效评价、奖金分配、级别晋升等提供客观、科学的数据支撑。</w:t>
            </w:r>
          </w:p>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支持对医院总体情况分析、医院学科能力分析、医院服务效益的分析、医院医疗质量分析等。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 w:hRule="atLeast"/>
        </w:trPr>
        <w:tc>
          <w:tcPr>
            <w:tcW w:w="1980" w:type="dxa"/>
            <w:vAlign w:val="center"/>
          </w:tcPr>
          <w:p>
            <w:pPr>
              <w:spacing w:line="360" w:lineRule="auto"/>
              <w:ind w:left="8" w:right="33"/>
              <w:jc w:val="center"/>
              <w:rPr>
                <w:rFonts w:ascii="宋体" w:hAnsi="宋体" w:cs="仿宋"/>
                <w:b/>
                <w:bCs/>
                <w:color w:val="auto"/>
                <w:sz w:val="24"/>
                <w:highlight w:val="none"/>
              </w:rPr>
            </w:pPr>
            <w:r>
              <w:rPr>
                <w:rFonts w:hint="eastAsia" w:ascii="宋体" w:hAnsi="宋体" w:cs="仿宋"/>
                <w:b/>
                <w:bCs/>
                <w:color w:val="auto"/>
                <w:sz w:val="24"/>
                <w:highlight w:val="none"/>
              </w:rPr>
              <w:t>病案首页采集和智能质控</w:t>
            </w:r>
          </w:p>
        </w:tc>
        <w:tc>
          <w:tcPr>
            <w:tcW w:w="7087" w:type="dxa"/>
            <w:vAlign w:val="center"/>
          </w:tcPr>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支持通过标准化接口对住院病案数据进行采集，并实现对电子病案首页病案数据采集过程和数据填写情况进行质量控制，对无效数据自动进行智能化分析，提高医院的病案首页管理质量。</w:t>
            </w:r>
          </w:p>
        </w:tc>
      </w:tr>
    </w:tbl>
    <w:p>
      <w:pPr>
        <w:pStyle w:val="7"/>
        <w:numPr>
          <w:ilvl w:val="4"/>
          <w:numId w:val="8"/>
        </w:numPr>
        <w:rPr>
          <w:rFonts w:ascii="宋体" w:hAnsi="宋体"/>
          <w:color w:val="auto"/>
          <w:szCs w:val="24"/>
          <w:highlight w:val="none"/>
        </w:rPr>
      </w:pPr>
      <w:bookmarkStart w:id="664" w:name="_Toc8158"/>
      <w:r>
        <w:rPr>
          <w:rFonts w:hint="eastAsia" w:ascii="宋体" w:hAnsi="宋体"/>
          <w:color w:val="auto"/>
          <w:szCs w:val="24"/>
          <w:highlight w:val="none"/>
        </w:rPr>
        <w:t>医保智能审核</w:t>
      </w:r>
      <w:bookmarkEnd w:id="664"/>
    </w:p>
    <w:p>
      <w:pPr>
        <w:pStyle w:val="8"/>
        <w:ind w:firstLine="199" w:firstLineChars="83"/>
        <w:rPr>
          <w:color w:val="auto"/>
          <w:highlight w:val="none"/>
        </w:rPr>
      </w:pPr>
      <w:r>
        <w:rPr>
          <w:rFonts w:hint="eastAsia"/>
          <w:color w:val="auto"/>
          <w:highlight w:val="none"/>
        </w:rPr>
        <w:t xml:space="preserve"> </w:t>
      </w:r>
      <w:r>
        <w:rPr>
          <w:color w:val="auto"/>
          <w:highlight w:val="none"/>
        </w:rPr>
        <w:t xml:space="preserve"> </w:t>
      </w:r>
      <w:r>
        <w:rPr>
          <w:rFonts w:hint="eastAsia"/>
          <w:color w:val="auto"/>
          <w:highlight w:val="none"/>
        </w:rPr>
        <w:t>要求按照医院需求，进行医保智能审核系统的升级，实现和其他业务系统的信息互通。</w:t>
      </w:r>
    </w:p>
    <w:p>
      <w:pPr>
        <w:pStyle w:val="7"/>
        <w:numPr>
          <w:ilvl w:val="4"/>
          <w:numId w:val="8"/>
        </w:numPr>
        <w:rPr>
          <w:rFonts w:ascii="宋体" w:hAnsi="宋体"/>
          <w:color w:val="auto"/>
          <w:szCs w:val="24"/>
          <w:highlight w:val="none"/>
        </w:rPr>
      </w:pPr>
      <w:bookmarkStart w:id="665" w:name="_Toc14965"/>
      <w:r>
        <w:rPr>
          <w:rFonts w:hint="eastAsia" w:ascii="宋体" w:hAnsi="宋体"/>
          <w:color w:val="auto"/>
          <w:szCs w:val="24"/>
          <w:highlight w:val="none"/>
        </w:rPr>
        <w:t>智慧党建管理系统</w:t>
      </w:r>
      <w:bookmarkEnd w:id="665"/>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智慧党建系统为党务工作者服务的党务工作信息化管理平台，党建系统响应“网络发展到哪里，党建工作就覆盖到哪里”的号召，党建系统通过互联网大数据技术，支持实现党务管理、党员管理、党组织管理、党员考核等党务工作的线上办公，不受时间、地点的约束，支持随地随地开展党建工作。</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4"/>
        <w:gridCol w:w="70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trPr>
        <w:tc>
          <w:tcPr>
            <w:tcW w:w="1984"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功能模块</w:t>
            </w:r>
          </w:p>
        </w:tc>
        <w:tc>
          <w:tcPr>
            <w:tcW w:w="7083"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1984" w:type="dxa"/>
            <w:vAlign w:val="center"/>
          </w:tcPr>
          <w:p>
            <w:pPr>
              <w:autoSpaceDE w:val="0"/>
              <w:autoSpaceDN w:val="0"/>
              <w:spacing w:before="1" w:line="360" w:lineRule="auto"/>
              <w:ind w:left="126"/>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门户管理</w:t>
            </w:r>
          </w:p>
        </w:tc>
        <w:tc>
          <w:tcPr>
            <w:tcW w:w="7083" w:type="dxa"/>
          </w:tcPr>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支持管理、查看权限分离</w:t>
            </w:r>
            <w:r>
              <w:rPr>
                <w:rFonts w:hint="eastAsia" w:ascii="宋体" w:hAnsi="宋体" w:eastAsia="宋体"/>
                <w:color w:val="auto"/>
                <w:sz w:val="24"/>
                <w:highlight w:val="none"/>
                <w:lang w:eastAsia="zh-CN"/>
              </w:rPr>
              <w:t>：统一门户展现、权限管理控制，党委工作事项由党委管理，支部工作事项由支部管理，强化发布内容安全性。</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支持党建门户板块个性化</w:t>
            </w:r>
            <w:r>
              <w:rPr>
                <w:rFonts w:hint="eastAsia" w:ascii="宋体" w:hAnsi="宋体" w:eastAsia="宋体"/>
                <w:color w:val="auto"/>
                <w:sz w:val="24"/>
                <w:highlight w:val="none"/>
                <w:lang w:eastAsia="zh-CN"/>
              </w:rPr>
              <w:t>：党建栏目灵活可配，打造特色工作动态、党务公开、党建专题、党建制度、党员合理化建议栏目。</w:t>
            </w:r>
          </w:p>
          <w:p>
            <w:pPr>
              <w:pStyle w:val="201"/>
              <w:numPr>
                <w:ilvl w:val="0"/>
                <w:numId w:val="9"/>
              </w:numPr>
              <w:spacing w:before="0" w:line="360" w:lineRule="auto"/>
              <w:ind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支持党建成果实时推送</w:t>
            </w:r>
            <w:r>
              <w:rPr>
                <w:rFonts w:hint="eastAsia" w:ascii="宋体" w:hAnsi="宋体" w:eastAsia="宋体"/>
                <w:color w:val="auto"/>
                <w:sz w:val="24"/>
                <w:highlight w:val="none"/>
                <w:lang w:eastAsia="zh-CN"/>
              </w:rPr>
              <w:t>：基层工作特色成果党组织活动如党委会、党委中心组学习民主生活会、组织生活等一键推送至党建门户。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984" w:type="dxa"/>
            <w:vAlign w:val="center"/>
          </w:tcPr>
          <w:p>
            <w:pPr>
              <w:autoSpaceDE w:val="0"/>
              <w:autoSpaceDN w:val="0"/>
              <w:spacing w:line="360" w:lineRule="auto"/>
              <w:ind w:left="126"/>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组织管理</w:t>
            </w:r>
          </w:p>
        </w:tc>
        <w:tc>
          <w:tcPr>
            <w:tcW w:w="7083" w:type="dxa"/>
          </w:tcPr>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支持多级组织管理</w:t>
            </w:r>
            <w:r>
              <w:rPr>
                <w:rFonts w:hint="eastAsia" w:ascii="宋体" w:hAnsi="宋体" w:eastAsia="宋体"/>
                <w:color w:val="auto"/>
                <w:sz w:val="24"/>
                <w:highlight w:val="none"/>
                <w:lang w:eastAsia="zh-CN"/>
              </w:rPr>
              <w:t>：提供横向多组织，纵向多层级管理。组织管理员可在系统中为各下属单位建立逻辑上独立的子系统，各子系统具备独立的系统单位管理员。</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支持双组织架构管理：</w:t>
            </w:r>
            <w:r>
              <w:rPr>
                <w:rFonts w:hint="eastAsia" w:ascii="宋体" w:hAnsi="宋体" w:eastAsia="宋体"/>
                <w:color w:val="auto"/>
                <w:sz w:val="24"/>
                <w:highlight w:val="none"/>
                <w:lang w:eastAsia="zh-CN"/>
              </w:rPr>
              <w:t>提供行政、组织两套架构一套系统，两套组织架构；一套数据，两套审批流程，打通党建与业务壁垒，消除党建工作、业务经营两张皮现象。</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支持党组织建设：</w:t>
            </w:r>
            <w:r>
              <w:rPr>
                <w:rFonts w:hint="eastAsia" w:ascii="宋体" w:hAnsi="宋体" w:eastAsia="宋体"/>
                <w:color w:val="auto"/>
                <w:sz w:val="24"/>
                <w:highlight w:val="none"/>
                <w:lang w:eastAsia="zh-CN"/>
              </w:rPr>
              <w:t>包含党组织信息录入、党组织信息修改、党组织迁移申请、发起民主评议、党组织换届管理等功能。</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支持党组织分布图：</w:t>
            </w:r>
            <w:r>
              <w:rPr>
                <w:rFonts w:hint="eastAsia" w:ascii="宋体" w:hAnsi="宋体" w:eastAsia="宋体"/>
                <w:color w:val="auto"/>
                <w:sz w:val="24"/>
                <w:highlight w:val="none"/>
                <w:lang w:eastAsia="zh-CN"/>
              </w:rPr>
              <w:t>面向空间实体及其关系的数据组织、高效空间数据的存储与索引、动态空间信息数据库。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1984" w:type="dxa"/>
            <w:vAlign w:val="center"/>
          </w:tcPr>
          <w:p>
            <w:pPr>
              <w:autoSpaceDE w:val="0"/>
              <w:autoSpaceDN w:val="0"/>
              <w:spacing w:line="360" w:lineRule="auto"/>
              <w:ind w:left="126"/>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党务沟通平台</w:t>
            </w:r>
          </w:p>
        </w:tc>
        <w:tc>
          <w:tcPr>
            <w:tcW w:w="7083" w:type="dxa"/>
          </w:tcPr>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支持学习、沟通、讨论、请示、思想汇报、工作建议，为党建工作搭建有效沟通平台，铸就信息透明、流程可视、痕迹可寻、限时督办的党务管理工作利器，党委传达规范化动作一键基层支部。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trPr>
        <w:tc>
          <w:tcPr>
            <w:tcW w:w="1984" w:type="dxa"/>
            <w:vAlign w:val="center"/>
          </w:tcPr>
          <w:p>
            <w:pPr>
              <w:autoSpaceDE w:val="0"/>
              <w:autoSpaceDN w:val="0"/>
              <w:spacing w:line="360" w:lineRule="auto"/>
              <w:ind w:left="126"/>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党务管理信息化</w:t>
            </w:r>
          </w:p>
        </w:tc>
        <w:tc>
          <w:tcPr>
            <w:tcW w:w="7083" w:type="dxa"/>
          </w:tcPr>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支持学习教育工作台账：</w:t>
            </w:r>
            <w:r>
              <w:rPr>
                <w:rFonts w:hint="eastAsia" w:ascii="宋体" w:hAnsi="宋体" w:eastAsia="宋体"/>
                <w:color w:val="auto"/>
                <w:sz w:val="24"/>
                <w:highlight w:val="none"/>
                <w:lang w:eastAsia="zh-CN"/>
              </w:rPr>
              <w:t>每月主动提取系统工作教育数据，一键形成台账，excel数据导出。</w:t>
            </w:r>
          </w:p>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支持党员管理：</w:t>
            </w:r>
            <w:r>
              <w:rPr>
                <w:rFonts w:hint="eastAsia" w:ascii="宋体" w:hAnsi="宋体" w:eastAsia="宋体"/>
                <w:color w:val="auto"/>
                <w:sz w:val="24"/>
                <w:highlight w:val="none"/>
                <w:lang w:eastAsia="zh-CN"/>
              </w:rPr>
              <w:t>通过党建实现党员管理制度化、规范化、信息化，关键信息一键查找统计。</w:t>
            </w:r>
          </w:p>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支持党员发展：</w:t>
            </w:r>
            <w:r>
              <w:rPr>
                <w:rFonts w:hint="eastAsia" w:ascii="宋体" w:hAnsi="宋体" w:eastAsia="宋体"/>
                <w:color w:val="auto"/>
                <w:sz w:val="24"/>
                <w:highlight w:val="none"/>
                <w:lang w:eastAsia="zh-CN"/>
              </w:rPr>
              <w:t>导航式全生命周期资料库管理，按阶段自动发起相关流程、消息自动提醒。入党申请管理，包含入党申请书，入党积极分子确认，发展对象确认，预备党员确认，预备党员转正等管理。</w:t>
            </w:r>
          </w:p>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支持党组织关系转接：</w:t>
            </w:r>
            <w:r>
              <w:rPr>
                <w:rFonts w:hint="eastAsia" w:ascii="宋体" w:hAnsi="宋体" w:eastAsia="宋体"/>
                <w:color w:val="auto"/>
                <w:sz w:val="24"/>
                <w:highlight w:val="none"/>
                <w:lang w:eastAsia="zh-CN"/>
              </w:rPr>
              <w:t>党组织关系转接就是指党员因调动工作、参军、学习、外出等原因离开原所在地或单位，以及外出时间在六个月以上，且地点比较固定的，经党组织同意，将党组织进行转接的一种调动形式。通过规范党组织转转入转出流程，减少党员线下工作。</w:t>
            </w:r>
          </w:p>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支持党费管理：</w:t>
            </w:r>
            <w:r>
              <w:rPr>
                <w:rFonts w:hint="eastAsia" w:ascii="宋体" w:hAnsi="宋体" w:eastAsia="宋体"/>
                <w:color w:val="auto"/>
                <w:sz w:val="24"/>
                <w:highlight w:val="none"/>
                <w:lang w:eastAsia="zh-CN"/>
              </w:rPr>
              <w:t>党费缴纳登记，各级党组织党员党费缴纳的情况录入及归档，支持按部门、人员进行多维度统计功能。</w:t>
            </w:r>
          </w:p>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支持组织生活管理</w:t>
            </w:r>
          </w:p>
          <w:p>
            <w:pPr>
              <w:pStyle w:val="201"/>
              <w:numPr>
                <w:ilvl w:val="0"/>
                <w:numId w:val="25"/>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确保台账真实：系统时间控制、定位控制，逾期台账自动关闭，杜绝台账补办、作假，随时随地检查三会一课落实情况。</w:t>
            </w:r>
          </w:p>
          <w:p>
            <w:pPr>
              <w:pStyle w:val="201"/>
              <w:numPr>
                <w:ilvl w:val="0"/>
                <w:numId w:val="25"/>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一键报告生成：集活动发起、活动记录、总结、统计，一站式管理，一键报告生成，减少手写台账工作量。</w:t>
            </w:r>
          </w:p>
          <w:p>
            <w:pPr>
              <w:pStyle w:val="201"/>
              <w:numPr>
                <w:ilvl w:val="0"/>
                <w:numId w:val="25"/>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加速数据收集：省去向各支部收集数据步骤，支部活动开展数据自动汇总。</w:t>
            </w:r>
          </w:p>
          <w:p>
            <w:pPr>
              <w:pStyle w:val="201"/>
              <w:numPr>
                <w:ilvl w:val="0"/>
                <w:numId w:val="25"/>
              </w:numPr>
              <w:spacing w:before="0"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工作成果可视化：组织生活开展数据可视化，为领导作出决策提供数据支撑。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1984" w:type="dxa"/>
            <w:vAlign w:val="center"/>
          </w:tcPr>
          <w:p>
            <w:pPr>
              <w:autoSpaceDE w:val="0"/>
              <w:autoSpaceDN w:val="0"/>
              <w:spacing w:line="360" w:lineRule="auto"/>
              <w:ind w:left="126"/>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党员学习教育</w:t>
            </w:r>
          </w:p>
        </w:tc>
        <w:tc>
          <w:tcPr>
            <w:tcW w:w="7083" w:type="dxa"/>
          </w:tcPr>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支持提供一站式服务，多形式课程学习、学习心得、课程考试一站式服务，增强党的观念，党员意识，保持共产党人的政治本色；提供权威的、最新的课程资源及题库，减少资源建设压力。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1984" w:type="dxa"/>
            <w:vAlign w:val="center"/>
          </w:tcPr>
          <w:p>
            <w:pPr>
              <w:autoSpaceDE w:val="0"/>
              <w:autoSpaceDN w:val="0"/>
              <w:spacing w:line="360" w:lineRule="auto"/>
              <w:ind w:left="126"/>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党建考核</w:t>
            </w:r>
          </w:p>
        </w:tc>
        <w:tc>
          <w:tcPr>
            <w:tcW w:w="7083" w:type="dxa"/>
          </w:tcPr>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支持实现党委对二级党委、党委对支部的党建考评。考核指标按需制定、考核任务自动推送、考核流程自动触发、考核统计。考核指标按需制定、差异化、精准化，让考核具有可操作性。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1984" w:type="dxa"/>
            <w:vAlign w:val="center"/>
          </w:tcPr>
          <w:p>
            <w:pPr>
              <w:autoSpaceDE w:val="0"/>
              <w:autoSpaceDN w:val="0"/>
              <w:spacing w:line="360" w:lineRule="auto"/>
              <w:ind w:left="126"/>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积分管理</w:t>
            </w:r>
          </w:p>
        </w:tc>
        <w:tc>
          <w:tcPr>
            <w:tcW w:w="7083" w:type="dxa"/>
          </w:tcPr>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支持建设科学有效的积分机制，系统参数设置，积分自动生成，党员及支部自动排名。支部积分和支部排名，以更好的促进支部书记的工作热情。</w:t>
            </w:r>
          </w:p>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支持新闻、学习等多种积分项自由组合；手动线下分数调整，按时段积分清零，多种积分规则灵活可配。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1984" w:type="dxa"/>
            <w:vAlign w:val="center"/>
          </w:tcPr>
          <w:p>
            <w:pPr>
              <w:autoSpaceDE w:val="0"/>
              <w:autoSpaceDN w:val="0"/>
              <w:spacing w:line="360" w:lineRule="auto"/>
              <w:ind w:left="126"/>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监督管理</w:t>
            </w:r>
          </w:p>
        </w:tc>
        <w:tc>
          <w:tcPr>
            <w:tcW w:w="7083" w:type="dxa"/>
          </w:tcPr>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支持书记信箱：</w:t>
            </w:r>
            <w:r>
              <w:rPr>
                <w:rFonts w:hint="eastAsia" w:ascii="宋体" w:hAnsi="宋体" w:eastAsia="宋体"/>
                <w:color w:val="auto"/>
                <w:sz w:val="24"/>
                <w:highlight w:val="none"/>
                <w:lang w:eastAsia="zh-CN"/>
              </w:rPr>
              <w:t>利用信息化手段设立书记信箱、党委委员信箱、人大代表信箱等，畅通民意诉求通道。后台可设置信箱接收人，信息流转流程。</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支持党员互动：</w:t>
            </w:r>
            <w:r>
              <w:rPr>
                <w:rFonts w:hint="eastAsia" w:ascii="宋体" w:hAnsi="宋体" w:eastAsia="宋体"/>
                <w:color w:val="auto"/>
                <w:sz w:val="24"/>
                <w:highlight w:val="none"/>
                <w:lang w:eastAsia="zh-CN"/>
              </w:rPr>
              <w:t>党员可进行全方位、宽领域、多层面的交流，提升党员交流的便利性和参与活动的积极性。创建党员同志圈、互动点赞累积分。支持匿名互动，加强党内监督，开展批评与自我批评。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1984" w:type="dxa"/>
            <w:vAlign w:val="center"/>
          </w:tcPr>
          <w:p>
            <w:pPr>
              <w:autoSpaceDE w:val="0"/>
              <w:autoSpaceDN w:val="0"/>
              <w:spacing w:line="360" w:lineRule="auto"/>
              <w:ind w:left="126"/>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党建专题</w:t>
            </w:r>
          </w:p>
        </w:tc>
        <w:tc>
          <w:tcPr>
            <w:tcW w:w="7083" w:type="dxa"/>
          </w:tcPr>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支持自定义方式构建业务数据结构，以视图方式构建业务控制流程 ，根据业务需要构建业务关联控制，围绕业务过程触发各类业务活动，创建/使用的操作授权机制，业务的封装与注册管理。</w:t>
            </w:r>
          </w:p>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支持两学一做：定制两学一做专题应用，促进两学一做规范化、制度化。</w:t>
            </w:r>
          </w:p>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支持问责清单：通过智慧党建平台实现党务管理制度化、规范化、信息化，关键信息一键查找统计，提高党务工作人员工作效率，提高数据统计准确度。</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支持三重一大：流程保证国资企业下“三重一大”事项必须经过党委（党组）会集体讨论。一级事项预告制，提前2个工作日告知监督小组；二级事项备案制，研究决定后7个工作日报所在监督小组。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1984" w:type="dxa"/>
            <w:vAlign w:val="center"/>
          </w:tcPr>
          <w:p>
            <w:pPr>
              <w:autoSpaceDE w:val="0"/>
              <w:autoSpaceDN w:val="0"/>
              <w:spacing w:line="360" w:lineRule="auto"/>
              <w:ind w:left="126"/>
              <w:jc w:val="center"/>
              <w:rPr>
                <w:rFonts w:ascii="宋体" w:hAnsi="宋体" w:cs="仿宋"/>
                <w:b/>
                <w:color w:val="auto"/>
                <w:sz w:val="24"/>
                <w:highlight w:val="none"/>
                <w:lang w:bidi="zh-CN"/>
              </w:rPr>
            </w:pPr>
            <w:r>
              <w:rPr>
                <w:rFonts w:hint="eastAsia" w:ascii="宋体" w:hAnsi="宋体" w:cs="仿宋"/>
                <w:b/>
                <w:color w:val="auto"/>
                <w:sz w:val="24"/>
                <w:highlight w:val="none"/>
                <w:lang w:bidi="zh-CN"/>
              </w:rPr>
              <w:t>党建文档库</w:t>
            </w:r>
          </w:p>
        </w:tc>
        <w:tc>
          <w:tcPr>
            <w:tcW w:w="7083" w:type="dxa"/>
          </w:tcPr>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支持党建工作流程归档、文件资料归档、查询、共享、借阅，搭建共享党建工作在线资料库。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1984" w:type="dxa"/>
            <w:vAlign w:val="center"/>
          </w:tcPr>
          <w:p>
            <w:pPr>
              <w:autoSpaceDE w:val="0"/>
              <w:autoSpaceDN w:val="0"/>
              <w:spacing w:line="360" w:lineRule="auto"/>
              <w:ind w:left="126"/>
              <w:jc w:val="center"/>
              <w:rPr>
                <w:rFonts w:ascii="宋体" w:hAnsi="宋体" w:cs="仿宋"/>
                <w:b/>
                <w:color w:val="auto"/>
                <w:sz w:val="24"/>
                <w:highlight w:val="none"/>
                <w:lang w:bidi="zh-CN"/>
              </w:rPr>
            </w:pPr>
            <w:r>
              <w:rPr>
                <w:rFonts w:hint="eastAsia" w:ascii="宋体" w:hAnsi="宋体" w:cs="仿宋"/>
                <w:b/>
                <w:color w:val="auto"/>
                <w:sz w:val="24"/>
                <w:highlight w:val="none"/>
                <w:lang w:bidi="zh-CN"/>
              </w:rPr>
              <w:t>党建大数据</w:t>
            </w:r>
          </w:p>
        </w:tc>
        <w:tc>
          <w:tcPr>
            <w:tcW w:w="7083" w:type="dxa"/>
          </w:tcPr>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支持统一政务工作台的数据挖掘分析：</w:t>
            </w:r>
            <w:r>
              <w:rPr>
                <w:rFonts w:hint="eastAsia" w:ascii="宋体" w:hAnsi="宋体" w:eastAsia="宋体"/>
                <w:color w:val="auto"/>
                <w:sz w:val="24"/>
                <w:highlight w:val="none"/>
                <w:lang w:eastAsia="zh-CN"/>
              </w:rPr>
              <w:t>基于统一政务工作台，数据资源开展工作效率分析和工作效果分析。内容主要包含主要涵盖党员信息、党组织信息、党组织活动、学习教育活动等模块。</w:t>
            </w:r>
          </w:p>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支持风险信息的预警提示：</w:t>
            </w:r>
            <w:r>
              <w:rPr>
                <w:rFonts w:hint="eastAsia" w:ascii="宋体" w:hAnsi="宋体" w:eastAsia="宋体"/>
                <w:color w:val="auto"/>
                <w:sz w:val="24"/>
                <w:highlight w:val="none"/>
                <w:lang w:eastAsia="zh-CN"/>
              </w:rPr>
              <w:t>比对工作指标计划与实际完成情况，根据变化趋势对可能出现问题的工作进行预警提示，使领导决策能够聚焦到工作的主要矛盾，提前筹划准备应对措施。</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支持数据和决策支持功能管理：</w:t>
            </w:r>
            <w:r>
              <w:rPr>
                <w:rFonts w:hint="eastAsia" w:ascii="宋体" w:hAnsi="宋体" w:eastAsia="宋体"/>
                <w:color w:val="auto"/>
                <w:sz w:val="24"/>
                <w:highlight w:val="none"/>
                <w:lang w:eastAsia="zh-CN"/>
              </w:rPr>
              <w:t>按照领导分管工作的情况和数据敏感度实行访问权限管理。支持多样化的查询服务、报表生成服务。报表浏览过程当中可以通过报表设计时定义的调整过滤方案、钻取、穿透关系对报表进行深度分析。支持进行报表输出、订阅等基本功能操作。</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支持按需定制个性化大数据门户：</w:t>
            </w:r>
            <w:r>
              <w:rPr>
                <w:rFonts w:hint="eastAsia" w:ascii="宋体" w:hAnsi="宋体" w:eastAsia="宋体"/>
                <w:color w:val="auto"/>
                <w:sz w:val="24"/>
                <w:highlight w:val="none"/>
                <w:lang w:eastAsia="zh-CN"/>
              </w:rPr>
              <w:t>通过数据分析门户，用户可直接访问到和本人相关的各种数据分析报表或报告，用户可根据实际需求设置门户进入首页，关注指标和报表等，并可定制常用报表快速浏览到日常所需报表，个性定制，一人一门户。</w:t>
            </w:r>
          </w:p>
          <w:p>
            <w:pPr>
              <w:pStyle w:val="201"/>
              <w:numPr>
                <w:ilvl w:val="0"/>
                <w:numId w:val="9"/>
              </w:numPr>
              <w:spacing w:line="360" w:lineRule="auto"/>
              <w:ind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支持便捷大数据分类管理：</w:t>
            </w:r>
            <w:r>
              <w:rPr>
                <w:rFonts w:hint="eastAsia" w:ascii="宋体" w:hAnsi="宋体" w:eastAsia="宋体"/>
                <w:color w:val="auto"/>
                <w:sz w:val="24"/>
                <w:highlight w:val="none"/>
                <w:lang w:eastAsia="zh-CN"/>
              </w:rPr>
              <w:t>用户创建的报表可以存放在自定义或预置的文件夹中，方便报表查找和管理。用户可根据自身需要在权限范围内，增加、修改、删除文件夹，查阅建议定义一级文件夹。为后续办公、审批、重大项目、工作台账、督查督办、行政效能、精准扶贫等系统工作进行大数据管理做好准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1984" w:type="dxa"/>
            <w:vAlign w:val="center"/>
          </w:tcPr>
          <w:p>
            <w:pPr>
              <w:autoSpaceDE w:val="0"/>
              <w:autoSpaceDN w:val="0"/>
              <w:spacing w:line="360" w:lineRule="auto"/>
              <w:ind w:left="126"/>
              <w:jc w:val="center"/>
              <w:rPr>
                <w:rFonts w:ascii="宋体" w:hAnsi="宋体" w:cs="仿宋"/>
                <w:b/>
                <w:color w:val="auto"/>
                <w:sz w:val="24"/>
                <w:highlight w:val="none"/>
                <w:lang w:bidi="zh-CN"/>
              </w:rPr>
            </w:pPr>
            <w:r>
              <w:rPr>
                <w:rFonts w:hint="eastAsia" w:ascii="宋体" w:hAnsi="宋体" w:cs="仿宋"/>
                <w:b/>
                <w:color w:val="auto"/>
                <w:sz w:val="24"/>
                <w:highlight w:val="none"/>
                <w:lang w:bidi="zh-CN"/>
              </w:rPr>
              <w:t>掌上党建</w:t>
            </w:r>
          </w:p>
        </w:tc>
        <w:tc>
          <w:tcPr>
            <w:tcW w:w="7083" w:type="dxa"/>
          </w:tcPr>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支持在线学习：</w:t>
            </w:r>
            <w:r>
              <w:rPr>
                <w:rFonts w:hint="eastAsia" w:ascii="宋体" w:hAnsi="宋体" w:eastAsia="宋体"/>
                <w:color w:val="auto"/>
                <w:sz w:val="24"/>
                <w:highlight w:val="none"/>
                <w:lang w:eastAsia="zh-CN"/>
              </w:rPr>
              <w:t>学习教育平台主要包括在线学习、在线考试、在线练习功能，支持后台管理功能和可选的功能模块。党员可实现在线学习、学习记录查询、学习进度查询，管理员可在线设置题库，实现在线考试功能。管理员可批改试卷，对考试成绩进行综合查询，用户可以自由组合查询，同时系统提供导入成绩功能，用户可以对某个考生进行查看考卷信息、打印成绩单、针对不同的知识点分析考试成绩结果。提供成绩归档功能。</w:t>
            </w:r>
          </w:p>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支持互动平台：</w:t>
            </w:r>
            <w:r>
              <w:rPr>
                <w:rFonts w:hint="eastAsia" w:ascii="宋体" w:hAnsi="宋体" w:eastAsia="宋体"/>
                <w:color w:val="auto"/>
                <w:sz w:val="24"/>
                <w:highlight w:val="none"/>
                <w:lang w:eastAsia="zh-CN"/>
              </w:rPr>
              <w:t>掌上处理文件、查找党员通讯录、活动全过程管理。基于手机端就可以完成，随时随地开展工作，查看信息。</w:t>
            </w:r>
          </w:p>
          <w:p>
            <w:pPr>
              <w:pStyle w:val="201"/>
              <w:numPr>
                <w:ilvl w:val="0"/>
                <w:numId w:val="9"/>
              </w:numPr>
              <w:spacing w:before="0" w:line="360" w:lineRule="auto"/>
              <w:ind w:left="368"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支持党员服务：</w:t>
            </w:r>
            <w:r>
              <w:rPr>
                <w:rFonts w:hint="eastAsia" w:ascii="宋体" w:hAnsi="宋体" w:eastAsia="宋体"/>
                <w:color w:val="auto"/>
                <w:sz w:val="24"/>
                <w:highlight w:val="none"/>
                <w:lang w:eastAsia="zh-CN"/>
              </w:rPr>
              <w:t>提供线上档案管理、党费缴纳、组织地图功能。有效为群众提供反馈问题的渠道，支持向党组织积极反馈问题，后台进行统一回复，公开问题解决流程。</w:t>
            </w:r>
          </w:p>
        </w:tc>
      </w:tr>
    </w:tbl>
    <w:p>
      <w:pPr>
        <w:spacing w:line="360" w:lineRule="auto"/>
        <w:ind w:firstLine="480" w:firstLineChars="200"/>
        <w:rPr>
          <w:rFonts w:ascii="宋体" w:hAnsi="宋体"/>
          <w:color w:val="auto"/>
          <w:sz w:val="24"/>
          <w:highlight w:val="none"/>
        </w:rPr>
      </w:pPr>
    </w:p>
    <w:p>
      <w:pPr>
        <w:pStyle w:val="7"/>
        <w:numPr>
          <w:ilvl w:val="4"/>
          <w:numId w:val="8"/>
        </w:numPr>
        <w:rPr>
          <w:rFonts w:ascii="宋体" w:hAnsi="宋体"/>
          <w:color w:val="auto"/>
          <w:szCs w:val="24"/>
          <w:highlight w:val="none"/>
        </w:rPr>
      </w:pPr>
      <w:bookmarkStart w:id="666" w:name="_Toc21485"/>
      <w:r>
        <w:rPr>
          <w:rFonts w:hint="eastAsia" w:ascii="宋体" w:hAnsi="宋体"/>
          <w:color w:val="auto"/>
          <w:szCs w:val="24"/>
          <w:highlight w:val="none"/>
        </w:rPr>
        <w:t>IT运维管理系统</w:t>
      </w:r>
      <w:bookmarkEnd w:id="666"/>
    </w:p>
    <w:p>
      <w:pPr>
        <w:adjustRightInd w:val="0"/>
        <w:spacing w:line="480" w:lineRule="atLeast"/>
        <w:ind w:firstLine="567"/>
        <w:textAlignment w:val="baseline"/>
        <w:rPr>
          <w:rFonts w:ascii="宋体" w:hAnsi="宋体"/>
          <w:color w:val="auto"/>
          <w:kern w:val="0"/>
          <w:sz w:val="24"/>
          <w:highlight w:val="none"/>
        </w:rPr>
      </w:pPr>
      <w:r>
        <w:rPr>
          <w:rFonts w:hint="eastAsia" w:ascii="宋体" w:hAnsi="宋体"/>
          <w:color w:val="auto"/>
          <w:kern w:val="0"/>
          <w:sz w:val="24"/>
          <w:highlight w:val="none"/>
        </w:rPr>
        <w:t>建立IT运维管理系统的首要目的是将日常运维工作流程全部电子化，包括电子化工单管理和线上监控等，临床科室和其他职能科室人员可以通过一个入口进行报修，同时工单处理进度能及时反馈给报修人员，使处理过程更加透明，可以追溯和统计各种运维数据。此外，IT运维管理系统还应兼备医院信息化建设项目管理功能。</w:t>
      </w:r>
    </w:p>
    <w:p>
      <w:pPr>
        <w:adjustRightInd w:val="0"/>
        <w:spacing w:line="480" w:lineRule="atLeast"/>
        <w:ind w:firstLine="567"/>
        <w:textAlignment w:val="baseline"/>
        <w:rPr>
          <w:rFonts w:ascii="宋体" w:hAnsi="宋体"/>
          <w:color w:val="auto"/>
          <w:kern w:val="0"/>
          <w:sz w:val="24"/>
          <w:highlight w:val="none"/>
        </w:rPr>
      </w:pPr>
      <w:r>
        <w:rPr>
          <w:rFonts w:hint="eastAsia" w:ascii="宋体" w:hAnsi="宋体"/>
          <w:color w:val="auto"/>
          <w:kern w:val="0"/>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89"/>
        <w:gridCol w:w="69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trPr>
        <w:tc>
          <w:tcPr>
            <w:tcW w:w="2089"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功能模块</w:t>
            </w:r>
          </w:p>
        </w:tc>
        <w:tc>
          <w:tcPr>
            <w:tcW w:w="6978"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2089" w:type="dxa"/>
            <w:vAlign w:val="center"/>
          </w:tcPr>
          <w:p>
            <w:pPr>
              <w:jc w:val="center"/>
              <w:textAlignment w:val="center"/>
              <w:rPr>
                <w:rFonts w:ascii="宋体" w:hAnsi="宋体" w:cs="仿宋"/>
                <w:b/>
                <w:color w:val="auto"/>
                <w:sz w:val="24"/>
                <w:highlight w:val="none"/>
                <w:lang w:val="zh-CN" w:bidi="zh-CN"/>
              </w:rPr>
            </w:pPr>
            <w:r>
              <w:rPr>
                <w:rFonts w:hint="eastAsia" w:ascii="宋体" w:hAnsi="宋体" w:cs="仿宋"/>
                <w:b/>
                <w:bCs/>
                <w:color w:val="auto"/>
                <w:sz w:val="24"/>
                <w:highlight w:val="none"/>
                <w:lang w:bidi="ar"/>
              </w:rPr>
              <w:t>运维管理</w:t>
            </w:r>
          </w:p>
        </w:tc>
        <w:tc>
          <w:tcPr>
            <w:tcW w:w="6978" w:type="dxa"/>
            <w:vAlign w:val="center"/>
          </w:tcPr>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支持IT运维服务台人员一站式受理IT服务请求。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2089" w:type="dxa"/>
            <w:vAlign w:val="center"/>
          </w:tcPr>
          <w:p>
            <w:pPr>
              <w:jc w:val="center"/>
              <w:textAlignment w:val="center"/>
              <w:rPr>
                <w:rFonts w:ascii="宋体" w:hAnsi="宋体" w:cs="仿宋"/>
                <w:b/>
                <w:color w:val="auto"/>
                <w:sz w:val="24"/>
                <w:highlight w:val="none"/>
                <w:lang w:val="zh-CN" w:bidi="zh-CN"/>
              </w:rPr>
            </w:pPr>
            <w:r>
              <w:rPr>
                <w:rFonts w:hint="eastAsia" w:ascii="宋体" w:hAnsi="宋体" w:cs="仿宋"/>
                <w:b/>
                <w:bCs/>
                <w:color w:val="auto"/>
                <w:sz w:val="24"/>
                <w:highlight w:val="none"/>
                <w:lang w:bidi="ar"/>
              </w:rPr>
              <w:t>支持多渠道报修</w:t>
            </w:r>
          </w:p>
        </w:tc>
        <w:tc>
          <w:tcPr>
            <w:tcW w:w="6978" w:type="dxa"/>
            <w:vAlign w:val="center"/>
          </w:tcPr>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color w:val="auto"/>
                <w:sz w:val="24"/>
                <w:highlight w:val="none"/>
                <w:lang w:eastAsia="zh-CN"/>
              </w:rPr>
              <w:t>支持</w:t>
            </w:r>
            <w:r>
              <w:rPr>
                <w:rFonts w:hint="eastAsia" w:ascii="宋体" w:hAnsi="宋体" w:eastAsia="宋体"/>
                <w:bCs/>
                <w:color w:val="auto"/>
                <w:sz w:val="24"/>
                <w:highlight w:val="none"/>
                <w:lang w:eastAsia="zh-CN"/>
              </w:rPr>
              <w:t>微信、固定电话、手机、邮件、各种报修全部进入工单管理。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2089" w:type="dxa"/>
            <w:vAlign w:val="center"/>
          </w:tcPr>
          <w:p>
            <w:pPr>
              <w:jc w:val="center"/>
              <w:textAlignment w:val="center"/>
              <w:rPr>
                <w:rFonts w:ascii="宋体" w:hAnsi="宋体" w:cs="仿宋"/>
                <w:b/>
                <w:color w:val="auto"/>
                <w:sz w:val="24"/>
                <w:highlight w:val="none"/>
                <w:lang w:val="zh-CN" w:bidi="zh-CN"/>
              </w:rPr>
            </w:pPr>
            <w:r>
              <w:rPr>
                <w:rFonts w:hint="eastAsia" w:ascii="宋体" w:hAnsi="宋体" w:cs="仿宋"/>
                <w:b/>
                <w:bCs/>
                <w:color w:val="auto"/>
                <w:sz w:val="24"/>
                <w:highlight w:val="none"/>
                <w:lang w:bidi="ar"/>
              </w:rPr>
              <w:t>智能来电响应</w:t>
            </w:r>
          </w:p>
        </w:tc>
        <w:tc>
          <w:tcPr>
            <w:tcW w:w="6978" w:type="dxa"/>
            <w:vAlign w:val="center"/>
          </w:tcPr>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支持来电铃声响，系统自动弹屏；能够自动获取科室信息，关联历史工单；可以新报任务一键建单，常见问题一键填单，重复报修一键关联。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 w:hRule="atLeast"/>
        </w:trPr>
        <w:tc>
          <w:tcPr>
            <w:tcW w:w="2089" w:type="dxa"/>
            <w:vAlign w:val="center"/>
          </w:tcPr>
          <w:p>
            <w:pPr>
              <w:jc w:val="center"/>
              <w:textAlignment w:val="center"/>
              <w:rPr>
                <w:rFonts w:ascii="宋体" w:hAnsi="宋体" w:cs="仿宋"/>
                <w:b/>
                <w:color w:val="auto"/>
                <w:sz w:val="24"/>
                <w:highlight w:val="none"/>
                <w:lang w:val="zh-CN" w:bidi="zh-CN"/>
              </w:rPr>
            </w:pPr>
            <w:r>
              <w:rPr>
                <w:rFonts w:hint="eastAsia" w:ascii="宋体" w:hAnsi="宋体" w:cs="仿宋"/>
                <w:b/>
                <w:bCs/>
                <w:color w:val="auto"/>
                <w:sz w:val="24"/>
                <w:highlight w:val="none"/>
                <w:lang w:bidi="ar"/>
              </w:rPr>
              <w:t>通话自动记录</w:t>
            </w:r>
          </w:p>
        </w:tc>
        <w:tc>
          <w:tcPr>
            <w:tcW w:w="6978" w:type="dxa"/>
            <w:vAlign w:val="center"/>
          </w:tcPr>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支持电话自动记录，自动电话录音。录音文件自动上传服务器，永久保存；接单人员可直接调取原始通话录音。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2089" w:type="dxa"/>
            <w:vAlign w:val="center"/>
          </w:tcPr>
          <w:p>
            <w:pPr>
              <w:jc w:val="center"/>
              <w:textAlignment w:val="center"/>
              <w:rPr>
                <w:rFonts w:ascii="宋体" w:hAnsi="宋体" w:cs="仿宋"/>
                <w:b/>
                <w:color w:val="auto"/>
                <w:sz w:val="24"/>
                <w:highlight w:val="none"/>
                <w:lang w:val="zh-CN" w:bidi="zh-CN"/>
              </w:rPr>
            </w:pPr>
            <w:r>
              <w:rPr>
                <w:rFonts w:hint="eastAsia" w:ascii="宋体" w:hAnsi="宋体" w:cs="仿宋"/>
                <w:b/>
                <w:bCs/>
                <w:color w:val="auto"/>
                <w:sz w:val="24"/>
                <w:highlight w:val="none"/>
                <w:lang w:bidi="ar"/>
              </w:rPr>
              <w:t>IT运维日报</w:t>
            </w:r>
          </w:p>
        </w:tc>
        <w:tc>
          <w:tcPr>
            <w:tcW w:w="6978" w:type="dxa"/>
            <w:vAlign w:val="center"/>
          </w:tcPr>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支持每天定时自动发送运维日报，方便掌握科室服务情况。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2089" w:type="dxa"/>
            <w:vAlign w:val="center"/>
          </w:tcPr>
          <w:p>
            <w:pPr>
              <w:jc w:val="center"/>
              <w:textAlignment w:val="center"/>
              <w:rPr>
                <w:rFonts w:ascii="宋体" w:hAnsi="宋体" w:cs="仿宋"/>
                <w:b/>
                <w:color w:val="auto"/>
                <w:sz w:val="24"/>
                <w:highlight w:val="none"/>
                <w:lang w:val="zh-CN" w:bidi="zh-CN"/>
              </w:rPr>
            </w:pPr>
            <w:r>
              <w:rPr>
                <w:rFonts w:hint="eastAsia" w:ascii="宋体" w:hAnsi="宋体" w:cs="仿宋"/>
                <w:b/>
                <w:bCs/>
                <w:color w:val="auto"/>
                <w:sz w:val="24"/>
                <w:highlight w:val="none"/>
                <w:lang w:bidi="ar"/>
              </w:rPr>
              <w:t>工单管理</w:t>
            </w:r>
          </w:p>
        </w:tc>
        <w:tc>
          <w:tcPr>
            <w:tcW w:w="6978" w:type="dxa"/>
            <w:vAlign w:val="center"/>
          </w:tcPr>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支持根据来电快速建单。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2089" w:type="dxa"/>
            <w:vAlign w:val="center"/>
          </w:tcPr>
          <w:p>
            <w:pPr>
              <w:jc w:val="center"/>
              <w:textAlignment w:val="center"/>
              <w:rPr>
                <w:rFonts w:ascii="宋体" w:hAnsi="宋体" w:cs="仿宋"/>
                <w:b/>
                <w:color w:val="auto"/>
                <w:sz w:val="24"/>
                <w:highlight w:val="none"/>
                <w:lang w:val="zh-CN" w:bidi="zh-CN"/>
              </w:rPr>
            </w:pPr>
            <w:r>
              <w:rPr>
                <w:rFonts w:hint="eastAsia" w:ascii="宋体" w:hAnsi="宋体" w:cs="仿宋"/>
                <w:b/>
                <w:bCs/>
                <w:color w:val="auto"/>
                <w:sz w:val="24"/>
                <w:highlight w:val="none"/>
                <w:lang w:bidi="ar"/>
              </w:rPr>
              <w:t>工单查询</w:t>
            </w:r>
          </w:p>
        </w:tc>
        <w:tc>
          <w:tcPr>
            <w:tcW w:w="6978" w:type="dxa"/>
            <w:vAlign w:val="center"/>
          </w:tcPr>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color w:val="auto"/>
                <w:sz w:val="24"/>
                <w:highlight w:val="none"/>
                <w:lang w:eastAsia="zh-CN"/>
              </w:rPr>
              <w:t>支持</w:t>
            </w:r>
            <w:r>
              <w:rPr>
                <w:rFonts w:hint="eastAsia" w:ascii="宋体" w:hAnsi="宋体" w:eastAsia="宋体"/>
                <w:bCs/>
                <w:color w:val="auto"/>
                <w:sz w:val="24"/>
                <w:highlight w:val="none"/>
                <w:lang w:eastAsia="zh-CN"/>
              </w:rPr>
              <w:t>工单记录服务全过程，所有事件即可清晰追踪，回溯查询。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2089" w:type="dxa"/>
            <w:vAlign w:val="center"/>
          </w:tcPr>
          <w:p>
            <w:pPr>
              <w:jc w:val="center"/>
              <w:textAlignment w:val="center"/>
              <w:rPr>
                <w:rFonts w:ascii="宋体" w:hAnsi="宋体" w:cs="仿宋"/>
                <w:b/>
                <w:color w:val="auto"/>
                <w:sz w:val="24"/>
                <w:highlight w:val="none"/>
                <w:lang w:val="zh-CN" w:bidi="zh-CN"/>
              </w:rPr>
            </w:pPr>
            <w:r>
              <w:rPr>
                <w:rFonts w:hint="eastAsia" w:ascii="宋体" w:hAnsi="宋体" w:cs="仿宋"/>
                <w:b/>
                <w:bCs/>
                <w:color w:val="auto"/>
                <w:sz w:val="24"/>
                <w:highlight w:val="none"/>
                <w:lang w:bidi="ar"/>
              </w:rPr>
              <w:t>工单评价</w:t>
            </w:r>
          </w:p>
        </w:tc>
        <w:tc>
          <w:tcPr>
            <w:tcW w:w="6978" w:type="dxa"/>
            <w:vAlign w:val="center"/>
          </w:tcPr>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color w:val="auto"/>
                <w:sz w:val="24"/>
                <w:highlight w:val="none"/>
                <w:lang w:eastAsia="zh-CN"/>
              </w:rPr>
              <w:t>支持</w:t>
            </w:r>
            <w:r>
              <w:rPr>
                <w:rFonts w:hint="eastAsia" w:ascii="宋体" w:hAnsi="宋体" w:eastAsia="宋体"/>
                <w:bCs/>
                <w:color w:val="auto"/>
                <w:sz w:val="24"/>
                <w:highlight w:val="none"/>
                <w:lang w:eastAsia="zh-CN"/>
              </w:rPr>
              <w:t>工单处理完成，会自动推送给报修人进行评价，包括服务态度、技术水平、响应时效等多维度评价；三天未评，系统自动好评。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2089" w:type="dxa"/>
            <w:vAlign w:val="center"/>
          </w:tcPr>
          <w:p>
            <w:pPr>
              <w:jc w:val="center"/>
              <w:textAlignment w:val="center"/>
              <w:rPr>
                <w:rFonts w:ascii="宋体" w:hAnsi="宋体" w:cs="仿宋"/>
                <w:b/>
                <w:color w:val="auto"/>
                <w:sz w:val="24"/>
                <w:highlight w:val="none"/>
                <w:lang w:val="zh-CN" w:bidi="zh-CN"/>
              </w:rPr>
            </w:pPr>
            <w:r>
              <w:rPr>
                <w:rFonts w:hint="eastAsia" w:ascii="宋体" w:hAnsi="宋体" w:cs="仿宋"/>
                <w:b/>
                <w:bCs/>
                <w:color w:val="auto"/>
                <w:sz w:val="24"/>
                <w:highlight w:val="none"/>
                <w:lang w:bidi="ar"/>
              </w:rPr>
              <w:t>项目管理</w:t>
            </w:r>
          </w:p>
        </w:tc>
        <w:tc>
          <w:tcPr>
            <w:tcW w:w="6978" w:type="dxa"/>
            <w:vAlign w:val="center"/>
          </w:tcPr>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支持对项目建设过程全进度控制，能够当前项目的WBS任务分解、需求记录、Bug跟踪、项目文档库、项目会议管理等。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2089" w:type="dxa"/>
            <w:vAlign w:val="center"/>
          </w:tcPr>
          <w:p>
            <w:pPr>
              <w:jc w:val="center"/>
              <w:textAlignment w:val="center"/>
              <w:rPr>
                <w:rFonts w:ascii="宋体" w:hAnsi="宋体" w:cs="仿宋"/>
                <w:b/>
                <w:color w:val="auto"/>
                <w:sz w:val="24"/>
                <w:highlight w:val="none"/>
                <w:lang w:val="zh-CN" w:bidi="zh-CN"/>
              </w:rPr>
            </w:pPr>
            <w:r>
              <w:rPr>
                <w:rFonts w:hint="eastAsia" w:ascii="宋体" w:hAnsi="宋体" w:cs="仿宋"/>
                <w:b/>
                <w:bCs/>
                <w:color w:val="auto"/>
                <w:sz w:val="24"/>
                <w:highlight w:val="none"/>
                <w:lang w:bidi="ar"/>
              </w:rPr>
              <w:t>巡检管理</w:t>
            </w:r>
          </w:p>
        </w:tc>
        <w:tc>
          <w:tcPr>
            <w:tcW w:w="6978" w:type="dxa"/>
            <w:vAlign w:val="center"/>
          </w:tcPr>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支持IT运维巡检内容记录，自动生成巡检二维码。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2089" w:type="dxa"/>
            <w:vAlign w:val="center"/>
          </w:tcPr>
          <w:p>
            <w:pPr>
              <w:jc w:val="center"/>
              <w:textAlignment w:val="center"/>
              <w:rPr>
                <w:rFonts w:ascii="宋体" w:hAnsi="宋体" w:cs="仿宋"/>
                <w:b/>
                <w:color w:val="auto"/>
                <w:sz w:val="24"/>
                <w:highlight w:val="none"/>
                <w:lang w:val="zh-CN" w:bidi="zh-CN"/>
              </w:rPr>
            </w:pPr>
            <w:r>
              <w:rPr>
                <w:rFonts w:hint="eastAsia" w:ascii="宋体" w:hAnsi="宋体" w:cs="仿宋"/>
                <w:b/>
                <w:bCs/>
                <w:color w:val="auto"/>
                <w:sz w:val="24"/>
                <w:highlight w:val="none"/>
                <w:lang w:bidi="ar"/>
              </w:rPr>
              <w:t>手机扫描巡检</w:t>
            </w:r>
          </w:p>
        </w:tc>
        <w:tc>
          <w:tcPr>
            <w:tcW w:w="6978" w:type="dxa"/>
            <w:vAlign w:val="center"/>
          </w:tcPr>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支持工程师现场通过手机“扫描条码+现场拍照”方式进行巡检。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2089" w:type="dxa"/>
            <w:vAlign w:val="center"/>
          </w:tcPr>
          <w:p>
            <w:pPr>
              <w:jc w:val="center"/>
              <w:textAlignment w:val="center"/>
              <w:rPr>
                <w:rFonts w:ascii="宋体" w:hAnsi="宋体" w:cs="仿宋"/>
                <w:b/>
                <w:color w:val="auto"/>
                <w:sz w:val="24"/>
                <w:highlight w:val="none"/>
                <w:lang w:val="zh-CN" w:bidi="zh-CN"/>
              </w:rPr>
            </w:pPr>
            <w:r>
              <w:rPr>
                <w:rFonts w:hint="eastAsia" w:ascii="宋体" w:hAnsi="宋体" w:cs="仿宋"/>
                <w:b/>
                <w:bCs/>
                <w:color w:val="auto"/>
                <w:sz w:val="24"/>
                <w:highlight w:val="none"/>
                <w:lang w:bidi="ar"/>
              </w:rPr>
              <w:t>巡检项目设置</w:t>
            </w:r>
          </w:p>
        </w:tc>
        <w:tc>
          <w:tcPr>
            <w:tcW w:w="6978" w:type="dxa"/>
            <w:vAlign w:val="center"/>
          </w:tcPr>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color w:val="auto"/>
                <w:sz w:val="24"/>
                <w:highlight w:val="none"/>
                <w:lang w:eastAsia="zh-CN"/>
              </w:rPr>
              <w:t>支持</w:t>
            </w:r>
            <w:r>
              <w:rPr>
                <w:rFonts w:hint="eastAsia" w:ascii="宋体" w:hAnsi="宋体" w:eastAsia="宋体"/>
                <w:bCs/>
                <w:color w:val="auto"/>
                <w:sz w:val="24"/>
                <w:highlight w:val="none"/>
                <w:lang w:eastAsia="zh-CN"/>
              </w:rPr>
              <w:t>针对不同的设备，设置不同的巡检内容；支持巡检周期和巡检项可配置，到期自动提醒。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2089" w:type="dxa"/>
            <w:vAlign w:val="center"/>
          </w:tcPr>
          <w:p>
            <w:pPr>
              <w:jc w:val="center"/>
              <w:textAlignment w:val="center"/>
              <w:rPr>
                <w:rFonts w:ascii="宋体" w:hAnsi="宋体" w:cs="仿宋"/>
                <w:b/>
                <w:color w:val="auto"/>
                <w:sz w:val="24"/>
                <w:highlight w:val="none"/>
                <w:lang w:val="zh-CN" w:bidi="zh-CN"/>
              </w:rPr>
            </w:pPr>
            <w:r>
              <w:rPr>
                <w:rFonts w:hint="eastAsia" w:ascii="宋体" w:hAnsi="宋体" w:cs="仿宋"/>
                <w:b/>
                <w:bCs/>
                <w:color w:val="auto"/>
                <w:sz w:val="24"/>
                <w:highlight w:val="none"/>
                <w:lang w:bidi="ar"/>
              </w:rPr>
              <w:t>综合管理</w:t>
            </w:r>
          </w:p>
        </w:tc>
        <w:tc>
          <w:tcPr>
            <w:tcW w:w="6978" w:type="dxa"/>
            <w:vAlign w:val="center"/>
          </w:tcPr>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支持信息部门日常综合管理功能，包括工作计划、排班表、科室会议管理、工作日志、满意度调查、值班管理等。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2089" w:type="dxa"/>
            <w:vAlign w:val="center"/>
          </w:tcPr>
          <w:p>
            <w:pPr>
              <w:jc w:val="center"/>
              <w:textAlignment w:val="center"/>
              <w:rPr>
                <w:rFonts w:ascii="宋体" w:hAnsi="宋体" w:cs="仿宋"/>
                <w:b/>
                <w:color w:val="auto"/>
                <w:sz w:val="24"/>
                <w:highlight w:val="none"/>
                <w:lang w:val="zh-CN" w:bidi="zh-CN"/>
              </w:rPr>
            </w:pPr>
            <w:r>
              <w:rPr>
                <w:rFonts w:hint="eastAsia" w:ascii="宋体" w:hAnsi="宋体" w:cs="仿宋"/>
                <w:b/>
                <w:bCs/>
                <w:color w:val="auto"/>
                <w:sz w:val="24"/>
                <w:highlight w:val="none"/>
                <w:lang w:bidi="ar"/>
              </w:rPr>
              <w:t>合同管理</w:t>
            </w:r>
          </w:p>
        </w:tc>
        <w:tc>
          <w:tcPr>
            <w:tcW w:w="6978" w:type="dxa"/>
            <w:vAlign w:val="center"/>
          </w:tcPr>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支持信息化项目合同管理，包括供应厂商、合同项目、合同资金、合同进度、合同附件、合同查询等。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2089" w:type="dxa"/>
            <w:vAlign w:val="center"/>
          </w:tcPr>
          <w:p>
            <w:pPr>
              <w:jc w:val="center"/>
              <w:textAlignment w:val="center"/>
              <w:rPr>
                <w:rFonts w:ascii="宋体" w:hAnsi="宋体" w:cs="仿宋"/>
                <w:b/>
                <w:color w:val="auto"/>
                <w:sz w:val="24"/>
                <w:highlight w:val="none"/>
                <w:lang w:val="zh-CN" w:bidi="zh-CN"/>
              </w:rPr>
            </w:pPr>
            <w:r>
              <w:rPr>
                <w:rFonts w:hint="eastAsia" w:ascii="宋体" w:hAnsi="宋体" w:cs="仿宋"/>
                <w:b/>
                <w:bCs/>
                <w:color w:val="auto"/>
                <w:sz w:val="24"/>
                <w:highlight w:val="none"/>
                <w:lang w:bidi="ar"/>
              </w:rPr>
              <w:t>知识文档</w:t>
            </w:r>
          </w:p>
        </w:tc>
        <w:tc>
          <w:tcPr>
            <w:tcW w:w="6978" w:type="dxa"/>
            <w:vAlign w:val="center"/>
          </w:tcPr>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color w:val="auto"/>
                <w:sz w:val="24"/>
                <w:highlight w:val="none"/>
                <w:lang w:eastAsia="zh-CN"/>
              </w:rPr>
              <w:t>支持</w:t>
            </w:r>
            <w:r>
              <w:rPr>
                <w:rFonts w:hint="eastAsia" w:ascii="宋体" w:hAnsi="宋体" w:eastAsia="宋体"/>
                <w:bCs/>
                <w:color w:val="auto"/>
                <w:sz w:val="24"/>
                <w:highlight w:val="none"/>
                <w:lang w:eastAsia="zh-CN"/>
              </w:rPr>
              <w:t>提供IT运维知识文档管理；支持知识库建设，包括知识添加、知识分类、知识检索等。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2089" w:type="dxa"/>
            <w:vAlign w:val="center"/>
          </w:tcPr>
          <w:p>
            <w:pPr>
              <w:jc w:val="center"/>
              <w:textAlignment w:val="center"/>
              <w:rPr>
                <w:rFonts w:ascii="宋体" w:hAnsi="宋体" w:cs="仿宋"/>
                <w:b/>
                <w:color w:val="auto"/>
                <w:sz w:val="24"/>
                <w:highlight w:val="none"/>
                <w:lang w:val="zh-CN" w:bidi="zh-CN"/>
              </w:rPr>
            </w:pPr>
            <w:r>
              <w:rPr>
                <w:rFonts w:hint="eastAsia" w:ascii="宋体" w:hAnsi="宋体" w:cs="仿宋"/>
                <w:b/>
                <w:bCs/>
                <w:color w:val="auto"/>
                <w:sz w:val="24"/>
                <w:highlight w:val="none"/>
                <w:lang w:bidi="ar"/>
              </w:rPr>
              <w:t>统计分析</w:t>
            </w:r>
          </w:p>
        </w:tc>
        <w:tc>
          <w:tcPr>
            <w:tcW w:w="6978" w:type="dxa"/>
            <w:vAlign w:val="center"/>
          </w:tcPr>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支持科室任务完成情况分析。</w:t>
            </w:r>
          </w:p>
        </w:tc>
      </w:tr>
    </w:tbl>
    <w:p>
      <w:pPr>
        <w:adjustRightInd w:val="0"/>
        <w:spacing w:line="480" w:lineRule="atLeast"/>
        <w:ind w:firstLine="567"/>
        <w:textAlignment w:val="baseline"/>
        <w:rPr>
          <w:rFonts w:ascii="宋体" w:hAnsi="宋体"/>
          <w:color w:val="auto"/>
          <w:kern w:val="0"/>
          <w:sz w:val="24"/>
          <w:highlight w:val="none"/>
        </w:rPr>
      </w:pPr>
    </w:p>
    <w:p>
      <w:pPr>
        <w:pStyle w:val="7"/>
        <w:numPr>
          <w:ilvl w:val="4"/>
          <w:numId w:val="8"/>
        </w:numPr>
        <w:rPr>
          <w:rFonts w:ascii="宋体" w:hAnsi="宋体"/>
          <w:color w:val="auto"/>
          <w:szCs w:val="24"/>
          <w:highlight w:val="none"/>
        </w:rPr>
      </w:pPr>
      <w:bookmarkStart w:id="667" w:name="_Toc11325"/>
      <w:r>
        <w:rPr>
          <w:rFonts w:hint="eastAsia" w:ascii="宋体" w:hAnsi="宋体"/>
          <w:color w:val="auto"/>
          <w:szCs w:val="24"/>
          <w:highlight w:val="none"/>
        </w:rPr>
        <w:t>医学装备管理系统</w:t>
      </w:r>
      <w:bookmarkEnd w:id="667"/>
    </w:p>
    <w:p>
      <w:pPr>
        <w:pStyle w:val="8"/>
        <w:ind w:firstLine="480"/>
        <w:rPr>
          <w:rFonts w:ascii="宋体" w:hAnsi="宋体"/>
          <w:color w:val="auto"/>
          <w:szCs w:val="24"/>
          <w:highlight w:val="none"/>
        </w:rPr>
      </w:pPr>
      <w:r>
        <w:rPr>
          <w:rFonts w:hint="eastAsia" w:ascii="宋体" w:hAnsi="宋体"/>
          <w:color w:val="auto"/>
          <w:szCs w:val="24"/>
          <w:highlight w:val="none"/>
        </w:rPr>
        <w:t>医学装备管理系统需满足以下功能要求：</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89"/>
        <w:gridCol w:w="69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089"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功能模块</w:t>
            </w:r>
          </w:p>
        </w:tc>
        <w:tc>
          <w:tcPr>
            <w:tcW w:w="6978"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trPr>
        <w:tc>
          <w:tcPr>
            <w:tcW w:w="2089" w:type="dxa"/>
            <w:vAlign w:val="center"/>
          </w:tcPr>
          <w:p>
            <w:pPr>
              <w:autoSpaceDE w:val="0"/>
              <w:autoSpaceDN w:val="0"/>
              <w:spacing w:before="167"/>
              <w:ind w:right="-4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首页</w:t>
            </w:r>
          </w:p>
        </w:tc>
        <w:tc>
          <w:tcPr>
            <w:tcW w:w="6978" w:type="dxa"/>
            <w:vAlign w:val="center"/>
          </w:tcPr>
          <w:p>
            <w:pPr>
              <w:pStyle w:val="201"/>
              <w:numPr>
                <w:ilvl w:val="0"/>
                <w:numId w:val="9"/>
              </w:numPr>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color w:val="auto"/>
                <w:sz w:val="24"/>
                <w:highlight w:val="none"/>
                <w:lang w:eastAsia="zh-CN"/>
              </w:rPr>
              <w:t>支持</w:t>
            </w:r>
            <w:r>
              <w:rPr>
                <w:rFonts w:hint="eastAsia" w:ascii="宋体" w:hAnsi="宋体" w:eastAsia="宋体"/>
                <w:bCs/>
                <w:color w:val="auto"/>
                <w:sz w:val="24"/>
                <w:highlight w:val="none"/>
                <w:lang w:eastAsia="zh-CN"/>
              </w:rPr>
              <w:t>全院设备数据展示：展示全院设备管理概况，以柱状图、饼图、折现图等图表直观展示设备各种状态信息、及全院设备分布情况、各科室设备使用情况等。</w:t>
            </w:r>
          </w:p>
          <w:p>
            <w:pPr>
              <w:pStyle w:val="201"/>
              <w:numPr>
                <w:ilvl w:val="0"/>
                <w:numId w:val="9"/>
              </w:numPr>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color w:val="auto"/>
                <w:sz w:val="24"/>
                <w:highlight w:val="none"/>
                <w:lang w:eastAsia="zh-CN"/>
              </w:rPr>
              <w:t>支持</w:t>
            </w:r>
            <w:r>
              <w:rPr>
                <w:rFonts w:hint="eastAsia" w:ascii="宋体" w:hAnsi="宋体" w:eastAsia="宋体"/>
                <w:bCs/>
                <w:color w:val="auto"/>
                <w:sz w:val="24"/>
                <w:highlight w:val="none"/>
                <w:lang w:eastAsia="zh-CN"/>
              </w:rPr>
              <w:t>待办流程分类展示：当前用户下的待办事项数量，点击可直接跳转到对应待办事项处理操作界面。</w:t>
            </w:r>
          </w:p>
          <w:p>
            <w:pPr>
              <w:pStyle w:val="201"/>
              <w:numPr>
                <w:ilvl w:val="0"/>
                <w:numId w:val="9"/>
              </w:numPr>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color w:val="auto"/>
                <w:sz w:val="24"/>
                <w:highlight w:val="none"/>
                <w:lang w:eastAsia="zh-CN"/>
              </w:rPr>
              <w:t>支持</w:t>
            </w:r>
            <w:r>
              <w:rPr>
                <w:rFonts w:hint="eastAsia" w:ascii="宋体" w:hAnsi="宋体" w:eastAsia="宋体"/>
                <w:bCs/>
                <w:color w:val="auto"/>
                <w:sz w:val="24"/>
                <w:highlight w:val="none"/>
                <w:lang w:eastAsia="zh-CN"/>
              </w:rPr>
              <w:t>常用插件下载：展示常用插件及软件下载链接，点击可以直接下载进行安装。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089" w:type="dxa"/>
            <w:vAlign w:val="center"/>
          </w:tcPr>
          <w:p>
            <w:pPr>
              <w:autoSpaceDE w:val="0"/>
              <w:autoSpaceDN w:val="0"/>
              <w:spacing w:before="9"/>
              <w:ind w:right="-4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设备采购</w:t>
            </w:r>
          </w:p>
        </w:tc>
        <w:tc>
          <w:tcPr>
            <w:tcW w:w="6978" w:type="dxa"/>
            <w:vAlign w:val="center"/>
          </w:tcPr>
          <w:p>
            <w:pPr>
              <w:pStyle w:val="201"/>
              <w:numPr>
                <w:ilvl w:val="0"/>
                <w:numId w:val="9"/>
              </w:numPr>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color w:val="auto"/>
                <w:sz w:val="24"/>
                <w:highlight w:val="none"/>
                <w:lang w:eastAsia="zh-CN"/>
              </w:rPr>
              <w:t>支持</w:t>
            </w:r>
            <w:r>
              <w:rPr>
                <w:rFonts w:hint="eastAsia" w:ascii="宋体" w:hAnsi="宋体" w:eastAsia="宋体"/>
                <w:bCs/>
                <w:color w:val="auto"/>
                <w:sz w:val="24"/>
                <w:highlight w:val="none"/>
                <w:lang w:eastAsia="zh-CN"/>
              </w:rPr>
              <w:t>设备预算管理，可对医院各科室年度或临时设备采购预算信息进行维护管理和记录；支持查询各设备采购预算信息的执行情况。</w:t>
            </w:r>
          </w:p>
          <w:p>
            <w:pPr>
              <w:pStyle w:val="201"/>
              <w:numPr>
                <w:ilvl w:val="0"/>
                <w:numId w:val="9"/>
              </w:numPr>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color w:val="auto"/>
                <w:sz w:val="24"/>
                <w:highlight w:val="none"/>
                <w:lang w:eastAsia="zh-CN"/>
              </w:rPr>
              <w:t>支持</w:t>
            </w:r>
            <w:r>
              <w:rPr>
                <w:rFonts w:hint="eastAsia" w:ascii="宋体" w:hAnsi="宋体" w:eastAsia="宋体"/>
                <w:bCs/>
                <w:color w:val="auto"/>
                <w:sz w:val="24"/>
                <w:highlight w:val="none"/>
                <w:lang w:eastAsia="zh-CN"/>
              </w:rPr>
              <w:t>科室临时/年度申购：临床科室通过浏览器在线发起设备临时或年度申购流程，可根据设备字典添加申购设备明细，并支持在线查看设备预览图片，可上传相关的设备参数文件</w:t>
            </w:r>
          </w:p>
          <w:p>
            <w:pPr>
              <w:pStyle w:val="201"/>
              <w:numPr>
                <w:ilvl w:val="0"/>
                <w:numId w:val="9"/>
              </w:numPr>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color w:val="auto"/>
                <w:sz w:val="24"/>
                <w:highlight w:val="none"/>
                <w:lang w:eastAsia="zh-CN"/>
              </w:rPr>
              <w:t>支持</w:t>
            </w:r>
            <w:r>
              <w:rPr>
                <w:rFonts w:hint="eastAsia" w:ascii="宋体" w:hAnsi="宋体" w:eastAsia="宋体"/>
                <w:bCs/>
                <w:color w:val="auto"/>
                <w:sz w:val="24"/>
                <w:highlight w:val="none"/>
                <w:lang w:eastAsia="zh-CN"/>
              </w:rPr>
              <w:t>科室申购审批</w:t>
            </w:r>
            <w:r>
              <w:rPr>
                <w:rFonts w:hint="eastAsia" w:ascii="宋体" w:hAnsi="宋体" w:eastAsia="宋体"/>
                <w:bCs/>
                <w:color w:val="auto"/>
                <w:sz w:val="24"/>
                <w:highlight w:val="none"/>
                <w:lang w:eastAsia="zh-CN"/>
              </w:rPr>
              <w:tab/>
            </w:r>
            <w:r>
              <w:rPr>
                <w:rFonts w:hint="eastAsia" w:ascii="宋体" w:hAnsi="宋体" w:eastAsia="宋体"/>
                <w:bCs/>
                <w:color w:val="auto"/>
                <w:sz w:val="24"/>
                <w:highlight w:val="none"/>
                <w:lang w:eastAsia="zh-CN"/>
              </w:rPr>
              <w:t>设备管理科室可在线对科室申购进行审批，支持自定义设置流程审批节点及审批人，并支持按设备明细审批或按申购单号审批</w:t>
            </w:r>
          </w:p>
          <w:p>
            <w:pPr>
              <w:pStyle w:val="201"/>
              <w:numPr>
                <w:ilvl w:val="0"/>
                <w:numId w:val="9"/>
              </w:numPr>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color w:val="auto"/>
                <w:sz w:val="24"/>
                <w:highlight w:val="none"/>
                <w:lang w:eastAsia="zh-CN"/>
              </w:rPr>
              <w:t>支持</w:t>
            </w:r>
            <w:r>
              <w:rPr>
                <w:rFonts w:hint="eastAsia" w:ascii="宋体" w:hAnsi="宋体" w:eastAsia="宋体"/>
                <w:bCs/>
                <w:color w:val="auto"/>
                <w:sz w:val="24"/>
                <w:highlight w:val="none"/>
                <w:lang w:eastAsia="zh-CN"/>
              </w:rPr>
              <w:t>申购进程查看</w:t>
            </w:r>
            <w:r>
              <w:rPr>
                <w:rFonts w:hint="eastAsia" w:ascii="宋体" w:hAnsi="宋体" w:eastAsia="宋体"/>
                <w:bCs/>
                <w:color w:val="auto"/>
                <w:sz w:val="24"/>
                <w:highlight w:val="none"/>
                <w:lang w:eastAsia="zh-CN"/>
              </w:rPr>
              <w:tab/>
            </w:r>
            <w:r>
              <w:rPr>
                <w:rFonts w:hint="eastAsia" w:ascii="宋体" w:hAnsi="宋体" w:eastAsia="宋体"/>
                <w:bCs/>
                <w:color w:val="auto"/>
                <w:sz w:val="24"/>
                <w:highlight w:val="none"/>
                <w:lang w:eastAsia="zh-CN"/>
              </w:rPr>
              <w:t>临床科室及设备管理人员均可在线查看采购审批进程及审批状态</w:t>
            </w:r>
          </w:p>
          <w:p>
            <w:pPr>
              <w:pStyle w:val="201"/>
              <w:numPr>
                <w:ilvl w:val="0"/>
                <w:numId w:val="9"/>
              </w:numPr>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color w:val="auto"/>
                <w:sz w:val="24"/>
                <w:highlight w:val="none"/>
                <w:lang w:eastAsia="zh-CN"/>
              </w:rPr>
              <w:t>支持</w:t>
            </w:r>
            <w:r>
              <w:rPr>
                <w:rFonts w:hint="eastAsia" w:ascii="宋体" w:hAnsi="宋体" w:eastAsia="宋体"/>
                <w:bCs/>
                <w:color w:val="auto"/>
                <w:sz w:val="24"/>
                <w:highlight w:val="none"/>
                <w:lang w:eastAsia="zh-CN"/>
              </w:rPr>
              <w:t>专家评审</w:t>
            </w:r>
            <w:r>
              <w:rPr>
                <w:rFonts w:hint="eastAsia" w:ascii="宋体" w:hAnsi="宋体" w:eastAsia="宋体"/>
                <w:bCs/>
                <w:color w:val="auto"/>
                <w:sz w:val="24"/>
                <w:highlight w:val="none"/>
                <w:lang w:eastAsia="zh-CN"/>
              </w:rPr>
              <w:tab/>
            </w:r>
            <w:r>
              <w:rPr>
                <w:rFonts w:hint="eastAsia" w:ascii="宋体" w:hAnsi="宋体" w:eastAsia="宋体"/>
                <w:bCs/>
                <w:color w:val="auto"/>
                <w:sz w:val="24"/>
                <w:highlight w:val="none"/>
                <w:lang w:eastAsia="zh-CN"/>
              </w:rPr>
              <w:t>支持对年度重点申购项目进行专家评审记录，记录专家评审过程的人员、参数、购置论证等文档及信息；并支持查询历史专家评审记录，及打印相关参数文档，供政府或医院采购部门进行招标</w:t>
            </w:r>
          </w:p>
          <w:p>
            <w:pPr>
              <w:pStyle w:val="201"/>
              <w:numPr>
                <w:ilvl w:val="0"/>
                <w:numId w:val="9"/>
              </w:numPr>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color w:val="auto"/>
                <w:sz w:val="24"/>
                <w:highlight w:val="none"/>
                <w:lang w:eastAsia="zh-CN"/>
              </w:rPr>
              <w:t>支持</w:t>
            </w:r>
            <w:r>
              <w:rPr>
                <w:rFonts w:hint="eastAsia" w:ascii="宋体" w:hAnsi="宋体" w:eastAsia="宋体"/>
                <w:bCs/>
                <w:color w:val="auto"/>
                <w:sz w:val="24"/>
                <w:highlight w:val="none"/>
                <w:lang w:eastAsia="zh-CN"/>
              </w:rPr>
              <w:t>采购计划管理</w:t>
            </w:r>
            <w:r>
              <w:rPr>
                <w:rFonts w:hint="eastAsia" w:ascii="宋体" w:hAnsi="宋体" w:eastAsia="宋体"/>
                <w:bCs/>
                <w:color w:val="auto"/>
                <w:sz w:val="24"/>
                <w:highlight w:val="none"/>
                <w:lang w:eastAsia="zh-CN"/>
              </w:rPr>
              <w:tab/>
            </w:r>
            <w:r>
              <w:rPr>
                <w:rFonts w:hint="eastAsia" w:ascii="宋体" w:hAnsi="宋体" w:eastAsia="宋体"/>
                <w:bCs/>
                <w:color w:val="auto"/>
                <w:sz w:val="24"/>
                <w:highlight w:val="none"/>
                <w:lang w:eastAsia="zh-CN"/>
              </w:rPr>
              <w:t>可根据科室临时或年度申购情况制定采购计划，并打印采购计划单进行评审和备档；支持采购计划多级审批，支持自定义设置采购计划审批流程审批节点及审批人。</w:t>
            </w:r>
          </w:p>
          <w:p>
            <w:pPr>
              <w:pStyle w:val="201"/>
              <w:numPr>
                <w:ilvl w:val="0"/>
                <w:numId w:val="9"/>
              </w:numPr>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color w:val="auto"/>
                <w:sz w:val="24"/>
                <w:highlight w:val="none"/>
                <w:lang w:eastAsia="zh-CN"/>
              </w:rPr>
              <w:t>支持</w:t>
            </w:r>
            <w:r>
              <w:rPr>
                <w:rFonts w:hint="eastAsia" w:ascii="宋体" w:hAnsi="宋体" w:eastAsia="宋体"/>
                <w:bCs/>
                <w:color w:val="auto"/>
                <w:sz w:val="24"/>
                <w:highlight w:val="none"/>
                <w:lang w:eastAsia="zh-CN"/>
              </w:rPr>
              <w:t>招标记录</w:t>
            </w:r>
            <w:r>
              <w:rPr>
                <w:rFonts w:hint="eastAsia" w:ascii="宋体" w:hAnsi="宋体" w:eastAsia="宋体"/>
                <w:bCs/>
                <w:color w:val="auto"/>
                <w:sz w:val="24"/>
                <w:highlight w:val="none"/>
                <w:lang w:eastAsia="zh-CN"/>
              </w:rPr>
              <w:tab/>
            </w:r>
            <w:r>
              <w:rPr>
                <w:rFonts w:hint="eastAsia" w:ascii="宋体" w:hAnsi="宋体" w:eastAsia="宋体"/>
                <w:bCs/>
                <w:color w:val="auto"/>
                <w:sz w:val="24"/>
                <w:highlight w:val="none"/>
                <w:lang w:eastAsia="zh-CN"/>
              </w:rPr>
              <w:t>可对年度申购设备的招标过程信息进行记录，包括投标厂家的产品参数信息及中标厂家具体信息；支持查询历史招标记录信息，及打印相关招标参数文档，供档案管理部门备档记录。</w:t>
            </w:r>
          </w:p>
          <w:p>
            <w:pPr>
              <w:pStyle w:val="201"/>
              <w:numPr>
                <w:ilvl w:val="0"/>
                <w:numId w:val="9"/>
              </w:numPr>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color w:val="auto"/>
                <w:sz w:val="24"/>
                <w:highlight w:val="none"/>
                <w:lang w:eastAsia="zh-CN"/>
              </w:rPr>
              <w:t>支持</w:t>
            </w:r>
            <w:r>
              <w:rPr>
                <w:rFonts w:hint="eastAsia" w:ascii="宋体" w:hAnsi="宋体" w:eastAsia="宋体"/>
                <w:bCs/>
                <w:color w:val="auto"/>
                <w:sz w:val="24"/>
                <w:highlight w:val="none"/>
                <w:lang w:eastAsia="zh-CN"/>
              </w:rPr>
              <w:t>采购询价</w:t>
            </w:r>
            <w:r>
              <w:rPr>
                <w:rFonts w:hint="eastAsia" w:ascii="宋体" w:hAnsi="宋体" w:eastAsia="宋体"/>
                <w:bCs/>
                <w:color w:val="auto"/>
                <w:sz w:val="24"/>
                <w:highlight w:val="none"/>
                <w:lang w:eastAsia="zh-CN"/>
              </w:rPr>
              <w:tab/>
            </w:r>
            <w:r>
              <w:rPr>
                <w:rFonts w:hint="eastAsia" w:ascii="宋体" w:hAnsi="宋体" w:eastAsia="宋体"/>
                <w:bCs/>
                <w:color w:val="auto"/>
                <w:sz w:val="24"/>
                <w:highlight w:val="none"/>
                <w:lang w:eastAsia="zh-CN"/>
              </w:rPr>
              <w:t>可对医院设备采购询价情况进行记录，记录询价供应商产品及价格信息，并记录供货厂家信息；支持采购询价多级审批，支持持自定义设置采购询价审批流程审批节点及审批人</w:t>
            </w:r>
          </w:p>
          <w:p>
            <w:pPr>
              <w:pStyle w:val="201"/>
              <w:numPr>
                <w:ilvl w:val="0"/>
                <w:numId w:val="9"/>
              </w:numPr>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color w:val="auto"/>
                <w:sz w:val="24"/>
                <w:highlight w:val="none"/>
                <w:lang w:eastAsia="zh-CN"/>
              </w:rPr>
              <w:t>支持</w:t>
            </w:r>
            <w:r>
              <w:rPr>
                <w:rFonts w:hint="eastAsia" w:ascii="宋体" w:hAnsi="宋体" w:eastAsia="宋体"/>
                <w:bCs/>
                <w:color w:val="auto"/>
                <w:sz w:val="24"/>
                <w:highlight w:val="none"/>
                <w:lang w:eastAsia="zh-CN"/>
              </w:rPr>
              <w:t>采购合同</w:t>
            </w:r>
            <w:r>
              <w:rPr>
                <w:rFonts w:hint="eastAsia" w:ascii="宋体" w:hAnsi="宋体" w:eastAsia="宋体"/>
                <w:bCs/>
                <w:color w:val="auto"/>
                <w:sz w:val="24"/>
                <w:highlight w:val="none"/>
                <w:lang w:eastAsia="zh-CN"/>
              </w:rPr>
              <w:tab/>
            </w:r>
            <w:r>
              <w:rPr>
                <w:rFonts w:hint="eastAsia" w:ascii="宋体" w:hAnsi="宋体" w:eastAsia="宋体"/>
                <w:bCs/>
                <w:color w:val="auto"/>
                <w:sz w:val="24"/>
                <w:highlight w:val="none"/>
                <w:lang w:eastAsia="zh-CN"/>
              </w:rPr>
              <w:t>签订合同后可对采购合同进行维护和管理，记录合同基础信息及采购设备明细；并支持上传合同附件，对合同附件进行管理。</w:t>
            </w:r>
          </w:p>
          <w:p>
            <w:pPr>
              <w:pStyle w:val="201"/>
              <w:numPr>
                <w:ilvl w:val="0"/>
                <w:numId w:val="9"/>
              </w:numPr>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color w:val="auto"/>
                <w:sz w:val="24"/>
                <w:highlight w:val="none"/>
                <w:lang w:eastAsia="zh-CN"/>
              </w:rPr>
              <w:t>支持</w:t>
            </w:r>
            <w:r>
              <w:rPr>
                <w:rFonts w:hint="eastAsia" w:ascii="宋体" w:hAnsi="宋体" w:eastAsia="宋体"/>
                <w:bCs/>
                <w:color w:val="auto"/>
                <w:sz w:val="24"/>
                <w:highlight w:val="none"/>
                <w:lang w:eastAsia="zh-CN"/>
              </w:rPr>
              <w:t>设备采购验收</w:t>
            </w:r>
            <w:r>
              <w:rPr>
                <w:rFonts w:hint="eastAsia" w:ascii="宋体" w:hAnsi="宋体" w:eastAsia="宋体"/>
                <w:bCs/>
                <w:color w:val="auto"/>
                <w:sz w:val="24"/>
                <w:highlight w:val="none"/>
                <w:lang w:eastAsia="zh-CN"/>
              </w:rPr>
              <w:tab/>
            </w:r>
            <w:r>
              <w:rPr>
                <w:rFonts w:hint="eastAsia" w:ascii="宋体" w:hAnsi="宋体" w:eastAsia="宋体"/>
                <w:bCs/>
                <w:color w:val="auto"/>
                <w:sz w:val="24"/>
                <w:highlight w:val="none"/>
                <w:lang w:eastAsia="zh-CN"/>
              </w:rPr>
              <w:t>设备管理人员对设备进行验收，可直接引用采购合同设备信息进行快速批量验收，记录设备详细信息，支持自动生成和打印设备验收单，支持验收文档附件上传，可查询验收设备的详细信息</w:t>
            </w:r>
          </w:p>
          <w:p>
            <w:pPr>
              <w:pStyle w:val="201"/>
              <w:numPr>
                <w:ilvl w:val="0"/>
                <w:numId w:val="9"/>
              </w:numPr>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color w:val="auto"/>
                <w:sz w:val="24"/>
                <w:highlight w:val="none"/>
                <w:lang w:eastAsia="zh-CN"/>
              </w:rPr>
              <w:t>支持</w:t>
            </w:r>
            <w:r>
              <w:rPr>
                <w:rFonts w:hint="eastAsia" w:ascii="宋体" w:hAnsi="宋体" w:eastAsia="宋体"/>
                <w:bCs/>
                <w:color w:val="auto"/>
                <w:sz w:val="24"/>
                <w:highlight w:val="none"/>
                <w:lang w:eastAsia="zh-CN"/>
              </w:rPr>
              <w:t>设备采购入库</w:t>
            </w:r>
            <w:r>
              <w:rPr>
                <w:rFonts w:hint="eastAsia" w:ascii="宋体" w:hAnsi="宋体" w:eastAsia="宋体"/>
                <w:bCs/>
                <w:color w:val="auto"/>
                <w:sz w:val="24"/>
                <w:highlight w:val="none"/>
                <w:lang w:eastAsia="zh-CN"/>
              </w:rPr>
              <w:tab/>
            </w:r>
            <w:r>
              <w:rPr>
                <w:rFonts w:hint="eastAsia" w:ascii="宋体" w:hAnsi="宋体" w:eastAsia="宋体"/>
                <w:bCs/>
                <w:color w:val="auto"/>
                <w:sz w:val="24"/>
                <w:highlight w:val="none"/>
                <w:lang w:eastAsia="zh-CN"/>
              </w:rPr>
              <w:t>可直接引用验收单设备信息进行快速批量审核入库，支持自动生成和打印入库单。</w:t>
            </w:r>
          </w:p>
          <w:p>
            <w:pPr>
              <w:pStyle w:val="201"/>
              <w:numPr>
                <w:ilvl w:val="0"/>
                <w:numId w:val="9"/>
              </w:numPr>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color w:val="auto"/>
                <w:sz w:val="24"/>
                <w:highlight w:val="none"/>
                <w:lang w:eastAsia="zh-CN"/>
              </w:rPr>
              <w:t>支持</w:t>
            </w:r>
            <w:r>
              <w:rPr>
                <w:rFonts w:hint="eastAsia" w:ascii="宋体" w:hAnsi="宋体" w:eastAsia="宋体"/>
                <w:bCs/>
                <w:color w:val="auto"/>
                <w:sz w:val="24"/>
                <w:highlight w:val="none"/>
                <w:lang w:eastAsia="zh-CN"/>
              </w:rPr>
              <w:t>科室领用出库</w:t>
            </w:r>
            <w:r>
              <w:rPr>
                <w:rFonts w:hint="eastAsia" w:ascii="宋体" w:hAnsi="宋体" w:eastAsia="宋体"/>
                <w:bCs/>
                <w:color w:val="auto"/>
                <w:sz w:val="24"/>
                <w:highlight w:val="none"/>
                <w:lang w:eastAsia="zh-CN"/>
              </w:rPr>
              <w:tab/>
            </w:r>
            <w:r>
              <w:rPr>
                <w:rFonts w:hint="eastAsia" w:ascii="宋体" w:hAnsi="宋体" w:eastAsia="宋体"/>
                <w:bCs/>
                <w:color w:val="auto"/>
                <w:sz w:val="24"/>
                <w:highlight w:val="none"/>
                <w:lang w:eastAsia="zh-CN"/>
              </w:rPr>
              <w:t>可直接引用入库单进行快速科室领用出库，也可根据仓库设备信息进行扫码出库；支持自动生成和打印科室领用出库单；支持科室领用出库二次审核；</w:t>
            </w:r>
          </w:p>
          <w:p>
            <w:pPr>
              <w:pStyle w:val="201"/>
              <w:numPr>
                <w:ilvl w:val="0"/>
                <w:numId w:val="9"/>
              </w:numPr>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color w:val="auto"/>
                <w:sz w:val="24"/>
                <w:highlight w:val="none"/>
                <w:lang w:eastAsia="zh-CN"/>
              </w:rPr>
              <w:t>支持</w:t>
            </w:r>
            <w:r>
              <w:rPr>
                <w:rFonts w:hint="eastAsia" w:ascii="宋体" w:hAnsi="宋体" w:eastAsia="宋体"/>
                <w:bCs/>
                <w:color w:val="auto"/>
                <w:sz w:val="24"/>
                <w:highlight w:val="none"/>
                <w:lang w:eastAsia="zh-CN"/>
              </w:rPr>
              <w:t>采购设备退库</w:t>
            </w:r>
            <w:r>
              <w:rPr>
                <w:rFonts w:hint="eastAsia" w:ascii="宋体" w:hAnsi="宋体" w:eastAsia="宋体"/>
                <w:bCs/>
                <w:color w:val="auto"/>
                <w:sz w:val="24"/>
                <w:highlight w:val="none"/>
                <w:lang w:eastAsia="zh-CN"/>
              </w:rPr>
              <w:tab/>
            </w:r>
            <w:r>
              <w:rPr>
                <w:rFonts w:hint="eastAsia" w:ascii="宋体" w:hAnsi="宋体" w:eastAsia="宋体"/>
                <w:bCs/>
                <w:color w:val="auto"/>
                <w:sz w:val="24"/>
                <w:highlight w:val="none"/>
                <w:lang w:eastAsia="zh-CN"/>
              </w:rPr>
              <w:t>支持科室设备退货给设备仓库，并支持查询和打印退库记录；支持设备退货供应商，并支持查询和打印退货记录。</w:t>
            </w:r>
          </w:p>
          <w:p>
            <w:pPr>
              <w:pStyle w:val="201"/>
              <w:numPr>
                <w:ilvl w:val="0"/>
                <w:numId w:val="9"/>
              </w:numPr>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color w:val="auto"/>
                <w:sz w:val="24"/>
                <w:highlight w:val="none"/>
                <w:lang w:eastAsia="zh-CN"/>
              </w:rPr>
              <w:t>支持</w:t>
            </w:r>
            <w:r>
              <w:rPr>
                <w:rFonts w:hint="eastAsia" w:ascii="宋体" w:hAnsi="宋体" w:eastAsia="宋体"/>
                <w:bCs/>
                <w:color w:val="auto"/>
                <w:sz w:val="24"/>
                <w:highlight w:val="none"/>
                <w:lang w:eastAsia="zh-CN"/>
              </w:rPr>
              <w:t>设备仓库查询</w:t>
            </w:r>
            <w:r>
              <w:rPr>
                <w:rFonts w:hint="eastAsia" w:ascii="宋体" w:hAnsi="宋体" w:eastAsia="宋体"/>
                <w:bCs/>
                <w:color w:val="auto"/>
                <w:sz w:val="24"/>
                <w:highlight w:val="none"/>
                <w:lang w:eastAsia="zh-CN"/>
              </w:rPr>
              <w:tab/>
            </w:r>
            <w:r>
              <w:rPr>
                <w:rFonts w:hint="eastAsia" w:ascii="宋体" w:hAnsi="宋体" w:eastAsia="宋体"/>
                <w:bCs/>
                <w:color w:val="auto"/>
                <w:sz w:val="24"/>
                <w:highlight w:val="none"/>
                <w:lang w:eastAsia="zh-CN"/>
              </w:rPr>
              <w:t>可按设备名称、分类查询设备仓库汇总统计信息或设备明细信息，并支持库存信息EXCEL导出和打印。</w:t>
            </w:r>
          </w:p>
          <w:p>
            <w:pPr>
              <w:pStyle w:val="201"/>
              <w:numPr>
                <w:ilvl w:val="0"/>
                <w:numId w:val="9"/>
              </w:numPr>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color w:val="auto"/>
                <w:sz w:val="24"/>
                <w:highlight w:val="none"/>
                <w:lang w:eastAsia="zh-CN"/>
              </w:rPr>
              <w:t>支持</w:t>
            </w:r>
            <w:r>
              <w:rPr>
                <w:rFonts w:hint="eastAsia" w:ascii="宋体" w:hAnsi="宋体" w:eastAsia="宋体"/>
                <w:bCs/>
                <w:color w:val="auto"/>
                <w:sz w:val="24"/>
                <w:highlight w:val="none"/>
                <w:lang w:eastAsia="zh-CN"/>
              </w:rPr>
              <w:t>设备到货提醒</w:t>
            </w:r>
            <w:r>
              <w:rPr>
                <w:rFonts w:hint="eastAsia" w:ascii="宋体" w:hAnsi="宋体" w:eastAsia="宋体"/>
                <w:bCs/>
                <w:color w:val="auto"/>
                <w:sz w:val="24"/>
                <w:highlight w:val="none"/>
                <w:lang w:eastAsia="zh-CN"/>
              </w:rPr>
              <w:tab/>
            </w:r>
            <w:r>
              <w:rPr>
                <w:rFonts w:hint="eastAsia" w:ascii="宋体" w:hAnsi="宋体" w:eastAsia="宋体"/>
                <w:bCs/>
                <w:color w:val="auto"/>
                <w:sz w:val="24"/>
                <w:highlight w:val="none"/>
                <w:lang w:eastAsia="zh-CN"/>
              </w:rPr>
              <w:t>设备入库后支持设备到货提醒，通过首页待办信息提醒科室及时进行领用</w:t>
            </w:r>
          </w:p>
          <w:p>
            <w:pPr>
              <w:pStyle w:val="201"/>
              <w:numPr>
                <w:ilvl w:val="0"/>
                <w:numId w:val="9"/>
              </w:numPr>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color w:val="auto"/>
                <w:sz w:val="24"/>
                <w:highlight w:val="none"/>
                <w:lang w:eastAsia="zh-CN"/>
              </w:rPr>
              <w:t>支持</w:t>
            </w:r>
            <w:r>
              <w:rPr>
                <w:rFonts w:hint="eastAsia" w:ascii="宋体" w:hAnsi="宋体" w:eastAsia="宋体"/>
                <w:bCs/>
                <w:color w:val="auto"/>
                <w:sz w:val="24"/>
                <w:highlight w:val="none"/>
                <w:lang w:eastAsia="zh-CN"/>
              </w:rPr>
              <w:t>资产采购报表</w:t>
            </w:r>
            <w:r>
              <w:rPr>
                <w:rFonts w:hint="eastAsia" w:ascii="宋体" w:hAnsi="宋体" w:eastAsia="宋体"/>
                <w:bCs/>
                <w:color w:val="auto"/>
                <w:sz w:val="24"/>
                <w:highlight w:val="none"/>
                <w:lang w:eastAsia="zh-CN"/>
              </w:rPr>
              <w:tab/>
            </w:r>
            <w:r>
              <w:rPr>
                <w:rFonts w:hint="eastAsia" w:ascii="宋体" w:hAnsi="宋体" w:eastAsia="宋体"/>
                <w:bCs/>
                <w:color w:val="auto"/>
                <w:sz w:val="24"/>
                <w:highlight w:val="none"/>
                <w:lang w:eastAsia="zh-CN"/>
              </w:rPr>
              <w:t>内置多种资产采购统计报表，设备采购汇总、设备领用汇总、资产申购查询、全院设备入库、全院设备出库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089" w:type="dxa"/>
            <w:vAlign w:val="center"/>
          </w:tcPr>
          <w:p>
            <w:pPr>
              <w:autoSpaceDE w:val="0"/>
              <w:autoSpaceDN w:val="0"/>
              <w:spacing w:before="7"/>
              <w:ind w:right="-4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设备管理</w:t>
            </w:r>
          </w:p>
        </w:tc>
        <w:tc>
          <w:tcPr>
            <w:tcW w:w="6978" w:type="dxa"/>
            <w:vAlign w:val="center"/>
          </w:tcPr>
          <w:p>
            <w:pPr>
              <w:pStyle w:val="201"/>
              <w:numPr>
                <w:ilvl w:val="0"/>
                <w:numId w:val="9"/>
              </w:numPr>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资产档案管理</w:t>
            </w:r>
            <w:r>
              <w:rPr>
                <w:rFonts w:hint="eastAsia" w:ascii="宋体" w:hAnsi="宋体" w:eastAsia="宋体"/>
                <w:bCs/>
                <w:color w:val="auto"/>
                <w:sz w:val="24"/>
                <w:highlight w:val="none"/>
                <w:lang w:eastAsia="zh-CN"/>
              </w:rPr>
              <w:tab/>
            </w:r>
            <w:r>
              <w:rPr>
                <w:rFonts w:hint="eastAsia" w:ascii="宋体" w:hAnsi="宋体" w:eastAsia="宋体"/>
                <w:bCs/>
                <w:color w:val="auto"/>
                <w:sz w:val="24"/>
                <w:highlight w:val="none"/>
                <w:lang w:eastAsia="zh-CN"/>
              </w:rPr>
              <w:t>支持按设备字典新增设备和批量初始化导入，自动按医疗器械2018年最新分类标准生成设备唯一编码，并可自动生成资产设备卡片、条形码、二维码，支持批量复制新增设备信息；可维护设备档案信息，上传对应设备相关图片、说明书、参数文档方便查阅；可记录设备附件信息及风险评估信息；</w:t>
            </w:r>
          </w:p>
          <w:p>
            <w:pPr>
              <w:pStyle w:val="201"/>
              <w:numPr>
                <w:ilvl w:val="0"/>
                <w:numId w:val="9"/>
              </w:numPr>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资产条码打印</w:t>
            </w:r>
            <w:r>
              <w:rPr>
                <w:rFonts w:hint="eastAsia" w:ascii="宋体" w:hAnsi="宋体" w:eastAsia="宋体"/>
                <w:bCs/>
                <w:color w:val="auto"/>
                <w:sz w:val="24"/>
                <w:highlight w:val="none"/>
                <w:lang w:eastAsia="zh-CN"/>
              </w:rPr>
              <w:tab/>
            </w:r>
            <w:r>
              <w:rPr>
                <w:rFonts w:hint="eastAsia" w:ascii="宋体" w:hAnsi="宋体" w:eastAsia="宋体"/>
                <w:color w:val="auto"/>
                <w:sz w:val="24"/>
                <w:highlight w:val="none"/>
                <w:lang w:eastAsia="zh-CN"/>
              </w:rPr>
              <w:t>支持</w:t>
            </w:r>
            <w:r>
              <w:rPr>
                <w:rFonts w:hint="eastAsia" w:ascii="宋体" w:hAnsi="宋体" w:eastAsia="宋体"/>
                <w:bCs/>
                <w:color w:val="auto"/>
                <w:sz w:val="24"/>
                <w:highlight w:val="none"/>
                <w:lang w:eastAsia="zh-CN"/>
              </w:rPr>
              <w:t>自动生成资产设备唯一条形码和二维码进行电子标签批量打印；支持自定义条形码及二维码标签打印模板样式</w:t>
            </w:r>
          </w:p>
          <w:p>
            <w:pPr>
              <w:pStyle w:val="201"/>
              <w:numPr>
                <w:ilvl w:val="0"/>
                <w:numId w:val="9"/>
              </w:numPr>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资产综合查询</w:t>
            </w:r>
            <w:r>
              <w:rPr>
                <w:rFonts w:hint="eastAsia" w:ascii="宋体" w:hAnsi="宋体" w:eastAsia="宋体"/>
                <w:bCs/>
                <w:color w:val="auto"/>
                <w:sz w:val="24"/>
                <w:highlight w:val="none"/>
                <w:lang w:eastAsia="zh-CN"/>
              </w:rPr>
              <w:tab/>
            </w:r>
            <w:r>
              <w:rPr>
                <w:rFonts w:hint="eastAsia" w:ascii="宋体" w:hAnsi="宋体" w:eastAsia="宋体"/>
                <w:bCs/>
                <w:color w:val="auto"/>
                <w:sz w:val="24"/>
                <w:highlight w:val="none"/>
                <w:lang w:eastAsia="zh-CN"/>
              </w:rPr>
              <w:t>支持根据各种详细参数筛选设备信息；支持自定义查询列字段显示和EXCEL导出；支持设备全生命周期信息查询，包括采购信息、维护保养信息、维修信息、质控信息、调拨记录、借用记录、报废记录</w:t>
            </w:r>
          </w:p>
          <w:p>
            <w:pPr>
              <w:pStyle w:val="201"/>
              <w:numPr>
                <w:ilvl w:val="0"/>
                <w:numId w:val="9"/>
              </w:numPr>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资产盘点</w:t>
            </w:r>
            <w:r>
              <w:rPr>
                <w:rFonts w:hint="eastAsia" w:ascii="宋体" w:hAnsi="宋体" w:eastAsia="宋体"/>
                <w:bCs/>
                <w:color w:val="auto"/>
                <w:sz w:val="24"/>
                <w:highlight w:val="none"/>
                <w:lang w:eastAsia="zh-CN"/>
              </w:rPr>
              <w:tab/>
            </w:r>
            <w:r>
              <w:rPr>
                <w:rFonts w:hint="eastAsia" w:ascii="宋体" w:hAnsi="宋体" w:eastAsia="宋体"/>
                <w:bCs/>
                <w:color w:val="auto"/>
                <w:sz w:val="24"/>
                <w:highlight w:val="none"/>
                <w:lang w:eastAsia="zh-CN"/>
              </w:rPr>
              <w:t>支持全院设备盘点或按科室、分类、设备金额范围生成盘点单进行盘点；可通过录入盘点详情来更改当前设备的状态，在录入时支持暂存功能方便盘点量大需要多次录入的情况，支持移动盘点功能。</w:t>
            </w:r>
          </w:p>
          <w:p>
            <w:pPr>
              <w:pStyle w:val="201"/>
              <w:numPr>
                <w:ilvl w:val="0"/>
                <w:numId w:val="9"/>
              </w:numPr>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资产变更</w:t>
            </w:r>
            <w:r>
              <w:rPr>
                <w:rFonts w:hint="eastAsia" w:ascii="宋体" w:hAnsi="宋体" w:eastAsia="宋体"/>
                <w:bCs/>
                <w:color w:val="auto"/>
                <w:sz w:val="24"/>
                <w:highlight w:val="none"/>
                <w:lang w:eastAsia="zh-CN"/>
              </w:rPr>
              <w:tab/>
            </w:r>
            <w:r>
              <w:rPr>
                <w:rFonts w:hint="eastAsia" w:ascii="宋体" w:hAnsi="宋体" w:eastAsia="宋体"/>
                <w:color w:val="auto"/>
                <w:sz w:val="24"/>
                <w:highlight w:val="none"/>
                <w:lang w:eastAsia="zh-CN"/>
              </w:rPr>
              <w:t>支持</w:t>
            </w:r>
            <w:r>
              <w:rPr>
                <w:rFonts w:hint="eastAsia" w:ascii="宋体" w:hAnsi="宋体" w:eastAsia="宋体"/>
                <w:bCs/>
                <w:color w:val="auto"/>
                <w:sz w:val="24"/>
                <w:highlight w:val="none"/>
                <w:lang w:eastAsia="zh-CN"/>
              </w:rPr>
              <w:t>对资产所属仓库进行调整，并对调整记录进行查询；可对资产价格进行调整，并对调整记录进行查询</w:t>
            </w:r>
          </w:p>
          <w:p>
            <w:pPr>
              <w:pStyle w:val="201"/>
              <w:numPr>
                <w:ilvl w:val="0"/>
                <w:numId w:val="9"/>
              </w:numPr>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资产报废</w:t>
            </w:r>
            <w:r>
              <w:rPr>
                <w:rFonts w:hint="eastAsia" w:ascii="宋体" w:hAnsi="宋体" w:eastAsia="宋体"/>
                <w:bCs/>
                <w:color w:val="auto"/>
                <w:sz w:val="24"/>
                <w:highlight w:val="none"/>
                <w:lang w:eastAsia="zh-CN"/>
              </w:rPr>
              <w:tab/>
            </w:r>
            <w:r>
              <w:rPr>
                <w:rFonts w:hint="eastAsia" w:ascii="宋体" w:hAnsi="宋体" w:eastAsia="宋体"/>
                <w:color w:val="auto"/>
                <w:sz w:val="24"/>
                <w:highlight w:val="none"/>
                <w:lang w:eastAsia="zh-CN"/>
              </w:rPr>
              <w:t>支持</w:t>
            </w:r>
            <w:r>
              <w:rPr>
                <w:rFonts w:hint="eastAsia" w:ascii="宋体" w:hAnsi="宋体" w:eastAsia="宋体"/>
                <w:bCs/>
                <w:color w:val="auto"/>
                <w:sz w:val="24"/>
                <w:highlight w:val="none"/>
                <w:lang w:eastAsia="zh-CN"/>
              </w:rPr>
              <w:t>临床科室可在线发起报废申请，设备管理人员在线对报废申请进行鉴定和审批，审批通过后由专人进行报废处理；可对报废记录进行查询和导出</w:t>
            </w:r>
          </w:p>
          <w:p>
            <w:pPr>
              <w:pStyle w:val="201"/>
              <w:numPr>
                <w:ilvl w:val="0"/>
                <w:numId w:val="9"/>
              </w:numPr>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资产保修 支持移动端报修并且形成维修报表及维修人员的绩效分析报表。</w:t>
            </w:r>
          </w:p>
          <w:p>
            <w:pPr>
              <w:pStyle w:val="201"/>
              <w:numPr>
                <w:ilvl w:val="0"/>
                <w:numId w:val="9"/>
              </w:numPr>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公用设备管理</w:t>
            </w:r>
            <w:r>
              <w:rPr>
                <w:rFonts w:hint="eastAsia" w:ascii="宋体" w:hAnsi="宋体" w:eastAsia="宋体"/>
                <w:bCs/>
                <w:color w:val="auto"/>
                <w:sz w:val="24"/>
                <w:highlight w:val="none"/>
                <w:lang w:eastAsia="zh-CN"/>
              </w:rPr>
              <w:tab/>
            </w:r>
            <w:r>
              <w:rPr>
                <w:rFonts w:hint="eastAsia" w:ascii="宋体" w:hAnsi="宋体" w:eastAsia="宋体"/>
                <w:color w:val="auto"/>
                <w:sz w:val="24"/>
                <w:highlight w:val="none"/>
                <w:lang w:eastAsia="zh-CN"/>
              </w:rPr>
              <w:t>支持</w:t>
            </w:r>
            <w:r>
              <w:rPr>
                <w:rFonts w:hint="eastAsia" w:ascii="宋体" w:hAnsi="宋体" w:eastAsia="宋体"/>
                <w:bCs/>
                <w:color w:val="auto"/>
                <w:sz w:val="24"/>
                <w:highlight w:val="none"/>
                <w:lang w:eastAsia="zh-CN"/>
              </w:rPr>
              <w:t>医院可对急救类、应急类科室公用设备进行台账统计和管理；支持和物联网设备对接；支持科室发起公用设备在线借用和归还申请，设备管理人员在线进行借用和归还审批；支持公用设备借用归还记录及借用费用查询和统计。</w:t>
            </w:r>
          </w:p>
          <w:p>
            <w:pPr>
              <w:pStyle w:val="201"/>
              <w:numPr>
                <w:ilvl w:val="0"/>
                <w:numId w:val="9"/>
              </w:numPr>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资产管理报表</w:t>
            </w:r>
            <w:r>
              <w:rPr>
                <w:rFonts w:hint="eastAsia" w:ascii="宋体" w:hAnsi="宋体" w:eastAsia="宋体"/>
                <w:bCs/>
                <w:color w:val="auto"/>
                <w:sz w:val="24"/>
                <w:highlight w:val="none"/>
                <w:lang w:eastAsia="zh-CN"/>
              </w:rPr>
              <w:tab/>
            </w:r>
            <w:r>
              <w:rPr>
                <w:rFonts w:hint="eastAsia" w:ascii="宋体" w:hAnsi="宋体" w:eastAsia="宋体"/>
                <w:color w:val="auto"/>
                <w:sz w:val="24"/>
                <w:highlight w:val="none"/>
                <w:lang w:eastAsia="zh-CN"/>
              </w:rPr>
              <w:t>支持</w:t>
            </w:r>
            <w:r>
              <w:rPr>
                <w:rFonts w:hint="eastAsia" w:ascii="宋体" w:hAnsi="宋体" w:eastAsia="宋体"/>
                <w:bCs/>
                <w:color w:val="auto"/>
                <w:sz w:val="24"/>
                <w:highlight w:val="none"/>
                <w:lang w:eastAsia="zh-CN"/>
              </w:rPr>
              <w:t>内置多种资产管理报表，资产统计查询报表、资产折旧报表、资产折旧明细统计报表、科室月度折旧费用报表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089" w:type="dxa"/>
            <w:vAlign w:val="center"/>
          </w:tcPr>
          <w:p>
            <w:pPr>
              <w:autoSpaceDE w:val="0"/>
              <w:autoSpaceDN w:val="0"/>
              <w:spacing w:before="7"/>
              <w:ind w:right="-4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效益分析</w:t>
            </w:r>
          </w:p>
        </w:tc>
        <w:tc>
          <w:tcPr>
            <w:tcW w:w="6978" w:type="dxa"/>
            <w:vAlign w:val="center"/>
          </w:tcPr>
          <w:p>
            <w:pPr>
              <w:pStyle w:val="201"/>
              <w:numPr>
                <w:ilvl w:val="0"/>
                <w:numId w:val="9"/>
              </w:numPr>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效益分析设备清单</w:t>
            </w:r>
            <w:r>
              <w:rPr>
                <w:rFonts w:hint="eastAsia" w:ascii="宋体" w:hAnsi="宋体" w:eastAsia="宋体"/>
                <w:bCs/>
                <w:color w:val="auto"/>
                <w:sz w:val="24"/>
                <w:highlight w:val="none"/>
                <w:lang w:eastAsia="zh-CN"/>
              </w:rPr>
              <w:tab/>
            </w:r>
            <w:r>
              <w:rPr>
                <w:rFonts w:hint="eastAsia" w:ascii="宋体" w:hAnsi="宋体" w:eastAsia="宋体"/>
                <w:color w:val="auto"/>
                <w:sz w:val="24"/>
                <w:highlight w:val="none"/>
                <w:lang w:eastAsia="zh-CN"/>
              </w:rPr>
              <w:t>支持</w:t>
            </w:r>
            <w:r>
              <w:rPr>
                <w:rFonts w:hint="eastAsia" w:ascii="宋体" w:hAnsi="宋体" w:eastAsia="宋体"/>
                <w:bCs/>
                <w:color w:val="auto"/>
                <w:sz w:val="24"/>
                <w:highlight w:val="none"/>
                <w:lang w:eastAsia="zh-CN"/>
              </w:rPr>
              <w:t>对效益分析设备进行标识并自动生成台账进行管理</w:t>
            </w:r>
          </w:p>
          <w:p>
            <w:pPr>
              <w:pStyle w:val="201"/>
              <w:numPr>
                <w:ilvl w:val="0"/>
                <w:numId w:val="9"/>
              </w:numPr>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设备收支录入</w:t>
            </w:r>
            <w:r>
              <w:rPr>
                <w:rFonts w:hint="eastAsia" w:ascii="宋体" w:hAnsi="宋体" w:eastAsia="宋体"/>
                <w:bCs/>
                <w:color w:val="auto"/>
                <w:sz w:val="24"/>
                <w:highlight w:val="none"/>
                <w:lang w:eastAsia="zh-CN"/>
              </w:rPr>
              <w:tab/>
            </w:r>
            <w:r>
              <w:rPr>
                <w:rFonts w:hint="eastAsia" w:ascii="宋体" w:hAnsi="宋体" w:eastAsia="宋体"/>
                <w:color w:val="auto"/>
                <w:sz w:val="24"/>
                <w:highlight w:val="none"/>
                <w:lang w:eastAsia="zh-CN"/>
              </w:rPr>
              <w:t>支持</w:t>
            </w:r>
            <w:r>
              <w:rPr>
                <w:rFonts w:hint="eastAsia" w:ascii="宋体" w:hAnsi="宋体" w:eastAsia="宋体"/>
                <w:bCs/>
                <w:color w:val="auto"/>
                <w:sz w:val="24"/>
                <w:highlight w:val="none"/>
                <w:lang w:eastAsia="zh-CN"/>
              </w:rPr>
              <w:t>对每台效益分析设备的月度收入、费用信息进行手动录入，支持EXCEL批量导入；支持第三方接口，与HIS系统进行对接，自动获取科室月度收入信息</w:t>
            </w:r>
          </w:p>
          <w:p>
            <w:pPr>
              <w:pStyle w:val="201"/>
              <w:numPr>
                <w:ilvl w:val="0"/>
                <w:numId w:val="9"/>
              </w:numPr>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color w:val="auto"/>
                <w:sz w:val="24"/>
                <w:highlight w:val="none"/>
                <w:lang w:eastAsia="zh-CN"/>
              </w:rPr>
              <w:t>支持</w:t>
            </w:r>
            <w:r>
              <w:rPr>
                <w:rFonts w:hint="eastAsia" w:ascii="宋体" w:hAnsi="宋体" w:eastAsia="宋体"/>
                <w:bCs/>
                <w:color w:val="auto"/>
                <w:sz w:val="24"/>
                <w:highlight w:val="none"/>
                <w:lang w:eastAsia="zh-CN"/>
              </w:rPr>
              <w:t>效益分析报表</w:t>
            </w:r>
            <w:r>
              <w:rPr>
                <w:rFonts w:hint="eastAsia" w:ascii="宋体" w:hAnsi="宋体" w:eastAsia="宋体"/>
                <w:bCs/>
                <w:color w:val="auto"/>
                <w:sz w:val="24"/>
                <w:highlight w:val="none"/>
                <w:lang w:eastAsia="zh-CN"/>
              </w:rPr>
              <w:tab/>
            </w:r>
            <w:r>
              <w:rPr>
                <w:rFonts w:hint="eastAsia" w:ascii="宋体" w:hAnsi="宋体" w:eastAsia="宋体"/>
                <w:bCs/>
                <w:color w:val="auto"/>
                <w:sz w:val="24"/>
                <w:highlight w:val="none"/>
                <w:lang w:eastAsia="zh-CN"/>
              </w:rPr>
              <w:t>支持设备全生命周期的效益分析，系统内置丰富的效益分析报表，单机月度、季度、年度效益分析报表，科室月度、季度、年度效益分析报表，科室效益年度对比图、设备效益年度对比图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089" w:type="dxa"/>
            <w:vAlign w:val="center"/>
          </w:tcPr>
          <w:p>
            <w:pPr>
              <w:autoSpaceDE w:val="0"/>
              <w:autoSpaceDN w:val="0"/>
              <w:spacing w:before="7"/>
              <w:ind w:right="-4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基础设置</w:t>
            </w:r>
          </w:p>
        </w:tc>
        <w:tc>
          <w:tcPr>
            <w:tcW w:w="6978" w:type="dxa"/>
            <w:vAlign w:val="center"/>
          </w:tcPr>
          <w:p>
            <w:pPr>
              <w:pStyle w:val="201"/>
              <w:numPr>
                <w:ilvl w:val="0"/>
                <w:numId w:val="9"/>
              </w:numPr>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设备分类管理</w:t>
            </w:r>
            <w:r>
              <w:rPr>
                <w:rFonts w:hint="eastAsia" w:ascii="宋体" w:hAnsi="宋体" w:eastAsia="宋体"/>
                <w:bCs/>
                <w:color w:val="auto"/>
                <w:sz w:val="24"/>
                <w:highlight w:val="none"/>
                <w:lang w:eastAsia="zh-CN"/>
              </w:rPr>
              <w:tab/>
            </w:r>
            <w:r>
              <w:rPr>
                <w:rFonts w:hint="eastAsia" w:ascii="宋体" w:hAnsi="宋体" w:eastAsia="宋体"/>
                <w:color w:val="auto"/>
                <w:sz w:val="24"/>
                <w:highlight w:val="none"/>
                <w:lang w:eastAsia="zh-CN"/>
              </w:rPr>
              <w:t>支持</w:t>
            </w:r>
            <w:r>
              <w:rPr>
                <w:rFonts w:hint="eastAsia" w:ascii="宋体" w:hAnsi="宋体" w:eastAsia="宋体"/>
                <w:bCs/>
                <w:color w:val="auto"/>
                <w:sz w:val="24"/>
                <w:highlight w:val="none"/>
                <w:lang w:eastAsia="zh-CN"/>
              </w:rPr>
              <w:t>系统自动默认初始化标准医疗器械分类及编码，最新卫生部医疗器械分类标准2018年版分类规则及编码；也支持医院自定义分类编码规则</w:t>
            </w:r>
          </w:p>
          <w:p>
            <w:pPr>
              <w:pStyle w:val="201"/>
              <w:numPr>
                <w:ilvl w:val="0"/>
                <w:numId w:val="9"/>
              </w:numPr>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财务分类管理</w:t>
            </w:r>
            <w:r>
              <w:rPr>
                <w:rFonts w:hint="eastAsia" w:ascii="宋体" w:hAnsi="宋体" w:eastAsia="宋体"/>
                <w:bCs/>
                <w:color w:val="auto"/>
                <w:sz w:val="24"/>
                <w:highlight w:val="none"/>
                <w:lang w:eastAsia="zh-CN"/>
              </w:rPr>
              <w:tab/>
            </w:r>
            <w:r>
              <w:rPr>
                <w:rFonts w:hint="eastAsia" w:ascii="宋体" w:hAnsi="宋体" w:eastAsia="宋体"/>
                <w:color w:val="auto"/>
                <w:sz w:val="24"/>
                <w:highlight w:val="none"/>
                <w:lang w:eastAsia="zh-CN"/>
              </w:rPr>
              <w:t>支持</w:t>
            </w:r>
            <w:r>
              <w:rPr>
                <w:rFonts w:hint="eastAsia" w:ascii="宋体" w:hAnsi="宋体" w:eastAsia="宋体"/>
                <w:bCs/>
                <w:color w:val="auto"/>
                <w:sz w:val="24"/>
                <w:highlight w:val="none"/>
                <w:lang w:eastAsia="zh-CN"/>
              </w:rPr>
              <w:t>可根据医院财务要求自定义财务分类及编码</w:t>
            </w:r>
          </w:p>
          <w:p>
            <w:pPr>
              <w:pStyle w:val="201"/>
              <w:numPr>
                <w:ilvl w:val="0"/>
                <w:numId w:val="9"/>
              </w:numPr>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用户信息管理</w:t>
            </w:r>
            <w:r>
              <w:rPr>
                <w:rFonts w:hint="eastAsia" w:ascii="宋体" w:hAnsi="宋体" w:eastAsia="宋体"/>
                <w:bCs/>
                <w:color w:val="auto"/>
                <w:sz w:val="24"/>
                <w:highlight w:val="none"/>
                <w:lang w:eastAsia="zh-CN"/>
              </w:rPr>
              <w:tab/>
            </w:r>
            <w:r>
              <w:rPr>
                <w:rFonts w:hint="eastAsia" w:ascii="宋体" w:hAnsi="宋体" w:eastAsia="宋体"/>
                <w:color w:val="auto"/>
                <w:sz w:val="24"/>
                <w:highlight w:val="none"/>
                <w:lang w:eastAsia="zh-CN"/>
              </w:rPr>
              <w:t>支持</w:t>
            </w:r>
            <w:r>
              <w:rPr>
                <w:rFonts w:hint="eastAsia" w:ascii="宋体" w:hAnsi="宋体" w:eastAsia="宋体"/>
                <w:bCs/>
                <w:color w:val="auto"/>
                <w:sz w:val="24"/>
                <w:highlight w:val="none"/>
                <w:lang w:eastAsia="zh-CN"/>
              </w:rPr>
              <w:t>可根据医院实际情况，灵活自定义仓库、科室、人员、角色及职务信息；支持科室、人员、角色、职务信息的批量导入</w:t>
            </w:r>
          </w:p>
          <w:p>
            <w:pPr>
              <w:pStyle w:val="201"/>
              <w:numPr>
                <w:ilvl w:val="0"/>
                <w:numId w:val="9"/>
              </w:numPr>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用户权限管理</w:t>
            </w:r>
            <w:r>
              <w:rPr>
                <w:rFonts w:hint="eastAsia" w:ascii="宋体" w:hAnsi="宋体" w:eastAsia="宋体"/>
                <w:bCs/>
                <w:color w:val="auto"/>
                <w:sz w:val="24"/>
                <w:highlight w:val="none"/>
                <w:lang w:eastAsia="zh-CN"/>
              </w:rPr>
              <w:tab/>
            </w:r>
            <w:r>
              <w:rPr>
                <w:rFonts w:hint="eastAsia" w:ascii="宋体" w:hAnsi="宋体" w:eastAsia="宋体"/>
                <w:color w:val="auto"/>
                <w:sz w:val="24"/>
                <w:highlight w:val="none"/>
                <w:lang w:eastAsia="zh-CN"/>
              </w:rPr>
              <w:t>支持</w:t>
            </w:r>
            <w:r>
              <w:rPr>
                <w:rFonts w:hint="eastAsia" w:ascii="宋体" w:hAnsi="宋体" w:eastAsia="宋体"/>
                <w:bCs/>
                <w:color w:val="auto"/>
                <w:sz w:val="24"/>
                <w:highlight w:val="none"/>
                <w:lang w:eastAsia="zh-CN"/>
              </w:rPr>
              <w:t>对系统用户进行仓库、科室管理权限进行设置；支持按工作角色分组划分菜单功能使用权限</w:t>
            </w:r>
          </w:p>
          <w:p>
            <w:pPr>
              <w:pStyle w:val="201"/>
              <w:numPr>
                <w:ilvl w:val="0"/>
                <w:numId w:val="9"/>
              </w:numPr>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color w:val="auto"/>
                <w:sz w:val="24"/>
                <w:highlight w:val="none"/>
                <w:lang w:eastAsia="zh-CN"/>
              </w:rPr>
              <w:t>支持</w:t>
            </w:r>
            <w:r>
              <w:rPr>
                <w:rFonts w:hint="eastAsia" w:ascii="宋体" w:hAnsi="宋体" w:eastAsia="宋体"/>
                <w:bCs/>
                <w:color w:val="auto"/>
                <w:sz w:val="24"/>
                <w:highlight w:val="none"/>
                <w:lang w:eastAsia="zh-CN"/>
              </w:rPr>
              <w:t>字典信息维护可对设备字典进行维护管理，方便新建设备根据字典带出基础信息；可对品牌、产地、国别、存放地点等字典进行维护管理</w:t>
            </w:r>
          </w:p>
          <w:p>
            <w:pPr>
              <w:pStyle w:val="201"/>
              <w:numPr>
                <w:ilvl w:val="0"/>
                <w:numId w:val="9"/>
              </w:numPr>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审批流程设置</w:t>
            </w:r>
            <w:r>
              <w:rPr>
                <w:rFonts w:hint="eastAsia" w:ascii="宋体" w:hAnsi="宋体" w:eastAsia="宋体"/>
                <w:bCs/>
                <w:color w:val="auto"/>
                <w:sz w:val="24"/>
                <w:highlight w:val="none"/>
                <w:lang w:eastAsia="zh-CN"/>
              </w:rPr>
              <w:tab/>
            </w:r>
            <w:r>
              <w:rPr>
                <w:rFonts w:hint="eastAsia" w:ascii="宋体" w:hAnsi="宋体" w:eastAsia="宋体"/>
                <w:color w:val="auto"/>
                <w:sz w:val="24"/>
                <w:highlight w:val="none"/>
                <w:lang w:eastAsia="zh-CN"/>
              </w:rPr>
              <w:t>支持</w:t>
            </w:r>
            <w:r>
              <w:rPr>
                <w:rFonts w:hint="eastAsia" w:ascii="宋体" w:hAnsi="宋体" w:eastAsia="宋体"/>
                <w:bCs/>
                <w:color w:val="auto"/>
                <w:sz w:val="24"/>
                <w:highlight w:val="none"/>
                <w:lang w:eastAsia="zh-CN"/>
              </w:rPr>
              <w:t>对系统各审批流程进行设置，自定义审批节点和审批人</w:t>
            </w:r>
          </w:p>
          <w:p>
            <w:pPr>
              <w:pStyle w:val="201"/>
              <w:numPr>
                <w:ilvl w:val="0"/>
                <w:numId w:val="9"/>
              </w:numPr>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系统操作日志</w:t>
            </w:r>
            <w:r>
              <w:rPr>
                <w:rFonts w:hint="eastAsia" w:ascii="宋体" w:hAnsi="宋体" w:eastAsia="宋体"/>
                <w:bCs/>
                <w:color w:val="auto"/>
                <w:sz w:val="24"/>
                <w:highlight w:val="none"/>
                <w:lang w:eastAsia="zh-CN"/>
              </w:rPr>
              <w:tab/>
            </w:r>
            <w:r>
              <w:rPr>
                <w:rFonts w:hint="eastAsia" w:ascii="宋体" w:hAnsi="宋体" w:eastAsia="宋体"/>
                <w:color w:val="auto"/>
                <w:sz w:val="24"/>
                <w:highlight w:val="none"/>
                <w:lang w:eastAsia="zh-CN"/>
              </w:rPr>
              <w:t>支持</w:t>
            </w:r>
            <w:r>
              <w:rPr>
                <w:rFonts w:hint="eastAsia" w:ascii="宋体" w:hAnsi="宋体" w:eastAsia="宋体"/>
                <w:bCs/>
                <w:color w:val="auto"/>
                <w:sz w:val="24"/>
                <w:highlight w:val="none"/>
                <w:lang w:eastAsia="zh-CN"/>
              </w:rPr>
              <w:t>对系统登录用户的操作信息进行记录，包括操作时间、操作事项、操作IP等信息</w:t>
            </w:r>
          </w:p>
        </w:tc>
      </w:tr>
    </w:tbl>
    <w:p>
      <w:pPr>
        <w:pStyle w:val="8"/>
        <w:ind w:firstLine="480"/>
        <w:rPr>
          <w:rFonts w:ascii="宋体" w:hAnsi="宋体"/>
          <w:color w:val="auto"/>
          <w:szCs w:val="24"/>
          <w:highlight w:val="none"/>
        </w:rPr>
      </w:pPr>
    </w:p>
    <w:p>
      <w:pPr>
        <w:pStyle w:val="7"/>
        <w:numPr>
          <w:ilvl w:val="4"/>
          <w:numId w:val="8"/>
        </w:numPr>
        <w:rPr>
          <w:rFonts w:ascii="宋体" w:hAnsi="宋体"/>
          <w:color w:val="auto"/>
          <w:szCs w:val="24"/>
          <w:highlight w:val="none"/>
        </w:rPr>
      </w:pPr>
      <w:bookmarkStart w:id="668" w:name="_Toc21462"/>
      <w:r>
        <w:rPr>
          <w:rFonts w:hint="eastAsia" w:ascii="宋体" w:hAnsi="宋体"/>
          <w:color w:val="auto"/>
          <w:szCs w:val="24"/>
          <w:highlight w:val="none"/>
        </w:rPr>
        <w:t>物资管理系统</w:t>
      </w:r>
      <w:bookmarkEnd w:id="668"/>
    </w:p>
    <w:p>
      <w:pPr>
        <w:pStyle w:val="8"/>
        <w:ind w:firstLine="480"/>
        <w:rPr>
          <w:color w:val="auto"/>
          <w:highlight w:val="none"/>
        </w:rPr>
      </w:pPr>
      <w:r>
        <w:rPr>
          <w:rFonts w:hint="eastAsia"/>
          <w:color w:val="auto"/>
          <w:highlight w:val="none"/>
        </w:rPr>
        <w:t>要求物资管理系统实现以下功能：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89"/>
        <w:gridCol w:w="69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089"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功能模块</w:t>
            </w:r>
          </w:p>
        </w:tc>
        <w:tc>
          <w:tcPr>
            <w:tcW w:w="6978"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trPr>
        <w:tc>
          <w:tcPr>
            <w:tcW w:w="2089" w:type="dxa"/>
            <w:vAlign w:val="center"/>
          </w:tcPr>
          <w:p>
            <w:pPr>
              <w:autoSpaceDE w:val="0"/>
              <w:autoSpaceDN w:val="0"/>
              <w:spacing w:before="7"/>
              <w:ind w:right="-4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采购管理</w:t>
            </w:r>
          </w:p>
        </w:tc>
        <w:tc>
          <w:tcPr>
            <w:tcW w:w="6978" w:type="dxa"/>
            <w:vAlign w:val="center"/>
          </w:tcPr>
          <w:p>
            <w:pPr>
              <w:pStyle w:val="201"/>
              <w:numPr>
                <w:ilvl w:val="0"/>
                <w:numId w:val="9"/>
              </w:numPr>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采购计划：支持科室申购和新增两种生单模式；支持导入、自定义规则和手工录入等多种方式生成明细；支持提交审核模式；支持修改，查看，打印，导出；</w:t>
            </w:r>
          </w:p>
          <w:p>
            <w:pPr>
              <w:pStyle w:val="201"/>
              <w:numPr>
                <w:ilvl w:val="0"/>
                <w:numId w:val="9"/>
              </w:numPr>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申购计划：支持科室根据历年使用情况和对未来预测进行科室耗材的申购计划填写；</w:t>
            </w:r>
          </w:p>
          <w:p>
            <w:pPr>
              <w:pStyle w:val="201"/>
              <w:numPr>
                <w:ilvl w:val="0"/>
                <w:numId w:val="9"/>
              </w:numPr>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采购订单：支持采购计划和新增两种生单模式；支持提交审核模式；支持修改，查看，打印，导出。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trPr>
        <w:tc>
          <w:tcPr>
            <w:tcW w:w="2089" w:type="dxa"/>
            <w:vAlign w:val="center"/>
          </w:tcPr>
          <w:p>
            <w:pPr>
              <w:autoSpaceDE w:val="0"/>
              <w:autoSpaceDN w:val="0"/>
              <w:spacing w:before="7"/>
              <w:ind w:right="-4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入库管理</w:t>
            </w:r>
          </w:p>
        </w:tc>
        <w:tc>
          <w:tcPr>
            <w:tcW w:w="6978" w:type="dxa"/>
            <w:vAlign w:val="center"/>
          </w:tcPr>
          <w:p>
            <w:pPr>
              <w:pStyle w:val="201"/>
              <w:numPr>
                <w:ilvl w:val="0"/>
                <w:numId w:val="9"/>
              </w:numPr>
              <w:spacing w:before="6" w:line="360" w:lineRule="auto"/>
              <w:ind w:right="105" w:rightChars="50" w:firstLine="482"/>
              <w:jc w:val="left"/>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普通耗材入库：支持根据采购单，生成耗材的入库单，也可采用手工录入的方式生成入库单，支持预付款的选择，支持退库单的处理，支持查询，修改，打印；</w:t>
            </w:r>
          </w:p>
          <w:p>
            <w:pPr>
              <w:pStyle w:val="201"/>
              <w:numPr>
                <w:ilvl w:val="0"/>
                <w:numId w:val="9"/>
              </w:numPr>
              <w:spacing w:before="6" w:line="360" w:lineRule="auto"/>
              <w:ind w:right="105" w:rightChars="50" w:firstLine="482"/>
              <w:jc w:val="left"/>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入库审核：支持对入库单的查询，修改，审核，打印，及供应商的修改等操作；</w:t>
            </w:r>
          </w:p>
          <w:p>
            <w:pPr>
              <w:pStyle w:val="201"/>
              <w:numPr>
                <w:ilvl w:val="0"/>
                <w:numId w:val="9"/>
              </w:numPr>
              <w:spacing w:before="6" w:line="360" w:lineRule="auto"/>
              <w:ind w:right="105" w:rightChars="50" w:firstLine="482"/>
              <w:jc w:val="left"/>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赠送管理：支持赠送入库处理。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trPr>
        <w:tc>
          <w:tcPr>
            <w:tcW w:w="2089" w:type="dxa"/>
            <w:vAlign w:val="center"/>
          </w:tcPr>
          <w:p>
            <w:pPr>
              <w:autoSpaceDE w:val="0"/>
              <w:autoSpaceDN w:val="0"/>
              <w:spacing w:before="7"/>
              <w:ind w:right="-4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出库管理</w:t>
            </w:r>
          </w:p>
        </w:tc>
        <w:tc>
          <w:tcPr>
            <w:tcW w:w="6978" w:type="dxa"/>
            <w:vAlign w:val="center"/>
          </w:tcPr>
          <w:p>
            <w:pPr>
              <w:pStyle w:val="201"/>
              <w:numPr>
                <w:ilvl w:val="0"/>
                <w:numId w:val="9"/>
              </w:numPr>
              <w:spacing w:before="6" w:line="360" w:lineRule="auto"/>
              <w:ind w:right="105" w:rightChars="50" w:firstLine="482"/>
              <w:jc w:val="left"/>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物资出库：支持根据科室的请领单进行耗材的出库，支持普通耗材，支持退库单的处理，支持出库单的查询，打印，支持查看科室的请领单，库存管理；</w:t>
            </w:r>
          </w:p>
          <w:p>
            <w:pPr>
              <w:pStyle w:val="201"/>
              <w:numPr>
                <w:ilvl w:val="0"/>
                <w:numId w:val="9"/>
              </w:numPr>
              <w:spacing w:before="6" w:line="360" w:lineRule="auto"/>
              <w:ind w:right="105" w:rightChars="50" w:firstLine="482"/>
              <w:jc w:val="left"/>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物资盘点：支持根据选择条件自动生成耗材盘点表，或者采用手工录入的方式进行盘点，支持查询，修改，审核，打印；</w:t>
            </w:r>
          </w:p>
          <w:p>
            <w:pPr>
              <w:pStyle w:val="201"/>
              <w:numPr>
                <w:ilvl w:val="0"/>
                <w:numId w:val="9"/>
              </w:numPr>
              <w:spacing w:before="6" w:line="360" w:lineRule="auto"/>
              <w:ind w:right="105" w:rightChars="50" w:firstLine="482"/>
              <w:jc w:val="left"/>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物资报损：支持报损耗材的录入，支持查询，修改，审核，打印。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trPr>
        <w:tc>
          <w:tcPr>
            <w:tcW w:w="2089" w:type="dxa"/>
            <w:vAlign w:val="center"/>
          </w:tcPr>
          <w:p>
            <w:pPr>
              <w:autoSpaceDE w:val="0"/>
              <w:autoSpaceDN w:val="0"/>
              <w:spacing w:before="7"/>
              <w:ind w:right="-4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财务管理</w:t>
            </w:r>
          </w:p>
        </w:tc>
        <w:tc>
          <w:tcPr>
            <w:tcW w:w="6978" w:type="dxa"/>
            <w:vAlign w:val="center"/>
          </w:tcPr>
          <w:p>
            <w:pPr>
              <w:pStyle w:val="201"/>
              <w:numPr>
                <w:ilvl w:val="0"/>
                <w:numId w:val="9"/>
              </w:numPr>
              <w:spacing w:before="6" w:line="360" w:lineRule="auto"/>
              <w:ind w:right="105" w:rightChars="50" w:firstLine="482"/>
              <w:jc w:val="left"/>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月结管理：支持库房耗材在指定的时间内进行耗材的结账，支持分项汇总，科室汇总，供应商排行等，支持查询，打印，导出；</w:t>
            </w:r>
          </w:p>
          <w:p>
            <w:pPr>
              <w:pStyle w:val="201"/>
              <w:numPr>
                <w:ilvl w:val="0"/>
                <w:numId w:val="9"/>
              </w:numPr>
              <w:spacing w:before="6" w:line="360" w:lineRule="auto"/>
              <w:ind w:right="105" w:rightChars="50" w:firstLine="482"/>
              <w:jc w:val="left"/>
              <w:rPr>
                <w:rFonts w:ascii="宋体" w:hAnsi="宋体" w:eastAsia="宋体"/>
                <w:bCs/>
                <w:color w:val="auto"/>
                <w:sz w:val="24"/>
                <w:highlight w:val="none"/>
                <w:lang w:eastAsia="zh-CN"/>
              </w:rPr>
            </w:pPr>
            <w:r>
              <w:rPr>
                <w:rFonts w:ascii="宋体" w:hAnsi="宋体" w:eastAsia="宋体"/>
                <w:bCs/>
                <w:color w:val="auto"/>
                <w:sz w:val="24"/>
                <w:highlight w:val="none"/>
                <w:lang w:eastAsia="zh-CN"/>
              </w:rPr>
              <w:t>采购发票：支持采购入库确认后自动生成采购发票和手工生成采购发票两种模式</w:t>
            </w:r>
            <w:r>
              <w:rPr>
                <w:rFonts w:hint="eastAsia" w:ascii="宋体" w:hAnsi="宋体" w:eastAsia="宋体"/>
                <w:bCs/>
                <w:color w:val="auto"/>
                <w:sz w:val="24"/>
                <w:highlight w:val="none"/>
                <w:lang w:eastAsia="zh-CN"/>
              </w:rPr>
              <w:t>；</w:t>
            </w:r>
          </w:p>
          <w:p>
            <w:pPr>
              <w:pStyle w:val="201"/>
              <w:numPr>
                <w:ilvl w:val="0"/>
                <w:numId w:val="9"/>
              </w:numPr>
              <w:spacing w:before="6" w:line="360" w:lineRule="auto"/>
              <w:ind w:right="105" w:rightChars="50" w:firstLine="482"/>
              <w:jc w:val="left"/>
              <w:rPr>
                <w:rFonts w:ascii="宋体" w:hAnsi="宋体" w:eastAsia="宋体"/>
                <w:bCs/>
                <w:color w:val="auto"/>
                <w:sz w:val="24"/>
                <w:highlight w:val="none"/>
                <w:lang w:eastAsia="zh-CN"/>
              </w:rPr>
            </w:pPr>
            <w:r>
              <w:rPr>
                <w:rFonts w:ascii="宋体" w:hAnsi="宋体" w:eastAsia="宋体"/>
                <w:bCs/>
                <w:color w:val="auto"/>
                <w:sz w:val="24"/>
                <w:highlight w:val="none"/>
                <w:lang w:eastAsia="zh-CN"/>
              </w:rPr>
              <w:t>结款通知：支持批量结款通知；支持按照发票、入库单、物品查询未结款单据；</w:t>
            </w:r>
          </w:p>
          <w:p>
            <w:pPr>
              <w:pStyle w:val="201"/>
              <w:numPr>
                <w:ilvl w:val="0"/>
                <w:numId w:val="9"/>
              </w:numPr>
              <w:spacing w:before="6" w:line="360" w:lineRule="auto"/>
              <w:ind w:right="105" w:rightChars="50" w:firstLine="482"/>
              <w:jc w:val="left"/>
              <w:rPr>
                <w:rFonts w:ascii="宋体" w:hAnsi="宋体" w:eastAsia="宋体"/>
                <w:bCs/>
                <w:color w:val="auto"/>
                <w:sz w:val="24"/>
                <w:highlight w:val="none"/>
                <w:lang w:eastAsia="zh-CN"/>
              </w:rPr>
            </w:pPr>
            <w:r>
              <w:rPr>
                <w:rFonts w:ascii="宋体" w:hAnsi="宋体" w:eastAsia="宋体"/>
                <w:bCs/>
                <w:color w:val="auto"/>
                <w:sz w:val="24"/>
                <w:highlight w:val="none"/>
                <w:lang w:eastAsia="zh-CN"/>
              </w:rPr>
              <w:t>采购结算：支持批量采购结算确认；</w:t>
            </w:r>
          </w:p>
          <w:p>
            <w:pPr>
              <w:pStyle w:val="201"/>
              <w:numPr>
                <w:ilvl w:val="0"/>
                <w:numId w:val="9"/>
              </w:numPr>
              <w:spacing w:before="6" w:line="360" w:lineRule="auto"/>
              <w:ind w:right="105" w:rightChars="50" w:firstLine="482"/>
              <w:jc w:val="left"/>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发票查询：支持各种入库单发票的查询，可按发票未到汇总，明细，已到发票汇总进行查询，打印。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trPr>
        <w:tc>
          <w:tcPr>
            <w:tcW w:w="2089" w:type="dxa"/>
            <w:vAlign w:val="center"/>
          </w:tcPr>
          <w:p>
            <w:pPr>
              <w:autoSpaceDE w:val="0"/>
              <w:autoSpaceDN w:val="0"/>
              <w:spacing w:before="7"/>
              <w:ind w:right="-4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数据管理</w:t>
            </w:r>
          </w:p>
        </w:tc>
        <w:tc>
          <w:tcPr>
            <w:tcW w:w="6978" w:type="dxa"/>
            <w:vAlign w:val="center"/>
          </w:tcPr>
          <w:p>
            <w:pPr>
              <w:pStyle w:val="201"/>
              <w:numPr>
                <w:ilvl w:val="0"/>
                <w:numId w:val="9"/>
              </w:numPr>
              <w:spacing w:before="6" w:line="360" w:lineRule="auto"/>
              <w:ind w:right="105" w:rightChars="50" w:firstLine="482"/>
              <w:jc w:val="left"/>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物资字典管理：支持对耗材的基本属性的定义，支持动态增加各种需要维护的属性。</w:t>
            </w:r>
          </w:p>
          <w:p>
            <w:pPr>
              <w:pStyle w:val="201"/>
              <w:numPr>
                <w:ilvl w:val="0"/>
                <w:numId w:val="9"/>
              </w:numPr>
              <w:spacing w:before="6" w:line="360" w:lineRule="auto"/>
              <w:ind w:right="105" w:rightChars="50" w:firstLine="482"/>
              <w:jc w:val="left"/>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基本字典管理：支持对一些基础字典的维护。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trPr>
        <w:tc>
          <w:tcPr>
            <w:tcW w:w="2089" w:type="dxa"/>
            <w:vAlign w:val="center"/>
          </w:tcPr>
          <w:p>
            <w:pPr>
              <w:autoSpaceDE w:val="0"/>
              <w:autoSpaceDN w:val="0"/>
              <w:spacing w:before="7"/>
              <w:ind w:right="-4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查询统计</w:t>
            </w:r>
          </w:p>
        </w:tc>
        <w:tc>
          <w:tcPr>
            <w:tcW w:w="6978" w:type="dxa"/>
            <w:vAlign w:val="center"/>
          </w:tcPr>
          <w:p>
            <w:pPr>
              <w:pStyle w:val="201"/>
              <w:numPr>
                <w:ilvl w:val="0"/>
                <w:numId w:val="9"/>
              </w:numPr>
              <w:spacing w:before="6" w:line="360" w:lineRule="auto"/>
              <w:ind w:right="105" w:rightChars="50" w:firstLine="482"/>
              <w:jc w:val="left"/>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入\出\库存查询：支持对耗材入库，出库，库存的查询，打印。</w:t>
            </w:r>
          </w:p>
          <w:p>
            <w:pPr>
              <w:pStyle w:val="201"/>
              <w:numPr>
                <w:ilvl w:val="0"/>
                <w:numId w:val="9"/>
              </w:numPr>
              <w:spacing w:before="6" w:line="360" w:lineRule="auto"/>
              <w:ind w:right="105" w:rightChars="50" w:firstLine="482"/>
              <w:jc w:val="left"/>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科室库存核查：支持对科室库存的查询，支持打印。</w:t>
            </w:r>
          </w:p>
          <w:p>
            <w:pPr>
              <w:pStyle w:val="201"/>
              <w:numPr>
                <w:ilvl w:val="0"/>
                <w:numId w:val="9"/>
              </w:numPr>
              <w:spacing w:before="6" w:line="360" w:lineRule="auto"/>
              <w:ind w:right="105" w:rightChars="50" w:firstLine="482"/>
              <w:jc w:val="left"/>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报表平台：支持根据客户要求定制各种报表，支持查询，打印，导出。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trPr>
        <w:tc>
          <w:tcPr>
            <w:tcW w:w="2089" w:type="dxa"/>
            <w:vAlign w:val="center"/>
          </w:tcPr>
          <w:p>
            <w:pPr>
              <w:autoSpaceDE w:val="0"/>
              <w:autoSpaceDN w:val="0"/>
              <w:spacing w:before="7"/>
              <w:ind w:right="-4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系统管理</w:t>
            </w:r>
          </w:p>
        </w:tc>
        <w:tc>
          <w:tcPr>
            <w:tcW w:w="6978" w:type="dxa"/>
            <w:vAlign w:val="center"/>
          </w:tcPr>
          <w:p>
            <w:pPr>
              <w:pStyle w:val="201"/>
              <w:numPr>
                <w:ilvl w:val="0"/>
                <w:numId w:val="9"/>
              </w:numPr>
              <w:spacing w:before="6" w:line="360" w:lineRule="auto"/>
              <w:ind w:right="105" w:rightChars="50" w:firstLine="482"/>
              <w:jc w:val="left"/>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用户管理：支持维护使用用户的信息以及分配角色和功能。</w:t>
            </w:r>
          </w:p>
          <w:p>
            <w:pPr>
              <w:pStyle w:val="201"/>
              <w:numPr>
                <w:ilvl w:val="0"/>
                <w:numId w:val="9"/>
              </w:numPr>
              <w:spacing w:before="6" w:line="360" w:lineRule="auto"/>
              <w:ind w:right="105" w:rightChars="50" w:firstLine="482"/>
              <w:jc w:val="left"/>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系统初始化：支持系统初始化设置。</w:t>
            </w:r>
          </w:p>
        </w:tc>
      </w:tr>
    </w:tbl>
    <w:p>
      <w:pPr>
        <w:pStyle w:val="8"/>
        <w:ind w:firstLine="480"/>
        <w:rPr>
          <w:color w:val="auto"/>
          <w:highlight w:val="none"/>
        </w:rPr>
      </w:pPr>
    </w:p>
    <w:p>
      <w:pPr>
        <w:pStyle w:val="7"/>
        <w:numPr>
          <w:ilvl w:val="4"/>
          <w:numId w:val="8"/>
        </w:numPr>
        <w:rPr>
          <w:rFonts w:ascii="宋体" w:hAnsi="宋体"/>
          <w:color w:val="auto"/>
          <w:szCs w:val="24"/>
          <w:highlight w:val="none"/>
        </w:rPr>
      </w:pPr>
      <w:bookmarkStart w:id="669" w:name="_Toc12130"/>
      <w:r>
        <w:rPr>
          <w:rFonts w:hint="eastAsia" w:ascii="宋体" w:hAnsi="宋体"/>
          <w:color w:val="auto"/>
          <w:szCs w:val="24"/>
          <w:highlight w:val="none"/>
        </w:rPr>
        <w:t>客户关系管理系统CRM</w:t>
      </w:r>
      <w:bookmarkEnd w:id="669"/>
    </w:p>
    <w:p>
      <w:pPr>
        <w:adjustRightInd w:val="0"/>
        <w:spacing w:line="360" w:lineRule="auto"/>
        <w:ind w:firstLine="567"/>
        <w:textAlignment w:val="baseline"/>
        <w:rPr>
          <w:rFonts w:ascii="宋体" w:hAnsi="宋体"/>
          <w:color w:val="auto"/>
          <w:kern w:val="0"/>
          <w:sz w:val="24"/>
          <w:highlight w:val="none"/>
        </w:rPr>
      </w:pPr>
      <w:r>
        <w:rPr>
          <w:rFonts w:hint="eastAsia" w:ascii="宋体" w:hAnsi="宋体"/>
          <w:color w:val="auto"/>
          <w:kern w:val="0"/>
          <w:sz w:val="24"/>
          <w:highlight w:val="none"/>
        </w:rPr>
        <w:t>CRM应当顺应智慧医院管理理念，基于网络面向客户的分析型医院客户关系管理信息系统，是一套“以客户为中心，服务为核心”的管理系统，主要体现在以客户为中心和提供个性化产品或服务两个方面。</w:t>
      </w:r>
    </w:p>
    <w:p>
      <w:pPr>
        <w:adjustRightInd w:val="0"/>
        <w:spacing w:line="360" w:lineRule="auto"/>
        <w:ind w:firstLine="567"/>
        <w:textAlignment w:val="baseline"/>
        <w:rPr>
          <w:rFonts w:ascii="宋体" w:hAnsi="宋体"/>
          <w:color w:val="auto"/>
          <w:kern w:val="0"/>
          <w:sz w:val="24"/>
          <w:highlight w:val="none"/>
        </w:rPr>
      </w:pPr>
      <w:r>
        <w:rPr>
          <w:rFonts w:hint="eastAsia" w:ascii="宋体" w:hAnsi="宋体"/>
          <w:color w:val="auto"/>
          <w:kern w:val="0"/>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89"/>
        <w:gridCol w:w="69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089"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功能模块</w:t>
            </w:r>
          </w:p>
        </w:tc>
        <w:tc>
          <w:tcPr>
            <w:tcW w:w="6978"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trPr>
        <w:tc>
          <w:tcPr>
            <w:tcW w:w="2089" w:type="dxa"/>
            <w:vAlign w:val="center"/>
          </w:tcPr>
          <w:p>
            <w:pPr>
              <w:autoSpaceDE w:val="0"/>
              <w:autoSpaceDN w:val="0"/>
              <w:spacing w:before="167"/>
              <w:ind w:right="-4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医疗资源预约</w:t>
            </w:r>
          </w:p>
        </w:tc>
        <w:tc>
          <w:tcPr>
            <w:tcW w:w="6978" w:type="dxa"/>
            <w:vAlign w:val="center"/>
          </w:tcPr>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支持将CRM与医院HIS系统和门户网站进行集成，实现各种医疗活动在线预约服务。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089" w:type="dxa"/>
            <w:vAlign w:val="center"/>
          </w:tcPr>
          <w:p>
            <w:pPr>
              <w:autoSpaceDE w:val="0"/>
              <w:autoSpaceDN w:val="0"/>
              <w:spacing w:before="9"/>
              <w:ind w:right="-4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客服服务</w:t>
            </w:r>
          </w:p>
        </w:tc>
        <w:tc>
          <w:tcPr>
            <w:tcW w:w="6978" w:type="dxa"/>
            <w:vAlign w:val="center"/>
          </w:tcPr>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支持CRM与Call Center集成，能帮助医院在患者电话咨询时通过主拨号码立刻知道其身份、病史信息、就诊信息等，客服人员能准确、及时的回答患者咨询的问题，辅助患者预约相应专家、医生等。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089" w:type="dxa"/>
            <w:vAlign w:val="center"/>
          </w:tcPr>
          <w:p>
            <w:pPr>
              <w:autoSpaceDE w:val="0"/>
              <w:autoSpaceDN w:val="0"/>
              <w:spacing w:before="7"/>
              <w:ind w:right="-4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客户反馈服务</w:t>
            </w:r>
          </w:p>
        </w:tc>
        <w:tc>
          <w:tcPr>
            <w:tcW w:w="6978" w:type="dxa"/>
            <w:vAlign w:val="center"/>
          </w:tcPr>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通过CRM平台，支持建立在线、电话、自助机、信访及来访等不同渠道的用户反馈机制。对于日常医疗投诉、用户意见及建议进行记录，结果有反馈，系统可跟踪。能够有效的降低医患纠纷，提高医院医疗质量，促进医院的规范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089" w:type="dxa"/>
            <w:vAlign w:val="center"/>
          </w:tcPr>
          <w:p>
            <w:pPr>
              <w:autoSpaceDE w:val="0"/>
              <w:autoSpaceDN w:val="0"/>
              <w:spacing w:before="7"/>
              <w:ind w:right="-4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随访服务</w:t>
            </w:r>
          </w:p>
        </w:tc>
        <w:tc>
          <w:tcPr>
            <w:tcW w:w="6978" w:type="dxa"/>
            <w:vAlign w:val="center"/>
          </w:tcPr>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支持将CRM与HIS系统、电子病历系统和科研系统集成，能够对在院就诊患者进行随访，实现以科研、病情追踪、满意度调查、健康咨询、关爱服务等多种目的的患者随访。通过随访动态收集患者病程、用药、康复信息，并可生成各类统计图表，更方便医生评估患者健康状态。</w:t>
            </w:r>
          </w:p>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支持建立客户关怀沟通机制。可以通过Email、短信、电话等与患者建立多种沟通机制，对正在治疗或已经康复的患者提供医护人员的关怀，增加患者对医院的信心与忠诚度。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089" w:type="dxa"/>
            <w:vAlign w:val="center"/>
          </w:tcPr>
          <w:p>
            <w:pPr>
              <w:autoSpaceDE w:val="0"/>
              <w:autoSpaceDN w:val="0"/>
              <w:spacing w:before="7"/>
              <w:ind w:right="-4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数据分析</w:t>
            </w:r>
          </w:p>
        </w:tc>
        <w:tc>
          <w:tcPr>
            <w:tcW w:w="6978" w:type="dxa"/>
            <w:vAlign w:val="center"/>
          </w:tcPr>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支持建立医院客户关系管理数据仓库，可以对所采集到各方面的信息进行随机样本抽取、患者信息数据挖掘、患者群体和需求分析等。为医院运营中心提供数据，为临床研究提供依据。</w:t>
            </w:r>
          </w:p>
        </w:tc>
      </w:tr>
    </w:tbl>
    <w:p>
      <w:pPr>
        <w:adjustRightInd w:val="0"/>
        <w:spacing w:line="360" w:lineRule="auto"/>
        <w:ind w:firstLine="567"/>
        <w:textAlignment w:val="baseline"/>
        <w:rPr>
          <w:rFonts w:ascii="宋体" w:hAnsi="宋体"/>
          <w:color w:val="auto"/>
          <w:kern w:val="0"/>
          <w:sz w:val="24"/>
          <w:highlight w:val="none"/>
        </w:rPr>
      </w:pPr>
    </w:p>
    <w:p>
      <w:pPr>
        <w:pStyle w:val="7"/>
        <w:numPr>
          <w:ilvl w:val="4"/>
          <w:numId w:val="8"/>
        </w:numPr>
        <w:rPr>
          <w:rFonts w:ascii="宋体" w:hAnsi="宋体"/>
          <w:color w:val="auto"/>
          <w:szCs w:val="24"/>
          <w:highlight w:val="none"/>
        </w:rPr>
      </w:pPr>
      <w:bookmarkStart w:id="670" w:name="_Toc14825"/>
      <w:r>
        <w:rPr>
          <w:rFonts w:hint="eastAsia" w:ascii="宋体" w:hAnsi="宋体"/>
          <w:color w:val="auto"/>
          <w:szCs w:val="24"/>
          <w:highlight w:val="none"/>
        </w:rPr>
        <w:t>O</w:t>
      </w:r>
      <w:r>
        <w:rPr>
          <w:rFonts w:ascii="宋体" w:hAnsi="宋体"/>
          <w:color w:val="auto"/>
          <w:szCs w:val="24"/>
          <w:highlight w:val="none"/>
        </w:rPr>
        <w:t>A</w:t>
      </w:r>
      <w:r>
        <w:rPr>
          <w:rFonts w:hint="eastAsia" w:ascii="宋体" w:hAnsi="宋体"/>
          <w:color w:val="auto"/>
          <w:szCs w:val="24"/>
          <w:highlight w:val="none"/>
        </w:rPr>
        <w:t>系统</w:t>
      </w:r>
      <w:bookmarkEnd w:id="670"/>
    </w:p>
    <w:p>
      <w:pPr>
        <w:pStyle w:val="8"/>
        <w:ind w:firstLine="480"/>
        <w:rPr>
          <w:rFonts w:ascii="宋体" w:hAnsi="宋体"/>
          <w:color w:val="auto"/>
          <w:szCs w:val="24"/>
          <w:highlight w:val="none"/>
        </w:rPr>
      </w:pPr>
      <w:r>
        <w:rPr>
          <w:rFonts w:hint="eastAsia" w:ascii="宋体" w:hAnsi="宋体"/>
          <w:color w:val="auto"/>
          <w:szCs w:val="24"/>
          <w:highlight w:val="none"/>
        </w:rPr>
        <w:t>对原O</w:t>
      </w:r>
      <w:r>
        <w:rPr>
          <w:rFonts w:ascii="宋体" w:hAnsi="宋体"/>
          <w:color w:val="auto"/>
          <w:szCs w:val="24"/>
          <w:highlight w:val="none"/>
        </w:rPr>
        <w:t>A</w:t>
      </w:r>
      <w:r>
        <w:rPr>
          <w:rFonts w:hint="eastAsia" w:ascii="宋体" w:hAnsi="宋体"/>
          <w:color w:val="auto"/>
          <w:szCs w:val="24"/>
          <w:highlight w:val="none"/>
        </w:rPr>
        <w:t>系统进行升级改造，内容包括但不限于：</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6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blHeader/>
        </w:trPr>
        <w:tc>
          <w:tcPr>
            <w:tcW w:w="2153"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模块</w:t>
            </w:r>
          </w:p>
        </w:tc>
        <w:tc>
          <w:tcPr>
            <w:tcW w:w="6914"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olor w:val="auto"/>
                <w:sz w:val="24"/>
                <w:highlight w:val="none"/>
              </w:rPr>
              <w:t>O</w:t>
            </w:r>
            <w:r>
              <w:rPr>
                <w:rFonts w:ascii="宋体" w:hAnsi="宋体"/>
                <w:color w:val="auto"/>
                <w:sz w:val="24"/>
                <w:highlight w:val="none"/>
              </w:rPr>
              <w:t>A</w:t>
            </w:r>
            <w:r>
              <w:rPr>
                <w:rFonts w:hint="eastAsia" w:ascii="宋体" w:hAnsi="宋体"/>
                <w:color w:val="auto"/>
                <w:sz w:val="24"/>
                <w:highlight w:val="none"/>
              </w:rPr>
              <w:t>系统升级</w:t>
            </w:r>
          </w:p>
        </w:tc>
        <w:tc>
          <w:tcPr>
            <w:tcW w:w="6914" w:type="dxa"/>
            <w:vAlign w:val="center"/>
          </w:tcPr>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支持假期管理模块二次开发；</w:t>
            </w:r>
          </w:p>
          <w:p>
            <w:pPr>
              <w:pStyle w:val="201"/>
              <w:numPr>
                <w:ilvl w:val="0"/>
                <w:numId w:val="9"/>
              </w:numPr>
              <w:spacing w:before="6" w:line="360" w:lineRule="auto"/>
              <w:ind w:left="367" w:right="105" w:rightChars="50" w:firstLine="482"/>
              <w:rPr>
                <w:rFonts w:ascii="宋体" w:hAnsi="宋体" w:eastAsia="宋体"/>
                <w:color w:val="auto"/>
                <w:sz w:val="24"/>
                <w:highlight w:val="none"/>
                <w:lang w:eastAsia="zh-CN"/>
              </w:rPr>
            </w:pPr>
            <w:r>
              <w:rPr>
                <w:rFonts w:hint="eastAsia" w:ascii="宋体" w:hAnsi="宋体" w:eastAsia="宋体"/>
                <w:bCs/>
                <w:color w:val="auto"/>
                <w:sz w:val="24"/>
                <w:highlight w:val="none"/>
                <w:lang w:eastAsia="zh-CN"/>
              </w:rPr>
              <w:t>支持现有系统功能优化。</w:t>
            </w:r>
          </w:p>
        </w:tc>
      </w:tr>
    </w:tbl>
    <w:p>
      <w:pPr>
        <w:pStyle w:val="7"/>
        <w:numPr>
          <w:ilvl w:val="4"/>
          <w:numId w:val="8"/>
        </w:numPr>
        <w:rPr>
          <w:rFonts w:ascii="宋体" w:hAnsi="宋体"/>
          <w:color w:val="auto"/>
          <w:szCs w:val="24"/>
          <w:highlight w:val="none"/>
        </w:rPr>
      </w:pPr>
      <w:bookmarkStart w:id="671" w:name="_Toc17989"/>
      <w:r>
        <w:rPr>
          <w:rFonts w:hint="eastAsia" w:ascii="宋体" w:hAnsi="宋体"/>
          <w:color w:val="auto"/>
          <w:szCs w:val="24"/>
          <w:highlight w:val="none"/>
        </w:rPr>
        <w:t>H</w:t>
      </w:r>
      <w:r>
        <w:rPr>
          <w:rFonts w:ascii="宋体" w:hAnsi="宋体"/>
          <w:color w:val="auto"/>
          <w:szCs w:val="24"/>
          <w:highlight w:val="none"/>
        </w:rPr>
        <w:t>R</w:t>
      </w:r>
      <w:r>
        <w:rPr>
          <w:rFonts w:hint="eastAsia" w:ascii="宋体" w:hAnsi="宋体"/>
          <w:color w:val="auto"/>
          <w:szCs w:val="24"/>
          <w:highlight w:val="none"/>
        </w:rPr>
        <w:t>系统</w:t>
      </w:r>
      <w:bookmarkEnd w:id="671"/>
    </w:p>
    <w:p>
      <w:pPr>
        <w:pStyle w:val="8"/>
        <w:ind w:firstLine="480"/>
        <w:rPr>
          <w:rFonts w:ascii="宋体" w:hAnsi="宋体"/>
          <w:color w:val="auto"/>
          <w:szCs w:val="24"/>
          <w:highlight w:val="none"/>
        </w:rPr>
      </w:pPr>
      <w:r>
        <w:rPr>
          <w:rFonts w:hint="eastAsia" w:ascii="宋体" w:hAnsi="宋体"/>
          <w:color w:val="auto"/>
          <w:szCs w:val="24"/>
          <w:highlight w:val="none"/>
        </w:rPr>
        <w:t>对原H</w:t>
      </w:r>
      <w:r>
        <w:rPr>
          <w:rFonts w:ascii="宋体" w:hAnsi="宋体"/>
          <w:color w:val="auto"/>
          <w:szCs w:val="24"/>
          <w:highlight w:val="none"/>
        </w:rPr>
        <w:t>R</w:t>
      </w:r>
      <w:r>
        <w:rPr>
          <w:rFonts w:hint="eastAsia" w:ascii="宋体" w:hAnsi="宋体"/>
          <w:color w:val="auto"/>
          <w:szCs w:val="24"/>
          <w:highlight w:val="none"/>
        </w:rPr>
        <w:t>系统进行升级改造，内容包括但不限于：</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6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blHeader/>
        </w:trPr>
        <w:tc>
          <w:tcPr>
            <w:tcW w:w="2153"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模块</w:t>
            </w:r>
          </w:p>
        </w:tc>
        <w:tc>
          <w:tcPr>
            <w:tcW w:w="6914"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olor w:val="auto"/>
                <w:sz w:val="24"/>
                <w:highlight w:val="none"/>
              </w:rPr>
              <w:t>H</w:t>
            </w:r>
            <w:r>
              <w:rPr>
                <w:rFonts w:ascii="宋体" w:hAnsi="宋体"/>
                <w:color w:val="auto"/>
                <w:sz w:val="24"/>
                <w:highlight w:val="none"/>
              </w:rPr>
              <w:t>R</w:t>
            </w:r>
            <w:r>
              <w:rPr>
                <w:rFonts w:hint="eastAsia" w:ascii="宋体" w:hAnsi="宋体"/>
                <w:color w:val="auto"/>
                <w:sz w:val="24"/>
                <w:highlight w:val="none"/>
              </w:rPr>
              <w:t>系统升级</w:t>
            </w:r>
          </w:p>
        </w:tc>
        <w:tc>
          <w:tcPr>
            <w:tcW w:w="6914" w:type="dxa"/>
            <w:vAlign w:val="center"/>
          </w:tcPr>
          <w:p>
            <w:pPr>
              <w:pStyle w:val="201"/>
              <w:numPr>
                <w:ilvl w:val="0"/>
                <w:numId w:val="9"/>
              </w:numPr>
              <w:spacing w:before="6" w:line="360" w:lineRule="auto"/>
              <w:ind w:left="367"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新增考核管理</w:t>
            </w:r>
          </w:p>
          <w:p>
            <w:pPr>
              <w:pStyle w:val="201"/>
              <w:numPr>
                <w:ilvl w:val="0"/>
                <w:numId w:val="9"/>
              </w:numPr>
              <w:spacing w:before="6" w:line="360" w:lineRule="auto"/>
              <w:ind w:left="367"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新增培训管理</w:t>
            </w:r>
          </w:p>
        </w:tc>
      </w:tr>
    </w:tbl>
    <w:p>
      <w:pPr>
        <w:pStyle w:val="8"/>
        <w:ind w:firstLine="0" w:firstLineChars="0"/>
        <w:rPr>
          <w:rFonts w:ascii="宋体" w:hAnsi="宋体"/>
          <w:color w:val="auto"/>
          <w:szCs w:val="24"/>
          <w:highlight w:val="none"/>
        </w:rPr>
      </w:pPr>
    </w:p>
    <w:p>
      <w:pPr>
        <w:pStyle w:val="7"/>
        <w:numPr>
          <w:ilvl w:val="4"/>
          <w:numId w:val="8"/>
        </w:numPr>
        <w:rPr>
          <w:rFonts w:ascii="宋体" w:hAnsi="宋体"/>
          <w:color w:val="auto"/>
          <w:szCs w:val="24"/>
          <w:highlight w:val="none"/>
        </w:rPr>
      </w:pPr>
      <w:bookmarkStart w:id="672" w:name="_Toc21259"/>
      <w:r>
        <w:rPr>
          <w:rFonts w:hint="eastAsia" w:ascii="宋体" w:hAnsi="宋体"/>
          <w:color w:val="auto"/>
          <w:szCs w:val="24"/>
          <w:highlight w:val="none"/>
        </w:rPr>
        <w:t>工资系统</w:t>
      </w:r>
      <w:bookmarkEnd w:id="672"/>
    </w:p>
    <w:p>
      <w:pPr>
        <w:pStyle w:val="8"/>
        <w:ind w:firstLine="480"/>
        <w:rPr>
          <w:rFonts w:ascii="宋体" w:hAnsi="宋体"/>
          <w:color w:val="auto"/>
          <w:szCs w:val="24"/>
          <w:highlight w:val="none"/>
        </w:rPr>
      </w:pPr>
      <w:r>
        <w:rPr>
          <w:rFonts w:hint="eastAsia" w:ascii="宋体" w:hAnsi="宋体"/>
          <w:color w:val="auto"/>
          <w:szCs w:val="24"/>
          <w:highlight w:val="none"/>
        </w:rPr>
        <w:t>工资系统的日常维护，包括：</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6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blHeader/>
        </w:trPr>
        <w:tc>
          <w:tcPr>
            <w:tcW w:w="2153"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模块</w:t>
            </w:r>
          </w:p>
        </w:tc>
        <w:tc>
          <w:tcPr>
            <w:tcW w:w="6914"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olor w:val="auto"/>
                <w:sz w:val="24"/>
                <w:highlight w:val="none"/>
              </w:rPr>
              <w:t>工资系统维护</w:t>
            </w:r>
          </w:p>
        </w:tc>
        <w:tc>
          <w:tcPr>
            <w:tcW w:w="6914" w:type="dxa"/>
            <w:vAlign w:val="center"/>
          </w:tcPr>
          <w:p>
            <w:pPr>
              <w:pStyle w:val="201"/>
              <w:numPr>
                <w:ilvl w:val="0"/>
                <w:numId w:val="9"/>
              </w:numPr>
              <w:spacing w:before="6" w:line="360" w:lineRule="auto"/>
              <w:ind w:left="367"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支持工资信息的维护</w:t>
            </w:r>
          </w:p>
          <w:p>
            <w:pPr>
              <w:pStyle w:val="201"/>
              <w:numPr>
                <w:ilvl w:val="0"/>
                <w:numId w:val="9"/>
              </w:numPr>
              <w:spacing w:before="6" w:line="360" w:lineRule="auto"/>
              <w:ind w:left="367"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支持工资标准的更新</w:t>
            </w:r>
          </w:p>
          <w:p>
            <w:pPr>
              <w:pStyle w:val="201"/>
              <w:numPr>
                <w:ilvl w:val="0"/>
                <w:numId w:val="9"/>
              </w:numPr>
              <w:spacing w:before="6" w:line="360" w:lineRule="auto"/>
              <w:ind w:left="367"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支持工资晋升提醒</w:t>
            </w:r>
          </w:p>
          <w:p>
            <w:pPr>
              <w:pStyle w:val="201"/>
              <w:numPr>
                <w:ilvl w:val="0"/>
                <w:numId w:val="9"/>
              </w:numPr>
              <w:spacing w:before="6" w:line="360" w:lineRule="auto"/>
              <w:ind w:left="367"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支持工资表生成</w:t>
            </w:r>
          </w:p>
          <w:p>
            <w:pPr>
              <w:pStyle w:val="201"/>
              <w:numPr>
                <w:ilvl w:val="0"/>
                <w:numId w:val="9"/>
              </w:numPr>
              <w:spacing w:before="6" w:line="360" w:lineRule="auto"/>
              <w:ind w:left="367"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支持工资档案维护</w:t>
            </w:r>
          </w:p>
        </w:tc>
      </w:tr>
    </w:tbl>
    <w:p>
      <w:pPr>
        <w:pStyle w:val="8"/>
        <w:ind w:firstLine="0" w:firstLineChars="0"/>
        <w:rPr>
          <w:rFonts w:ascii="宋体" w:hAnsi="宋体"/>
          <w:color w:val="auto"/>
          <w:szCs w:val="24"/>
          <w:highlight w:val="none"/>
        </w:rPr>
      </w:pPr>
    </w:p>
    <w:p>
      <w:pPr>
        <w:pStyle w:val="7"/>
        <w:numPr>
          <w:ilvl w:val="4"/>
          <w:numId w:val="8"/>
        </w:numPr>
        <w:rPr>
          <w:rFonts w:ascii="宋体" w:hAnsi="宋体"/>
          <w:color w:val="auto"/>
          <w:szCs w:val="24"/>
          <w:highlight w:val="none"/>
        </w:rPr>
      </w:pPr>
      <w:bookmarkStart w:id="673" w:name="_Toc13848"/>
      <w:r>
        <w:rPr>
          <w:rFonts w:hint="eastAsia" w:ascii="宋体" w:hAnsi="宋体"/>
          <w:color w:val="auto"/>
          <w:szCs w:val="24"/>
          <w:highlight w:val="none"/>
        </w:rPr>
        <w:t>短信服务</w:t>
      </w:r>
      <w:bookmarkEnd w:id="673"/>
    </w:p>
    <w:p>
      <w:pPr>
        <w:pStyle w:val="8"/>
        <w:ind w:firstLine="480"/>
        <w:rPr>
          <w:rFonts w:ascii="宋体" w:hAnsi="宋体"/>
          <w:color w:val="auto"/>
          <w:szCs w:val="24"/>
          <w:highlight w:val="none"/>
        </w:rPr>
      </w:pPr>
      <w:r>
        <w:rPr>
          <w:rFonts w:hint="eastAsia" w:ascii="宋体" w:hAnsi="宋体"/>
          <w:color w:val="auto"/>
          <w:szCs w:val="24"/>
          <w:highlight w:val="none"/>
        </w:rPr>
        <w:t>提供短信提醒服务，包括：</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6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blHeader/>
        </w:trPr>
        <w:tc>
          <w:tcPr>
            <w:tcW w:w="2153"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模块</w:t>
            </w:r>
          </w:p>
        </w:tc>
        <w:tc>
          <w:tcPr>
            <w:tcW w:w="6914"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olor w:val="auto"/>
                <w:sz w:val="24"/>
                <w:highlight w:val="none"/>
              </w:rPr>
              <w:t>短信服务</w:t>
            </w:r>
          </w:p>
        </w:tc>
        <w:tc>
          <w:tcPr>
            <w:tcW w:w="6914" w:type="dxa"/>
            <w:vAlign w:val="center"/>
          </w:tcPr>
          <w:p>
            <w:pPr>
              <w:pStyle w:val="201"/>
              <w:numPr>
                <w:ilvl w:val="0"/>
                <w:numId w:val="9"/>
              </w:numPr>
              <w:spacing w:before="6" w:line="360" w:lineRule="auto"/>
              <w:ind w:left="367"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支持全院危急值提醒服务；</w:t>
            </w:r>
          </w:p>
          <w:p>
            <w:pPr>
              <w:pStyle w:val="201"/>
              <w:numPr>
                <w:ilvl w:val="0"/>
                <w:numId w:val="9"/>
              </w:numPr>
              <w:spacing w:before="6" w:line="360" w:lineRule="auto"/>
              <w:ind w:left="367"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支持体检专用短信服务；</w:t>
            </w:r>
          </w:p>
        </w:tc>
      </w:tr>
    </w:tbl>
    <w:p>
      <w:pPr>
        <w:pStyle w:val="8"/>
        <w:ind w:firstLine="0" w:firstLineChars="0"/>
        <w:rPr>
          <w:rFonts w:ascii="宋体" w:hAnsi="宋体"/>
          <w:color w:val="auto"/>
          <w:szCs w:val="24"/>
          <w:highlight w:val="none"/>
        </w:rPr>
      </w:pPr>
    </w:p>
    <w:p>
      <w:pPr>
        <w:pStyle w:val="7"/>
        <w:numPr>
          <w:ilvl w:val="4"/>
          <w:numId w:val="8"/>
        </w:numPr>
        <w:rPr>
          <w:rFonts w:ascii="宋体" w:hAnsi="宋体"/>
          <w:color w:val="auto"/>
          <w:szCs w:val="24"/>
          <w:highlight w:val="none"/>
        </w:rPr>
      </w:pPr>
      <w:bookmarkStart w:id="674" w:name="_Toc21507"/>
      <w:r>
        <w:rPr>
          <w:rFonts w:hint="eastAsia" w:ascii="宋体" w:hAnsi="宋体"/>
          <w:color w:val="auto"/>
          <w:szCs w:val="24"/>
          <w:highlight w:val="none"/>
        </w:rPr>
        <w:t>数字科教系统</w:t>
      </w:r>
      <w:bookmarkEnd w:id="674"/>
    </w:p>
    <w:p>
      <w:pPr>
        <w:pStyle w:val="8"/>
        <w:ind w:firstLine="480"/>
        <w:rPr>
          <w:rFonts w:ascii="宋体" w:hAnsi="宋体"/>
          <w:color w:val="auto"/>
          <w:szCs w:val="24"/>
          <w:highlight w:val="none"/>
        </w:rPr>
      </w:pPr>
      <w:r>
        <w:rPr>
          <w:rFonts w:hint="eastAsia" w:ascii="宋体" w:hAnsi="宋体"/>
          <w:color w:val="auto"/>
          <w:szCs w:val="24"/>
          <w:highlight w:val="none"/>
        </w:rPr>
        <w:t>数字科教系统</w:t>
      </w:r>
      <w:r>
        <w:rPr>
          <w:rFonts w:hint="eastAsia" w:ascii="宋体" w:hAnsi="宋体"/>
          <w:color w:val="auto"/>
          <w:szCs w:val="24"/>
          <w:highlight w:val="none"/>
          <w:lang w:eastAsia="zh-Hans"/>
        </w:rPr>
        <w:t>维护</w:t>
      </w:r>
      <w:r>
        <w:rPr>
          <w:rFonts w:hint="eastAsia" w:ascii="宋体" w:hAnsi="宋体"/>
          <w:color w:val="auto"/>
          <w:szCs w:val="24"/>
          <w:highlight w:val="none"/>
        </w:rPr>
        <w:t>。</w:t>
      </w:r>
    </w:p>
    <w:p>
      <w:pPr>
        <w:pStyle w:val="7"/>
        <w:numPr>
          <w:ilvl w:val="4"/>
          <w:numId w:val="8"/>
        </w:numPr>
        <w:rPr>
          <w:rFonts w:ascii="宋体" w:hAnsi="宋体"/>
          <w:color w:val="auto"/>
          <w:szCs w:val="24"/>
          <w:highlight w:val="none"/>
        </w:rPr>
      </w:pPr>
      <w:bookmarkStart w:id="675" w:name="_Toc15228"/>
      <w:r>
        <w:rPr>
          <w:rFonts w:hint="eastAsia" w:ascii="宋体" w:hAnsi="宋体"/>
          <w:color w:val="auto"/>
          <w:szCs w:val="24"/>
          <w:highlight w:val="none"/>
        </w:rPr>
        <w:t>实验室</w:t>
      </w:r>
      <w:r>
        <w:rPr>
          <w:rFonts w:hint="eastAsia" w:ascii="宋体" w:hAnsi="宋体"/>
          <w:color w:val="auto"/>
          <w:szCs w:val="24"/>
          <w:highlight w:val="none"/>
          <w:lang w:eastAsia="zh-CN"/>
        </w:rPr>
        <w:t>设备管理软件</w:t>
      </w:r>
      <w:bookmarkEnd w:id="675"/>
    </w:p>
    <w:p>
      <w:pPr>
        <w:pStyle w:val="8"/>
        <w:ind w:firstLine="480"/>
        <w:rPr>
          <w:rFonts w:ascii="宋体" w:hAnsi="宋体"/>
          <w:color w:val="auto"/>
          <w:szCs w:val="24"/>
          <w:highlight w:val="none"/>
        </w:rPr>
      </w:pPr>
      <w:r>
        <w:rPr>
          <w:rFonts w:hint="eastAsia" w:ascii="宋体" w:hAnsi="宋体"/>
          <w:color w:val="auto"/>
          <w:szCs w:val="24"/>
          <w:highlight w:val="none"/>
        </w:rPr>
        <w:t>通过建设实验室设备管理软件，要求实现区域内标本互送、标本状态全流程跟踪、检验结果分发与共享，解决区域内送检医疗机构人才和设备不足问题。</w:t>
      </w:r>
    </w:p>
    <w:p>
      <w:pPr>
        <w:pStyle w:val="8"/>
        <w:ind w:firstLine="480"/>
        <w:rPr>
          <w:rFonts w:ascii="宋体" w:hAnsi="宋体"/>
          <w:color w:val="auto"/>
          <w:szCs w:val="24"/>
          <w:highlight w:val="none"/>
        </w:rPr>
      </w:pPr>
      <w:r>
        <w:rPr>
          <w:rFonts w:hint="eastAsia" w:ascii="宋体" w:hAnsi="宋体"/>
          <w:color w:val="auto"/>
          <w:szCs w:val="24"/>
          <w:highlight w:val="none"/>
        </w:rPr>
        <w:t>需满足以下功能：</w:t>
      </w:r>
    </w:p>
    <w:tbl>
      <w:tblPr>
        <w:tblStyle w:val="43"/>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7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390" w:type="dxa"/>
            <w:tcBorders>
              <w:top w:val="single" w:color="auto" w:sz="4" w:space="0"/>
              <w:left w:val="single" w:color="auto" w:sz="4" w:space="0"/>
              <w:bottom w:val="single" w:color="auto" w:sz="4" w:space="0"/>
              <w:right w:val="single" w:color="auto" w:sz="4" w:space="0"/>
            </w:tcBorders>
            <w:shd w:val="clear" w:color="auto" w:fill="5B9BD5"/>
            <w:vAlign w:val="center"/>
          </w:tcPr>
          <w:p>
            <w:pPr>
              <w:spacing w:line="360" w:lineRule="auto"/>
              <w:rPr>
                <w:rFonts w:ascii="宋体" w:hAnsi="宋体" w:cs="宋体"/>
                <w:b/>
                <w:bCs/>
                <w:color w:val="auto"/>
                <w:sz w:val="24"/>
                <w:highlight w:val="none"/>
              </w:rPr>
            </w:pPr>
            <w:bookmarkStart w:id="676" w:name="_Hlk86858383"/>
            <w:r>
              <w:rPr>
                <w:rFonts w:hint="eastAsia" w:ascii="宋体" w:hAnsi="宋体" w:cs="宋体"/>
                <w:b/>
                <w:bCs/>
                <w:color w:val="auto"/>
                <w:sz w:val="24"/>
                <w:highlight w:val="none"/>
              </w:rPr>
              <w:t>模块</w:t>
            </w:r>
          </w:p>
        </w:tc>
        <w:tc>
          <w:tcPr>
            <w:tcW w:w="7128" w:type="dxa"/>
            <w:tcBorders>
              <w:top w:val="single" w:color="auto" w:sz="4" w:space="0"/>
              <w:left w:val="single" w:color="auto" w:sz="4" w:space="0"/>
              <w:bottom w:val="single" w:color="auto" w:sz="4" w:space="0"/>
              <w:right w:val="single" w:color="auto" w:sz="4" w:space="0"/>
            </w:tcBorders>
            <w:shd w:val="clear" w:color="auto" w:fill="5B9BD5"/>
            <w:vAlign w:val="center"/>
          </w:tcPr>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390" w:type="dxa"/>
            <w:tcBorders>
              <w:left w:val="single" w:color="auto" w:sz="4" w:space="0"/>
              <w:right w:val="single" w:color="auto" w:sz="4" w:space="0"/>
            </w:tcBorders>
            <w:vAlign w:val="center"/>
          </w:tcPr>
          <w:p>
            <w:pPr>
              <w:spacing w:line="360" w:lineRule="auto"/>
              <w:jc w:val="center"/>
              <w:rPr>
                <w:rFonts w:ascii="宋体" w:hAnsi="宋体" w:cs="宋体"/>
                <w:b/>
                <w:bCs/>
                <w:color w:val="auto"/>
                <w:sz w:val="24"/>
                <w:highlight w:val="none"/>
              </w:rPr>
            </w:pPr>
            <w:r>
              <w:rPr>
                <w:rFonts w:hint="eastAsia" w:ascii="宋体" w:hAnsi="宋体" w:cs="宋体"/>
                <w:b/>
                <w:bCs/>
                <w:color w:val="auto"/>
                <w:kern w:val="0"/>
                <w:sz w:val="24"/>
                <w:highlight w:val="none"/>
              </w:rPr>
              <w:t>平台基础管理</w:t>
            </w:r>
          </w:p>
        </w:tc>
        <w:tc>
          <w:tcPr>
            <w:tcW w:w="712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color w:val="auto"/>
                <w:kern w:val="0"/>
                <w:sz w:val="24"/>
                <w:highlight w:val="none"/>
              </w:rPr>
            </w:pPr>
            <w:bookmarkStart w:id="677" w:name="RANGE!E3"/>
            <w:r>
              <w:rPr>
                <w:rFonts w:hint="eastAsia" w:ascii="宋体" w:hAnsi="宋体" w:cs="宋体"/>
                <w:color w:val="auto"/>
                <w:kern w:val="0"/>
                <w:sz w:val="24"/>
                <w:highlight w:val="none"/>
              </w:rPr>
              <w:t>支持区域管理</w:t>
            </w:r>
            <w:bookmarkEnd w:id="677"/>
            <w:r>
              <w:rPr>
                <w:rFonts w:hint="eastAsia" w:ascii="宋体" w:hAnsi="宋体" w:cs="宋体"/>
                <w:color w:val="auto"/>
                <w:kern w:val="0"/>
                <w:sz w:val="24"/>
                <w:highlight w:val="none"/>
              </w:rPr>
              <w:t>、医疗机构管理、条码规则管理、用户管理、角色管理、角色对应用户、用户对应区域/医院、</w:t>
            </w:r>
            <w:r>
              <w:rPr>
                <w:rFonts w:hint="eastAsia" w:ascii="宋体" w:hAnsi="宋体" w:cs="宋体"/>
                <w:color w:val="auto"/>
                <w:sz w:val="24"/>
                <w:highlight w:val="none"/>
              </w:rPr>
              <w:t>权限管理、日志管理。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390" w:type="dxa"/>
            <w:tcBorders>
              <w:left w:val="single" w:color="auto" w:sz="4" w:space="0"/>
              <w:right w:val="single" w:color="auto" w:sz="4" w:space="0"/>
            </w:tcBorders>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申请项目管理</w:t>
            </w:r>
          </w:p>
        </w:tc>
        <w:tc>
          <w:tcPr>
            <w:tcW w:w="712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支持基准申请项目、医院申请项目、申请项目对照、</w:t>
            </w:r>
            <w:r>
              <w:rPr>
                <w:rFonts w:hint="eastAsia" w:ascii="宋体" w:hAnsi="宋体" w:cs="宋体"/>
                <w:color w:val="auto"/>
                <w:sz w:val="24"/>
                <w:highlight w:val="none"/>
              </w:rPr>
              <w:t>申请信息上传、下载。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390" w:type="dxa"/>
            <w:tcBorders>
              <w:left w:val="single" w:color="auto" w:sz="4" w:space="0"/>
              <w:right w:val="single" w:color="auto" w:sz="4" w:space="0"/>
            </w:tcBorders>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平台数据中心及交互管理</w:t>
            </w:r>
          </w:p>
        </w:tc>
        <w:tc>
          <w:tcPr>
            <w:tcW w:w="712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支持检验申请数据。</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支持检验报告数据、检验报告管理、检验报告打印、报告上传、下载、各个医疗机构检验报告查看、打印、支持跨医院和区域的检验内容（含检验报告单、检验指标）共享。</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支持检验申请信息交互、检验报告信息交互、标本状态交互、质量管理信息交互。</w:t>
            </w:r>
          </w:p>
          <w:p>
            <w:pPr>
              <w:pStyle w:val="19"/>
              <w:rPr>
                <w:rFonts w:cs="宋体"/>
                <w:color w:val="auto"/>
                <w:highlight w:val="none"/>
              </w:rPr>
            </w:pPr>
            <w:r>
              <w:rPr>
                <w:rFonts w:hint="eastAsia" w:cs="宋体"/>
                <w:color w:val="auto"/>
                <w:highlight w:val="none"/>
              </w:rPr>
              <w:t>支持多种方式支持第三方调阅。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390" w:type="dxa"/>
            <w:tcBorders>
              <w:left w:val="single" w:color="auto" w:sz="4" w:space="0"/>
              <w:right w:val="single" w:color="auto" w:sz="4" w:space="0"/>
            </w:tcBorders>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检验申请管理</w:t>
            </w:r>
          </w:p>
        </w:tc>
        <w:tc>
          <w:tcPr>
            <w:tcW w:w="712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支持检验申请录入、条码打印、检验申请修改、申请项目组套维护。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390" w:type="dxa"/>
            <w:tcBorders>
              <w:left w:val="single" w:color="auto" w:sz="4" w:space="0"/>
              <w:right w:val="single" w:color="auto" w:sz="4" w:space="0"/>
            </w:tcBorders>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检验质量统计分析</w:t>
            </w:r>
          </w:p>
        </w:tc>
        <w:tc>
          <w:tcPr>
            <w:tcW w:w="712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支持质控概况、质控查询、失控查询、失控率统计、质控月报表。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390" w:type="dxa"/>
            <w:tcBorders>
              <w:left w:val="single" w:color="auto" w:sz="4" w:space="0"/>
              <w:right w:val="single" w:color="auto" w:sz="4" w:space="0"/>
            </w:tcBorders>
            <w:vAlign w:val="center"/>
          </w:tcPr>
          <w:p>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统计分析</w:t>
            </w:r>
          </w:p>
        </w:tc>
        <w:tc>
          <w:tcPr>
            <w:tcW w:w="712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支持检验状态查询、标本量统计、申请项目统计、标本状态监控、报告项目统计、报告数量统计、异常结果统计、报告时间统计、危急值概况、危急值查询、危急值统计、不合格标本概况、不合格标本查询、不合格标本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390" w:type="dxa"/>
            <w:tcBorders>
              <w:left w:val="single" w:color="auto" w:sz="4" w:space="0"/>
              <w:right w:val="single" w:color="auto" w:sz="4" w:space="0"/>
            </w:tcBorders>
            <w:vAlign w:val="center"/>
          </w:tcPr>
          <w:p>
            <w:pPr>
              <w:spacing w:line="360" w:lineRule="auto"/>
              <w:rPr>
                <w:rFonts w:ascii="宋体" w:hAnsi="宋体" w:cs="宋体"/>
                <w:b/>
                <w:color w:val="auto"/>
                <w:sz w:val="24"/>
                <w:highlight w:val="none"/>
              </w:rPr>
            </w:pPr>
            <w:r>
              <w:rPr>
                <w:rFonts w:hint="eastAsia" w:ascii="宋体" w:hAnsi="宋体" w:cs="宋体"/>
                <w:b/>
                <w:color w:val="auto"/>
                <w:sz w:val="24"/>
                <w:highlight w:val="none"/>
              </w:rPr>
              <w:t>标准字典与基础数据管理</w:t>
            </w:r>
          </w:p>
          <w:p>
            <w:pPr>
              <w:spacing w:line="360" w:lineRule="auto"/>
              <w:jc w:val="center"/>
              <w:rPr>
                <w:rFonts w:ascii="宋体" w:hAnsi="宋体" w:cs="宋体"/>
                <w:color w:val="auto"/>
                <w:kern w:val="0"/>
                <w:sz w:val="24"/>
                <w:highlight w:val="none"/>
              </w:rPr>
            </w:pPr>
          </w:p>
        </w:tc>
        <w:tc>
          <w:tcPr>
            <w:tcW w:w="7128" w:type="dxa"/>
            <w:tcBorders>
              <w:top w:val="single" w:color="auto" w:sz="4" w:space="0"/>
              <w:left w:val="single" w:color="auto" w:sz="4" w:space="0"/>
              <w:bottom w:val="single" w:color="auto" w:sz="4" w:space="0"/>
              <w:right w:val="single" w:color="auto" w:sz="4" w:space="0"/>
            </w:tcBorders>
            <w:vAlign w:val="center"/>
          </w:tcPr>
          <w:p>
            <w:pPr>
              <w:pStyle w:val="64"/>
              <w:spacing w:line="360" w:lineRule="auto"/>
              <w:ind w:firstLine="0" w:firstLineChars="0"/>
              <w:rPr>
                <w:rFonts w:ascii="宋体" w:hAnsi="宋体" w:cs="宋体"/>
                <w:color w:val="auto"/>
                <w:highlight w:val="none"/>
              </w:rPr>
            </w:pPr>
            <w:r>
              <w:rPr>
                <w:rFonts w:hint="eastAsia" w:ascii="宋体" w:hAnsi="宋体" w:cs="宋体"/>
                <w:color w:val="auto"/>
                <w:highlight w:val="none"/>
              </w:rPr>
              <w:t>支持建立统一的医疗机构代码库、申请项目字典、报告项目字典、机构授权、人员授权以及其他的标准字典；</w:t>
            </w:r>
          </w:p>
          <w:p>
            <w:pPr>
              <w:pStyle w:val="64"/>
              <w:spacing w:line="360" w:lineRule="auto"/>
              <w:ind w:firstLine="0" w:firstLineChars="0"/>
              <w:rPr>
                <w:rFonts w:ascii="宋体" w:hAnsi="宋体" w:cs="宋体"/>
                <w:color w:val="auto"/>
                <w:highlight w:val="none"/>
              </w:rPr>
            </w:pPr>
            <w:r>
              <w:rPr>
                <w:rFonts w:hint="eastAsia" w:ascii="宋体" w:hAnsi="宋体" w:cs="宋体"/>
                <w:color w:val="auto"/>
                <w:highlight w:val="none"/>
              </w:rPr>
              <w:t>支持建立统一的条码规则字典；</w:t>
            </w:r>
          </w:p>
          <w:p>
            <w:pPr>
              <w:pStyle w:val="64"/>
              <w:spacing w:line="360" w:lineRule="auto"/>
              <w:ind w:firstLine="0" w:firstLineChars="0"/>
              <w:rPr>
                <w:rFonts w:ascii="宋体" w:hAnsi="宋体" w:cs="宋体"/>
                <w:color w:val="auto"/>
                <w:highlight w:val="none"/>
              </w:rPr>
            </w:pPr>
            <w:r>
              <w:rPr>
                <w:rFonts w:hint="eastAsia" w:ascii="宋体" w:hAnsi="宋体" w:cs="宋体"/>
                <w:color w:val="auto"/>
                <w:highlight w:val="none"/>
              </w:rPr>
              <w:t>支持标准字典与各院区字典对照管理；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90" w:type="dxa"/>
            <w:tcBorders>
              <w:left w:val="single" w:color="auto" w:sz="4" w:space="0"/>
              <w:right w:val="single" w:color="auto" w:sz="4" w:space="0"/>
            </w:tcBorders>
            <w:vAlign w:val="center"/>
          </w:tcPr>
          <w:p>
            <w:pPr>
              <w:spacing w:line="360" w:lineRule="auto"/>
              <w:jc w:val="center"/>
              <w:rPr>
                <w:rFonts w:ascii="宋体" w:hAnsi="宋体" w:cs="宋体"/>
                <w:color w:val="auto"/>
                <w:kern w:val="0"/>
                <w:sz w:val="24"/>
                <w:highlight w:val="none"/>
              </w:rPr>
            </w:pPr>
            <w:r>
              <w:rPr>
                <w:rStyle w:val="46"/>
                <w:rFonts w:hint="eastAsia" w:ascii="宋体" w:hAnsi="宋体" w:cs="宋体"/>
                <w:color w:val="auto"/>
                <w:sz w:val="24"/>
                <w:highlight w:val="none"/>
              </w:rPr>
              <w:t>区域检验结果互联互通</w:t>
            </w:r>
          </w:p>
        </w:tc>
        <w:tc>
          <w:tcPr>
            <w:tcW w:w="7128" w:type="dxa"/>
            <w:tcBorders>
              <w:top w:val="single" w:color="auto" w:sz="4" w:space="0"/>
              <w:left w:val="single" w:color="auto" w:sz="4" w:space="0"/>
              <w:bottom w:val="single" w:color="auto" w:sz="4" w:space="0"/>
              <w:right w:val="single" w:color="auto" w:sz="4" w:space="0"/>
            </w:tcBorders>
            <w:vAlign w:val="center"/>
          </w:tcPr>
          <w:p>
            <w:pPr>
              <w:pStyle w:val="64"/>
              <w:spacing w:line="360" w:lineRule="auto"/>
              <w:ind w:firstLine="0" w:firstLineChars="0"/>
              <w:rPr>
                <w:rFonts w:ascii="宋体" w:hAnsi="宋体" w:cs="宋体"/>
                <w:color w:val="auto"/>
                <w:highlight w:val="none"/>
              </w:rPr>
            </w:pPr>
            <w:r>
              <w:rPr>
                <w:rFonts w:hint="eastAsia" w:ascii="宋体" w:hAnsi="宋体" w:cs="宋体"/>
                <w:color w:val="auto"/>
                <w:highlight w:val="none"/>
              </w:rPr>
              <w:t>支持区域内所有检验结果可通过外网进行统计查询；</w:t>
            </w:r>
          </w:p>
          <w:p>
            <w:pPr>
              <w:pStyle w:val="64"/>
              <w:spacing w:line="360" w:lineRule="auto"/>
              <w:ind w:firstLine="0" w:firstLineChars="0"/>
              <w:rPr>
                <w:rFonts w:ascii="宋体" w:hAnsi="宋体" w:cs="宋体"/>
                <w:color w:val="auto"/>
                <w:highlight w:val="none"/>
              </w:rPr>
            </w:pPr>
            <w:r>
              <w:rPr>
                <w:rFonts w:hint="eastAsia" w:ascii="宋体" w:hAnsi="宋体" w:cs="宋体"/>
                <w:color w:val="auto"/>
                <w:highlight w:val="none"/>
              </w:rPr>
              <w:t>支持各个医疗机构可直接在平台进行报告查询和打印。</w:t>
            </w:r>
          </w:p>
        </w:tc>
      </w:tr>
      <w:bookmarkEnd w:id="676"/>
    </w:tbl>
    <w:p>
      <w:pPr>
        <w:pStyle w:val="8"/>
        <w:ind w:firstLine="480"/>
        <w:rPr>
          <w:rFonts w:ascii="宋体" w:hAnsi="宋体"/>
          <w:color w:val="auto"/>
          <w:szCs w:val="24"/>
          <w:highlight w:val="none"/>
        </w:rPr>
      </w:pPr>
    </w:p>
    <w:p>
      <w:pPr>
        <w:pStyle w:val="7"/>
        <w:numPr>
          <w:ilvl w:val="4"/>
          <w:numId w:val="8"/>
        </w:numPr>
        <w:rPr>
          <w:rFonts w:ascii="宋体" w:hAnsi="宋体"/>
          <w:color w:val="auto"/>
          <w:szCs w:val="24"/>
          <w:highlight w:val="none"/>
        </w:rPr>
      </w:pPr>
      <w:bookmarkStart w:id="678" w:name="_Toc15899"/>
      <w:r>
        <w:rPr>
          <w:rFonts w:hint="eastAsia" w:ascii="宋体" w:hAnsi="宋体"/>
          <w:color w:val="auto"/>
          <w:szCs w:val="24"/>
          <w:highlight w:val="none"/>
        </w:rPr>
        <w:t>教学培训管理系统</w:t>
      </w:r>
      <w:bookmarkEnd w:id="678"/>
    </w:p>
    <w:p>
      <w:pPr>
        <w:pStyle w:val="8"/>
        <w:ind w:firstLine="480"/>
        <w:rPr>
          <w:rFonts w:ascii="宋体" w:hAnsi="宋体"/>
          <w:color w:val="auto"/>
          <w:szCs w:val="24"/>
          <w:highlight w:val="none"/>
        </w:rPr>
      </w:pPr>
      <w:r>
        <w:rPr>
          <w:rFonts w:hint="eastAsia" w:ascii="宋体" w:hAnsi="宋体"/>
          <w:color w:val="auto"/>
          <w:szCs w:val="24"/>
          <w:highlight w:val="none"/>
        </w:rPr>
        <w:t>对学生的临床教学、对研究生、进修人员的培养，是医院一项重要任务，各教研室需要向科教科提交年度及月度的教学计划、发布海报，科教科要进行各种统计。医务人员的带教管理及考核评价，是年度考评、职称评定的重要指标。教学培训管理系统对临床教学管理进行设计与实施，让各部门的临床老师、学生、教学管理人员等同时参与并进行反馈的一套医院教学全流程管理系统。</w:t>
      </w:r>
    </w:p>
    <w:p>
      <w:pPr>
        <w:pStyle w:val="8"/>
        <w:ind w:firstLine="480"/>
        <w:rPr>
          <w:rFonts w:ascii="宋体" w:hAnsi="宋体"/>
          <w:color w:val="auto"/>
          <w:szCs w:val="24"/>
          <w:highlight w:val="none"/>
        </w:rPr>
      </w:pPr>
      <w:r>
        <w:rPr>
          <w:rFonts w:hint="eastAsia" w:ascii="宋体" w:hAnsi="宋体"/>
          <w:color w:val="auto"/>
          <w:szCs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89"/>
        <w:gridCol w:w="69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089"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功能模块</w:t>
            </w:r>
          </w:p>
        </w:tc>
        <w:tc>
          <w:tcPr>
            <w:tcW w:w="6978"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2089" w:type="dxa"/>
            <w:vAlign w:val="center"/>
          </w:tcPr>
          <w:p>
            <w:pPr>
              <w:autoSpaceDE w:val="0"/>
              <w:autoSpaceDN w:val="0"/>
              <w:spacing w:before="167"/>
              <w:ind w:right="-4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业务管理工作</w:t>
            </w:r>
          </w:p>
        </w:tc>
        <w:tc>
          <w:tcPr>
            <w:tcW w:w="6978" w:type="dxa"/>
            <w:vAlign w:val="center"/>
          </w:tcPr>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支持建立全院代缴老师花名册，登记带教老师的基本信息。</w:t>
            </w:r>
          </w:p>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支持教学管理部门掌握带教老师基本信息，包括：基本信息、相关档案材料、所带课程以及学生评价等。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089" w:type="dxa"/>
            <w:vAlign w:val="center"/>
          </w:tcPr>
          <w:p>
            <w:pPr>
              <w:autoSpaceDE w:val="0"/>
              <w:autoSpaceDN w:val="0"/>
              <w:spacing w:before="9"/>
              <w:ind w:right="-4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教学活动管理</w:t>
            </w:r>
          </w:p>
        </w:tc>
        <w:tc>
          <w:tcPr>
            <w:tcW w:w="6978" w:type="dxa"/>
            <w:vAlign w:val="center"/>
          </w:tcPr>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支持详细配置</w:t>
            </w:r>
          </w:p>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支持教学活动上报</w:t>
            </w:r>
          </w:p>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支持教学活动发布</w:t>
            </w:r>
          </w:p>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支持教学活动查询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089" w:type="dxa"/>
            <w:vAlign w:val="center"/>
          </w:tcPr>
          <w:p>
            <w:pPr>
              <w:autoSpaceDE w:val="0"/>
              <w:autoSpaceDN w:val="0"/>
              <w:spacing w:before="7"/>
              <w:ind w:right="-4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护理教学管理</w:t>
            </w:r>
          </w:p>
        </w:tc>
        <w:tc>
          <w:tcPr>
            <w:tcW w:w="6978" w:type="dxa"/>
            <w:vAlign w:val="center"/>
          </w:tcPr>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支持对新毕业护士、实习护士进行护理教学管理，抽考护理操作，登记考核情况。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089" w:type="dxa"/>
            <w:vAlign w:val="center"/>
          </w:tcPr>
          <w:p>
            <w:pPr>
              <w:autoSpaceDE w:val="0"/>
              <w:autoSpaceDN w:val="0"/>
              <w:spacing w:before="7"/>
              <w:ind w:right="-4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学生信息管理</w:t>
            </w:r>
          </w:p>
        </w:tc>
        <w:tc>
          <w:tcPr>
            <w:tcW w:w="6978" w:type="dxa"/>
            <w:vAlign w:val="center"/>
          </w:tcPr>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支持管理每个实习生、进修生、研究生的基本信息；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089" w:type="dxa"/>
            <w:vAlign w:val="center"/>
          </w:tcPr>
          <w:p>
            <w:pPr>
              <w:autoSpaceDE w:val="0"/>
              <w:autoSpaceDN w:val="0"/>
              <w:spacing w:before="7"/>
              <w:ind w:right="-4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学生轮训管理</w:t>
            </w:r>
          </w:p>
        </w:tc>
        <w:tc>
          <w:tcPr>
            <w:tcW w:w="6978" w:type="dxa"/>
            <w:vAlign w:val="center"/>
          </w:tcPr>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支持学生轮转安排</w:t>
            </w:r>
          </w:p>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支持人员汇总表</w:t>
            </w:r>
          </w:p>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支持科室汇总表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089" w:type="dxa"/>
            <w:vAlign w:val="center"/>
          </w:tcPr>
          <w:p>
            <w:pPr>
              <w:autoSpaceDE w:val="0"/>
              <w:autoSpaceDN w:val="0"/>
              <w:spacing w:before="7"/>
              <w:ind w:right="-4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教学评价管理</w:t>
            </w:r>
          </w:p>
        </w:tc>
        <w:tc>
          <w:tcPr>
            <w:tcW w:w="6978" w:type="dxa"/>
            <w:vAlign w:val="center"/>
          </w:tcPr>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支持评价模板</w:t>
            </w:r>
          </w:p>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支持学生对课程评价</w:t>
            </w:r>
          </w:p>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支持学生对老师的评价</w:t>
            </w:r>
          </w:p>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支持对教学活动的评价</w:t>
            </w:r>
          </w:p>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支持老师对学生的评价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089" w:type="dxa"/>
            <w:vAlign w:val="center"/>
          </w:tcPr>
          <w:p>
            <w:pPr>
              <w:autoSpaceDE w:val="0"/>
              <w:autoSpaceDN w:val="0"/>
              <w:spacing w:before="7"/>
              <w:ind w:right="-4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进修管理</w:t>
            </w:r>
          </w:p>
        </w:tc>
        <w:tc>
          <w:tcPr>
            <w:tcW w:w="6978" w:type="dxa"/>
            <w:vAlign w:val="center"/>
          </w:tcPr>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支持发布进修项目信息</w:t>
            </w:r>
          </w:p>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支持进修人员在线提交材料</w:t>
            </w:r>
          </w:p>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支持教学管理部门审核材料及相关日常管理</w:t>
            </w:r>
          </w:p>
        </w:tc>
      </w:tr>
    </w:tbl>
    <w:p>
      <w:pPr>
        <w:pStyle w:val="8"/>
        <w:ind w:firstLine="480"/>
        <w:rPr>
          <w:rFonts w:ascii="宋体" w:hAnsi="宋体"/>
          <w:color w:val="auto"/>
          <w:szCs w:val="24"/>
          <w:highlight w:val="none"/>
        </w:rPr>
      </w:pPr>
    </w:p>
    <w:p>
      <w:pPr>
        <w:pStyle w:val="7"/>
        <w:numPr>
          <w:ilvl w:val="4"/>
          <w:numId w:val="8"/>
        </w:numPr>
        <w:rPr>
          <w:rFonts w:ascii="宋体" w:hAnsi="宋体"/>
          <w:color w:val="auto"/>
          <w:szCs w:val="24"/>
          <w:highlight w:val="none"/>
        </w:rPr>
      </w:pPr>
      <w:bookmarkStart w:id="679" w:name="_Toc21776"/>
      <w:r>
        <w:rPr>
          <w:rFonts w:hint="eastAsia" w:ascii="宋体" w:hAnsi="宋体"/>
          <w:color w:val="auto"/>
          <w:szCs w:val="24"/>
          <w:highlight w:val="none"/>
        </w:rPr>
        <w:t>新疆维吾尔自治区住院医师规范化培训综合管理平台</w:t>
      </w:r>
      <w:bookmarkEnd w:id="679"/>
    </w:p>
    <w:p>
      <w:pPr>
        <w:pStyle w:val="8"/>
        <w:ind w:firstLine="480"/>
        <w:rPr>
          <w:rFonts w:ascii="宋体" w:hAnsi="宋体"/>
          <w:color w:val="auto"/>
          <w:szCs w:val="24"/>
          <w:highlight w:val="none"/>
        </w:rPr>
      </w:pPr>
      <w:r>
        <w:rPr>
          <w:rFonts w:hint="eastAsia" w:ascii="宋体" w:hAnsi="宋体"/>
          <w:color w:val="auto"/>
          <w:szCs w:val="24"/>
          <w:highlight w:val="none"/>
        </w:rPr>
        <w:t>提供对新疆维吾尔自治区住院医师规范化培训综合管理平台提供系统维护服务。</w:t>
      </w:r>
    </w:p>
    <w:p>
      <w:pPr>
        <w:pStyle w:val="6"/>
        <w:numPr>
          <w:ilvl w:val="3"/>
          <w:numId w:val="8"/>
        </w:numPr>
        <w:spacing w:before="280" w:after="290" w:line="376" w:lineRule="auto"/>
        <w:rPr>
          <w:rFonts w:ascii="宋体" w:hAnsi="宋体"/>
          <w:color w:val="auto"/>
          <w:sz w:val="24"/>
          <w:szCs w:val="24"/>
          <w:highlight w:val="none"/>
        </w:rPr>
      </w:pPr>
      <w:bookmarkStart w:id="680" w:name="_Toc5607"/>
      <w:r>
        <w:rPr>
          <w:rFonts w:hint="eastAsia" w:ascii="宋体" w:hAnsi="宋体"/>
          <w:color w:val="auto"/>
          <w:sz w:val="24"/>
          <w:szCs w:val="24"/>
          <w:highlight w:val="none"/>
        </w:rPr>
        <w:t>临床科研平台</w:t>
      </w:r>
      <w:bookmarkEnd w:id="680"/>
    </w:p>
    <w:p>
      <w:pPr>
        <w:pStyle w:val="7"/>
        <w:numPr>
          <w:ilvl w:val="4"/>
          <w:numId w:val="8"/>
        </w:numPr>
        <w:rPr>
          <w:rFonts w:ascii="宋体" w:hAnsi="宋体"/>
          <w:color w:val="auto"/>
          <w:szCs w:val="24"/>
          <w:highlight w:val="none"/>
        </w:rPr>
      </w:pPr>
      <w:bookmarkStart w:id="681" w:name="_Toc23467"/>
      <w:r>
        <w:rPr>
          <w:rFonts w:hint="eastAsia" w:ascii="宋体" w:hAnsi="宋体"/>
          <w:color w:val="auto"/>
          <w:szCs w:val="24"/>
          <w:highlight w:val="none"/>
        </w:rPr>
        <w:t>科研数据搜索协助系统</w:t>
      </w:r>
      <w:bookmarkEnd w:id="681"/>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科研数据搜索系统能够基于临床累积的大量结构化、非结构化数据，建设交互式的医疗检索系统。为用户提供便捷的数据检索和浏览服务，以提高用户医学科研和工作效率。在科研、临床、管理领域发挥数据作用。</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医院采购该系统，要求能够实现以下功能：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6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blHeader/>
        </w:trPr>
        <w:tc>
          <w:tcPr>
            <w:tcW w:w="2153"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模块</w:t>
            </w:r>
          </w:p>
        </w:tc>
        <w:tc>
          <w:tcPr>
            <w:tcW w:w="6914"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olor w:val="auto"/>
                <w:sz w:val="24"/>
                <w:highlight w:val="none"/>
              </w:rPr>
              <w:t>科研数据搜索协助系统</w:t>
            </w:r>
          </w:p>
        </w:tc>
        <w:tc>
          <w:tcPr>
            <w:tcW w:w="6914" w:type="dxa"/>
            <w:vAlign w:val="center"/>
          </w:tcPr>
          <w:p>
            <w:pPr>
              <w:pStyle w:val="64"/>
              <w:widowControl w:val="0"/>
              <w:numPr>
                <w:ilvl w:val="0"/>
                <w:numId w:val="26"/>
              </w:numPr>
              <w:spacing w:line="360" w:lineRule="auto"/>
              <w:ind w:firstLineChars="0"/>
              <w:rPr>
                <w:rFonts w:ascii="宋体" w:hAnsi="宋体"/>
                <w:color w:val="auto"/>
                <w:highlight w:val="none"/>
              </w:rPr>
            </w:pPr>
            <w:r>
              <w:rPr>
                <w:rFonts w:hint="eastAsia" w:ascii="宋体" w:hAnsi="宋体"/>
                <w:color w:val="auto"/>
                <w:highlight w:val="none"/>
              </w:rPr>
              <w:t>架构：支持基于分布式数据库构建，适应于医院科研数据中心的扩展。</w:t>
            </w:r>
          </w:p>
          <w:p>
            <w:pPr>
              <w:pStyle w:val="64"/>
              <w:widowControl w:val="0"/>
              <w:numPr>
                <w:ilvl w:val="0"/>
                <w:numId w:val="26"/>
              </w:numPr>
              <w:spacing w:line="360" w:lineRule="auto"/>
              <w:ind w:firstLineChars="0"/>
              <w:rPr>
                <w:rFonts w:ascii="宋体" w:hAnsi="宋体"/>
                <w:color w:val="auto"/>
                <w:highlight w:val="none"/>
              </w:rPr>
            </w:pPr>
            <w:r>
              <w:rPr>
                <w:rFonts w:hint="eastAsia" w:ascii="宋体" w:hAnsi="宋体"/>
                <w:color w:val="auto"/>
                <w:highlight w:val="none"/>
              </w:rPr>
              <w:t>管理与隐私保护：支持有效保护患者医疗信息的隐私性，系统支持建立不同级别的访问权限与数据隐私保护。</w:t>
            </w:r>
          </w:p>
          <w:p>
            <w:pPr>
              <w:pStyle w:val="64"/>
              <w:widowControl w:val="0"/>
              <w:numPr>
                <w:ilvl w:val="0"/>
                <w:numId w:val="27"/>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支持身份认证与访问控制：可由医院设定用户账号以及用户权限</w:t>
            </w:r>
          </w:p>
          <w:p>
            <w:pPr>
              <w:pStyle w:val="64"/>
              <w:widowControl w:val="0"/>
              <w:numPr>
                <w:ilvl w:val="0"/>
                <w:numId w:val="27"/>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支持对系统内的数据有隐私保护功能:对敏感数据信息进行脱敏处理。具备数据脱敏与数据安全级别保护措施</w:t>
            </w:r>
          </w:p>
          <w:p>
            <w:pPr>
              <w:pStyle w:val="64"/>
              <w:widowControl w:val="0"/>
              <w:numPr>
                <w:ilvl w:val="0"/>
                <w:numId w:val="27"/>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w:t>
            </w:r>
            <w:r>
              <w:rPr>
                <w:rFonts w:hint="eastAsia" w:ascii="宋体" w:hAnsi="宋体"/>
                <w:color w:val="auto"/>
                <w:highlight w:val="none"/>
              </w:rPr>
              <w:t>系统允许调整及设置敏感数据项，可对数据中心中所有数据项的各种输出的脱敏规则进行设置</w:t>
            </w:r>
          </w:p>
          <w:p>
            <w:pPr>
              <w:pStyle w:val="64"/>
              <w:widowControl w:val="0"/>
              <w:numPr>
                <w:ilvl w:val="0"/>
                <w:numId w:val="27"/>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w:t>
            </w:r>
            <w:r>
              <w:rPr>
                <w:rFonts w:ascii="宋体" w:hAnsi="宋体"/>
                <w:color w:val="auto"/>
                <w:highlight w:val="none"/>
              </w:rPr>
              <w:t>精准</w:t>
            </w:r>
            <w:r>
              <w:rPr>
                <w:rFonts w:hint="eastAsia" w:ascii="宋体" w:hAnsi="宋体"/>
                <w:color w:val="auto"/>
                <w:highlight w:val="none"/>
              </w:rPr>
              <w:t>、</w:t>
            </w:r>
            <w:r>
              <w:rPr>
                <w:rFonts w:ascii="宋体" w:hAnsi="宋体"/>
                <w:color w:val="auto"/>
                <w:highlight w:val="none"/>
              </w:rPr>
              <w:t>灵活的数据</w:t>
            </w:r>
            <w:r>
              <w:rPr>
                <w:rFonts w:hint="eastAsia" w:ascii="宋体" w:hAnsi="宋体"/>
                <w:color w:val="auto"/>
                <w:highlight w:val="none"/>
              </w:rPr>
              <w:t>脱敏</w:t>
            </w:r>
            <w:r>
              <w:rPr>
                <w:rFonts w:ascii="宋体" w:hAnsi="宋体"/>
                <w:color w:val="auto"/>
                <w:highlight w:val="none"/>
              </w:rPr>
              <w:t>规则</w:t>
            </w:r>
            <w:r>
              <w:rPr>
                <w:rFonts w:hint="eastAsia" w:ascii="宋体" w:hAnsi="宋体"/>
                <w:color w:val="auto"/>
                <w:highlight w:val="none"/>
              </w:rPr>
              <w:t>，</w:t>
            </w:r>
            <w:r>
              <w:rPr>
                <w:rFonts w:ascii="宋体" w:hAnsi="宋体"/>
                <w:color w:val="auto"/>
                <w:highlight w:val="none"/>
              </w:rPr>
              <w:t>使不同类别的数据项以不同的方式进行脱敏</w:t>
            </w:r>
            <w:r>
              <w:rPr>
                <w:rFonts w:hint="eastAsia" w:ascii="宋体" w:hAnsi="宋体"/>
                <w:color w:val="auto"/>
                <w:highlight w:val="none"/>
              </w:rPr>
              <w:t>，脱敏规则支持但不限于：替换、偏移、枚举、截断、遮罩、取整。</w:t>
            </w:r>
          </w:p>
          <w:p>
            <w:pPr>
              <w:pStyle w:val="64"/>
              <w:widowControl w:val="0"/>
              <w:numPr>
                <w:ilvl w:val="0"/>
                <w:numId w:val="27"/>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支持科室、课题组管理功能，支持为用户分配所属科室与课题组</w:t>
            </w:r>
          </w:p>
          <w:p>
            <w:pPr>
              <w:pStyle w:val="64"/>
              <w:widowControl w:val="0"/>
              <w:numPr>
                <w:ilvl w:val="0"/>
                <w:numId w:val="27"/>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支持按照医院管理流程对检索条件进行逐级审批管理功能，保证数据安全，审批时可以显示审批履历及标识检索条件和结果涉及的敏感项，并设置过期时间</w:t>
            </w:r>
          </w:p>
          <w:p>
            <w:pPr>
              <w:pStyle w:val="64"/>
              <w:widowControl w:val="0"/>
              <w:numPr>
                <w:ilvl w:val="0"/>
                <w:numId w:val="27"/>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支持用户检索操作的审计功能，可根据敏感数据项、科室、人员、审批部门、审批者、日期范围、操作类型、操作时间条件查询。并提供用户导出结果的快照功能</w:t>
            </w:r>
          </w:p>
          <w:p>
            <w:pPr>
              <w:pStyle w:val="64"/>
              <w:widowControl w:val="0"/>
              <w:numPr>
                <w:ilvl w:val="0"/>
                <w:numId w:val="26"/>
              </w:numPr>
              <w:spacing w:line="360" w:lineRule="auto"/>
              <w:ind w:firstLineChars="0"/>
              <w:rPr>
                <w:rFonts w:ascii="宋体" w:hAnsi="宋体"/>
                <w:color w:val="auto"/>
                <w:highlight w:val="none"/>
              </w:rPr>
            </w:pPr>
            <w:r>
              <w:rPr>
                <w:rFonts w:hint="eastAsia" w:ascii="宋体" w:hAnsi="宋体" w:cs="Arial"/>
                <w:color w:val="auto"/>
                <w:highlight w:val="none"/>
              </w:rPr>
              <w:t>支持</w:t>
            </w:r>
            <w:r>
              <w:rPr>
                <w:rFonts w:hint="eastAsia" w:ascii="宋体" w:hAnsi="宋体"/>
                <w:color w:val="auto"/>
                <w:highlight w:val="none"/>
              </w:rPr>
              <w:t>数据检索：支持结构化和非结构化数据存储及索引，支持同义词、否定词处理，为用户提供便捷的数据检索和浏览服务，支持T+1数据查询。</w:t>
            </w:r>
          </w:p>
          <w:p>
            <w:pPr>
              <w:pStyle w:val="64"/>
              <w:widowControl w:val="0"/>
              <w:numPr>
                <w:ilvl w:val="0"/>
                <w:numId w:val="27"/>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支持快速检索：用户通过输入简单的检索关键字，即可实现对医院现有临床数据内各类医疗数据的全文检索操作。</w:t>
            </w:r>
          </w:p>
          <w:p>
            <w:pPr>
              <w:pStyle w:val="64"/>
              <w:widowControl w:val="0"/>
              <w:numPr>
                <w:ilvl w:val="0"/>
                <w:numId w:val="27"/>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高级检索：系统提供高级检索功能，列出医生常用的检索项目（如性别、年龄、是否手术、诊断结果等），允许用户更精确的指定更多的检索条件，支持组合、多级条件检索；支持临床项目相关性查询，如术后用药；支持同一报告内不同项目的关联检索；支持常用的查询条件模板，方便用户快速查询</w:t>
            </w:r>
          </w:p>
          <w:p>
            <w:pPr>
              <w:pStyle w:val="64"/>
              <w:widowControl w:val="0"/>
              <w:numPr>
                <w:ilvl w:val="0"/>
                <w:numId w:val="27"/>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检索结果：支持用户对不同检索条件，自定义设置检索结果显示列，支持同一检索结果列多值显示及关联时间的设置，包括首次、末次、最大值、最小值、全部；支持用户对检索结果列显示顺序的设置；支持用户对检索结果进行排序、筛选展示；支持</w:t>
            </w:r>
            <w:r>
              <w:rPr>
                <w:rFonts w:ascii="宋体" w:hAnsi="宋体" w:cs="Arial"/>
                <w:color w:val="auto"/>
                <w:highlight w:val="none"/>
              </w:rPr>
              <w:t>用户对检索</w:t>
            </w:r>
            <w:r>
              <w:rPr>
                <w:rFonts w:hint="eastAsia" w:ascii="宋体" w:hAnsi="宋体" w:cs="Arial"/>
                <w:color w:val="auto"/>
                <w:highlight w:val="none"/>
              </w:rPr>
              <w:t>条件</w:t>
            </w:r>
            <w:r>
              <w:rPr>
                <w:rFonts w:ascii="宋体" w:hAnsi="宋体" w:cs="Arial"/>
                <w:color w:val="auto"/>
                <w:highlight w:val="none"/>
              </w:rPr>
              <w:t>进行保存</w:t>
            </w:r>
            <w:r>
              <w:rPr>
                <w:rFonts w:hint="eastAsia" w:ascii="宋体" w:hAnsi="宋体" w:cs="Arial"/>
                <w:color w:val="auto"/>
                <w:highlight w:val="none"/>
              </w:rPr>
              <w:t>的</w:t>
            </w:r>
            <w:r>
              <w:rPr>
                <w:rFonts w:ascii="宋体" w:hAnsi="宋体" w:cs="Arial"/>
                <w:color w:val="auto"/>
                <w:highlight w:val="none"/>
              </w:rPr>
              <w:t>功能</w:t>
            </w:r>
            <w:r>
              <w:rPr>
                <w:rFonts w:hint="eastAsia" w:ascii="宋体" w:hAnsi="宋体" w:cs="Arial"/>
                <w:color w:val="auto"/>
                <w:highlight w:val="none"/>
              </w:rPr>
              <w:t>；提供对检索结果进行样本量设置及提醒功能。</w:t>
            </w:r>
          </w:p>
          <w:p>
            <w:pPr>
              <w:pStyle w:val="64"/>
              <w:widowControl w:val="0"/>
              <w:numPr>
                <w:ilvl w:val="0"/>
                <w:numId w:val="27"/>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检索结果的预处理：支持用户对检索结果进行数据调整和离散化处理；通过公式自定义输出列：支持结果集的公式计算结果转换显示，可将结果集通过自定义公式计算后展示检索结果；支持两个以上结果集的交、并、差计算功能</w:t>
            </w:r>
          </w:p>
          <w:p>
            <w:pPr>
              <w:pStyle w:val="64"/>
              <w:widowControl w:val="0"/>
              <w:numPr>
                <w:ilvl w:val="0"/>
                <w:numId w:val="26"/>
              </w:numPr>
              <w:spacing w:line="360" w:lineRule="auto"/>
              <w:ind w:firstLineChars="0"/>
              <w:rPr>
                <w:rFonts w:ascii="宋体" w:hAnsi="宋体"/>
                <w:color w:val="auto"/>
                <w:highlight w:val="none"/>
              </w:rPr>
            </w:pPr>
            <w:r>
              <w:rPr>
                <w:rFonts w:hint="eastAsia" w:ascii="宋体" w:hAnsi="宋体"/>
                <w:color w:val="auto"/>
                <w:highlight w:val="none"/>
              </w:rPr>
              <w:t>数据导出及统计分析功能：</w:t>
            </w:r>
          </w:p>
          <w:p>
            <w:pPr>
              <w:pStyle w:val="64"/>
              <w:widowControl w:val="0"/>
              <w:numPr>
                <w:ilvl w:val="0"/>
                <w:numId w:val="27"/>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支持检索结果的统计分析功能：例如数据分布图、相关性分析</w:t>
            </w:r>
          </w:p>
          <w:p>
            <w:pPr>
              <w:pStyle w:val="64"/>
              <w:widowControl w:val="0"/>
              <w:numPr>
                <w:ilvl w:val="0"/>
                <w:numId w:val="27"/>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支持检索结果的导出功能：能够自定义选择导出信息，将结果导出到指定格式的文件里，能以Excel格式和SPSS专业统计分析软件格式导出</w:t>
            </w:r>
          </w:p>
          <w:p>
            <w:pPr>
              <w:pStyle w:val="64"/>
              <w:widowControl w:val="0"/>
              <w:numPr>
                <w:ilvl w:val="0"/>
                <w:numId w:val="27"/>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支持对导出文件进度查看和追溯功能，并保存加密副本</w:t>
            </w:r>
          </w:p>
          <w:p>
            <w:pPr>
              <w:pStyle w:val="64"/>
              <w:widowControl w:val="0"/>
              <w:numPr>
                <w:ilvl w:val="0"/>
                <w:numId w:val="27"/>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支持自定义选择导出信息，并可以设置导出中英文标题</w:t>
            </w:r>
          </w:p>
        </w:tc>
      </w:tr>
    </w:tbl>
    <w:p>
      <w:pPr>
        <w:spacing w:line="360" w:lineRule="auto"/>
        <w:ind w:firstLine="480" w:firstLineChars="200"/>
        <w:rPr>
          <w:rFonts w:ascii="宋体" w:hAnsi="宋体"/>
          <w:color w:val="auto"/>
          <w:sz w:val="24"/>
          <w:highlight w:val="none"/>
        </w:rPr>
      </w:pPr>
    </w:p>
    <w:p>
      <w:pPr>
        <w:pStyle w:val="7"/>
        <w:numPr>
          <w:ilvl w:val="4"/>
          <w:numId w:val="8"/>
        </w:numPr>
        <w:rPr>
          <w:rFonts w:ascii="宋体" w:hAnsi="宋体"/>
          <w:color w:val="auto"/>
          <w:szCs w:val="24"/>
          <w:highlight w:val="none"/>
        </w:rPr>
      </w:pPr>
      <w:bookmarkStart w:id="682" w:name="_Toc25909"/>
      <w:r>
        <w:rPr>
          <w:rFonts w:hint="eastAsia" w:ascii="宋体" w:hAnsi="宋体"/>
          <w:color w:val="auto"/>
          <w:szCs w:val="24"/>
          <w:highlight w:val="none"/>
        </w:rPr>
        <w:t>专科科研管理协助系统</w:t>
      </w:r>
      <w:bookmarkEnd w:id="682"/>
    </w:p>
    <w:p>
      <w:pPr>
        <w:adjustRightInd w:val="0"/>
        <w:spacing w:line="360" w:lineRule="auto"/>
        <w:ind w:firstLine="480" w:firstLineChars="200"/>
        <w:textAlignment w:val="baseline"/>
        <w:rPr>
          <w:rFonts w:ascii="宋体" w:hAnsi="宋体"/>
          <w:color w:val="auto"/>
          <w:kern w:val="0"/>
          <w:sz w:val="24"/>
          <w:highlight w:val="none"/>
        </w:rPr>
      </w:pPr>
      <w:r>
        <w:rPr>
          <w:rFonts w:hint="eastAsia" w:ascii="宋体" w:hAnsi="宋体"/>
          <w:color w:val="auto"/>
          <w:kern w:val="0"/>
          <w:sz w:val="24"/>
          <w:highlight w:val="none"/>
        </w:rPr>
        <w:t>系统的主体功能分为科研库管理、CRF表单设计器、科研数据采集、科研随访管理、临床病历检索与导出以及统计分析几大功能。</w:t>
      </w:r>
    </w:p>
    <w:p>
      <w:pPr>
        <w:adjustRightInd w:val="0"/>
        <w:spacing w:line="360" w:lineRule="auto"/>
        <w:ind w:firstLine="567"/>
        <w:textAlignment w:val="baseline"/>
        <w:rPr>
          <w:rFonts w:ascii="宋体" w:hAnsi="宋体"/>
          <w:color w:val="auto"/>
          <w:kern w:val="0"/>
          <w:sz w:val="24"/>
          <w:highlight w:val="none"/>
        </w:rPr>
      </w:pPr>
      <w:r>
        <w:rPr>
          <w:rFonts w:hint="eastAsia" w:ascii="宋体" w:hAnsi="宋体"/>
          <w:color w:val="auto"/>
          <w:kern w:val="0"/>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6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blHeader/>
        </w:trPr>
        <w:tc>
          <w:tcPr>
            <w:tcW w:w="2153"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模块</w:t>
            </w:r>
          </w:p>
        </w:tc>
        <w:tc>
          <w:tcPr>
            <w:tcW w:w="6914"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olor w:val="auto"/>
                <w:sz w:val="24"/>
                <w:highlight w:val="none"/>
              </w:rPr>
              <w:t>专科科研管理协助系统</w:t>
            </w:r>
          </w:p>
        </w:tc>
        <w:tc>
          <w:tcPr>
            <w:tcW w:w="6914" w:type="dxa"/>
            <w:vAlign w:val="center"/>
          </w:tcPr>
          <w:p>
            <w:pPr>
              <w:numPr>
                <w:ilvl w:val="0"/>
                <w:numId w:val="28"/>
              </w:numPr>
              <w:spacing w:line="360" w:lineRule="auto"/>
              <w:rPr>
                <w:rFonts w:ascii="宋体" w:hAnsi="宋体"/>
                <w:b/>
                <w:color w:val="auto"/>
                <w:sz w:val="24"/>
                <w:highlight w:val="none"/>
              </w:rPr>
            </w:pPr>
            <w:r>
              <w:rPr>
                <w:rFonts w:hint="eastAsia" w:ascii="宋体" w:hAnsi="宋体"/>
                <w:b/>
                <w:color w:val="auto"/>
                <w:sz w:val="24"/>
                <w:highlight w:val="none"/>
              </w:rPr>
              <w:t>科研库管理功能：</w:t>
            </w:r>
          </w:p>
          <w:p>
            <w:pPr>
              <w:spacing w:line="360" w:lineRule="auto"/>
              <w:ind w:firstLine="64" w:firstLineChars="27"/>
              <w:rPr>
                <w:rFonts w:ascii="宋体" w:hAnsi="宋体" w:cs="Arial"/>
                <w:color w:val="auto"/>
                <w:sz w:val="24"/>
                <w:highlight w:val="none"/>
              </w:rPr>
            </w:pPr>
            <w:r>
              <w:rPr>
                <w:rFonts w:hint="eastAsia" w:ascii="宋体" w:hAnsi="宋体" w:cs="Arial"/>
                <w:color w:val="auto"/>
                <w:sz w:val="24"/>
                <w:highlight w:val="none"/>
              </w:rPr>
              <w:t>要求系统能够支持对临床科研项目和临床单病种数据库进行构建管理。</w:t>
            </w:r>
          </w:p>
          <w:p>
            <w:pPr>
              <w:pStyle w:val="64"/>
              <w:widowControl w:val="0"/>
              <w:numPr>
                <w:ilvl w:val="0"/>
                <w:numId w:val="29"/>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支持科研库的创建及维护功能</w:t>
            </w:r>
          </w:p>
          <w:p>
            <w:pPr>
              <w:pStyle w:val="64"/>
              <w:widowControl w:val="0"/>
              <w:numPr>
                <w:ilvl w:val="0"/>
                <w:numId w:val="29"/>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支持为每个科研库独立设置用户及关联权限的功能，并分配限制访问的表单的功能</w:t>
            </w:r>
          </w:p>
          <w:p>
            <w:pPr>
              <w:pStyle w:val="64"/>
              <w:widowControl w:val="0"/>
              <w:numPr>
                <w:ilvl w:val="0"/>
                <w:numId w:val="29"/>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支持科研库内部术语的定义功能，支持术语批量导入</w:t>
            </w:r>
          </w:p>
          <w:p>
            <w:pPr>
              <w:pStyle w:val="64"/>
              <w:widowControl w:val="0"/>
              <w:numPr>
                <w:ilvl w:val="0"/>
                <w:numId w:val="29"/>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支持科研库内部分组功能，并提供随机分组和手工分组功能</w:t>
            </w:r>
          </w:p>
          <w:p>
            <w:pPr>
              <w:pStyle w:val="64"/>
              <w:widowControl w:val="0"/>
              <w:numPr>
                <w:ilvl w:val="0"/>
                <w:numId w:val="29"/>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支持设置自定义科研库的入、排条件，实现患者自动入组</w:t>
            </w:r>
          </w:p>
          <w:p>
            <w:pPr>
              <w:pStyle w:val="64"/>
              <w:widowControl w:val="0"/>
              <w:numPr>
                <w:ilvl w:val="0"/>
                <w:numId w:val="29"/>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支持入组接口，可以从第三方系统直接入组</w:t>
            </w:r>
          </w:p>
          <w:p>
            <w:pPr>
              <w:pStyle w:val="64"/>
              <w:widowControl w:val="0"/>
              <w:numPr>
                <w:ilvl w:val="0"/>
                <w:numId w:val="29"/>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支持病历录入的二级审核功能</w:t>
            </w:r>
          </w:p>
          <w:p>
            <w:pPr>
              <w:pStyle w:val="64"/>
              <w:widowControl w:val="0"/>
              <w:numPr>
                <w:ilvl w:val="0"/>
                <w:numId w:val="29"/>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支持科研库数据录入情况的分布统计</w:t>
            </w:r>
          </w:p>
          <w:p>
            <w:pPr>
              <w:numPr>
                <w:ilvl w:val="0"/>
                <w:numId w:val="28"/>
              </w:numPr>
              <w:spacing w:line="360" w:lineRule="auto"/>
              <w:rPr>
                <w:rFonts w:ascii="宋体" w:hAnsi="宋体"/>
                <w:b/>
                <w:color w:val="auto"/>
                <w:sz w:val="24"/>
                <w:highlight w:val="none"/>
              </w:rPr>
            </w:pPr>
            <w:r>
              <w:rPr>
                <w:rFonts w:hint="eastAsia" w:ascii="宋体" w:hAnsi="宋体"/>
                <w:b/>
                <w:color w:val="auto"/>
                <w:sz w:val="24"/>
                <w:highlight w:val="none"/>
              </w:rPr>
              <w:t>实现</w:t>
            </w:r>
            <w:r>
              <w:rPr>
                <w:rFonts w:ascii="宋体" w:hAnsi="宋体"/>
                <w:b/>
                <w:color w:val="auto"/>
                <w:sz w:val="24"/>
                <w:highlight w:val="none"/>
              </w:rPr>
              <w:t>CRF</w:t>
            </w:r>
            <w:r>
              <w:rPr>
                <w:rFonts w:hint="eastAsia" w:ascii="宋体" w:hAnsi="宋体"/>
                <w:b/>
                <w:color w:val="auto"/>
                <w:sz w:val="24"/>
                <w:highlight w:val="none"/>
              </w:rPr>
              <w:t>自定义表单功能：</w:t>
            </w:r>
          </w:p>
          <w:p>
            <w:pPr>
              <w:spacing w:line="360" w:lineRule="auto"/>
              <w:ind w:firstLine="544" w:firstLineChars="227"/>
              <w:rPr>
                <w:rFonts w:ascii="宋体" w:hAnsi="宋体"/>
                <w:color w:val="auto"/>
                <w:sz w:val="24"/>
                <w:highlight w:val="none"/>
              </w:rPr>
            </w:pPr>
            <w:r>
              <w:rPr>
                <w:rFonts w:hint="eastAsia" w:ascii="宋体" w:hAnsi="宋体"/>
                <w:color w:val="auto"/>
                <w:sz w:val="24"/>
                <w:highlight w:val="none"/>
              </w:rPr>
              <w:t>科研数据采集表单制作能够支持不同科室、不同科研课题，灵活自定义数据采集。</w:t>
            </w:r>
          </w:p>
          <w:p>
            <w:pPr>
              <w:pStyle w:val="64"/>
              <w:widowControl w:val="0"/>
              <w:numPr>
                <w:ilvl w:val="0"/>
                <w:numId w:val="29"/>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支持控件拖拽式布局，表单设计要求所见即所得</w:t>
            </w:r>
          </w:p>
          <w:p>
            <w:pPr>
              <w:pStyle w:val="64"/>
              <w:widowControl w:val="0"/>
              <w:numPr>
                <w:ilvl w:val="0"/>
                <w:numId w:val="29"/>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支持控件的逻辑关联机制，支持条件判断</w:t>
            </w:r>
          </w:p>
          <w:p>
            <w:pPr>
              <w:pStyle w:val="64"/>
              <w:widowControl w:val="0"/>
              <w:numPr>
                <w:ilvl w:val="0"/>
                <w:numId w:val="29"/>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支持组套模板的保存和应用</w:t>
            </w:r>
          </w:p>
          <w:p>
            <w:pPr>
              <w:pStyle w:val="64"/>
              <w:widowControl w:val="0"/>
              <w:numPr>
                <w:ilvl w:val="0"/>
                <w:numId w:val="29"/>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支持量表统计功能，可以自定义计算公式和函数，例如求和、平均值、对数、开方</w:t>
            </w:r>
          </w:p>
          <w:p>
            <w:pPr>
              <w:pStyle w:val="64"/>
              <w:widowControl w:val="0"/>
              <w:numPr>
                <w:ilvl w:val="0"/>
                <w:numId w:val="29"/>
              </w:numPr>
              <w:spacing w:line="360" w:lineRule="auto"/>
              <w:ind w:firstLineChars="0"/>
              <w:jc w:val="both"/>
              <w:rPr>
                <w:rFonts w:ascii="宋体" w:hAnsi="宋体" w:cs="Arial"/>
                <w:color w:val="auto"/>
                <w:highlight w:val="none"/>
              </w:rPr>
            </w:pPr>
            <w:r>
              <w:rPr>
                <w:rFonts w:hint="eastAsia" w:ascii="宋体" w:hAnsi="宋体" w:cs="Arial"/>
                <w:color w:val="auto"/>
                <w:highlight w:val="none"/>
              </w:rPr>
              <w:t>为了提高表单定义效率及对数据的统计检索，要求系统支持标准业务公共控件设置</w:t>
            </w:r>
          </w:p>
          <w:p>
            <w:pPr>
              <w:pStyle w:val="64"/>
              <w:widowControl w:val="0"/>
              <w:numPr>
                <w:ilvl w:val="0"/>
                <w:numId w:val="29"/>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支持表单版本的升级及发布功能</w:t>
            </w:r>
          </w:p>
          <w:p>
            <w:pPr>
              <w:numPr>
                <w:ilvl w:val="0"/>
                <w:numId w:val="28"/>
              </w:numPr>
              <w:spacing w:line="360" w:lineRule="auto"/>
              <w:rPr>
                <w:rFonts w:ascii="宋体" w:hAnsi="宋体"/>
                <w:b/>
                <w:color w:val="auto"/>
                <w:sz w:val="24"/>
                <w:highlight w:val="none"/>
              </w:rPr>
            </w:pPr>
            <w:r>
              <w:rPr>
                <w:rFonts w:hint="eastAsia" w:ascii="宋体" w:hAnsi="宋体"/>
                <w:b/>
                <w:color w:val="auto"/>
                <w:sz w:val="24"/>
                <w:highlight w:val="none"/>
              </w:rPr>
              <w:t>数据采集功能需求：</w:t>
            </w:r>
          </w:p>
          <w:p>
            <w:pPr>
              <w:pStyle w:val="64"/>
              <w:widowControl w:val="0"/>
              <w:numPr>
                <w:ilvl w:val="0"/>
                <w:numId w:val="29"/>
              </w:numPr>
              <w:spacing w:line="360" w:lineRule="auto"/>
              <w:ind w:firstLineChars="0"/>
              <w:jc w:val="both"/>
              <w:rPr>
                <w:rFonts w:ascii="宋体" w:hAnsi="宋体" w:cs="Arial"/>
                <w:color w:val="auto"/>
                <w:highlight w:val="none"/>
              </w:rPr>
            </w:pPr>
            <w:r>
              <w:rPr>
                <w:rFonts w:hint="eastAsia" w:ascii="宋体" w:hAnsi="宋体" w:cs="Arial"/>
                <w:color w:val="auto"/>
                <w:highlight w:val="none"/>
              </w:rPr>
              <w:t>系统支持由临床数据中心或者临床业务系统自动采集科研患者相关的已有临床数据，减少手工录入，提高效率</w:t>
            </w:r>
          </w:p>
          <w:p>
            <w:pPr>
              <w:pStyle w:val="64"/>
              <w:widowControl w:val="0"/>
              <w:numPr>
                <w:ilvl w:val="0"/>
                <w:numId w:val="29"/>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支持可以通过编写SQL方式，自定义表单控件的采集规则</w:t>
            </w:r>
          </w:p>
          <w:p>
            <w:pPr>
              <w:pStyle w:val="64"/>
              <w:widowControl w:val="0"/>
              <w:numPr>
                <w:ilvl w:val="0"/>
                <w:numId w:val="29"/>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支持同一表单从多个数据源采集数据</w:t>
            </w:r>
          </w:p>
          <w:p>
            <w:pPr>
              <w:pStyle w:val="64"/>
              <w:widowControl w:val="0"/>
              <w:numPr>
                <w:ilvl w:val="0"/>
                <w:numId w:val="29"/>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支持数据录入校验功能，提高数据质量</w:t>
            </w:r>
          </w:p>
          <w:p>
            <w:pPr>
              <w:pStyle w:val="64"/>
              <w:widowControl w:val="0"/>
              <w:numPr>
                <w:ilvl w:val="0"/>
                <w:numId w:val="29"/>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支持表单控件数据与CDR数据自动绑定与抽取</w:t>
            </w:r>
          </w:p>
          <w:p>
            <w:pPr>
              <w:pStyle w:val="64"/>
              <w:widowControl w:val="0"/>
              <w:numPr>
                <w:ilvl w:val="0"/>
                <w:numId w:val="29"/>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支持表单录入预警及提醒</w:t>
            </w:r>
          </w:p>
          <w:p>
            <w:pPr>
              <w:pStyle w:val="64"/>
              <w:widowControl w:val="0"/>
              <w:numPr>
                <w:ilvl w:val="0"/>
                <w:numId w:val="29"/>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支持自动数据采集达到秒级抽取</w:t>
            </w:r>
          </w:p>
          <w:p>
            <w:pPr>
              <w:numPr>
                <w:ilvl w:val="0"/>
                <w:numId w:val="28"/>
              </w:numPr>
              <w:spacing w:line="360" w:lineRule="auto"/>
              <w:rPr>
                <w:rFonts w:ascii="宋体" w:hAnsi="宋体"/>
                <w:b/>
                <w:color w:val="auto"/>
                <w:sz w:val="24"/>
                <w:highlight w:val="none"/>
              </w:rPr>
            </w:pPr>
            <w:r>
              <w:rPr>
                <w:rFonts w:hint="eastAsia" w:ascii="宋体" w:hAnsi="宋体"/>
                <w:b/>
                <w:color w:val="auto"/>
                <w:sz w:val="24"/>
                <w:highlight w:val="none"/>
              </w:rPr>
              <w:t>实现科研随访一体化需求：</w:t>
            </w:r>
          </w:p>
          <w:p>
            <w:pPr>
              <w:pStyle w:val="64"/>
              <w:widowControl w:val="0"/>
              <w:numPr>
                <w:ilvl w:val="0"/>
                <w:numId w:val="29"/>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支持随访功能，提供随访排期、随访表单设计、随访提醒及随访录入功能。</w:t>
            </w:r>
          </w:p>
          <w:p>
            <w:pPr>
              <w:pStyle w:val="64"/>
              <w:widowControl w:val="0"/>
              <w:numPr>
                <w:ilvl w:val="0"/>
                <w:numId w:val="29"/>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支持批量设置和个别设置模式，对患者随访的计划安排，实现随访设计，自动提醒医生对随访者开展随访，记录随访数据</w:t>
            </w:r>
          </w:p>
          <w:p>
            <w:pPr>
              <w:pStyle w:val="64"/>
              <w:widowControl w:val="0"/>
              <w:numPr>
                <w:ilvl w:val="0"/>
                <w:numId w:val="29"/>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支持按照不同随访日期设置不同的随访表单功能</w:t>
            </w:r>
          </w:p>
          <w:p>
            <w:pPr>
              <w:pStyle w:val="64"/>
              <w:widowControl w:val="0"/>
              <w:numPr>
                <w:ilvl w:val="0"/>
                <w:numId w:val="29"/>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支持第三方系统直接填写随访表单进行数据补充功能</w:t>
            </w:r>
          </w:p>
          <w:p>
            <w:pPr>
              <w:pStyle w:val="64"/>
              <w:widowControl w:val="0"/>
              <w:numPr>
                <w:ilvl w:val="0"/>
                <w:numId w:val="29"/>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支持随访标签设置功能</w:t>
            </w:r>
          </w:p>
          <w:p>
            <w:pPr>
              <w:pStyle w:val="64"/>
              <w:widowControl w:val="0"/>
              <w:numPr>
                <w:ilvl w:val="0"/>
                <w:numId w:val="29"/>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支持短信和电话随访功能</w:t>
            </w:r>
          </w:p>
          <w:p>
            <w:pPr>
              <w:pStyle w:val="64"/>
              <w:widowControl w:val="0"/>
              <w:numPr>
                <w:ilvl w:val="0"/>
                <w:numId w:val="29"/>
              </w:numPr>
              <w:spacing w:line="360" w:lineRule="auto"/>
              <w:ind w:firstLineChars="0"/>
              <w:jc w:val="both"/>
              <w:rPr>
                <w:rFonts w:ascii="宋体" w:hAnsi="宋体" w:cs="Arial"/>
                <w:color w:val="auto"/>
                <w:highlight w:val="none"/>
              </w:rPr>
            </w:pPr>
            <w:r>
              <w:rPr>
                <w:rFonts w:ascii="宋体" w:hAnsi="宋体" w:cs="Arial"/>
                <w:color w:val="auto"/>
                <w:highlight w:val="none"/>
              </w:rPr>
              <w:t>支持基于微信号的科研数据采集功能</w:t>
            </w:r>
          </w:p>
          <w:p>
            <w:pPr>
              <w:numPr>
                <w:ilvl w:val="0"/>
                <w:numId w:val="28"/>
              </w:numPr>
              <w:spacing w:line="360" w:lineRule="auto"/>
              <w:rPr>
                <w:rFonts w:ascii="宋体" w:hAnsi="宋体"/>
                <w:b/>
                <w:color w:val="auto"/>
                <w:sz w:val="24"/>
                <w:highlight w:val="none"/>
              </w:rPr>
            </w:pPr>
            <w:r>
              <w:rPr>
                <w:rFonts w:hint="eastAsia" w:ascii="宋体" w:hAnsi="宋体"/>
                <w:b/>
                <w:color w:val="auto"/>
                <w:sz w:val="24"/>
                <w:highlight w:val="none"/>
              </w:rPr>
              <w:t>科研库检索、数据统计与导出功能</w:t>
            </w:r>
          </w:p>
          <w:p>
            <w:pPr>
              <w:pStyle w:val="64"/>
              <w:widowControl w:val="0"/>
              <w:numPr>
                <w:ilvl w:val="0"/>
                <w:numId w:val="29"/>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支持提供基于科研库的简单的数据检索和统计服务，病历检索条件可按科研需求进行配置</w:t>
            </w:r>
          </w:p>
          <w:p>
            <w:pPr>
              <w:pStyle w:val="64"/>
              <w:widowControl w:val="0"/>
              <w:numPr>
                <w:ilvl w:val="0"/>
                <w:numId w:val="29"/>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支持科研库各数据项的分类统计，并提供图表方式展示</w:t>
            </w:r>
          </w:p>
          <w:p>
            <w:pPr>
              <w:pStyle w:val="64"/>
              <w:widowControl w:val="0"/>
              <w:numPr>
                <w:ilvl w:val="0"/>
                <w:numId w:val="29"/>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支持提供将试验数据直接导出为专业的医疗统计软件格式进行数据分析，支持常见数据输出格式，包括</w:t>
            </w:r>
            <w:r>
              <w:rPr>
                <w:rFonts w:ascii="宋体" w:hAnsi="宋体" w:cs="Arial"/>
                <w:color w:val="auto"/>
                <w:highlight w:val="none"/>
              </w:rPr>
              <w:t>Excel</w:t>
            </w:r>
            <w:r>
              <w:rPr>
                <w:rFonts w:hint="eastAsia" w:ascii="宋体" w:hAnsi="宋体" w:cs="Arial"/>
                <w:color w:val="auto"/>
                <w:highlight w:val="none"/>
              </w:rPr>
              <w:t>和</w:t>
            </w:r>
            <w:r>
              <w:rPr>
                <w:rFonts w:ascii="宋体" w:hAnsi="宋体" w:cs="Arial"/>
                <w:color w:val="auto"/>
                <w:highlight w:val="none"/>
              </w:rPr>
              <w:t>SPSS</w:t>
            </w:r>
            <w:r>
              <w:rPr>
                <w:rFonts w:hint="eastAsia" w:ascii="宋体" w:hAnsi="宋体" w:cs="Arial"/>
                <w:color w:val="auto"/>
                <w:highlight w:val="none"/>
              </w:rPr>
              <w:t>对应文件格式</w:t>
            </w:r>
          </w:p>
          <w:p>
            <w:pPr>
              <w:pStyle w:val="64"/>
              <w:widowControl w:val="0"/>
              <w:numPr>
                <w:ilvl w:val="0"/>
                <w:numId w:val="29"/>
              </w:numPr>
              <w:spacing w:line="360" w:lineRule="auto"/>
              <w:ind w:firstLineChars="0"/>
              <w:jc w:val="both"/>
              <w:rPr>
                <w:rFonts w:ascii="宋体" w:hAnsi="宋体" w:cs="Arial"/>
                <w:color w:val="auto"/>
                <w:highlight w:val="none"/>
              </w:rPr>
            </w:pPr>
            <w:r>
              <w:rPr>
                <w:rFonts w:hint="eastAsia" w:ascii="宋体" w:hAnsi="宋体" w:cs="Arial"/>
                <w:color w:val="auto"/>
                <w:highlight w:val="none"/>
              </w:rPr>
              <w:t xml:space="preserve"> 支持检索数据按照脱敏方式导出，保护患者隐私</w:t>
            </w:r>
          </w:p>
        </w:tc>
      </w:tr>
    </w:tbl>
    <w:p>
      <w:pPr>
        <w:adjustRightInd w:val="0"/>
        <w:spacing w:line="360" w:lineRule="auto"/>
        <w:ind w:firstLine="567"/>
        <w:textAlignment w:val="baseline"/>
        <w:rPr>
          <w:rFonts w:ascii="宋体" w:hAnsi="宋体"/>
          <w:color w:val="auto"/>
          <w:kern w:val="0"/>
          <w:sz w:val="24"/>
          <w:highlight w:val="none"/>
        </w:rPr>
      </w:pPr>
    </w:p>
    <w:p>
      <w:pPr>
        <w:pStyle w:val="7"/>
        <w:numPr>
          <w:ilvl w:val="4"/>
          <w:numId w:val="8"/>
        </w:numPr>
        <w:rPr>
          <w:rFonts w:ascii="宋体" w:hAnsi="宋体"/>
          <w:color w:val="auto"/>
          <w:szCs w:val="24"/>
          <w:highlight w:val="none"/>
        </w:rPr>
      </w:pPr>
      <w:bookmarkStart w:id="683" w:name="_Toc7432"/>
      <w:r>
        <w:rPr>
          <w:rFonts w:hint="eastAsia" w:ascii="宋体" w:hAnsi="宋体"/>
          <w:color w:val="auto"/>
          <w:szCs w:val="24"/>
          <w:highlight w:val="none"/>
        </w:rPr>
        <w:t>科研学术服务</w:t>
      </w:r>
      <w:r>
        <w:rPr>
          <w:rFonts w:hint="eastAsia" w:ascii="宋体" w:hAnsi="宋体"/>
          <w:color w:val="auto"/>
          <w:szCs w:val="24"/>
          <w:highlight w:val="none"/>
          <w:lang w:eastAsia="zh-CN"/>
        </w:rPr>
        <w:t>系统</w:t>
      </w:r>
      <w:bookmarkEnd w:id="683"/>
    </w:p>
    <w:p>
      <w:pPr>
        <w:adjustRightInd w:val="0"/>
        <w:spacing w:line="360" w:lineRule="auto"/>
        <w:ind w:firstLine="480" w:firstLineChars="200"/>
        <w:textAlignment w:val="baseline"/>
        <w:rPr>
          <w:rFonts w:ascii="宋体" w:hAnsi="宋体"/>
          <w:color w:val="auto"/>
          <w:kern w:val="0"/>
          <w:sz w:val="24"/>
          <w:highlight w:val="none"/>
        </w:rPr>
      </w:pPr>
      <w:r>
        <w:rPr>
          <w:rFonts w:hint="eastAsia" w:ascii="宋体" w:hAnsi="宋体"/>
          <w:color w:val="auto"/>
          <w:kern w:val="0"/>
          <w:sz w:val="24"/>
          <w:highlight w:val="none"/>
        </w:rPr>
        <w:t>提供一站式的医学文献数据库查询入口，并提供各个领域的科研热点、文献分布、研究趋势等科研辅助服务。</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6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blHeader/>
        </w:trPr>
        <w:tc>
          <w:tcPr>
            <w:tcW w:w="2153"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模块</w:t>
            </w:r>
          </w:p>
        </w:tc>
        <w:tc>
          <w:tcPr>
            <w:tcW w:w="6914"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olor w:val="auto"/>
                <w:sz w:val="24"/>
                <w:highlight w:val="none"/>
              </w:rPr>
              <w:t>科研学术服务平台</w:t>
            </w:r>
          </w:p>
        </w:tc>
        <w:tc>
          <w:tcPr>
            <w:tcW w:w="6914" w:type="dxa"/>
            <w:vAlign w:val="center"/>
          </w:tcPr>
          <w:p>
            <w:pPr>
              <w:numPr>
                <w:ilvl w:val="0"/>
                <w:numId w:val="28"/>
              </w:numPr>
              <w:spacing w:line="360" w:lineRule="auto"/>
              <w:rPr>
                <w:rFonts w:ascii="宋体" w:hAnsi="宋体"/>
                <w:b/>
                <w:color w:val="auto"/>
                <w:sz w:val="24"/>
                <w:highlight w:val="none"/>
              </w:rPr>
            </w:pPr>
            <w:r>
              <w:rPr>
                <w:rFonts w:hint="eastAsia" w:ascii="宋体" w:hAnsi="宋体"/>
                <w:b/>
                <w:color w:val="auto"/>
                <w:sz w:val="24"/>
                <w:highlight w:val="none"/>
              </w:rPr>
              <w:t>统一文献服务</w:t>
            </w:r>
          </w:p>
          <w:p>
            <w:pPr>
              <w:pStyle w:val="64"/>
              <w:widowControl w:val="0"/>
              <w:numPr>
                <w:ilvl w:val="0"/>
                <w:numId w:val="29"/>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w:t>
            </w:r>
            <w:r>
              <w:rPr>
                <w:rFonts w:ascii="宋体" w:hAnsi="宋体" w:cs="Arial"/>
                <w:color w:val="auto"/>
                <w:highlight w:val="none"/>
              </w:rPr>
              <w:t>Pubmed</w:t>
            </w:r>
            <w:r>
              <w:rPr>
                <w:rFonts w:hint="eastAsia" w:ascii="宋体" w:hAnsi="宋体" w:cs="Arial"/>
                <w:color w:val="auto"/>
                <w:highlight w:val="none"/>
              </w:rPr>
              <w:t>、万方等常用医学数据库的统一账号管理及登录服务，解决科研用户需要多平台切换、文献分散等问题，实现中外医学文献、指南应搜尽搜。</w:t>
            </w:r>
          </w:p>
          <w:p>
            <w:pPr>
              <w:numPr>
                <w:ilvl w:val="0"/>
                <w:numId w:val="28"/>
              </w:numPr>
              <w:spacing w:line="360" w:lineRule="auto"/>
              <w:rPr>
                <w:rFonts w:ascii="宋体" w:hAnsi="宋体"/>
                <w:b/>
                <w:color w:val="auto"/>
                <w:sz w:val="24"/>
                <w:highlight w:val="none"/>
              </w:rPr>
            </w:pPr>
            <w:r>
              <w:rPr>
                <w:rFonts w:hint="eastAsia" w:ascii="宋体" w:hAnsi="宋体"/>
                <w:b/>
                <w:color w:val="auto"/>
                <w:sz w:val="24"/>
                <w:highlight w:val="none"/>
              </w:rPr>
              <w:t>科研辅助服务</w:t>
            </w:r>
          </w:p>
          <w:p>
            <w:pPr>
              <w:pStyle w:val="64"/>
              <w:widowControl w:val="0"/>
              <w:numPr>
                <w:ilvl w:val="0"/>
                <w:numId w:val="29"/>
              </w:numPr>
              <w:spacing w:line="360" w:lineRule="auto"/>
              <w:ind w:firstLineChars="0"/>
              <w:jc w:val="both"/>
              <w:rPr>
                <w:rFonts w:ascii="宋体" w:hAnsi="宋体" w:cs="Arial"/>
                <w:color w:val="auto"/>
                <w:highlight w:val="none"/>
              </w:rPr>
            </w:pPr>
            <w:r>
              <w:rPr>
                <w:rFonts w:hint="eastAsia" w:ascii="宋体" w:hAnsi="宋体" w:cs="Arial"/>
                <w:color w:val="auto"/>
                <w:highlight w:val="none"/>
              </w:rPr>
              <w:t>科研热点分析：对权威医学文献数据库、课题库信息进行专项抽取分析，提炼出各个领域的科研热点，让科研用户快速、实时了解业内状态。</w:t>
            </w:r>
          </w:p>
          <w:p>
            <w:pPr>
              <w:pStyle w:val="64"/>
              <w:widowControl w:val="0"/>
              <w:numPr>
                <w:ilvl w:val="0"/>
                <w:numId w:val="29"/>
              </w:numPr>
              <w:spacing w:line="360" w:lineRule="auto"/>
              <w:ind w:firstLineChars="0"/>
              <w:jc w:val="both"/>
              <w:rPr>
                <w:rFonts w:ascii="宋体" w:hAnsi="宋体"/>
                <w:color w:val="auto"/>
                <w:highlight w:val="none"/>
              </w:rPr>
            </w:pPr>
            <w:r>
              <w:rPr>
                <w:rFonts w:hint="eastAsia" w:ascii="宋体" w:hAnsi="宋体" w:cs="Arial"/>
                <w:color w:val="auto"/>
                <w:highlight w:val="none"/>
              </w:rPr>
              <w:t>研究趋势分析：结合历年的文献分布、科研热点以及行业资讯，对研究趋势进行预测，为科研学术方向提供指导。</w:t>
            </w:r>
          </w:p>
        </w:tc>
      </w:tr>
    </w:tbl>
    <w:p>
      <w:pPr>
        <w:adjustRightInd w:val="0"/>
        <w:spacing w:line="360" w:lineRule="auto"/>
        <w:ind w:firstLine="480" w:firstLineChars="200"/>
        <w:textAlignment w:val="baseline"/>
        <w:rPr>
          <w:rFonts w:ascii="宋体" w:hAnsi="宋体"/>
          <w:color w:val="auto"/>
          <w:kern w:val="0"/>
          <w:sz w:val="24"/>
          <w:highlight w:val="none"/>
        </w:rPr>
      </w:pPr>
    </w:p>
    <w:p>
      <w:pPr>
        <w:pStyle w:val="7"/>
        <w:numPr>
          <w:ilvl w:val="4"/>
          <w:numId w:val="8"/>
        </w:numPr>
        <w:rPr>
          <w:rFonts w:ascii="宋体" w:hAnsi="宋体"/>
          <w:color w:val="auto"/>
          <w:szCs w:val="24"/>
          <w:highlight w:val="none"/>
        </w:rPr>
      </w:pPr>
      <w:bookmarkStart w:id="684" w:name="_Toc2408"/>
      <w:r>
        <w:rPr>
          <w:rFonts w:hint="eastAsia" w:ascii="宋体" w:hAnsi="宋体"/>
          <w:color w:val="auto"/>
          <w:szCs w:val="24"/>
          <w:highlight w:val="none"/>
        </w:rPr>
        <w:t>临床数据分析平台</w:t>
      </w:r>
      <w:bookmarkEnd w:id="684"/>
    </w:p>
    <w:p>
      <w:pPr>
        <w:adjustRightInd w:val="0"/>
        <w:spacing w:line="360" w:lineRule="auto"/>
        <w:ind w:firstLine="480" w:firstLineChars="200"/>
        <w:textAlignment w:val="baseline"/>
        <w:rPr>
          <w:rFonts w:ascii="宋体" w:hAnsi="宋体"/>
          <w:color w:val="auto"/>
          <w:kern w:val="0"/>
          <w:sz w:val="24"/>
          <w:highlight w:val="none"/>
        </w:rPr>
      </w:pPr>
      <w:r>
        <w:rPr>
          <w:rFonts w:hint="eastAsia" w:ascii="宋体" w:hAnsi="宋体"/>
          <w:color w:val="auto"/>
          <w:kern w:val="0"/>
          <w:sz w:val="24"/>
          <w:highlight w:val="none"/>
        </w:rPr>
        <w:t>临床数据分析平台要求能够实现专业级的统计分析操作，且保证统计分析结果准确可靠，与其他主流统计分析软件（如</w:t>
      </w:r>
      <w:r>
        <w:rPr>
          <w:rFonts w:ascii="宋体" w:hAnsi="宋体"/>
          <w:color w:val="auto"/>
          <w:kern w:val="0"/>
          <w:sz w:val="24"/>
          <w:highlight w:val="none"/>
        </w:rPr>
        <w:t>SPSS</w:t>
      </w:r>
      <w:r>
        <w:rPr>
          <w:rFonts w:hint="eastAsia" w:ascii="宋体" w:hAnsi="宋体"/>
          <w:color w:val="auto"/>
          <w:kern w:val="0"/>
          <w:sz w:val="24"/>
          <w:highlight w:val="none"/>
        </w:rPr>
        <w:t>、</w:t>
      </w:r>
      <w:r>
        <w:rPr>
          <w:rFonts w:ascii="宋体" w:hAnsi="宋体"/>
          <w:color w:val="auto"/>
          <w:kern w:val="0"/>
          <w:sz w:val="24"/>
          <w:highlight w:val="none"/>
        </w:rPr>
        <w:t>SAS</w:t>
      </w:r>
      <w:r>
        <w:rPr>
          <w:rFonts w:hint="eastAsia" w:ascii="宋体" w:hAnsi="宋体"/>
          <w:color w:val="auto"/>
          <w:kern w:val="0"/>
          <w:sz w:val="24"/>
          <w:highlight w:val="none"/>
        </w:rPr>
        <w:t>、</w:t>
      </w:r>
      <w:r>
        <w:rPr>
          <w:rFonts w:ascii="宋体" w:hAnsi="宋体"/>
          <w:color w:val="auto"/>
          <w:kern w:val="0"/>
          <w:sz w:val="24"/>
          <w:highlight w:val="none"/>
        </w:rPr>
        <w:t>STATA</w:t>
      </w:r>
      <w:r>
        <w:rPr>
          <w:rFonts w:hint="eastAsia" w:ascii="宋体" w:hAnsi="宋体"/>
          <w:color w:val="auto"/>
          <w:kern w:val="0"/>
          <w:sz w:val="24"/>
          <w:highlight w:val="none"/>
        </w:rPr>
        <w:t>、</w:t>
      </w:r>
      <w:r>
        <w:rPr>
          <w:rFonts w:ascii="宋体" w:hAnsi="宋体"/>
          <w:color w:val="auto"/>
          <w:kern w:val="0"/>
          <w:sz w:val="24"/>
          <w:highlight w:val="none"/>
        </w:rPr>
        <w:t>R</w:t>
      </w:r>
      <w:r>
        <w:rPr>
          <w:rFonts w:hint="eastAsia" w:ascii="宋体" w:hAnsi="宋体"/>
          <w:color w:val="auto"/>
          <w:kern w:val="0"/>
          <w:sz w:val="24"/>
          <w:highlight w:val="none"/>
        </w:rPr>
        <w:t>）的分析结果一致；同时临床数据分析平台要贴近医疗行业的具体需求，能够针对医学科研问题提供智能化的辅助功能，帮助医生做好统计分析。医院采购上述系统。</w:t>
      </w:r>
    </w:p>
    <w:p>
      <w:pPr>
        <w:adjustRightInd w:val="0"/>
        <w:spacing w:line="360" w:lineRule="auto"/>
        <w:ind w:firstLine="480" w:firstLineChars="200"/>
        <w:textAlignment w:val="baseline"/>
        <w:rPr>
          <w:rFonts w:ascii="宋体" w:hAnsi="宋体"/>
          <w:color w:val="auto"/>
          <w:kern w:val="0"/>
          <w:sz w:val="24"/>
          <w:highlight w:val="none"/>
        </w:rPr>
      </w:pPr>
      <w:r>
        <w:rPr>
          <w:rFonts w:hint="eastAsia" w:ascii="宋体" w:hAnsi="宋体"/>
          <w:color w:val="auto"/>
          <w:kern w:val="0"/>
          <w:sz w:val="24"/>
          <w:highlight w:val="none"/>
        </w:rPr>
        <w:t>要求实现以下功能：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53"/>
        <w:gridCol w:w="6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blHeader/>
        </w:trPr>
        <w:tc>
          <w:tcPr>
            <w:tcW w:w="2153"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模块</w:t>
            </w:r>
          </w:p>
        </w:tc>
        <w:tc>
          <w:tcPr>
            <w:tcW w:w="6914" w:type="dxa"/>
            <w:shd w:val="clear" w:color="auto" w:fill="4471C4"/>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53"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olor w:val="auto"/>
                <w:sz w:val="24"/>
                <w:highlight w:val="none"/>
              </w:rPr>
              <w:t>临床数据分析平台</w:t>
            </w:r>
          </w:p>
        </w:tc>
        <w:tc>
          <w:tcPr>
            <w:tcW w:w="6914" w:type="dxa"/>
            <w:vAlign w:val="center"/>
          </w:tcPr>
          <w:p>
            <w:pPr>
              <w:numPr>
                <w:ilvl w:val="0"/>
                <w:numId w:val="28"/>
              </w:numPr>
              <w:spacing w:line="360" w:lineRule="auto"/>
              <w:rPr>
                <w:rFonts w:ascii="宋体" w:hAnsi="宋体"/>
                <w:b/>
                <w:color w:val="auto"/>
                <w:sz w:val="24"/>
                <w:highlight w:val="none"/>
              </w:rPr>
            </w:pPr>
            <w:r>
              <w:rPr>
                <w:rFonts w:hint="eastAsia" w:ascii="宋体" w:hAnsi="宋体"/>
                <w:b/>
                <w:color w:val="auto"/>
                <w:sz w:val="24"/>
                <w:highlight w:val="none"/>
              </w:rPr>
              <w:t>描述性统计分析</w:t>
            </w:r>
          </w:p>
          <w:p>
            <w:pPr>
              <w:pStyle w:val="64"/>
              <w:widowControl w:val="0"/>
              <w:numPr>
                <w:ilvl w:val="0"/>
                <w:numId w:val="29"/>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支持对于分类变量，要求统计结果包括分类类别，各类别频数与占比，并以饼图和横向柱状图进行可视化展示；</w:t>
            </w:r>
          </w:p>
          <w:p>
            <w:pPr>
              <w:pStyle w:val="64"/>
              <w:widowControl w:val="0"/>
              <w:numPr>
                <w:ilvl w:val="0"/>
                <w:numId w:val="29"/>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对于连续变量，统计结果包括总频数、有效频数、缺失值、均值、标准差、最小值、Q1值、中位数、Q3值、最大值、W正态性检验p值（数据量小于2000时）或KS正态性检验p值（数据量大于2000时），并以直方图和箱线图进行数据分布可视化展示。</w:t>
            </w:r>
          </w:p>
          <w:p>
            <w:pPr>
              <w:numPr>
                <w:ilvl w:val="0"/>
                <w:numId w:val="28"/>
              </w:numPr>
              <w:spacing w:line="360" w:lineRule="auto"/>
              <w:rPr>
                <w:rFonts w:ascii="宋体" w:hAnsi="宋体"/>
                <w:b/>
                <w:color w:val="auto"/>
                <w:sz w:val="24"/>
                <w:highlight w:val="none"/>
              </w:rPr>
            </w:pPr>
            <w:r>
              <w:rPr>
                <w:rFonts w:hint="eastAsia" w:ascii="宋体" w:hAnsi="宋体"/>
                <w:b/>
                <w:color w:val="auto"/>
                <w:sz w:val="24"/>
                <w:highlight w:val="none"/>
              </w:rPr>
              <w:t>回归分析</w:t>
            </w:r>
          </w:p>
          <w:p>
            <w:pPr>
              <w:pStyle w:val="64"/>
              <w:widowControl w:val="0"/>
              <w:numPr>
                <w:ilvl w:val="0"/>
                <w:numId w:val="29"/>
              </w:numPr>
              <w:spacing w:line="360" w:lineRule="auto"/>
              <w:ind w:firstLineChars="0"/>
              <w:jc w:val="both"/>
              <w:rPr>
                <w:rFonts w:ascii="宋体" w:hAnsi="宋体" w:cs="Arial"/>
                <w:color w:val="auto"/>
                <w:highlight w:val="none"/>
              </w:rPr>
            </w:pPr>
            <w:r>
              <w:rPr>
                <w:rFonts w:hint="eastAsia" w:ascii="宋体" w:hAnsi="宋体" w:cs="Arial"/>
                <w:color w:val="auto"/>
                <w:highlight w:val="none"/>
              </w:rPr>
              <w:t>线性回归：支持线性回归分析。要求系统自动筛选显著自变量，并对不满足线性回归基本假设的情况做出警告。要求支持通过全子集回归进行模型优化，根据Mallow’s Cp值自动选择最优模型。</w:t>
            </w:r>
          </w:p>
          <w:p>
            <w:pPr>
              <w:pStyle w:val="64"/>
              <w:widowControl w:val="0"/>
              <w:numPr>
                <w:ilvl w:val="0"/>
                <w:numId w:val="29"/>
              </w:numPr>
              <w:spacing w:line="360" w:lineRule="auto"/>
              <w:ind w:firstLineChars="0"/>
              <w:jc w:val="both"/>
              <w:rPr>
                <w:rFonts w:ascii="宋体" w:hAnsi="宋体" w:cs="Arial"/>
                <w:color w:val="auto"/>
                <w:highlight w:val="none"/>
              </w:rPr>
            </w:pPr>
            <w:r>
              <w:rPr>
                <w:rFonts w:hint="eastAsia" w:ascii="宋体" w:hAnsi="宋体" w:cs="Arial"/>
                <w:color w:val="auto"/>
                <w:highlight w:val="none"/>
              </w:rPr>
              <w:t>逻辑回归：支持逻辑回归分析。要求系统支持自动筛选显著变量，检验是否存在过度离势，并对过度离势做出矫正。要求支持用户自定义响应结果分类临界值，或根据ROC曲线智能选取最佳临界值。</w:t>
            </w:r>
          </w:p>
          <w:p>
            <w:pPr>
              <w:pStyle w:val="64"/>
              <w:widowControl w:val="0"/>
              <w:numPr>
                <w:ilvl w:val="0"/>
                <w:numId w:val="29"/>
              </w:numPr>
              <w:spacing w:line="360" w:lineRule="auto"/>
              <w:ind w:firstLineChars="0"/>
              <w:jc w:val="both"/>
              <w:rPr>
                <w:rFonts w:ascii="宋体" w:hAnsi="宋体" w:cs="Arial"/>
                <w:color w:val="auto"/>
                <w:highlight w:val="none"/>
              </w:rPr>
            </w:pPr>
            <w:r>
              <w:rPr>
                <w:rFonts w:hint="eastAsia" w:ascii="宋体" w:hAnsi="宋体" w:cs="Arial"/>
                <w:color w:val="auto"/>
                <w:highlight w:val="none"/>
              </w:rPr>
              <w:t>泊松回归：支持泊松回归分析。系统自动筛选显著变量，检验是否存在过度离势，并对过度离势做出矫正。</w:t>
            </w:r>
          </w:p>
          <w:p>
            <w:pPr>
              <w:numPr>
                <w:ilvl w:val="0"/>
                <w:numId w:val="28"/>
              </w:numPr>
              <w:spacing w:line="360" w:lineRule="auto"/>
              <w:rPr>
                <w:rFonts w:ascii="宋体" w:hAnsi="宋体"/>
                <w:b/>
                <w:color w:val="auto"/>
                <w:sz w:val="24"/>
                <w:highlight w:val="none"/>
              </w:rPr>
            </w:pPr>
            <w:r>
              <w:rPr>
                <w:rFonts w:hint="eastAsia" w:ascii="宋体" w:hAnsi="宋体"/>
                <w:b/>
                <w:color w:val="auto"/>
                <w:sz w:val="24"/>
                <w:highlight w:val="none"/>
              </w:rPr>
              <w:t>差异性分析</w:t>
            </w:r>
          </w:p>
          <w:p>
            <w:pPr>
              <w:pStyle w:val="64"/>
              <w:widowControl w:val="0"/>
              <w:numPr>
                <w:ilvl w:val="0"/>
                <w:numId w:val="29"/>
              </w:numPr>
              <w:spacing w:line="360" w:lineRule="auto"/>
              <w:ind w:firstLineChars="0"/>
              <w:jc w:val="both"/>
              <w:rPr>
                <w:rFonts w:ascii="宋体" w:hAnsi="宋体" w:cs="Arial"/>
                <w:color w:val="auto"/>
                <w:highlight w:val="none"/>
              </w:rPr>
            </w:pPr>
            <w:r>
              <w:rPr>
                <w:rFonts w:hint="eastAsia" w:ascii="宋体" w:hAnsi="宋体" w:cs="Arial"/>
                <w:color w:val="auto"/>
                <w:highlight w:val="none"/>
              </w:rPr>
              <w:t>T检验：支持独立样本t检验；非独立样本t检验；多于两组t检验。</w:t>
            </w:r>
          </w:p>
          <w:p>
            <w:pPr>
              <w:pStyle w:val="64"/>
              <w:widowControl w:val="0"/>
              <w:numPr>
                <w:ilvl w:val="0"/>
                <w:numId w:val="29"/>
              </w:numPr>
              <w:spacing w:line="360" w:lineRule="auto"/>
              <w:ind w:firstLineChars="0"/>
              <w:jc w:val="both"/>
              <w:rPr>
                <w:rFonts w:ascii="宋体" w:hAnsi="宋体" w:cs="Arial"/>
                <w:color w:val="auto"/>
                <w:highlight w:val="none"/>
              </w:rPr>
            </w:pPr>
            <w:r>
              <w:rPr>
                <w:rFonts w:hint="eastAsia" w:ascii="宋体" w:hAnsi="宋体" w:cs="Arial"/>
                <w:color w:val="auto"/>
                <w:highlight w:val="none"/>
              </w:rPr>
              <w:t>方差分析：支持单因素方差分析；单因素协方差分析；双因素方差分析；重复测量方差分析。</w:t>
            </w:r>
          </w:p>
          <w:p>
            <w:pPr>
              <w:pStyle w:val="64"/>
              <w:widowControl w:val="0"/>
              <w:numPr>
                <w:ilvl w:val="0"/>
                <w:numId w:val="29"/>
              </w:numPr>
              <w:spacing w:line="360" w:lineRule="auto"/>
              <w:ind w:firstLineChars="0"/>
              <w:jc w:val="both"/>
              <w:rPr>
                <w:rFonts w:ascii="宋体" w:hAnsi="宋体" w:cs="Arial"/>
                <w:color w:val="auto"/>
                <w:highlight w:val="none"/>
              </w:rPr>
            </w:pPr>
            <w:r>
              <w:rPr>
                <w:rFonts w:hint="eastAsia" w:ascii="宋体" w:hAnsi="宋体" w:cs="Arial"/>
                <w:color w:val="auto"/>
                <w:highlight w:val="none"/>
              </w:rPr>
              <w:t>卡方检验：支持卡方检验分析。</w:t>
            </w:r>
          </w:p>
          <w:p>
            <w:pPr>
              <w:numPr>
                <w:ilvl w:val="0"/>
                <w:numId w:val="28"/>
              </w:numPr>
              <w:spacing w:line="360" w:lineRule="auto"/>
              <w:rPr>
                <w:rFonts w:ascii="宋体" w:hAnsi="宋体"/>
                <w:b/>
                <w:color w:val="auto"/>
                <w:sz w:val="24"/>
                <w:highlight w:val="none"/>
              </w:rPr>
            </w:pPr>
            <w:r>
              <w:rPr>
                <w:rFonts w:hint="eastAsia" w:ascii="宋体" w:hAnsi="宋体"/>
                <w:b/>
                <w:color w:val="auto"/>
                <w:sz w:val="24"/>
                <w:highlight w:val="none"/>
              </w:rPr>
              <w:t>生存分析</w:t>
            </w:r>
          </w:p>
          <w:p>
            <w:pPr>
              <w:pStyle w:val="64"/>
              <w:widowControl w:val="0"/>
              <w:numPr>
                <w:ilvl w:val="0"/>
                <w:numId w:val="29"/>
              </w:numPr>
              <w:spacing w:line="360" w:lineRule="auto"/>
              <w:ind w:firstLineChars="0"/>
              <w:jc w:val="both"/>
              <w:rPr>
                <w:rFonts w:ascii="宋体" w:hAnsi="宋体" w:cs="Arial"/>
                <w:color w:val="auto"/>
                <w:highlight w:val="none"/>
              </w:rPr>
            </w:pPr>
            <w:r>
              <w:rPr>
                <w:rFonts w:hint="eastAsia" w:ascii="宋体" w:hAnsi="宋体" w:cs="Arial"/>
                <w:color w:val="auto"/>
                <w:highlight w:val="none"/>
              </w:rPr>
              <w:t>支持Kaplan-Meier survival estimate方法。</w:t>
            </w:r>
          </w:p>
          <w:p>
            <w:pPr>
              <w:pStyle w:val="64"/>
              <w:widowControl w:val="0"/>
              <w:numPr>
                <w:ilvl w:val="0"/>
                <w:numId w:val="29"/>
              </w:numPr>
              <w:spacing w:line="360" w:lineRule="auto"/>
              <w:ind w:firstLineChars="0"/>
              <w:jc w:val="both"/>
              <w:rPr>
                <w:rFonts w:ascii="宋体" w:hAnsi="宋体"/>
                <w:color w:val="auto"/>
                <w:highlight w:val="none"/>
              </w:rPr>
            </w:pPr>
            <w:r>
              <w:rPr>
                <w:rFonts w:hint="eastAsia" w:ascii="宋体" w:hAnsi="宋体" w:cs="Arial"/>
                <w:color w:val="auto"/>
                <w:highlight w:val="none"/>
              </w:rPr>
              <w:t>支持Cox比例风险回归模型分析。</w:t>
            </w:r>
          </w:p>
        </w:tc>
      </w:tr>
    </w:tbl>
    <w:p>
      <w:pPr>
        <w:pStyle w:val="64"/>
        <w:spacing w:line="360" w:lineRule="auto"/>
        <w:ind w:firstLine="0" w:firstLineChars="0"/>
        <w:rPr>
          <w:rFonts w:ascii="宋体" w:hAnsi="宋体" w:cs="Arial"/>
          <w:color w:val="auto"/>
          <w:highlight w:val="none"/>
        </w:rPr>
      </w:pPr>
    </w:p>
    <w:p>
      <w:pPr>
        <w:pStyle w:val="6"/>
        <w:numPr>
          <w:ilvl w:val="3"/>
          <w:numId w:val="8"/>
        </w:numPr>
        <w:spacing w:before="280" w:after="290" w:line="376" w:lineRule="auto"/>
        <w:rPr>
          <w:rFonts w:ascii="宋体" w:hAnsi="宋体"/>
          <w:color w:val="auto"/>
          <w:sz w:val="24"/>
          <w:szCs w:val="24"/>
          <w:highlight w:val="none"/>
        </w:rPr>
      </w:pPr>
      <w:bookmarkStart w:id="685" w:name="_Toc5424"/>
      <w:r>
        <w:rPr>
          <w:rFonts w:hint="eastAsia" w:ascii="宋体" w:hAnsi="宋体"/>
          <w:color w:val="auto"/>
          <w:sz w:val="24"/>
          <w:szCs w:val="24"/>
          <w:highlight w:val="none"/>
        </w:rPr>
        <w:t>智慧后勤系统</w:t>
      </w:r>
      <w:bookmarkEnd w:id="685"/>
    </w:p>
    <w:p>
      <w:pPr>
        <w:pStyle w:val="7"/>
        <w:numPr>
          <w:ilvl w:val="4"/>
          <w:numId w:val="8"/>
        </w:numPr>
        <w:rPr>
          <w:rFonts w:ascii="宋体" w:hAnsi="宋体"/>
          <w:color w:val="auto"/>
          <w:szCs w:val="24"/>
          <w:highlight w:val="none"/>
        </w:rPr>
      </w:pPr>
      <w:bookmarkStart w:id="686" w:name="_Toc6609"/>
      <w:r>
        <w:rPr>
          <w:rFonts w:hint="eastAsia" w:ascii="宋体" w:hAnsi="宋体"/>
          <w:color w:val="auto"/>
          <w:szCs w:val="24"/>
          <w:highlight w:val="none"/>
        </w:rPr>
        <w:t>后勤一站式服务系统</w:t>
      </w:r>
      <w:bookmarkEnd w:id="686"/>
    </w:p>
    <w:p>
      <w:pPr>
        <w:adjustRightInd w:val="0"/>
        <w:spacing w:line="480" w:lineRule="atLeast"/>
        <w:ind w:firstLine="567"/>
        <w:textAlignment w:val="baseline"/>
        <w:rPr>
          <w:rFonts w:ascii="宋体" w:hAnsi="宋体"/>
          <w:color w:val="auto"/>
          <w:sz w:val="24"/>
          <w:highlight w:val="none"/>
        </w:rPr>
      </w:pPr>
      <w:r>
        <w:rPr>
          <w:rFonts w:hint="eastAsia" w:ascii="宋体" w:hAnsi="宋体"/>
          <w:color w:val="auto"/>
          <w:sz w:val="24"/>
          <w:highlight w:val="none"/>
        </w:rPr>
        <w:t>为确保我院后勤一站式服务系统的延续性及高效稳定性，针对后勤一站式服务系统维护进行维护。在维保期内供应商提供技术支持和指导，应用系统的局部改进完善，安排合格的技术工程师提供技术服务，以及现场问题解决。</w:t>
      </w:r>
    </w:p>
    <w:p>
      <w:pPr>
        <w:pStyle w:val="7"/>
        <w:numPr>
          <w:ilvl w:val="4"/>
          <w:numId w:val="8"/>
        </w:numPr>
        <w:rPr>
          <w:rFonts w:ascii="宋体" w:hAnsi="宋体"/>
          <w:color w:val="auto"/>
          <w:szCs w:val="24"/>
          <w:highlight w:val="none"/>
        </w:rPr>
      </w:pPr>
      <w:bookmarkStart w:id="687" w:name="_Toc1006"/>
      <w:r>
        <w:rPr>
          <w:rFonts w:hint="eastAsia" w:ascii="宋体" w:hAnsi="宋体"/>
          <w:color w:val="auto"/>
          <w:szCs w:val="24"/>
          <w:highlight w:val="none"/>
        </w:rPr>
        <w:t>设备巡检管理</w:t>
      </w:r>
      <w:bookmarkEnd w:id="687"/>
    </w:p>
    <w:p>
      <w:pPr>
        <w:adjustRightInd w:val="0"/>
        <w:spacing w:line="480" w:lineRule="atLeast"/>
        <w:ind w:firstLine="567"/>
        <w:textAlignment w:val="baseline"/>
        <w:rPr>
          <w:rFonts w:ascii="宋体" w:hAnsi="宋体"/>
          <w:color w:val="auto"/>
          <w:sz w:val="24"/>
          <w:highlight w:val="none"/>
        </w:rPr>
      </w:pPr>
      <w:r>
        <w:rPr>
          <w:rFonts w:hint="eastAsia" w:ascii="宋体" w:hAnsi="宋体"/>
          <w:color w:val="auto"/>
          <w:sz w:val="24"/>
          <w:highlight w:val="none"/>
        </w:rPr>
        <w:t>需要对重要设备进行巡检点、巡检周期、巡检要求的管理，实现自动化的巡检计划生成和安排；同时能实现巡检过程的跟踪，利用技术手段确保巡检人员按巡检计划要求落实具体巡检工作；对于巡检发现的问题能联动报维修管理系统，自动生成报修单进行处置，并能够关联物资库房系统将每次巡检过程中所产生的维修耗材进行在线管理和统计；对于巡检工作结果可进行在线评价管理，同时可通过手机移动端进行巡检现场实施登记信息操作，确保信息上报的及时性。</w:t>
      </w:r>
    </w:p>
    <w:p>
      <w:pPr>
        <w:adjustRightInd w:val="0"/>
        <w:spacing w:line="480" w:lineRule="atLeast"/>
        <w:ind w:firstLine="567"/>
        <w:textAlignment w:val="baseline"/>
        <w:rPr>
          <w:rFonts w:ascii="宋体" w:hAnsi="宋体"/>
          <w:color w:val="auto"/>
          <w:sz w:val="24"/>
          <w:highlight w:val="none"/>
        </w:rPr>
      </w:pPr>
      <w:r>
        <w:rPr>
          <w:rFonts w:hint="eastAsia" w:ascii="宋体" w:hAnsi="宋体"/>
          <w:color w:val="auto"/>
          <w:sz w:val="24"/>
          <w:highlight w:val="none"/>
        </w:rPr>
        <w:t>需满足以下功能要求：</w:t>
      </w:r>
    </w:p>
    <w:tbl>
      <w:tblPr>
        <w:tblStyle w:val="43"/>
        <w:tblW w:w="9286" w:type="dxa"/>
        <w:tblInd w:w="113" w:type="dxa"/>
        <w:tblLayout w:type="fixed"/>
        <w:tblCellMar>
          <w:top w:w="0" w:type="dxa"/>
          <w:left w:w="108" w:type="dxa"/>
          <w:bottom w:w="0" w:type="dxa"/>
          <w:right w:w="108" w:type="dxa"/>
        </w:tblCellMar>
      </w:tblPr>
      <w:tblGrid>
        <w:gridCol w:w="1630"/>
        <w:gridCol w:w="2216"/>
        <w:gridCol w:w="5440"/>
      </w:tblGrid>
      <w:tr>
        <w:tblPrEx>
          <w:tblCellMar>
            <w:top w:w="0" w:type="dxa"/>
            <w:left w:w="108" w:type="dxa"/>
            <w:bottom w:w="0" w:type="dxa"/>
            <w:right w:w="108" w:type="dxa"/>
          </w:tblCellMar>
        </w:tblPrEx>
        <w:trPr>
          <w:trHeight w:val="312" w:hRule="atLeast"/>
        </w:trPr>
        <w:tc>
          <w:tcPr>
            <w:tcW w:w="1630" w:type="dxa"/>
            <w:tcBorders>
              <w:top w:val="single" w:color="auto" w:sz="4" w:space="0"/>
              <w:left w:val="single" w:color="auto" w:sz="4" w:space="0"/>
              <w:bottom w:val="single" w:color="auto" w:sz="4" w:space="0"/>
              <w:right w:val="single" w:color="auto" w:sz="4" w:space="0"/>
            </w:tcBorders>
            <w:vAlign w:val="center"/>
          </w:tcPr>
          <w:p>
            <w:pPr>
              <w:adjustRightInd w:val="0"/>
              <w:spacing w:line="480" w:lineRule="atLeast"/>
              <w:textAlignment w:val="baseline"/>
              <w:rPr>
                <w:rFonts w:ascii="宋体" w:hAnsi="宋体"/>
                <w:color w:val="auto"/>
                <w:sz w:val="24"/>
                <w:highlight w:val="none"/>
              </w:rPr>
            </w:pPr>
            <w:r>
              <w:rPr>
                <w:rFonts w:hint="eastAsia" w:ascii="宋体" w:hAnsi="宋体"/>
                <w:color w:val="auto"/>
                <w:sz w:val="24"/>
                <w:highlight w:val="none"/>
              </w:rPr>
              <w:t>一级模块</w:t>
            </w:r>
          </w:p>
        </w:tc>
        <w:tc>
          <w:tcPr>
            <w:tcW w:w="2216" w:type="dxa"/>
            <w:tcBorders>
              <w:top w:val="single" w:color="auto" w:sz="4" w:space="0"/>
              <w:left w:val="nil"/>
              <w:bottom w:val="single" w:color="auto" w:sz="4" w:space="0"/>
              <w:right w:val="single" w:color="auto" w:sz="4" w:space="0"/>
            </w:tcBorders>
            <w:vAlign w:val="center"/>
          </w:tcPr>
          <w:p>
            <w:pPr>
              <w:adjustRightInd w:val="0"/>
              <w:spacing w:line="480" w:lineRule="atLeast"/>
              <w:ind w:firstLine="567"/>
              <w:textAlignment w:val="baseline"/>
              <w:rPr>
                <w:rFonts w:ascii="宋体" w:hAnsi="宋体"/>
                <w:color w:val="auto"/>
                <w:sz w:val="24"/>
                <w:highlight w:val="none"/>
              </w:rPr>
            </w:pPr>
            <w:r>
              <w:rPr>
                <w:rFonts w:hint="eastAsia" w:ascii="宋体" w:hAnsi="宋体"/>
                <w:color w:val="auto"/>
                <w:sz w:val="24"/>
                <w:highlight w:val="none"/>
              </w:rPr>
              <w:t>二级功能</w:t>
            </w:r>
          </w:p>
        </w:tc>
        <w:tc>
          <w:tcPr>
            <w:tcW w:w="5440" w:type="dxa"/>
            <w:tcBorders>
              <w:top w:val="single" w:color="auto" w:sz="4" w:space="0"/>
              <w:left w:val="nil"/>
              <w:bottom w:val="single" w:color="auto" w:sz="4" w:space="0"/>
              <w:right w:val="single" w:color="auto" w:sz="4" w:space="0"/>
            </w:tcBorders>
            <w:vAlign w:val="center"/>
          </w:tcPr>
          <w:p>
            <w:pPr>
              <w:adjustRightInd w:val="0"/>
              <w:spacing w:line="480" w:lineRule="atLeast"/>
              <w:ind w:firstLine="567"/>
              <w:textAlignment w:val="baseline"/>
              <w:rPr>
                <w:rFonts w:ascii="宋体" w:hAnsi="宋体"/>
                <w:color w:val="auto"/>
                <w:sz w:val="24"/>
                <w:highlight w:val="none"/>
              </w:rPr>
            </w:pPr>
            <w:r>
              <w:rPr>
                <w:rFonts w:hint="eastAsia" w:ascii="宋体" w:hAnsi="宋体"/>
                <w:color w:val="auto"/>
                <w:sz w:val="24"/>
                <w:highlight w:val="none"/>
              </w:rPr>
              <w:t>功能要求</w:t>
            </w:r>
          </w:p>
        </w:tc>
      </w:tr>
      <w:tr>
        <w:tblPrEx>
          <w:tblCellMar>
            <w:top w:w="0" w:type="dxa"/>
            <w:left w:w="108" w:type="dxa"/>
            <w:bottom w:w="0" w:type="dxa"/>
            <w:right w:w="108" w:type="dxa"/>
          </w:tblCellMar>
        </w:tblPrEx>
        <w:trPr>
          <w:trHeight w:val="312" w:hRule="atLeast"/>
        </w:trPr>
        <w:tc>
          <w:tcPr>
            <w:tcW w:w="1630" w:type="dxa"/>
            <w:tcBorders>
              <w:top w:val="single" w:color="auto" w:sz="4" w:space="0"/>
              <w:left w:val="single" w:color="auto" w:sz="4" w:space="0"/>
              <w:bottom w:val="single" w:color="auto" w:sz="4" w:space="0"/>
              <w:right w:val="single" w:color="auto" w:sz="4" w:space="0"/>
            </w:tcBorders>
            <w:vAlign w:val="center"/>
          </w:tcPr>
          <w:p>
            <w:pPr>
              <w:adjustRightInd w:val="0"/>
              <w:spacing w:line="480" w:lineRule="atLeast"/>
              <w:textAlignment w:val="baseline"/>
              <w:rPr>
                <w:rFonts w:ascii="宋体" w:hAnsi="宋体"/>
                <w:color w:val="auto"/>
                <w:sz w:val="24"/>
                <w:highlight w:val="none"/>
              </w:rPr>
            </w:pPr>
            <w:r>
              <w:rPr>
                <w:rFonts w:hint="eastAsia" w:ascii="宋体" w:hAnsi="宋体"/>
                <w:color w:val="auto"/>
                <w:sz w:val="24"/>
                <w:highlight w:val="none"/>
              </w:rPr>
              <w:t>设备设施运维管理</w:t>
            </w:r>
          </w:p>
        </w:tc>
        <w:tc>
          <w:tcPr>
            <w:tcW w:w="2216" w:type="dxa"/>
            <w:tcBorders>
              <w:top w:val="single" w:color="auto" w:sz="4" w:space="0"/>
              <w:left w:val="nil"/>
              <w:bottom w:val="single" w:color="auto" w:sz="4" w:space="0"/>
              <w:right w:val="single" w:color="auto" w:sz="4" w:space="0"/>
            </w:tcBorders>
            <w:vAlign w:val="center"/>
          </w:tcPr>
          <w:p>
            <w:pPr>
              <w:adjustRightInd w:val="0"/>
              <w:spacing w:line="480" w:lineRule="atLeast"/>
              <w:textAlignment w:val="baseline"/>
              <w:rPr>
                <w:rFonts w:ascii="宋体" w:hAnsi="宋体"/>
                <w:color w:val="auto"/>
                <w:sz w:val="24"/>
                <w:highlight w:val="none"/>
              </w:rPr>
            </w:pPr>
            <w:r>
              <w:rPr>
                <w:rFonts w:hint="eastAsia" w:ascii="宋体" w:hAnsi="宋体"/>
                <w:color w:val="auto"/>
                <w:sz w:val="24"/>
                <w:highlight w:val="none"/>
              </w:rPr>
              <w:t>巡检管理模式调研</w:t>
            </w:r>
          </w:p>
        </w:tc>
        <w:tc>
          <w:tcPr>
            <w:tcW w:w="5440" w:type="dxa"/>
            <w:tcBorders>
              <w:top w:val="single" w:color="auto" w:sz="4" w:space="0"/>
              <w:left w:val="nil"/>
              <w:bottom w:val="single" w:color="auto" w:sz="4" w:space="0"/>
              <w:right w:val="single" w:color="auto" w:sz="4" w:space="0"/>
            </w:tcBorders>
            <w:vAlign w:val="center"/>
          </w:tcPr>
          <w:p>
            <w:pPr>
              <w:adjustRightInd w:val="0"/>
              <w:spacing w:line="480" w:lineRule="atLeast"/>
              <w:textAlignment w:val="baseline"/>
              <w:rPr>
                <w:rFonts w:ascii="宋体" w:hAnsi="宋体"/>
                <w:color w:val="auto"/>
                <w:sz w:val="24"/>
                <w:highlight w:val="none"/>
              </w:rPr>
            </w:pPr>
            <w:r>
              <w:rPr>
                <w:rFonts w:hint="eastAsia" w:ascii="宋体" w:hAnsi="宋体"/>
                <w:color w:val="auto"/>
                <w:sz w:val="24"/>
                <w:highlight w:val="none"/>
              </w:rPr>
              <w:t>支持针对巡检管理体系进行组织结构和管控流程调研设计。</w:t>
            </w:r>
          </w:p>
        </w:tc>
      </w:tr>
      <w:tr>
        <w:tblPrEx>
          <w:tblCellMar>
            <w:top w:w="0" w:type="dxa"/>
            <w:left w:w="108" w:type="dxa"/>
            <w:bottom w:w="0" w:type="dxa"/>
            <w:right w:w="108" w:type="dxa"/>
          </w:tblCellMar>
        </w:tblPrEx>
        <w:trPr>
          <w:trHeight w:val="624" w:hRule="atLeast"/>
        </w:trPr>
        <w:tc>
          <w:tcPr>
            <w:tcW w:w="1630" w:type="dxa"/>
            <w:tcBorders>
              <w:top w:val="single" w:color="auto" w:sz="4" w:space="0"/>
              <w:left w:val="single" w:color="auto" w:sz="4" w:space="0"/>
              <w:bottom w:val="single" w:color="auto" w:sz="4" w:space="0"/>
              <w:right w:val="single" w:color="auto" w:sz="4" w:space="0"/>
            </w:tcBorders>
            <w:vAlign w:val="center"/>
          </w:tcPr>
          <w:p>
            <w:pPr>
              <w:adjustRightInd w:val="0"/>
              <w:spacing w:line="480" w:lineRule="atLeast"/>
              <w:textAlignment w:val="baseline"/>
              <w:rPr>
                <w:rFonts w:ascii="宋体" w:hAnsi="宋体"/>
                <w:color w:val="auto"/>
                <w:sz w:val="24"/>
                <w:highlight w:val="none"/>
              </w:rPr>
            </w:pPr>
            <w:r>
              <w:rPr>
                <w:rFonts w:hint="eastAsia" w:ascii="宋体" w:hAnsi="宋体"/>
                <w:color w:val="auto"/>
                <w:sz w:val="24"/>
                <w:highlight w:val="none"/>
              </w:rPr>
              <w:t>设备设施运维管理</w:t>
            </w:r>
          </w:p>
        </w:tc>
        <w:tc>
          <w:tcPr>
            <w:tcW w:w="2216" w:type="dxa"/>
            <w:tcBorders>
              <w:top w:val="single" w:color="auto" w:sz="4" w:space="0"/>
              <w:left w:val="nil"/>
              <w:bottom w:val="single" w:color="auto" w:sz="4" w:space="0"/>
              <w:right w:val="single" w:color="auto" w:sz="4" w:space="0"/>
            </w:tcBorders>
            <w:vAlign w:val="center"/>
          </w:tcPr>
          <w:p>
            <w:pPr>
              <w:adjustRightInd w:val="0"/>
              <w:spacing w:line="480" w:lineRule="atLeast"/>
              <w:textAlignment w:val="baseline"/>
              <w:rPr>
                <w:rFonts w:ascii="宋体" w:hAnsi="宋体"/>
                <w:color w:val="auto"/>
                <w:sz w:val="24"/>
                <w:highlight w:val="none"/>
              </w:rPr>
            </w:pPr>
            <w:r>
              <w:rPr>
                <w:rFonts w:hint="eastAsia" w:ascii="宋体" w:hAnsi="宋体"/>
                <w:color w:val="auto"/>
                <w:sz w:val="24"/>
                <w:highlight w:val="none"/>
              </w:rPr>
              <w:t>巡检规则及检验点设置</w:t>
            </w:r>
          </w:p>
        </w:tc>
        <w:tc>
          <w:tcPr>
            <w:tcW w:w="5440" w:type="dxa"/>
            <w:tcBorders>
              <w:top w:val="single" w:color="auto" w:sz="4" w:space="0"/>
              <w:left w:val="nil"/>
              <w:bottom w:val="single" w:color="auto" w:sz="4" w:space="0"/>
              <w:right w:val="single" w:color="auto" w:sz="4" w:space="0"/>
            </w:tcBorders>
            <w:vAlign w:val="center"/>
          </w:tcPr>
          <w:p>
            <w:pPr>
              <w:adjustRightInd w:val="0"/>
              <w:spacing w:line="480" w:lineRule="atLeast"/>
              <w:textAlignment w:val="baseline"/>
              <w:rPr>
                <w:rFonts w:ascii="宋体" w:hAnsi="宋体"/>
                <w:color w:val="auto"/>
                <w:sz w:val="24"/>
                <w:highlight w:val="none"/>
              </w:rPr>
            </w:pPr>
            <w:r>
              <w:rPr>
                <w:rFonts w:hint="eastAsia" w:ascii="宋体" w:hAnsi="宋体"/>
                <w:color w:val="auto"/>
                <w:sz w:val="24"/>
                <w:highlight w:val="none"/>
              </w:rPr>
              <w:t>支持在系统中配置针对不同设施设备的巡检规则和检验点。</w:t>
            </w:r>
          </w:p>
        </w:tc>
      </w:tr>
      <w:tr>
        <w:tblPrEx>
          <w:tblCellMar>
            <w:top w:w="0" w:type="dxa"/>
            <w:left w:w="108" w:type="dxa"/>
            <w:bottom w:w="0" w:type="dxa"/>
            <w:right w:w="108" w:type="dxa"/>
          </w:tblCellMar>
        </w:tblPrEx>
        <w:trPr>
          <w:trHeight w:val="624" w:hRule="atLeast"/>
        </w:trPr>
        <w:tc>
          <w:tcPr>
            <w:tcW w:w="1630" w:type="dxa"/>
            <w:tcBorders>
              <w:top w:val="single" w:color="auto" w:sz="4" w:space="0"/>
              <w:left w:val="single" w:color="auto" w:sz="4" w:space="0"/>
              <w:bottom w:val="single" w:color="auto" w:sz="4" w:space="0"/>
              <w:right w:val="single" w:color="auto" w:sz="4" w:space="0"/>
            </w:tcBorders>
            <w:vAlign w:val="center"/>
          </w:tcPr>
          <w:p>
            <w:pPr>
              <w:adjustRightInd w:val="0"/>
              <w:spacing w:line="480" w:lineRule="atLeast"/>
              <w:textAlignment w:val="baseline"/>
              <w:rPr>
                <w:rFonts w:ascii="宋体" w:hAnsi="宋体"/>
                <w:color w:val="auto"/>
                <w:sz w:val="24"/>
                <w:highlight w:val="none"/>
              </w:rPr>
            </w:pPr>
            <w:r>
              <w:rPr>
                <w:rFonts w:hint="eastAsia" w:ascii="宋体" w:hAnsi="宋体"/>
                <w:color w:val="auto"/>
                <w:sz w:val="24"/>
                <w:highlight w:val="none"/>
              </w:rPr>
              <w:t>设备设施运维管理</w:t>
            </w:r>
          </w:p>
        </w:tc>
        <w:tc>
          <w:tcPr>
            <w:tcW w:w="2216" w:type="dxa"/>
            <w:tcBorders>
              <w:top w:val="single" w:color="auto" w:sz="4" w:space="0"/>
              <w:left w:val="nil"/>
              <w:bottom w:val="single" w:color="auto" w:sz="4" w:space="0"/>
              <w:right w:val="single" w:color="auto" w:sz="4" w:space="0"/>
            </w:tcBorders>
            <w:vAlign w:val="center"/>
          </w:tcPr>
          <w:p>
            <w:pPr>
              <w:adjustRightInd w:val="0"/>
              <w:spacing w:line="480" w:lineRule="atLeast"/>
              <w:textAlignment w:val="baseline"/>
              <w:rPr>
                <w:rFonts w:ascii="宋体" w:hAnsi="宋体"/>
                <w:color w:val="auto"/>
                <w:sz w:val="24"/>
                <w:highlight w:val="none"/>
              </w:rPr>
            </w:pPr>
            <w:r>
              <w:rPr>
                <w:rFonts w:hint="eastAsia" w:ascii="宋体" w:hAnsi="宋体"/>
                <w:color w:val="auto"/>
                <w:sz w:val="24"/>
                <w:highlight w:val="none"/>
              </w:rPr>
              <w:t>日常维修及巡检过程管控</w:t>
            </w:r>
          </w:p>
        </w:tc>
        <w:tc>
          <w:tcPr>
            <w:tcW w:w="5440" w:type="dxa"/>
            <w:tcBorders>
              <w:top w:val="single" w:color="auto" w:sz="4" w:space="0"/>
              <w:left w:val="nil"/>
              <w:bottom w:val="single" w:color="auto" w:sz="4" w:space="0"/>
              <w:right w:val="single" w:color="auto" w:sz="4" w:space="0"/>
            </w:tcBorders>
            <w:vAlign w:val="center"/>
          </w:tcPr>
          <w:p>
            <w:pPr>
              <w:adjustRightInd w:val="0"/>
              <w:spacing w:line="480" w:lineRule="atLeast"/>
              <w:textAlignment w:val="baseline"/>
              <w:rPr>
                <w:rFonts w:ascii="宋体" w:hAnsi="宋体"/>
                <w:color w:val="auto"/>
                <w:sz w:val="24"/>
                <w:highlight w:val="none"/>
              </w:rPr>
            </w:pPr>
            <w:r>
              <w:rPr>
                <w:rFonts w:hint="eastAsia" w:ascii="宋体" w:hAnsi="宋体"/>
                <w:color w:val="auto"/>
                <w:sz w:val="24"/>
                <w:highlight w:val="none"/>
              </w:rPr>
              <w:t>支持在PC端网页版登陆应用的维修及巡检系统，实现在线维修及巡检计划生成和记录登记。</w:t>
            </w:r>
          </w:p>
        </w:tc>
      </w:tr>
      <w:tr>
        <w:tblPrEx>
          <w:tblCellMar>
            <w:top w:w="0" w:type="dxa"/>
            <w:left w:w="108" w:type="dxa"/>
            <w:bottom w:w="0" w:type="dxa"/>
            <w:right w:w="108" w:type="dxa"/>
          </w:tblCellMar>
        </w:tblPrEx>
        <w:trPr>
          <w:trHeight w:val="624" w:hRule="atLeast"/>
        </w:trPr>
        <w:tc>
          <w:tcPr>
            <w:tcW w:w="1630" w:type="dxa"/>
            <w:tcBorders>
              <w:top w:val="single" w:color="auto" w:sz="4" w:space="0"/>
              <w:left w:val="single" w:color="auto" w:sz="4" w:space="0"/>
              <w:bottom w:val="single" w:color="auto" w:sz="4" w:space="0"/>
              <w:right w:val="single" w:color="auto" w:sz="4" w:space="0"/>
            </w:tcBorders>
            <w:vAlign w:val="center"/>
          </w:tcPr>
          <w:p>
            <w:pPr>
              <w:adjustRightInd w:val="0"/>
              <w:spacing w:line="480" w:lineRule="atLeast"/>
              <w:textAlignment w:val="baseline"/>
              <w:rPr>
                <w:rFonts w:ascii="宋体" w:hAnsi="宋体"/>
                <w:color w:val="auto"/>
                <w:sz w:val="24"/>
                <w:highlight w:val="none"/>
              </w:rPr>
            </w:pPr>
            <w:r>
              <w:rPr>
                <w:rFonts w:hint="eastAsia" w:ascii="宋体" w:hAnsi="宋体"/>
                <w:color w:val="auto"/>
                <w:sz w:val="24"/>
                <w:highlight w:val="none"/>
              </w:rPr>
              <w:t>设备设施运维管理</w:t>
            </w:r>
          </w:p>
        </w:tc>
        <w:tc>
          <w:tcPr>
            <w:tcW w:w="2216" w:type="dxa"/>
            <w:tcBorders>
              <w:top w:val="single" w:color="auto" w:sz="4" w:space="0"/>
              <w:left w:val="nil"/>
              <w:bottom w:val="single" w:color="auto" w:sz="4" w:space="0"/>
              <w:right w:val="single" w:color="auto" w:sz="4" w:space="0"/>
            </w:tcBorders>
            <w:vAlign w:val="center"/>
          </w:tcPr>
          <w:p>
            <w:pPr>
              <w:adjustRightInd w:val="0"/>
              <w:spacing w:line="480" w:lineRule="atLeast"/>
              <w:textAlignment w:val="baseline"/>
              <w:rPr>
                <w:rFonts w:ascii="宋体" w:hAnsi="宋体"/>
                <w:color w:val="auto"/>
                <w:sz w:val="24"/>
                <w:highlight w:val="none"/>
              </w:rPr>
            </w:pPr>
            <w:r>
              <w:rPr>
                <w:rFonts w:hint="eastAsia" w:ascii="宋体" w:hAnsi="宋体"/>
                <w:color w:val="auto"/>
                <w:sz w:val="24"/>
                <w:highlight w:val="none"/>
              </w:rPr>
              <w:t>微信及App端维修及巡检系统</w:t>
            </w:r>
          </w:p>
        </w:tc>
        <w:tc>
          <w:tcPr>
            <w:tcW w:w="5440" w:type="dxa"/>
            <w:tcBorders>
              <w:top w:val="single" w:color="auto" w:sz="4" w:space="0"/>
              <w:left w:val="nil"/>
              <w:bottom w:val="single" w:color="auto" w:sz="4" w:space="0"/>
              <w:right w:val="single" w:color="auto" w:sz="4" w:space="0"/>
            </w:tcBorders>
            <w:vAlign w:val="center"/>
          </w:tcPr>
          <w:p>
            <w:pPr>
              <w:adjustRightInd w:val="0"/>
              <w:spacing w:line="480" w:lineRule="atLeast"/>
              <w:textAlignment w:val="baseline"/>
              <w:rPr>
                <w:rFonts w:ascii="宋体" w:hAnsi="宋体"/>
                <w:color w:val="auto"/>
                <w:sz w:val="24"/>
                <w:highlight w:val="none"/>
              </w:rPr>
            </w:pPr>
            <w:r>
              <w:rPr>
                <w:rFonts w:hint="eastAsia" w:ascii="宋体" w:hAnsi="宋体"/>
                <w:color w:val="auto"/>
                <w:sz w:val="24"/>
                <w:highlight w:val="none"/>
              </w:rPr>
              <w:t>支持在微信或App端登陆应用的维修及巡检系统，实现移动化的维修及巡检过程记录登记。</w:t>
            </w:r>
          </w:p>
        </w:tc>
      </w:tr>
      <w:tr>
        <w:tblPrEx>
          <w:tblCellMar>
            <w:top w:w="0" w:type="dxa"/>
            <w:left w:w="108" w:type="dxa"/>
            <w:bottom w:w="0" w:type="dxa"/>
            <w:right w:w="108" w:type="dxa"/>
          </w:tblCellMar>
        </w:tblPrEx>
        <w:trPr>
          <w:trHeight w:val="312" w:hRule="atLeast"/>
        </w:trPr>
        <w:tc>
          <w:tcPr>
            <w:tcW w:w="1630" w:type="dxa"/>
            <w:tcBorders>
              <w:top w:val="single" w:color="auto" w:sz="4" w:space="0"/>
              <w:left w:val="single" w:color="auto" w:sz="4" w:space="0"/>
              <w:bottom w:val="single" w:color="auto" w:sz="4" w:space="0"/>
              <w:right w:val="single" w:color="auto" w:sz="4" w:space="0"/>
            </w:tcBorders>
            <w:vAlign w:val="center"/>
          </w:tcPr>
          <w:p>
            <w:pPr>
              <w:adjustRightInd w:val="0"/>
              <w:spacing w:line="480" w:lineRule="atLeast"/>
              <w:textAlignment w:val="baseline"/>
              <w:rPr>
                <w:rFonts w:ascii="宋体" w:hAnsi="宋体"/>
                <w:color w:val="auto"/>
                <w:sz w:val="24"/>
                <w:highlight w:val="none"/>
              </w:rPr>
            </w:pPr>
            <w:r>
              <w:rPr>
                <w:rFonts w:hint="eastAsia" w:ascii="宋体" w:hAnsi="宋体"/>
                <w:color w:val="auto"/>
                <w:sz w:val="24"/>
                <w:highlight w:val="none"/>
              </w:rPr>
              <w:t>设备设施运维管理</w:t>
            </w:r>
          </w:p>
        </w:tc>
        <w:tc>
          <w:tcPr>
            <w:tcW w:w="2216" w:type="dxa"/>
            <w:tcBorders>
              <w:top w:val="single" w:color="auto" w:sz="4" w:space="0"/>
              <w:left w:val="nil"/>
              <w:bottom w:val="single" w:color="auto" w:sz="4" w:space="0"/>
              <w:right w:val="single" w:color="auto" w:sz="4" w:space="0"/>
            </w:tcBorders>
            <w:vAlign w:val="center"/>
          </w:tcPr>
          <w:p>
            <w:pPr>
              <w:adjustRightInd w:val="0"/>
              <w:spacing w:line="480" w:lineRule="atLeast"/>
              <w:textAlignment w:val="baseline"/>
              <w:rPr>
                <w:rFonts w:ascii="宋体" w:hAnsi="宋体"/>
                <w:color w:val="auto"/>
                <w:sz w:val="24"/>
                <w:highlight w:val="none"/>
              </w:rPr>
            </w:pPr>
            <w:r>
              <w:rPr>
                <w:rFonts w:hint="eastAsia" w:ascii="宋体" w:hAnsi="宋体"/>
                <w:color w:val="auto"/>
                <w:sz w:val="24"/>
                <w:highlight w:val="none"/>
              </w:rPr>
              <w:t>巡检问题处置管理</w:t>
            </w:r>
          </w:p>
        </w:tc>
        <w:tc>
          <w:tcPr>
            <w:tcW w:w="5440" w:type="dxa"/>
            <w:tcBorders>
              <w:top w:val="single" w:color="auto" w:sz="4" w:space="0"/>
              <w:left w:val="nil"/>
              <w:bottom w:val="single" w:color="auto" w:sz="4" w:space="0"/>
              <w:right w:val="single" w:color="auto" w:sz="4" w:space="0"/>
            </w:tcBorders>
            <w:vAlign w:val="center"/>
          </w:tcPr>
          <w:p>
            <w:pPr>
              <w:adjustRightInd w:val="0"/>
              <w:spacing w:line="480" w:lineRule="atLeast"/>
              <w:textAlignment w:val="baseline"/>
              <w:rPr>
                <w:rFonts w:ascii="宋体" w:hAnsi="宋体"/>
                <w:color w:val="auto"/>
                <w:sz w:val="24"/>
                <w:highlight w:val="none"/>
              </w:rPr>
            </w:pPr>
            <w:r>
              <w:rPr>
                <w:rFonts w:hint="eastAsia" w:ascii="宋体" w:hAnsi="宋体"/>
                <w:color w:val="auto"/>
                <w:sz w:val="24"/>
                <w:highlight w:val="none"/>
              </w:rPr>
              <w:t>支持在PC端网页版登陆应用的维修及巡检系统，实现在线维修及巡检计划生成和记录登记。</w:t>
            </w:r>
          </w:p>
        </w:tc>
      </w:tr>
      <w:tr>
        <w:tblPrEx>
          <w:tblCellMar>
            <w:top w:w="0" w:type="dxa"/>
            <w:left w:w="108" w:type="dxa"/>
            <w:bottom w:w="0" w:type="dxa"/>
            <w:right w:w="108" w:type="dxa"/>
          </w:tblCellMar>
        </w:tblPrEx>
        <w:trPr>
          <w:trHeight w:val="312" w:hRule="atLeast"/>
        </w:trPr>
        <w:tc>
          <w:tcPr>
            <w:tcW w:w="1630" w:type="dxa"/>
            <w:tcBorders>
              <w:top w:val="single" w:color="auto" w:sz="4" w:space="0"/>
              <w:left w:val="single" w:color="auto" w:sz="4" w:space="0"/>
              <w:bottom w:val="single" w:color="auto" w:sz="4" w:space="0"/>
              <w:right w:val="single" w:color="auto" w:sz="4" w:space="0"/>
            </w:tcBorders>
            <w:vAlign w:val="center"/>
          </w:tcPr>
          <w:p>
            <w:pPr>
              <w:adjustRightInd w:val="0"/>
              <w:spacing w:line="480" w:lineRule="atLeast"/>
              <w:textAlignment w:val="baseline"/>
              <w:rPr>
                <w:rFonts w:ascii="宋体" w:hAnsi="宋体"/>
                <w:color w:val="auto"/>
                <w:sz w:val="24"/>
                <w:highlight w:val="none"/>
              </w:rPr>
            </w:pPr>
            <w:r>
              <w:rPr>
                <w:rFonts w:hint="eastAsia" w:ascii="宋体" w:hAnsi="宋体"/>
                <w:color w:val="auto"/>
                <w:sz w:val="24"/>
                <w:highlight w:val="none"/>
              </w:rPr>
              <w:t>设备设施运维管理</w:t>
            </w:r>
          </w:p>
        </w:tc>
        <w:tc>
          <w:tcPr>
            <w:tcW w:w="2216" w:type="dxa"/>
            <w:tcBorders>
              <w:top w:val="single" w:color="auto" w:sz="4" w:space="0"/>
              <w:left w:val="nil"/>
              <w:bottom w:val="single" w:color="auto" w:sz="4" w:space="0"/>
              <w:right w:val="single" w:color="auto" w:sz="4" w:space="0"/>
            </w:tcBorders>
            <w:vAlign w:val="center"/>
          </w:tcPr>
          <w:p>
            <w:pPr>
              <w:adjustRightInd w:val="0"/>
              <w:spacing w:line="480" w:lineRule="atLeast"/>
              <w:textAlignment w:val="baseline"/>
              <w:rPr>
                <w:rFonts w:ascii="宋体" w:hAnsi="宋体"/>
                <w:color w:val="auto"/>
                <w:sz w:val="24"/>
                <w:highlight w:val="none"/>
              </w:rPr>
            </w:pPr>
            <w:r>
              <w:rPr>
                <w:rFonts w:hint="eastAsia" w:ascii="宋体" w:hAnsi="宋体"/>
                <w:color w:val="auto"/>
                <w:sz w:val="24"/>
                <w:highlight w:val="none"/>
              </w:rPr>
              <w:t>巡检、维修、物资消耗数据分析BI看板</w:t>
            </w:r>
          </w:p>
        </w:tc>
        <w:tc>
          <w:tcPr>
            <w:tcW w:w="5440" w:type="dxa"/>
            <w:tcBorders>
              <w:top w:val="single" w:color="auto" w:sz="4" w:space="0"/>
              <w:left w:val="nil"/>
              <w:bottom w:val="single" w:color="auto" w:sz="4" w:space="0"/>
              <w:right w:val="single" w:color="auto" w:sz="4" w:space="0"/>
            </w:tcBorders>
            <w:vAlign w:val="center"/>
          </w:tcPr>
          <w:p>
            <w:pPr>
              <w:adjustRightInd w:val="0"/>
              <w:spacing w:line="480" w:lineRule="atLeast"/>
              <w:textAlignment w:val="baseline"/>
              <w:rPr>
                <w:rFonts w:ascii="宋体" w:hAnsi="宋体"/>
                <w:color w:val="auto"/>
                <w:sz w:val="24"/>
                <w:highlight w:val="none"/>
              </w:rPr>
            </w:pPr>
            <w:r>
              <w:rPr>
                <w:rFonts w:hint="eastAsia" w:ascii="宋体" w:hAnsi="宋体"/>
                <w:color w:val="auto"/>
                <w:sz w:val="24"/>
                <w:highlight w:val="none"/>
              </w:rPr>
              <w:t>支持巡检业务数据信息的报表统计分析和图形化展现。</w:t>
            </w:r>
          </w:p>
        </w:tc>
      </w:tr>
    </w:tbl>
    <w:p>
      <w:pPr>
        <w:pStyle w:val="75"/>
        <w:ind w:firstLine="420"/>
        <w:rPr>
          <w:color w:val="auto"/>
          <w:highlight w:val="none"/>
        </w:rPr>
      </w:pPr>
    </w:p>
    <w:p>
      <w:pPr>
        <w:pStyle w:val="7"/>
        <w:numPr>
          <w:ilvl w:val="4"/>
          <w:numId w:val="8"/>
        </w:numPr>
        <w:rPr>
          <w:rFonts w:ascii="宋体" w:hAnsi="宋体"/>
          <w:color w:val="auto"/>
          <w:szCs w:val="24"/>
          <w:highlight w:val="none"/>
        </w:rPr>
      </w:pPr>
      <w:bookmarkStart w:id="688" w:name="_Toc19916"/>
      <w:r>
        <w:rPr>
          <w:rFonts w:hint="eastAsia" w:ascii="宋体" w:hAnsi="宋体"/>
          <w:color w:val="auto"/>
          <w:szCs w:val="24"/>
          <w:highlight w:val="none"/>
        </w:rPr>
        <w:t>医疗废弃物管理</w:t>
      </w:r>
      <w:bookmarkEnd w:id="688"/>
    </w:p>
    <w:p>
      <w:pPr>
        <w:adjustRightInd w:val="0"/>
        <w:spacing w:line="480" w:lineRule="atLeast"/>
        <w:ind w:firstLine="567"/>
        <w:textAlignment w:val="baseline"/>
        <w:rPr>
          <w:rFonts w:ascii="宋体" w:hAnsi="宋体"/>
          <w:color w:val="auto"/>
          <w:sz w:val="24"/>
          <w:highlight w:val="none"/>
        </w:rPr>
      </w:pPr>
      <w:r>
        <w:rPr>
          <w:rFonts w:hint="eastAsia" w:ascii="宋体" w:hAnsi="宋体"/>
          <w:color w:val="auto"/>
          <w:sz w:val="24"/>
          <w:highlight w:val="none"/>
        </w:rPr>
        <w:t>借助物联网技术构建医疗废弃物管理系统，结合医废转运车，通过信息化手段，实现医疗废弃物的通道全程跟踪管理，对每一袋医疗废物的收集、称重、打包、转运、暂存、运输、销毁实现全生命周期的跟踪管控。同时，通过精细化管理，实现医疗废物各科室独立核算，提高科室成本意识，降低医院运营成本。</w:t>
      </w:r>
    </w:p>
    <w:p>
      <w:pPr>
        <w:adjustRightInd w:val="0"/>
        <w:spacing w:line="480" w:lineRule="atLeast"/>
        <w:ind w:firstLine="567"/>
        <w:textAlignment w:val="baseline"/>
        <w:rPr>
          <w:rFonts w:ascii="宋体" w:hAnsi="宋体"/>
          <w:color w:val="auto"/>
          <w:kern w:val="0"/>
          <w:sz w:val="24"/>
          <w:highlight w:val="none"/>
        </w:rPr>
      </w:pPr>
      <w:r>
        <w:rPr>
          <w:rFonts w:hint="eastAsia" w:ascii="宋体" w:hAnsi="宋体"/>
          <w:color w:val="auto"/>
          <w:kern w:val="0"/>
          <w:sz w:val="24"/>
          <w:highlight w:val="none"/>
        </w:rPr>
        <w:t>需满足以下功能：</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89"/>
        <w:gridCol w:w="69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2089"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功能模块</w:t>
            </w:r>
          </w:p>
        </w:tc>
        <w:tc>
          <w:tcPr>
            <w:tcW w:w="6978"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w:t>
            </w:r>
            <w:r>
              <w:rPr>
                <w:rFonts w:hint="eastAsia" w:ascii="宋体" w:hAnsi="宋体" w:cs="仿宋"/>
                <w:b/>
                <w:bCs/>
                <w:color w:val="auto"/>
                <w:sz w:val="24"/>
                <w:highlight w:val="none"/>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trPr>
        <w:tc>
          <w:tcPr>
            <w:tcW w:w="2089" w:type="dxa"/>
            <w:vAlign w:val="center"/>
          </w:tcPr>
          <w:p>
            <w:pPr>
              <w:autoSpaceDE w:val="0"/>
              <w:autoSpaceDN w:val="0"/>
              <w:spacing w:before="167"/>
              <w:ind w:right="-4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医废全程监管</w:t>
            </w:r>
          </w:p>
        </w:tc>
        <w:tc>
          <w:tcPr>
            <w:tcW w:w="6978" w:type="dxa"/>
            <w:vAlign w:val="center"/>
          </w:tcPr>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cs="Arial"/>
                <w:color w:val="auto"/>
                <w:sz w:val="24"/>
                <w:highlight w:val="none"/>
                <w:lang w:eastAsia="zh-CN"/>
              </w:rPr>
              <w:t>支持</w:t>
            </w:r>
            <w:r>
              <w:rPr>
                <w:rFonts w:hint="eastAsia" w:ascii="宋体" w:hAnsi="宋体" w:eastAsia="宋体"/>
                <w:bCs/>
                <w:color w:val="auto"/>
                <w:sz w:val="24"/>
                <w:highlight w:val="none"/>
                <w:lang w:eastAsia="zh-CN"/>
              </w:rPr>
              <w:t>建立医废秤重管理、监督、追踪的数据库，医废从收集直到销毁实现全生命周期跟踪管理，所有节点信息记录，可查询，可追溯。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089" w:type="dxa"/>
            <w:vAlign w:val="center"/>
          </w:tcPr>
          <w:p>
            <w:pPr>
              <w:autoSpaceDE w:val="0"/>
              <w:autoSpaceDN w:val="0"/>
              <w:spacing w:before="9"/>
              <w:ind w:right="-4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成本独立核算</w:t>
            </w:r>
          </w:p>
        </w:tc>
        <w:tc>
          <w:tcPr>
            <w:tcW w:w="6978" w:type="dxa"/>
            <w:vAlign w:val="center"/>
          </w:tcPr>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cs="Arial"/>
                <w:color w:val="auto"/>
                <w:sz w:val="24"/>
                <w:highlight w:val="none"/>
                <w:lang w:eastAsia="zh-CN"/>
              </w:rPr>
              <w:t>支持</w:t>
            </w:r>
            <w:r>
              <w:rPr>
                <w:rFonts w:hint="eastAsia" w:ascii="宋体" w:hAnsi="宋体" w:eastAsia="宋体"/>
                <w:bCs/>
                <w:color w:val="auto"/>
                <w:sz w:val="24"/>
                <w:highlight w:val="none"/>
                <w:lang w:eastAsia="zh-CN"/>
              </w:rPr>
              <w:t>医废重量、数量对应到科室，精细核算医废处理成本。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089" w:type="dxa"/>
            <w:vAlign w:val="center"/>
          </w:tcPr>
          <w:p>
            <w:pPr>
              <w:autoSpaceDE w:val="0"/>
              <w:autoSpaceDN w:val="0"/>
              <w:spacing w:before="7"/>
              <w:ind w:right="-4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滞留超期预警</w:t>
            </w:r>
          </w:p>
        </w:tc>
        <w:tc>
          <w:tcPr>
            <w:tcW w:w="6978" w:type="dxa"/>
            <w:vAlign w:val="center"/>
          </w:tcPr>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cs="Arial"/>
                <w:color w:val="auto"/>
                <w:sz w:val="24"/>
                <w:highlight w:val="none"/>
                <w:lang w:eastAsia="zh-CN"/>
              </w:rPr>
              <w:t>支持</w:t>
            </w:r>
            <w:r>
              <w:rPr>
                <w:rFonts w:hint="eastAsia" w:ascii="宋体" w:hAnsi="宋体" w:eastAsia="宋体"/>
                <w:bCs/>
                <w:color w:val="auto"/>
                <w:sz w:val="24"/>
                <w:highlight w:val="none"/>
                <w:lang w:eastAsia="zh-CN"/>
              </w:rPr>
              <w:t>医废暂存时间超过规定时间，报警提醒。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2089" w:type="dxa"/>
            <w:vAlign w:val="center"/>
          </w:tcPr>
          <w:p>
            <w:pPr>
              <w:autoSpaceDE w:val="0"/>
              <w:autoSpaceDN w:val="0"/>
              <w:spacing w:before="7"/>
              <w:ind w:right="-44"/>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出站信息核对</w:t>
            </w:r>
          </w:p>
        </w:tc>
        <w:tc>
          <w:tcPr>
            <w:tcW w:w="6978" w:type="dxa"/>
            <w:vAlign w:val="center"/>
          </w:tcPr>
          <w:p>
            <w:pPr>
              <w:pStyle w:val="201"/>
              <w:numPr>
                <w:ilvl w:val="0"/>
                <w:numId w:val="9"/>
              </w:numPr>
              <w:spacing w:before="6" w:line="360" w:lineRule="auto"/>
              <w:ind w:left="367" w:right="105" w:rightChars="50" w:firstLine="482"/>
              <w:rPr>
                <w:rFonts w:ascii="宋体" w:hAnsi="宋体" w:eastAsia="宋体"/>
                <w:bCs/>
                <w:color w:val="auto"/>
                <w:sz w:val="24"/>
                <w:highlight w:val="none"/>
                <w:lang w:eastAsia="zh-CN"/>
              </w:rPr>
            </w:pPr>
            <w:r>
              <w:rPr>
                <w:rFonts w:hint="eastAsia" w:ascii="宋体" w:hAnsi="宋体" w:eastAsia="宋体" w:cs="Arial"/>
                <w:color w:val="auto"/>
                <w:sz w:val="24"/>
                <w:highlight w:val="none"/>
                <w:lang w:eastAsia="zh-CN"/>
              </w:rPr>
              <w:t>支持</w:t>
            </w:r>
            <w:r>
              <w:rPr>
                <w:rFonts w:hint="eastAsia" w:ascii="宋体" w:hAnsi="宋体" w:eastAsia="宋体"/>
                <w:bCs/>
                <w:color w:val="auto"/>
                <w:sz w:val="24"/>
                <w:highlight w:val="none"/>
                <w:lang w:eastAsia="zh-CN"/>
              </w:rPr>
              <w:t>医废出站时对重量、数量、科室等信息进行核验。</w:t>
            </w:r>
          </w:p>
        </w:tc>
      </w:tr>
    </w:tbl>
    <w:p>
      <w:pPr>
        <w:adjustRightInd w:val="0"/>
        <w:spacing w:line="480" w:lineRule="atLeast"/>
        <w:textAlignment w:val="baseline"/>
        <w:rPr>
          <w:rFonts w:ascii="宋体" w:hAnsi="宋体"/>
          <w:color w:val="auto"/>
          <w:kern w:val="0"/>
          <w:sz w:val="24"/>
          <w:highlight w:val="none"/>
        </w:rPr>
      </w:pPr>
    </w:p>
    <w:p>
      <w:pPr>
        <w:pStyle w:val="5"/>
        <w:numPr>
          <w:ilvl w:val="2"/>
          <w:numId w:val="8"/>
        </w:numPr>
        <w:autoSpaceDE/>
        <w:autoSpaceDN/>
        <w:adjustRightInd/>
        <w:spacing w:before="260" w:after="260" w:line="416" w:lineRule="auto"/>
        <w:jc w:val="both"/>
        <w:rPr>
          <w:rFonts w:hAnsi="宋体"/>
          <w:color w:val="auto"/>
          <w:szCs w:val="24"/>
          <w:highlight w:val="none"/>
        </w:rPr>
      </w:pPr>
      <w:bookmarkStart w:id="689" w:name="_Toc138247816"/>
      <w:bookmarkStart w:id="690" w:name="_Toc617525110"/>
      <w:bookmarkStart w:id="691" w:name="_Toc18178"/>
      <w:r>
        <w:rPr>
          <w:rFonts w:hint="eastAsia" w:hAnsi="宋体"/>
          <w:color w:val="auto"/>
          <w:szCs w:val="24"/>
          <w:highlight w:val="none"/>
        </w:rPr>
        <w:t>智慧服务建设</w:t>
      </w:r>
      <w:bookmarkEnd w:id="689"/>
      <w:bookmarkEnd w:id="690"/>
      <w:bookmarkEnd w:id="691"/>
    </w:p>
    <w:p>
      <w:pPr>
        <w:pStyle w:val="6"/>
        <w:numPr>
          <w:ilvl w:val="3"/>
          <w:numId w:val="8"/>
        </w:numPr>
        <w:spacing w:before="280" w:after="290" w:line="376" w:lineRule="auto"/>
        <w:rPr>
          <w:rFonts w:ascii="宋体" w:hAnsi="宋体"/>
          <w:color w:val="auto"/>
          <w:sz w:val="24"/>
          <w:szCs w:val="24"/>
          <w:highlight w:val="none"/>
        </w:rPr>
      </w:pPr>
      <w:bookmarkStart w:id="692" w:name="_Toc18590"/>
      <w:r>
        <w:rPr>
          <w:rFonts w:hint="eastAsia" w:ascii="宋体" w:hAnsi="宋体"/>
          <w:color w:val="auto"/>
          <w:sz w:val="24"/>
          <w:szCs w:val="24"/>
          <w:highlight w:val="none"/>
        </w:rPr>
        <w:t>患者自助服务</w:t>
      </w:r>
      <w:bookmarkEnd w:id="692"/>
    </w:p>
    <w:p>
      <w:pPr>
        <w:pStyle w:val="8"/>
        <w:ind w:firstLine="480"/>
        <w:rPr>
          <w:rFonts w:ascii="宋体" w:hAnsi="宋体"/>
          <w:color w:val="auto"/>
          <w:szCs w:val="24"/>
          <w:highlight w:val="none"/>
        </w:rPr>
      </w:pPr>
      <w:r>
        <w:rPr>
          <w:rFonts w:hint="eastAsia" w:ascii="宋体" w:hAnsi="宋体"/>
          <w:color w:val="auto"/>
          <w:szCs w:val="24"/>
          <w:highlight w:val="none"/>
        </w:rPr>
        <w:t>通过和自助设备厂商所提供的完整部件驱动接口进行对接，实现自助终端服务系统在自助设备上的应用，建立线下线上结合的全流程自助医疗服务体系。线下服务以自助医疗服务终端为基础，促进实体医院医疗资源整合，为患者提供自助建档、电子健康码注册、自助挂号、自助缴费、自助预约挂号、自助打印报告、住院预交金充值、自助查询等各类自助医疗应用。</w:t>
      </w:r>
    </w:p>
    <w:p>
      <w:pPr>
        <w:pStyle w:val="8"/>
        <w:ind w:firstLine="480"/>
        <w:rPr>
          <w:rFonts w:ascii="宋体" w:hAnsi="宋体"/>
          <w:color w:val="auto"/>
          <w:szCs w:val="24"/>
          <w:highlight w:val="none"/>
        </w:rPr>
      </w:pPr>
      <w:r>
        <w:rPr>
          <w:rFonts w:hint="eastAsia" w:ascii="宋体" w:hAnsi="宋体"/>
          <w:color w:val="auto"/>
          <w:szCs w:val="24"/>
          <w:highlight w:val="none"/>
        </w:rPr>
        <w:t>需满足以下功能要求：</w:t>
      </w:r>
    </w:p>
    <w:tbl>
      <w:tblPr>
        <w:tblStyle w:val="43"/>
        <w:tblW w:w="90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4"/>
        <w:gridCol w:w="70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trPr>
        <w:tc>
          <w:tcPr>
            <w:tcW w:w="1984"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功能模块</w:t>
            </w:r>
          </w:p>
        </w:tc>
        <w:tc>
          <w:tcPr>
            <w:tcW w:w="7083"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w:t>
            </w:r>
            <w:r>
              <w:rPr>
                <w:rFonts w:hint="eastAsia" w:ascii="宋体" w:hAnsi="宋体" w:cs="仿宋"/>
                <w:b/>
                <w:bCs/>
                <w:color w:val="auto"/>
                <w:sz w:val="24"/>
                <w:highlight w:val="none"/>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1984" w:type="dxa"/>
            <w:vAlign w:val="center"/>
          </w:tcPr>
          <w:p>
            <w:pPr>
              <w:autoSpaceDE w:val="0"/>
              <w:autoSpaceDN w:val="0"/>
              <w:spacing w:before="1" w:line="360" w:lineRule="auto"/>
              <w:ind w:left="126"/>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注册申领</w:t>
            </w:r>
          </w:p>
        </w:tc>
        <w:tc>
          <w:tcPr>
            <w:tcW w:w="7083" w:type="dxa"/>
          </w:tcPr>
          <w:p>
            <w:pPr>
              <w:pStyle w:val="201"/>
              <w:numPr>
                <w:ilvl w:val="0"/>
                <w:numId w:val="9"/>
              </w:numPr>
              <w:spacing w:before="6" w:line="360" w:lineRule="auto"/>
              <w:ind w:left="367"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患者首次就诊可在自助机上凭身份证，医保卡、电子健康码等进行就诊信息注册，也可申领电子健康码并打印电子健康码凭条。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0" w:hRule="atLeast"/>
        </w:trPr>
        <w:tc>
          <w:tcPr>
            <w:tcW w:w="1984" w:type="dxa"/>
            <w:vAlign w:val="center"/>
          </w:tcPr>
          <w:p>
            <w:pPr>
              <w:autoSpaceDE w:val="0"/>
              <w:autoSpaceDN w:val="0"/>
              <w:spacing w:line="360" w:lineRule="auto"/>
              <w:ind w:left="126"/>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当日挂号</w:t>
            </w:r>
          </w:p>
        </w:tc>
        <w:tc>
          <w:tcPr>
            <w:tcW w:w="7083" w:type="dxa"/>
          </w:tcPr>
          <w:p>
            <w:pPr>
              <w:pStyle w:val="201"/>
              <w:numPr>
                <w:ilvl w:val="0"/>
                <w:numId w:val="9"/>
              </w:numPr>
              <w:spacing w:before="6" w:line="360" w:lineRule="auto"/>
              <w:ind w:left="367"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患者在自助设备上，通过扫描身份证、社保卡、电子社保卡、电子健康卡进行实名注册，可以查询当天的专家号和普通号，通过银行卡、微信、支付宝扣费，取得挂号单，持身份证及挂号单进行诊间就诊。（普通门诊挂科室，专家门诊挂医生）缴费后，当日号支持窗口退号退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1984" w:type="dxa"/>
            <w:vAlign w:val="center"/>
          </w:tcPr>
          <w:p>
            <w:pPr>
              <w:autoSpaceDE w:val="0"/>
              <w:autoSpaceDN w:val="0"/>
              <w:spacing w:line="360" w:lineRule="auto"/>
              <w:ind w:left="126"/>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预约挂号</w:t>
            </w:r>
          </w:p>
        </w:tc>
        <w:tc>
          <w:tcPr>
            <w:tcW w:w="7083" w:type="dxa"/>
          </w:tcPr>
          <w:p>
            <w:pPr>
              <w:pStyle w:val="201"/>
              <w:numPr>
                <w:ilvl w:val="0"/>
                <w:numId w:val="9"/>
              </w:numPr>
              <w:spacing w:before="6" w:line="360" w:lineRule="auto"/>
              <w:ind w:left="367"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支持非当日的医生排班进行预约号挂号并支付挂号费。就诊当日直接可以到医生诊室就诊。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 w:hRule="atLeast"/>
        </w:trPr>
        <w:tc>
          <w:tcPr>
            <w:tcW w:w="1984" w:type="dxa"/>
            <w:vAlign w:val="center"/>
          </w:tcPr>
          <w:p>
            <w:pPr>
              <w:autoSpaceDE w:val="0"/>
              <w:autoSpaceDN w:val="0"/>
              <w:spacing w:line="360" w:lineRule="auto"/>
              <w:ind w:left="126"/>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门诊缴费</w:t>
            </w:r>
          </w:p>
        </w:tc>
        <w:tc>
          <w:tcPr>
            <w:tcW w:w="7083" w:type="dxa"/>
          </w:tcPr>
          <w:p>
            <w:pPr>
              <w:pStyle w:val="201"/>
              <w:numPr>
                <w:ilvl w:val="0"/>
                <w:numId w:val="9"/>
              </w:numPr>
              <w:spacing w:before="6" w:line="360" w:lineRule="auto"/>
              <w:ind w:left="367"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患者在医生开单后可通过身份证、社保卡、电子社保卡、电子健康卡、导诊单在自助设备上查询门诊待缴费划价单进行缴费。</w:t>
            </w:r>
          </w:p>
          <w:p>
            <w:pPr>
              <w:pStyle w:val="201"/>
              <w:numPr>
                <w:ilvl w:val="0"/>
                <w:numId w:val="9"/>
              </w:numPr>
              <w:spacing w:before="6" w:line="360" w:lineRule="auto"/>
              <w:ind w:left="367"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支持银行卡、社保卡、微信、支付宝等支付方式并打印缴费凭条。自助设备支持职工医保缴费，医保门诊大病，慢性病缴费需HIS及医院医生进行支持可实现自助医保缴费，医保门诊统筹可正常实现门诊缴费。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1984" w:type="dxa"/>
            <w:vAlign w:val="center"/>
          </w:tcPr>
          <w:p>
            <w:pPr>
              <w:autoSpaceDE w:val="0"/>
              <w:autoSpaceDN w:val="0"/>
              <w:spacing w:line="360" w:lineRule="auto"/>
              <w:ind w:left="126"/>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检验报告单打印</w:t>
            </w:r>
          </w:p>
        </w:tc>
        <w:tc>
          <w:tcPr>
            <w:tcW w:w="7083" w:type="dxa"/>
          </w:tcPr>
          <w:p>
            <w:pPr>
              <w:pStyle w:val="201"/>
              <w:numPr>
                <w:ilvl w:val="0"/>
                <w:numId w:val="9"/>
              </w:numPr>
              <w:spacing w:before="6" w:line="360" w:lineRule="auto"/>
              <w:ind w:left="367"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检验报告出来后，患者可持身份证、社保卡、电子社保卡、电子健康或院内就诊ID到自助设备查询、打印取得报告单。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1984" w:type="dxa"/>
            <w:vAlign w:val="center"/>
          </w:tcPr>
          <w:p>
            <w:pPr>
              <w:autoSpaceDE w:val="0"/>
              <w:autoSpaceDN w:val="0"/>
              <w:spacing w:line="360" w:lineRule="auto"/>
              <w:ind w:left="126"/>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住院押金预交</w:t>
            </w:r>
          </w:p>
        </w:tc>
        <w:tc>
          <w:tcPr>
            <w:tcW w:w="7083" w:type="dxa"/>
          </w:tcPr>
          <w:p>
            <w:pPr>
              <w:pStyle w:val="201"/>
              <w:numPr>
                <w:ilvl w:val="0"/>
                <w:numId w:val="9"/>
              </w:numPr>
              <w:spacing w:before="6" w:line="360" w:lineRule="auto"/>
              <w:ind w:left="367"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患者或患者家属，在办理入院登记后，或者需要续交住院费时，可在自助设备上，通过身份证、社保卡、电子社保卡、电子健康卡或输入住院号，确认患者信息，然后通过银行卡、微信、支付宝等支付方式预交押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1984" w:type="dxa"/>
            <w:vAlign w:val="center"/>
          </w:tcPr>
          <w:p>
            <w:pPr>
              <w:autoSpaceDE w:val="0"/>
              <w:autoSpaceDN w:val="0"/>
              <w:spacing w:line="360" w:lineRule="auto"/>
              <w:ind w:left="126"/>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住院申请单查询</w:t>
            </w:r>
          </w:p>
        </w:tc>
        <w:tc>
          <w:tcPr>
            <w:tcW w:w="7083" w:type="dxa"/>
          </w:tcPr>
          <w:p>
            <w:pPr>
              <w:pStyle w:val="201"/>
              <w:numPr>
                <w:ilvl w:val="0"/>
                <w:numId w:val="9"/>
              </w:numPr>
              <w:spacing w:before="6" w:line="360" w:lineRule="auto"/>
              <w:ind w:left="367"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患者或患者家属，在自助设备上，可以通过刷患者的身份证、社保卡、电子社保卡、电子健康卡或输入住院号，查询每日住院费明细清单、缴费记录或出院结算的费用分类明细。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1984" w:type="dxa"/>
            <w:vAlign w:val="center"/>
          </w:tcPr>
          <w:p>
            <w:pPr>
              <w:autoSpaceDE w:val="0"/>
              <w:autoSpaceDN w:val="0"/>
              <w:spacing w:line="360" w:lineRule="auto"/>
              <w:ind w:left="126"/>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智能导诊</w:t>
            </w:r>
          </w:p>
        </w:tc>
        <w:tc>
          <w:tcPr>
            <w:tcW w:w="7083" w:type="dxa"/>
          </w:tcPr>
          <w:p>
            <w:pPr>
              <w:pStyle w:val="201"/>
              <w:numPr>
                <w:ilvl w:val="0"/>
                <w:numId w:val="9"/>
              </w:numPr>
              <w:spacing w:before="6" w:line="360" w:lineRule="auto"/>
              <w:ind w:left="367"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智能导诊患者通过选择人体部位图关联病种信息，系统推荐患者去对应的科室挂号，减少人工分诊。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trPr>
        <w:tc>
          <w:tcPr>
            <w:tcW w:w="1984" w:type="dxa"/>
            <w:vAlign w:val="center"/>
          </w:tcPr>
          <w:p>
            <w:pPr>
              <w:autoSpaceDE w:val="0"/>
              <w:autoSpaceDN w:val="0"/>
              <w:spacing w:line="360" w:lineRule="auto"/>
              <w:ind w:left="126"/>
              <w:jc w:val="center"/>
              <w:rPr>
                <w:rFonts w:ascii="宋体" w:hAnsi="宋体" w:cs="仿宋"/>
                <w:b/>
                <w:color w:val="auto"/>
                <w:sz w:val="24"/>
                <w:highlight w:val="none"/>
                <w:lang w:val="zh-CN" w:bidi="zh-CN"/>
              </w:rPr>
            </w:pPr>
            <w:r>
              <w:rPr>
                <w:rFonts w:hint="eastAsia" w:ascii="宋体" w:hAnsi="宋体" w:cs="仿宋"/>
                <w:b/>
                <w:color w:val="auto"/>
                <w:sz w:val="24"/>
                <w:highlight w:val="none"/>
                <w:lang w:val="zh-CN" w:bidi="zh-CN"/>
              </w:rPr>
              <w:t>设备管理</w:t>
            </w:r>
          </w:p>
        </w:tc>
        <w:tc>
          <w:tcPr>
            <w:tcW w:w="7083" w:type="dxa"/>
          </w:tcPr>
          <w:p>
            <w:pPr>
              <w:pStyle w:val="201"/>
              <w:numPr>
                <w:ilvl w:val="0"/>
                <w:numId w:val="9"/>
              </w:numPr>
              <w:spacing w:before="6" w:line="360" w:lineRule="auto"/>
              <w:ind w:left="367"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支持对各自助机设备的后台维护。</w:t>
            </w:r>
          </w:p>
        </w:tc>
      </w:tr>
    </w:tbl>
    <w:p>
      <w:pPr>
        <w:pStyle w:val="8"/>
        <w:ind w:firstLine="480"/>
        <w:rPr>
          <w:rFonts w:ascii="宋体" w:hAnsi="宋体"/>
          <w:color w:val="auto"/>
          <w:szCs w:val="24"/>
          <w:highlight w:val="none"/>
        </w:rPr>
      </w:pPr>
    </w:p>
    <w:p>
      <w:pPr>
        <w:pStyle w:val="6"/>
        <w:numPr>
          <w:ilvl w:val="3"/>
          <w:numId w:val="8"/>
        </w:numPr>
        <w:spacing w:before="280" w:after="290" w:line="376" w:lineRule="auto"/>
        <w:rPr>
          <w:rFonts w:ascii="宋体" w:hAnsi="宋体"/>
          <w:color w:val="auto"/>
          <w:sz w:val="24"/>
          <w:szCs w:val="24"/>
          <w:highlight w:val="none"/>
        </w:rPr>
      </w:pPr>
      <w:bookmarkStart w:id="693" w:name="_Toc26367"/>
      <w:r>
        <w:rPr>
          <w:rFonts w:hint="eastAsia" w:ascii="宋体" w:hAnsi="宋体"/>
          <w:color w:val="auto"/>
          <w:sz w:val="24"/>
          <w:szCs w:val="24"/>
          <w:highlight w:val="none"/>
        </w:rPr>
        <w:t>结算窗口叫号系统</w:t>
      </w:r>
      <w:bookmarkEnd w:id="693"/>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为了应对入出院病人服务量逐年攀升，需要使用入出院结算窗口排队叫号系统，优化结算等候流程，改善候诊结算环境，规范候诊结算秩序。</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4"/>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jc w:val="center"/>
        </w:trPr>
        <w:tc>
          <w:tcPr>
            <w:tcW w:w="1984" w:type="dxa"/>
            <w:shd w:val="clear" w:color="auto" w:fill="4471C4"/>
          </w:tcPr>
          <w:p>
            <w:pPr>
              <w:autoSpaceDE w:val="0"/>
              <w:autoSpaceDN w:val="0"/>
              <w:spacing w:before="30" w:line="360" w:lineRule="auto"/>
              <w:ind w:left="347"/>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模块</w:t>
            </w:r>
          </w:p>
        </w:tc>
        <w:tc>
          <w:tcPr>
            <w:tcW w:w="7087" w:type="dxa"/>
            <w:shd w:val="clear" w:color="auto" w:fill="4471C4"/>
          </w:tcPr>
          <w:p>
            <w:pPr>
              <w:autoSpaceDE w:val="0"/>
              <w:autoSpaceDN w:val="0"/>
              <w:spacing w:before="30" w:line="360" w:lineRule="auto"/>
              <w:ind w:left="1006" w:right="1000"/>
              <w:jc w:val="center"/>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功能</w:t>
            </w:r>
            <w:r>
              <w:rPr>
                <w:rFonts w:hint="eastAsia" w:ascii="宋体" w:hAnsi="宋体" w:cs="仿宋"/>
                <w:b/>
                <w:bCs/>
                <w:color w:val="auto"/>
                <w:sz w:val="24"/>
                <w:highlight w:val="none"/>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984"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签到（数据来源）</w:t>
            </w:r>
          </w:p>
        </w:tc>
        <w:tc>
          <w:tcPr>
            <w:tcW w:w="7087" w:type="dxa"/>
            <w:vAlign w:val="center"/>
          </w:tcPr>
          <w:p>
            <w:pPr>
              <w:pStyle w:val="201"/>
              <w:numPr>
                <w:ilvl w:val="0"/>
                <w:numId w:val="9"/>
              </w:numPr>
              <w:spacing w:before="6" w:line="360" w:lineRule="auto"/>
              <w:ind w:left="367"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系统支持多种签到方式：</w:t>
            </w:r>
          </w:p>
          <w:p>
            <w:pPr>
              <w:pStyle w:val="201"/>
              <w:numPr>
                <w:ilvl w:val="1"/>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通过自助机患者自助刷身份证、就诊卡、社保卡、二维码、条码等</w:t>
            </w:r>
          </w:p>
          <w:p>
            <w:pPr>
              <w:pStyle w:val="201"/>
              <w:numPr>
                <w:ilvl w:val="1"/>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人工手动录入患者信息；</w:t>
            </w:r>
          </w:p>
          <w:p>
            <w:pPr>
              <w:pStyle w:val="201"/>
              <w:numPr>
                <w:ilvl w:val="1"/>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对接系自动获取患者信息；</w:t>
            </w:r>
          </w:p>
          <w:p>
            <w:pPr>
              <w:pStyle w:val="201"/>
              <w:numPr>
                <w:ilvl w:val="1"/>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免凭证取号排队；</w:t>
            </w:r>
          </w:p>
          <w:p>
            <w:pPr>
              <w:pStyle w:val="201"/>
              <w:numPr>
                <w:ilvl w:val="0"/>
                <w:numId w:val="9"/>
              </w:numPr>
              <w:spacing w:before="6" w:line="360" w:lineRule="auto"/>
              <w:ind w:left="367"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所有签到或自动获取的数据将自己进入排队队列，在综合屏或窗口（门牌）屏上进行体现，患者则通过各展示屏查看排队进度，同时呼叫端也可查看导新增患者排队，医生即可对其呼叫。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984"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呼叫端</w:t>
            </w:r>
          </w:p>
        </w:tc>
        <w:tc>
          <w:tcPr>
            <w:tcW w:w="7087" w:type="dxa"/>
            <w:vAlign w:val="center"/>
          </w:tcPr>
          <w:p>
            <w:pPr>
              <w:pStyle w:val="201"/>
              <w:numPr>
                <w:ilvl w:val="0"/>
                <w:numId w:val="9"/>
              </w:numPr>
              <w:spacing w:before="6" w:line="360" w:lineRule="auto"/>
              <w:ind w:left="367"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软件呼叫器，安装于工作人员电脑上，工作人员在打开呼叫端时选择窗口号（房间），使用自己的账号密码进行登录，登录后呼叫端将自动切换到对应窗口（房间），同时综合显示屏和窗口屏（门牌屏）将自动切换状态展示窗口（房间）信息及排队信息。</w:t>
            </w:r>
          </w:p>
          <w:p>
            <w:pPr>
              <w:pStyle w:val="201"/>
              <w:numPr>
                <w:ilvl w:val="0"/>
                <w:numId w:val="9"/>
              </w:numPr>
              <w:spacing w:before="6" w:line="360" w:lineRule="auto"/>
              <w:ind w:left="367"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呼叫端实时推送更新排队数据，账号单点登录，避免他人使用，医生可自定义设置快捷键呼叫、完成、显示、最小化。</w:t>
            </w:r>
          </w:p>
          <w:p>
            <w:pPr>
              <w:pStyle w:val="201"/>
              <w:numPr>
                <w:ilvl w:val="0"/>
                <w:numId w:val="9"/>
              </w:numPr>
              <w:spacing w:before="6" w:line="360" w:lineRule="auto"/>
              <w:ind w:left="367"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支持顺呼、重呼、结诊、过号、特呼、检索。在医生临时事情时，进行暂停办理，支持医生编辑紧急语音播放，呼叫器器可随意拖动位置、靠边隐藏。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984"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显示端</w:t>
            </w:r>
          </w:p>
        </w:tc>
        <w:tc>
          <w:tcPr>
            <w:tcW w:w="7087" w:type="dxa"/>
            <w:vAlign w:val="center"/>
          </w:tcPr>
          <w:p>
            <w:pPr>
              <w:pStyle w:val="201"/>
              <w:numPr>
                <w:ilvl w:val="0"/>
                <w:numId w:val="9"/>
              </w:numPr>
              <w:spacing w:before="6" w:line="360" w:lineRule="auto"/>
              <w:ind w:left="367"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显示端分窗口显示（门牌屏显示）、综合显示，为各窗口（房间）提供多信息展示，患者可通过该显示信息知晓排队进展。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984"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语音播报端</w:t>
            </w:r>
          </w:p>
        </w:tc>
        <w:tc>
          <w:tcPr>
            <w:tcW w:w="7087" w:type="dxa"/>
            <w:vAlign w:val="center"/>
          </w:tcPr>
          <w:p>
            <w:pPr>
              <w:pStyle w:val="201"/>
              <w:numPr>
                <w:ilvl w:val="0"/>
                <w:numId w:val="9"/>
              </w:numPr>
              <w:spacing w:before="6" w:line="360" w:lineRule="auto"/>
              <w:ind w:left="367"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语音播报由控制盒发出或共用综合显示屏发出，可将语音放大进行播报，语音播报格式、速度、声音类型均由后台设置。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984"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系统后台设置</w:t>
            </w:r>
          </w:p>
        </w:tc>
        <w:tc>
          <w:tcPr>
            <w:tcW w:w="7087" w:type="dxa"/>
            <w:vAlign w:val="center"/>
          </w:tcPr>
          <w:p>
            <w:pPr>
              <w:pStyle w:val="201"/>
              <w:numPr>
                <w:ilvl w:val="0"/>
                <w:numId w:val="9"/>
              </w:numPr>
              <w:spacing w:before="6" w:line="360" w:lineRule="auto"/>
              <w:ind w:left="367"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后台，主要包含：人员管理、权限分配、业务管理、窗口诊室管理、设备管理、队列设置、系统设置、信息发布、报表统计等功能。</w:t>
            </w:r>
          </w:p>
          <w:p>
            <w:pPr>
              <w:pStyle w:val="201"/>
              <w:numPr>
                <w:ilvl w:val="0"/>
                <w:numId w:val="9"/>
              </w:numPr>
              <w:spacing w:before="6" w:line="360" w:lineRule="auto"/>
              <w:ind w:left="367"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人员管理是对工作人员的管理，新增人员信息，同步HIS系统人员信息，补齐人员信息等功能。</w:t>
            </w:r>
          </w:p>
          <w:p>
            <w:pPr>
              <w:pStyle w:val="201"/>
              <w:numPr>
                <w:ilvl w:val="0"/>
                <w:numId w:val="9"/>
              </w:numPr>
              <w:spacing w:before="6" w:line="360" w:lineRule="auto"/>
              <w:ind w:left="367"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权限管理主要针对诊区（科室）管理人员分配对应的管理权限，由最高管理权限的人员进行分配各权限。</w:t>
            </w:r>
          </w:p>
          <w:p>
            <w:pPr>
              <w:pStyle w:val="201"/>
              <w:numPr>
                <w:ilvl w:val="0"/>
                <w:numId w:val="9"/>
              </w:numPr>
              <w:spacing w:before="6" w:line="360" w:lineRule="auto"/>
              <w:ind w:left="367"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业务管理，可同步HIS系统或手动添加各业务，选择数据来源方式，对接HIS系统获取数据进入排队队列，对接系统跟随办理人员进行排队，诊区设备关联，窗口关联，业务优先级及排队号前缀设置等。</w:t>
            </w:r>
          </w:p>
          <w:p>
            <w:pPr>
              <w:pStyle w:val="201"/>
              <w:numPr>
                <w:ilvl w:val="0"/>
                <w:numId w:val="9"/>
              </w:numPr>
              <w:spacing w:before="6" w:line="360" w:lineRule="auto"/>
              <w:ind w:left="367"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窗口诊室管理，编辑窗口业务或选择跟随办理人员等，并设启用或停止等。</w:t>
            </w:r>
          </w:p>
          <w:p>
            <w:pPr>
              <w:pStyle w:val="201"/>
              <w:numPr>
                <w:ilvl w:val="0"/>
                <w:numId w:val="9"/>
              </w:numPr>
              <w:spacing w:before="6" w:line="360" w:lineRule="auto"/>
              <w:ind w:left="367"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设备管理，终端在线状态监控，终端设备远程截屏，终端设备远程重启，远程设定时开关机，终端设备音量调节，设备注册，终端设备程序升级。</w:t>
            </w:r>
          </w:p>
          <w:p>
            <w:pPr>
              <w:pStyle w:val="201"/>
              <w:numPr>
                <w:ilvl w:val="0"/>
                <w:numId w:val="9"/>
              </w:numPr>
              <w:spacing w:before="6" w:line="360" w:lineRule="auto"/>
              <w:ind w:left="367"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系统设置即语音设置、排队队列规则设置、数据设置等。队列中各业务的优先级设置、过号恢复到队列方式设置等。数据来源设置，数据备份、还原、清空设置等。</w:t>
            </w:r>
          </w:p>
          <w:p>
            <w:pPr>
              <w:pStyle w:val="201"/>
              <w:numPr>
                <w:ilvl w:val="0"/>
                <w:numId w:val="9"/>
              </w:numPr>
              <w:spacing w:before="6" w:line="360" w:lineRule="auto"/>
              <w:ind w:left="367"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支持信息发布即在后台上传图片、视频，编辑公告文字等，选择终端设备将创建好的节目发到对应终端设备上进行展示播放。</w:t>
            </w:r>
          </w:p>
          <w:p>
            <w:pPr>
              <w:pStyle w:val="201"/>
              <w:numPr>
                <w:ilvl w:val="0"/>
                <w:numId w:val="9"/>
              </w:numPr>
              <w:spacing w:before="6" w:line="360" w:lineRule="auto"/>
              <w:ind w:left="367"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支持系统设各业务量统计，窗口（房间）接待量统计，工作人员（医生）办理量统计，工作效率，数据走势，业务占比等数据统计分析，并可导出Excel表格。</w:t>
            </w:r>
          </w:p>
        </w:tc>
      </w:tr>
    </w:tbl>
    <w:p>
      <w:pPr>
        <w:spacing w:line="360" w:lineRule="auto"/>
        <w:ind w:firstLine="480" w:firstLineChars="200"/>
        <w:rPr>
          <w:rFonts w:ascii="宋体" w:hAnsi="宋体"/>
          <w:color w:val="auto"/>
          <w:sz w:val="24"/>
          <w:highlight w:val="none"/>
        </w:rPr>
      </w:pPr>
    </w:p>
    <w:p>
      <w:pPr>
        <w:keepNext/>
        <w:keepLines/>
        <w:numPr>
          <w:ilvl w:val="3"/>
          <w:numId w:val="8"/>
        </w:numPr>
        <w:spacing w:before="280" w:after="290" w:line="376" w:lineRule="auto"/>
        <w:outlineLvl w:val="3"/>
        <w:rPr>
          <w:rFonts w:ascii="宋体" w:hAnsi="宋体"/>
          <w:b/>
          <w:bCs/>
          <w:color w:val="auto"/>
          <w:sz w:val="24"/>
          <w:highlight w:val="none"/>
        </w:rPr>
      </w:pPr>
      <w:bookmarkStart w:id="694" w:name="_Toc8554"/>
      <w:r>
        <w:rPr>
          <w:rFonts w:hint="eastAsia" w:ascii="宋体" w:hAnsi="宋体"/>
          <w:b/>
          <w:bCs/>
          <w:color w:val="auto"/>
          <w:sz w:val="24"/>
          <w:highlight w:val="none"/>
        </w:rPr>
        <w:t>门急诊收费系统</w:t>
      </w:r>
      <w:bookmarkEnd w:id="694"/>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门急诊收费系统需满足以下功能：</w:t>
      </w:r>
    </w:p>
    <w:tbl>
      <w:tblPr>
        <w:tblStyle w:val="43"/>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4"/>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jc w:val="center"/>
        </w:trPr>
        <w:tc>
          <w:tcPr>
            <w:tcW w:w="1984" w:type="dxa"/>
            <w:shd w:val="clear" w:color="auto" w:fill="4471C4"/>
          </w:tcPr>
          <w:p>
            <w:pPr>
              <w:autoSpaceDE w:val="0"/>
              <w:autoSpaceDN w:val="0"/>
              <w:spacing w:before="30" w:line="360" w:lineRule="auto"/>
              <w:ind w:left="347"/>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模块</w:t>
            </w:r>
          </w:p>
        </w:tc>
        <w:tc>
          <w:tcPr>
            <w:tcW w:w="7087" w:type="dxa"/>
            <w:shd w:val="clear" w:color="auto" w:fill="4471C4"/>
          </w:tcPr>
          <w:p>
            <w:pPr>
              <w:autoSpaceDE w:val="0"/>
              <w:autoSpaceDN w:val="0"/>
              <w:spacing w:before="30" w:line="360" w:lineRule="auto"/>
              <w:ind w:left="1006" w:right="1000"/>
              <w:jc w:val="center"/>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功能</w:t>
            </w:r>
            <w:r>
              <w:rPr>
                <w:rFonts w:hint="eastAsia" w:ascii="宋体" w:hAnsi="宋体" w:cs="仿宋"/>
                <w:b/>
                <w:bCs/>
                <w:color w:val="auto"/>
                <w:sz w:val="24"/>
                <w:highlight w:val="none"/>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984"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门急诊收费</w:t>
            </w:r>
          </w:p>
        </w:tc>
        <w:tc>
          <w:tcPr>
            <w:tcW w:w="7087" w:type="dxa"/>
            <w:vAlign w:val="center"/>
          </w:tcPr>
          <w:p>
            <w:pPr>
              <w:pStyle w:val="130"/>
              <w:ind w:firstLine="0"/>
              <w:rPr>
                <w:rFonts w:ascii="宋体" w:hAnsi="宋体"/>
                <w:b/>
                <w:color w:val="auto"/>
                <w:szCs w:val="24"/>
                <w:highlight w:val="none"/>
              </w:rPr>
            </w:pPr>
            <w:r>
              <w:rPr>
                <w:rFonts w:hint="eastAsia" w:ascii="宋体" w:hAnsi="宋体"/>
                <w:b/>
                <w:color w:val="auto"/>
                <w:szCs w:val="24"/>
                <w:highlight w:val="none"/>
              </w:rPr>
              <w:t>（1）记费</w:t>
            </w:r>
          </w:p>
          <w:p>
            <w:pPr>
              <w:pStyle w:val="130"/>
              <w:ind w:firstLine="0"/>
              <w:rPr>
                <w:rFonts w:ascii="宋体" w:hAnsi="宋体"/>
                <w:b/>
                <w:color w:val="auto"/>
                <w:szCs w:val="24"/>
                <w:highlight w:val="none"/>
              </w:rPr>
            </w:pPr>
            <w:r>
              <w:rPr>
                <w:rFonts w:hint="eastAsia" w:ascii="宋体" w:hAnsi="宋体"/>
                <w:b/>
                <w:color w:val="auto"/>
                <w:szCs w:val="24"/>
                <w:highlight w:val="none"/>
              </w:rPr>
              <w:t>门诊通用补费管理：</w:t>
            </w:r>
          </w:p>
          <w:p>
            <w:pPr>
              <w:pStyle w:val="130"/>
              <w:ind w:firstLine="0"/>
              <w:rPr>
                <w:rFonts w:ascii="宋体" w:hAnsi="宋体"/>
                <w:color w:val="auto"/>
                <w:szCs w:val="24"/>
                <w:highlight w:val="none"/>
              </w:rPr>
            </w:pPr>
            <w:r>
              <w:rPr>
                <w:rFonts w:hint="eastAsia" w:ascii="宋体" w:hAnsi="宋体"/>
                <w:color w:val="auto"/>
                <w:szCs w:val="24"/>
                <w:highlight w:val="none"/>
              </w:rPr>
              <w:t>1、支持患者编号、证件号码等查询患者信息。</w:t>
            </w:r>
          </w:p>
          <w:p>
            <w:pPr>
              <w:pStyle w:val="130"/>
              <w:ind w:firstLine="0"/>
              <w:rPr>
                <w:rFonts w:ascii="宋体" w:hAnsi="宋体"/>
                <w:color w:val="auto"/>
                <w:szCs w:val="24"/>
                <w:highlight w:val="none"/>
              </w:rPr>
            </w:pPr>
            <w:r>
              <w:rPr>
                <w:rFonts w:hint="eastAsia" w:ascii="宋体" w:hAnsi="宋体"/>
                <w:color w:val="auto"/>
                <w:szCs w:val="24"/>
                <w:highlight w:val="none"/>
              </w:rPr>
              <w:t>2、支持使用费用模板增加补费项目。</w:t>
            </w:r>
          </w:p>
          <w:p>
            <w:pPr>
              <w:pStyle w:val="130"/>
              <w:ind w:firstLine="0"/>
              <w:rPr>
                <w:rFonts w:ascii="宋体" w:hAnsi="宋体"/>
                <w:color w:val="auto"/>
                <w:szCs w:val="24"/>
                <w:highlight w:val="none"/>
              </w:rPr>
            </w:pPr>
            <w:r>
              <w:rPr>
                <w:rFonts w:hint="eastAsia" w:ascii="宋体" w:hAnsi="宋体"/>
                <w:color w:val="auto"/>
                <w:szCs w:val="24"/>
                <w:highlight w:val="none"/>
              </w:rPr>
              <w:t>3、支持新增单个补费项目。</w:t>
            </w:r>
          </w:p>
          <w:p>
            <w:pPr>
              <w:pStyle w:val="130"/>
              <w:ind w:firstLine="0"/>
              <w:rPr>
                <w:rFonts w:ascii="宋体" w:hAnsi="宋体"/>
                <w:color w:val="auto"/>
                <w:szCs w:val="24"/>
                <w:highlight w:val="none"/>
              </w:rPr>
            </w:pPr>
            <w:r>
              <w:rPr>
                <w:rFonts w:hint="eastAsia" w:ascii="宋体" w:hAnsi="宋体"/>
                <w:color w:val="auto"/>
                <w:szCs w:val="24"/>
                <w:highlight w:val="none"/>
              </w:rPr>
              <w:t>4、支持删除新增的未确认补费的项目。</w:t>
            </w:r>
          </w:p>
          <w:p>
            <w:pPr>
              <w:pStyle w:val="130"/>
              <w:ind w:firstLine="0"/>
              <w:rPr>
                <w:rFonts w:ascii="宋体" w:hAnsi="宋体"/>
                <w:b/>
                <w:color w:val="auto"/>
                <w:szCs w:val="24"/>
                <w:highlight w:val="none"/>
              </w:rPr>
            </w:pPr>
            <w:r>
              <w:rPr>
                <w:rFonts w:hint="eastAsia" w:ascii="宋体" w:hAnsi="宋体"/>
                <w:b/>
                <w:color w:val="auto"/>
                <w:szCs w:val="24"/>
                <w:highlight w:val="none"/>
              </w:rPr>
              <w:t>门诊重划价</w:t>
            </w:r>
            <w:r>
              <w:rPr>
                <w:rFonts w:hint="eastAsia" w:ascii="宋体" w:hAnsi="宋体"/>
                <w:b/>
                <w:color w:val="auto"/>
                <w:szCs w:val="24"/>
                <w:highlight w:val="none"/>
              </w:rPr>
              <w:tab/>
            </w:r>
            <w:r>
              <w:rPr>
                <w:rFonts w:hint="eastAsia" w:ascii="宋体" w:hAnsi="宋体"/>
                <w:b/>
                <w:color w:val="auto"/>
                <w:szCs w:val="24"/>
                <w:highlight w:val="none"/>
              </w:rPr>
              <w:t>：</w:t>
            </w:r>
          </w:p>
          <w:p>
            <w:pPr>
              <w:pStyle w:val="130"/>
              <w:ind w:firstLine="0"/>
              <w:rPr>
                <w:rFonts w:ascii="宋体" w:hAnsi="宋体"/>
                <w:color w:val="auto"/>
                <w:szCs w:val="24"/>
                <w:highlight w:val="none"/>
              </w:rPr>
            </w:pPr>
            <w:r>
              <w:rPr>
                <w:rFonts w:hint="eastAsia" w:ascii="宋体" w:hAnsi="宋体"/>
                <w:color w:val="auto"/>
                <w:szCs w:val="24"/>
                <w:highlight w:val="none"/>
              </w:rPr>
              <w:t>1、支持对门诊患者费用进行医嘱重划价，重新对患者进行价格分类。</w:t>
            </w:r>
          </w:p>
          <w:p>
            <w:pPr>
              <w:pStyle w:val="130"/>
              <w:ind w:firstLine="0"/>
              <w:rPr>
                <w:rFonts w:ascii="宋体" w:hAnsi="宋体"/>
                <w:color w:val="auto"/>
                <w:szCs w:val="24"/>
                <w:highlight w:val="none"/>
              </w:rPr>
            </w:pPr>
            <w:r>
              <w:rPr>
                <w:rFonts w:hint="eastAsia" w:ascii="宋体" w:hAnsi="宋体"/>
                <w:color w:val="auto"/>
                <w:szCs w:val="24"/>
                <w:highlight w:val="none"/>
              </w:rPr>
              <w:t>2、支持重划价打印。</w:t>
            </w:r>
          </w:p>
          <w:p>
            <w:pPr>
              <w:pStyle w:val="130"/>
              <w:ind w:firstLine="0"/>
              <w:rPr>
                <w:rFonts w:ascii="宋体" w:hAnsi="宋体"/>
                <w:b/>
                <w:color w:val="auto"/>
                <w:szCs w:val="24"/>
                <w:highlight w:val="none"/>
              </w:rPr>
            </w:pPr>
            <w:r>
              <w:rPr>
                <w:rFonts w:hint="eastAsia" w:ascii="宋体" w:hAnsi="宋体"/>
                <w:b/>
                <w:color w:val="auto"/>
                <w:szCs w:val="24"/>
                <w:highlight w:val="none"/>
              </w:rPr>
              <w:t>（2）优惠券</w:t>
            </w:r>
            <w:r>
              <w:rPr>
                <w:rFonts w:hint="eastAsia" w:ascii="宋体" w:hAnsi="宋体"/>
                <w:b/>
                <w:color w:val="auto"/>
                <w:szCs w:val="24"/>
                <w:highlight w:val="none"/>
              </w:rPr>
              <w:tab/>
            </w:r>
          </w:p>
          <w:p>
            <w:pPr>
              <w:pStyle w:val="130"/>
              <w:ind w:firstLine="0"/>
              <w:rPr>
                <w:rFonts w:ascii="宋体" w:hAnsi="宋体"/>
                <w:b/>
                <w:color w:val="auto"/>
                <w:szCs w:val="24"/>
                <w:highlight w:val="none"/>
              </w:rPr>
            </w:pPr>
            <w:r>
              <w:rPr>
                <w:rFonts w:hint="eastAsia" w:ascii="宋体" w:hAnsi="宋体"/>
                <w:b/>
                <w:color w:val="auto"/>
                <w:szCs w:val="24"/>
                <w:highlight w:val="none"/>
              </w:rPr>
              <w:t>优惠券分类</w:t>
            </w:r>
            <w:r>
              <w:rPr>
                <w:rFonts w:hint="eastAsia" w:ascii="宋体" w:hAnsi="宋体"/>
                <w:b/>
                <w:color w:val="auto"/>
                <w:szCs w:val="24"/>
                <w:highlight w:val="none"/>
              </w:rPr>
              <w:tab/>
            </w:r>
            <w:r>
              <w:rPr>
                <w:rFonts w:hint="eastAsia" w:ascii="宋体" w:hAnsi="宋体"/>
                <w:b/>
                <w:color w:val="auto"/>
                <w:szCs w:val="24"/>
                <w:highlight w:val="none"/>
              </w:rPr>
              <w:t>：</w:t>
            </w:r>
          </w:p>
          <w:p>
            <w:pPr>
              <w:pStyle w:val="130"/>
              <w:ind w:firstLine="0"/>
              <w:rPr>
                <w:rFonts w:ascii="宋体" w:hAnsi="宋体"/>
                <w:color w:val="auto"/>
                <w:szCs w:val="24"/>
                <w:highlight w:val="none"/>
              </w:rPr>
            </w:pPr>
            <w:r>
              <w:rPr>
                <w:rFonts w:hint="eastAsia" w:ascii="宋体" w:hAnsi="宋体"/>
                <w:color w:val="auto"/>
                <w:szCs w:val="24"/>
                <w:highlight w:val="none"/>
              </w:rPr>
              <w:t>1、支持优惠券分类维护。</w:t>
            </w:r>
          </w:p>
          <w:p>
            <w:pPr>
              <w:pStyle w:val="130"/>
              <w:ind w:firstLine="0"/>
              <w:rPr>
                <w:rFonts w:ascii="宋体" w:hAnsi="宋体"/>
                <w:color w:val="auto"/>
                <w:szCs w:val="24"/>
                <w:highlight w:val="none"/>
              </w:rPr>
            </w:pPr>
            <w:r>
              <w:rPr>
                <w:rFonts w:hint="eastAsia" w:ascii="宋体" w:hAnsi="宋体"/>
                <w:color w:val="auto"/>
                <w:szCs w:val="24"/>
                <w:highlight w:val="none"/>
              </w:rPr>
              <w:t>2、支持现金券、折扣券、特价劵、体验券、换购券类型的优惠券。</w:t>
            </w:r>
          </w:p>
          <w:p>
            <w:pPr>
              <w:pStyle w:val="130"/>
              <w:ind w:firstLine="0"/>
              <w:rPr>
                <w:rFonts w:ascii="宋体" w:hAnsi="宋体"/>
                <w:color w:val="auto"/>
                <w:szCs w:val="24"/>
                <w:highlight w:val="none"/>
              </w:rPr>
            </w:pPr>
            <w:r>
              <w:rPr>
                <w:rFonts w:hint="eastAsia" w:ascii="宋体" w:hAnsi="宋体"/>
                <w:color w:val="auto"/>
                <w:szCs w:val="24"/>
                <w:highlight w:val="none"/>
              </w:rPr>
              <w:t>3、支持单码优惠券、记名优惠券。支持指定可用券的医疗服务项目。</w:t>
            </w:r>
          </w:p>
          <w:p>
            <w:pPr>
              <w:pStyle w:val="130"/>
              <w:ind w:firstLine="0"/>
              <w:rPr>
                <w:rFonts w:ascii="宋体" w:hAnsi="宋体"/>
                <w:color w:val="auto"/>
                <w:szCs w:val="24"/>
                <w:highlight w:val="none"/>
              </w:rPr>
            </w:pPr>
            <w:r>
              <w:rPr>
                <w:rFonts w:hint="eastAsia" w:ascii="宋体" w:hAnsi="宋体"/>
                <w:color w:val="auto"/>
                <w:szCs w:val="24"/>
                <w:highlight w:val="none"/>
              </w:rPr>
              <w:t>优惠券入库(限量)：支持新增和删除现金券、折扣券、特价券、体验券、换购券入库单。</w:t>
            </w:r>
          </w:p>
          <w:p>
            <w:pPr>
              <w:pStyle w:val="130"/>
              <w:ind w:firstLine="0"/>
              <w:rPr>
                <w:rFonts w:ascii="宋体" w:hAnsi="宋体"/>
                <w:b/>
                <w:color w:val="auto"/>
                <w:szCs w:val="24"/>
                <w:highlight w:val="none"/>
              </w:rPr>
            </w:pPr>
            <w:r>
              <w:rPr>
                <w:rFonts w:hint="eastAsia" w:ascii="宋体" w:hAnsi="宋体"/>
                <w:b/>
                <w:color w:val="auto"/>
                <w:szCs w:val="24"/>
                <w:highlight w:val="none"/>
              </w:rPr>
              <w:t>（3）结算</w:t>
            </w:r>
            <w:r>
              <w:rPr>
                <w:rFonts w:hint="eastAsia" w:ascii="宋体" w:hAnsi="宋体"/>
                <w:b/>
                <w:color w:val="auto"/>
                <w:szCs w:val="24"/>
                <w:highlight w:val="none"/>
              </w:rPr>
              <w:tab/>
            </w:r>
          </w:p>
          <w:p>
            <w:pPr>
              <w:pStyle w:val="130"/>
              <w:ind w:firstLine="0"/>
              <w:rPr>
                <w:rFonts w:ascii="宋体" w:hAnsi="宋体"/>
                <w:b/>
                <w:color w:val="auto"/>
                <w:szCs w:val="24"/>
                <w:highlight w:val="none"/>
              </w:rPr>
            </w:pPr>
            <w:r>
              <w:rPr>
                <w:rFonts w:hint="eastAsia" w:ascii="宋体" w:hAnsi="宋体"/>
                <w:b/>
                <w:color w:val="auto"/>
                <w:szCs w:val="24"/>
                <w:highlight w:val="none"/>
              </w:rPr>
              <w:t>门诊收费：</w:t>
            </w:r>
          </w:p>
          <w:p>
            <w:pPr>
              <w:pStyle w:val="130"/>
              <w:ind w:firstLine="0"/>
              <w:rPr>
                <w:rFonts w:ascii="宋体" w:hAnsi="宋体"/>
                <w:color w:val="auto"/>
                <w:szCs w:val="24"/>
                <w:highlight w:val="none"/>
              </w:rPr>
            </w:pPr>
            <w:r>
              <w:rPr>
                <w:rFonts w:hint="eastAsia" w:ascii="宋体" w:hAnsi="宋体"/>
                <w:color w:val="auto"/>
                <w:szCs w:val="24"/>
                <w:highlight w:val="none"/>
              </w:rPr>
              <w:t>1、支持读医保卡查询患者信息。支持患者编号、证件号码等查询患者信息。</w:t>
            </w:r>
          </w:p>
          <w:p>
            <w:pPr>
              <w:pStyle w:val="130"/>
              <w:ind w:firstLine="0"/>
              <w:rPr>
                <w:rFonts w:ascii="宋体" w:hAnsi="宋体"/>
                <w:color w:val="auto"/>
                <w:szCs w:val="24"/>
                <w:highlight w:val="none"/>
              </w:rPr>
            </w:pPr>
            <w:r>
              <w:rPr>
                <w:rFonts w:hint="eastAsia" w:ascii="宋体" w:hAnsi="宋体"/>
                <w:color w:val="auto"/>
                <w:szCs w:val="24"/>
                <w:highlight w:val="none"/>
              </w:rPr>
              <w:t>2、支持调入需要结算的医嘱项目，支持选择互斥结算方式。</w:t>
            </w:r>
          </w:p>
          <w:p>
            <w:pPr>
              <w:pStyle w:val="130"/>
              <w:ind w:firstLine="0"/>
              <w:rPr>
                <w:rFonts w:ascii="宋体" w:hAnsi="宋体"/>
                <w:color w:val="auto"/>
                <w:szCs w:val="24"/>
                <w:highlight w:val="none"/>
              </w:rPr>
            </w:pPr>
            <w:r>
              <w:rPr>
                <w:rFonts w:hint="eastAsia" w:ascii="宋体" w:hAnsi="宋体"/>
                <w:color w:val="auto"/>
                <w:szCs w:val="24"/>
                <w:highlight w:val="none"/>
              </w:rPr>
              <w:t>3、支持划价后付款与取消划价。</w:t>
            </w:r>
          </w:p>
          <w:p>
            <w:pPr>
              <w:pStyle w:val="130"/>
              <w:ind w:firstLine="0"/>
              <w:rPr>
                <w:rFonts w:ascii="宋体" w:hAnsi="宋体"/>
                <w:color w:val="auto"/>
                <w:szCs w:val="24"/>
                <w:highlight w:val="none"/>
              </w:rPr>
            </w:pPr>
            <w:r>
              <w:rPr>
                <w:rFonts w:hint="eastAsia" w:ascii="宋体" w:hAnsi="宋体"/>
                <w:color w:val="auto"/>
                <w:szCs w:val="24"/>
                <w:highlight w:val="none"/>
              </w:rPr>
              <w:t>4、支持重打发票，打印未打印发票，重打结算单。</w:t>
            </w:r>
          </w:p>
          <w:p>
            <w:pPr>
              <w:pStyle w:val="130"/>
              <w:ind w:firstLine="0"/>
              <w:rPr>
                <w:rFonts w:ascii="宋体" w:hAnsi="宋体"/>
                <w:color w:val="auto"/>
                <w:szCs w:val="24"/>
                <w:highlight w:val="none"/>
              </w:rPr>
            </w:pPr>
            <w:r>
              <w:rPr>
                <w:rFonts w:hint="eastAsia" w:ascii="宋体" w:hAnsi="宋体"/>
                <w:color w:val="auto"/>
                <w:szCs w:val="24"/>
                <w:highlight w:val="none"/>
              </w:rPr>
              <w:t>5、支持查看账户收支信息、职工月查询。</w:t>
            </w:r>
          </w:p>
          <w:p>
            <w:pPr>
              <w:pStyle w:val="130"/>
              <w:ind w:firstLine="0"/>
              <w:rPr>
                <w:rFonts w:ascii="宋体" w:hAnsi="宋体"/>
                <w:color w:val="auto"/>
                <w:szCs w:val="24"/>
                <w:highlight w:val="none"/>
              </w:rPr>
            </w:pPr>
            <w:r>
              <w:rPr>
                <w:rFonts w:hint="eastAsia" w:ascii="宋体" w:hAnsi="宋体"/>
                <w:color w:val="auto"/>
                <w:szCs w:val="24"/>
                <w:highlight w:val="none"/>
              </w:rPr>
              <w:t>6、支持项目减免和费用减免；支持多种支付方式。</w:t>
            </w:r>
          </w:p>
          <w:p>
            <w:pPr>
              <w:pStyle w:val="130"/>
              <w:ind w:firstLine="0"/>
              <w:rPr>
                <w:rFonts w:ascii="宋体" w:hAnsi="宋体"/>
                <w:b/>
                <w:color w:val="auto"/>
                <w:szCs w:val="24"/>
                <w:highlight w:val="none"/>
              </w:rPr>
            </w:pPr>
            <w:r>
              <w:rPr>
                <w:rFonts w:hint="eastAsia" w:ascii="宋体" w:hAnsi="宋体"/>
                <w:b/>
                <w:color w:val="auto"/>
                <w:szCs w:val="24"/>
                <w:highlight w:val="none"/>
              </w:rPr>
              <w:t>门诊退费：</w:t>
            </w:r>
          </w:p>
          <w:p>
            <w:pPr>
              <w:pStyle w:val="130"/>
              <w:ind w:firstLine="0"/>
              <w:rPr>
                <w:rFonts w:ascii="宋体" w:hAnsi="宋体"/>
                <w:color w:val="auto"/>
                <w:szCs w:val="24"/>
                <w:highlight w:val="none"/>
              </w:rPr>
            </w:pPr>
            <w:r>
              <w:rPr>
                <w:rFonts w:hint="eastAsia" w:ascii="宋体" w:hAnsi="宋体"/>
                <w:color w:val="auto"/>
                <w:szCs w:val="24"/>
                <w:highlight w:val="none"/>
              </w:rPr>
              <w:t>1、支持读医保卡查询患者信息；支持患者编号、证件号码等查询患者信息。</w:t>
            </w:r>
          </w:p>
          <w:p>
            <w:pPr>
              <w:pStyle w:val="130"/>
              <w:ind w:firstLine="0"/>
              <w:rPr>
                <w:rFonts w:ascii="宋体" w:hAnsi="宋体"/>
                <w:color w:val="auto"/>
                <w:szCs w:val="24"/>
                <w:highlight w:val="none"/>
              </w:rPr>
            </w:pPr>
            <w:r>
              <w:rPr>
                <w:rFonts w:hint="eastAsia" w:ascii="宋体" w:hAnsi="宋体"/>
                <w:color w:val="auto"/>
                <w:szCs w:val="24"/>
                <w:highlight w:val="none"/>
              </w:rPr>
              <w:t>2、支持调入需要以收费的可退费项目。</w:t>
            </w:r>
          </w:p>
          <w:p>
            <w:pPr>
              <w:pStyle w:val="130"/>
              <w:ind w:firstLine="0"/>
              <w:rPr>
                <w:rFonts w:ascii="宋体" w:hAnsi="宋体"/>
                <w:b/>
                <w:color w:val="auto"/>
                <w:szCs w:val="24"/>
                <w:highlight w:val="none"/>
              </w:rPr>
            </w:pPr>
            <w:r>
              <w:rPr>
                <w:rFonts w:hint="eastAsia" w:ascii="宋体" w:hAnsi="宋体"/>
                <w:b/>
                <w:color w:val="auto"/>
                <w:szCs w:val="24"/>
                <w:highlight w:val="none"/>
              </w:rPr>
              <w:t>医保异常处理：</w:t>
            </w:r>
          </w:p>
          <w:p>
            <w:pPr>
              <w:pStyle w:val="130"/>
              <w:ind w:firstLine="0"/>
              <w:rPr>
                <w:rFonts w:ascii="宋体" w:hAnsi="宋体"/>
                <w:color w:val="auto"/>
                <w:szCs w:val="24"/>
                <w:highlight w:val="none"/>
              </w:rPr>
            </w:pPr>
            <w:r>
              <w:rPr>
                <w:rFonts w:hint="eastAsia" w:ascii="宋体" w:hAnsi="宋体"/>
                <w:color w:val="auto"/>
                <w:szCs w:val="24"/>
                <w:highlight w:val="none"/>
              </w:rPr>
              <w:t>1、支持处理收费时，医保结算成功，HIS结算失败的异常。</w:t>
            </w:r>
          </w:p>
          <w:p>
            <w:pPr>
              <w:pStyle w:val="130"/>
              <w:ind w:firstLine="0"/>
              <w:rPr>
                <w:rFonts w:ascii="宋体" w:hAnsi="宋体"/>
                <w:color w:val="auto"/>
                <w:szCs w:val="24"/>
                <w:highlight w:val="none"/>
              </w:rPr>
            </w:pPr>
            <w:r>
              <w:rPr>
                <w:rFonts w:hint="eastAsia" w:ascii="宋体" w:hAnsi="宋体"/>
                <w:color w:val="auto"/>
                <w:szCs w:val="24"/>
                <w:highlight w:val="none"/>
              </w:rPr>
              <w:t>2、支持处理退费时，医保退费成功，HIS退费失败的异常。</w:t>
            </w:r>
          </w:p>
          <w:p>
            <w:pPr>
              <w:pStyle w:val="130"/>
              <w:ind w:firstLine="0"/>
              <w:rPr>
                <w:rFonts w:ascii="宋体" w:hAnsi="宋体"/>
                <w:color w:val="auto"/>
                <w:szCs w:val="24"/>
                <w:highlight w:val="none"/>
              </w:rPr>
            </w:pPr>
            <w:r>
              <w:rPr>
                <w:rFonts w:hint="eastAsia" w:ascii="宋体" w:hAnsi="宋体"/>
                <w:b/>
                <w:color w:val="auto"/>
                <w:szCs w:val="24"/>
                <w:highlight w:val="none"/>
              </w:rPr>
              <w:t>医保结算清单上传：支持</w:t>
            </w:r>
            <w:r>
              <w:rPr>
                <w:rFonts w:hint="eastAsia" w:ascii="宋体" w:hAnsi="宋体"/>
                <w:color w:val="auto"/>
                <w:szCs w:val="24"/>
                <w:highlight w:val="none"/>
              </w:rPr>
              <w:t>对接国家医保时，需要进行医保结算清单上传，提供统一上传的功能。</w:t>
            </w:r>
          </w:p>
          <w:p>
            <w:pPr>
              <w:pStyle w:val="130"/>
              <w:ind w:firstLine="0"/>
              <w:rPr>
                <w:rFonts w:ascii="宋体" w:hAnsi="宋体"/>
                <w:b/>
                <w:color w:val="auto"/>
                <w:szCs w:val="24"/>
                <w:highlight w:val="none"/>
              </w:rPr>
            </w:pPr>
            <w:r>
              <w:rPr>
                <w:rFonts w:hint="eastAsia" w:ascii="宋体" w:hAnsi="宋体"/>
                <w:b/>
                <w:color w:val="auto"/>
                <w:szCs w:val="24"/>
                <w:highlight w:val="none"/>
              </w:rPr>
              <w:t>（4）查询</w:t>
            </w:r>
            <w:r>
              <w:rPr>
                <w:rFonts w:hint="eastAsia" w:ascii="宋体" w:hAnsi="宋体"/>
                <w:b/>
                <w:color w:val="auto"/>
                <w:szCs w:val="24"/>
                <w:highlight w:val="none"/>
              </w:rPr>
              <w:tab/>
            </w:r>
          </w:p>
          <w:p>
            <w:pPr>
              <w:pStyle w:val="130"/>
              <w:ind w:firstLine="0"/>
              <w:rPr>
                <w:rFonts w:ascii="宋体" w:hAnsi="宋体"/>
                <w:b/>
                <w:color w:val="auto"/>
                <w:szCs w:val="24"/>
                <w:highlight w:val="none"/>
              </w:rPr>
            </w:pPr>
            <w:r>
              <w:rPr>
                <w:rFonts w:hint="eastAsia" w:ascii="宋体" w:hAnsi="宋体"/>
                <w:b/>
                <w:color w:val="auto"/>
                <w:szCs w:val="24"/>
                <w:highlight w:val="none"/>
              </w:rPr>
              <w:t>门诊费用综合查询：</w:t>
            </w:r>
          </w:p>
          <w:p>
            <w:pPr>
              <w:pStyle w:val="130"/>
              <w:ind w:firstLine="0"/>
              <w:rPr>
                <w:rFonts w:ascii="宋体" w:hAnsi="宋体"/>
                <w:color w:val="auto"/>
                <w:szCs w:val="24"/>
                <w:highlight w:val="none"/>
              </w:rPr>
            </w:pPr>
            <w:r>
              <w:rPr>
                <w:rFonts w:hint="eastAsia" w:ascii="宋体" w:hAnsi="宋体"/>
                <w:color w:val="auto"/>
                <w:szCs w:val="24"/>
                <w:highlight w:val="none"/>
              </w:rPr>
              <w:t>1、支持查看患者门诊费用明细，显示每个项目名称下单价、规格、数量、执行人。</w:t>
            </w:r>
          </w:p>
          <w:p>
            <w:pPr>
              <w:pStyle w:val="130"/>
              <w:ind w:firstLine="0"/>
              <w:rPr>
                <w:rFonts w:ascii="宋体" w:hAnsi="宋体"/>
                <w:color w:val="auto"/>
                <w:szCs w:val="24"/>
                <w:highlight w:val="none"/>
              </w:rPr>
            </w:pPr>
            <w:r>
              <w:rPr>
                <w:rFonts w:hint="eastAsia" w:ascii="宋体" w:hAnsi="宋体"/>
                <w:color w:val="auto"/>
                <w:szCs w:val="24"/>
                <w:highlight w:val="none"/>
              </w:rPr>
              <w:t>2、支持查看某个患者在一段时间内服务项目的收入次数与金额。</w:t>
            </w:r>
          </w:p>
          <w:p>
            <w:pPr>
              <w:pStyle w:val="130"/>
              <w:ind w:firstLine="0"/>
              <w:rPr>
                <w:rFonts w:ascii="宋体" w:hAnsi="宋体"/>
                <w:color w:val="auto"/>
                <w:szCs w:val="24"/>
                <w:highlight w:val="none"/>
              </w:rPr>
            </w:pPr>
            <w:r>
              <w:rPr>
                <w:rFonts w:hint="eastAsia" w:ascii="宋体" w:hAnsi="宋体"/>
                <w:color w:val="auto"/>
                <w:szCs w:val="24"/>
                <w:highlight w:val="none"/>
              </w:rPr>
              <w:t>3．支持患者编号、证件号码、姓名、等查询患者信息。</w:t>
            </w:r>
          </w:p>
          <w:p>
            <w:pPr>
              <w:pStyle w:val="130"/>
              <w:ind w:firstLine="0"/>
              <w:rPr>
                <w:rFonts w:ascii="宋体" w:hAnsi="宋体"/>
                <w:b/>
                <w:color w:val="auto"/>
                <w:szCs w:val="24"/>
                <w:highlight w:val="none"/>
              </w:rPr>
            </w:pPr>
            <w:r>
              <w:rPr>
                <w:rFonts w:hint="eastAsia" w:ascii="宋体" w:hAnsi="宋体"/>
                <w:b/>
                <w:color w:val="auto"/>
                <w:szCs w:val="24"/>
                <w:highlight w:val="none"/>
              </w:rPr>
              <w:t>发票票据查询：</w:t>
            </w:r>
          </w:p>
          <w:p>
            <w:pPr>
              <w:pStyle w:val="130"/>
              <w:ind w:firstLine="0"/>
              <w:rPr>
                <w:rFonts w:ascii="宋体" w:hAnsi="宋体"/>
                <w:color w:val="auto"/>
                <w:szCs w:val="24"/>
                <w:highlight w:val="none"/>
              </w:rPr>
            </w:pPr>
            <w:r>
              <w:rPr>
                <w:rFonts w:hint="eastAsia" w:ascii="宋体" w:hAnsi="宋体"/>
                <w:color w:val="auto"/>
                <w:szCs w:val="24"/>
                <w:highlight w:val="none"/>
              </w:rPr>
              <w:t>1、支持按照患者编码、患者姓名、就诊类型、就诊编码、住院号等快速查询发票。</w:t>
            </w:r>
          </w:p>
          <w:p>
            <w:pPr>
              <w:pStyle w:val="130"/>
              <w:ind w:firstLine="0"/>
              <w:rPr>
                <w:rFonts w:ascii="宋体" w:hAnsi="宋体"/>
                <w:color w:val="auto"/>
                <w:szCs w:val="24"/>
                <w:highlight w:val="none"/>
              </w:rPr>
            </w:pPr>
            <w:r>
              <w:rPr>
                <w:rFonts w:hint="eastAsia" w:ascii="宋体" w:hAnsi="宋体"/>
                <w:color w:val="auto"/>
                <w:szCs w:val="24"/>
                <w:highlight w:val="none"/>
              </w:rPr>
              <w:t>2、支持选中一条发票数据查看发票详情。</w:t>
            </w:r>
          </w:p>
          <w:p>
            <w:pPr>
              <w:pStyle w:val="130"/>
              <w:ind w:firstLine="0"/>
              <w:rPr>
                <w:rFonts w:ascii="宋体" w:hAnsi="宋体"/>
                <w:color w:val="auto"/>
                <w:szCs w:val="24"/>
                <w:highlight w:val="none"/>
              </w:rPr>
            </w:pPr>
            <w:r>
              <w:rPr>
                <w:rFonts w:hint="eastAsia" w:ascii="宋体" w:hAnsi="宋体"/>
                <w:color w:val="auto"/>
                <w:szCs w:val="24"/>
                <w:highlight w:val="none"/>
              </w:rPr>
              <w:t>3、支持导出发票票据列表。</w:t>
            </w:r>
          </w:p>
          <w:p>
            <w:pPr>
              <w:pStyle w:val="130"/>
              <w:ind w:firstLine="0"/>
              <w:rPr>
                <w:rFonts w:ascii="宋体" w:hAnsi="宋体"/>
                <w:color w:val="auto"/>
                <w:szCs w:val="24"/>
                <w:highlight w:val="none"/>
              </w:rPr>
            </w:pPr>
            <w:r>
              <w:rPr>
                <w:rFonts w:hint="eastAsia" w:ascii="宋体" w:hAnsi="宋体"/>
                <w:color w:val="auto"/>
                <w:szCs w:val="24"/>
                <w:highlight w:val="none"/>
              </w:rPr>
              <w:t>4、支持复制记账。</w:t>
            </w:r>
          </w:p>
          <w:p>
            <w:pPr>
              <w:pStyle w:val="130"/>
              <w:ind w:firstLine="0"/>
              <w:rPr>
                <w:rFonts w:ascii="宋体" w:hAnsi="宋体"/>
                <w:color w:val="auto"/>
                <w:szCs w:val="24"/>
                <w:highlight w:val="none"/>
              </w:rPr>
            </w:pPr>
            <w:r>
              <w:rPr>
                <w:rFonts w:hint="eastAsia" w:ascii="宋体" w:hAnsi="宋体"/>
                <w:b/>
                <w:color w:val="auto"/>
                <w:szCs w:val="24"/>
                <w:highlight w:val="none"/>
              </w:rPr>
              <w:t>打印付款凭证：</w:t>
            </w:r>
            <w:r>
              <w:rPr>
                <w:rFonts w:hint="eastAsia" w:ascii="宋体" w:hAnsi="宋体"/>
                <w:color w:val="auto"/>
                <w:szCs w:val="24"/>
                <w:highlight w:val="none"/>
              </w:rPr>
              <w:t>支持打印诊间付款凭条。</w:t>
            </w:r>
          </w:p>
          <w:p>
            <w:pPr>
              <w:pStyle w:val="130"/>
              <w:ind w:firstLine="0"/>
              <w:rPr>
                <w:rFonts w:ascii="宋体" w:hAnsi="宋体"/>
                <w:b/>
                <w:color w:val="auto"/>
                <w:szCs w:val="24"/>
                <w:highlight w:val="none"/>
              </w:rPr>
            </w:pPr>
            <w:r>
              <w:rPr>
                <w:rFonts w:hint="eastAsia" w:ascii="宋体" w:hAnsi="宋体"/>
                <w:b/>
                <w:color w:val="auto"/>
                <w:szCs w:val="24"/>
                <w:highlight w:val="none"/>
              </w:rPr>
              <w:t>减免患者信息查询：</w:t>
            </w:r>
          </w:p>
          <w:p>
            <w:pPr>
              <w:pStyle w:val="130"/>
              <w:ind w:firstLine="0"/>
              <w:rPr>
                <w:rFonts w:ascii="宋体" w:hAnsi="宋体"/>
                <w:color w:val="auto"/>
                <w:szCs w:val="24"/>
                <w:highlight w:val="none"/>
              </w:rPr>
            </w:pPr>
            <w:r>
              <w:rPr>
                <w:rFonts w:hint="eastAsia" w:ascii="宋体" w:hAnsi="宋体"/>
                <w:color w:val="auto"/>
                <w:szCs w:val="24"/>
                <w:highlight w:val="none"/>
              </w:rPr>
              <w:t>1、支持按照时间查询患者减免信息。</w:t>
            </w:r>
          </w:p>
          <w:p>
            <w:pPr>
              <w:pStyle w:val="130"/>
              <w:ind w:firstLine="0"/>
              <w:rPr>
                <w:rFonts w:ascii="宋体" w:hAnsi="宋体"/>
                <w:color w:val="auto"/>
                <w:szCs w:val="24"/>
                <w:highlight w:val="none"/>
              </w:rPr>
            </w:pPr>
            <w:r>
              <w:rPr>
                <w:rFonts w:hint="eastAsia" w:ascii="宋体" w:hAnsi="宋体"/>
                <w:color w:val="auto"/>
                <w:szCs w:val="24"/>
                <w:highlight w:val="none"/>
              </w:rPr>
              <w:t>2、支持可查看患者减免金额。</w:t>
            </w:r>
          </w:p>
          <w:p>
            <w:pPr>
              <w:pStyle w:val="130"/>
              <w:ind w:firstLine="0"/>
              <w:rPr>
                <w:rFonts w:ascii="宋体" w:hAnsi="宋体"/>
                <w:color w:val="auto"/>
                <w:szCs w:val="24"/>
                <w:highlight w:val="none"/>
              </w:rPr>
            </w:pPr>
            <w:r>
              <w:rPr>
                <w:rFonts w:hint="eastAsia" w:ascii="宋体" w:hAnsi="宋体"/>
                <w:color w:val="auto"/>
                <w:szCs w:val="24"/>
                <w:highlight w:val="none"/>
              </w:rPr>
              <w:t>3、支持导出与打印。</w:t>
            </w:r>
          </w:p>
          <w:p>
            <w:pPr>
              <w:pStyle w:val="130"/>
              <w:ind w:firstLine="0"/>
              <w:rPr>
                <w:rFonts w:ascii="宋体" w:hAnsi="宋体"/>
                <w:b/>
                <w:color w:val="auto"/>
                <w:szCs w:val="24"/>
                <w:highlight w:val="none"/>
              </w:rPr>
            </w:pPr>
            <w:r>
              <w:rPr>
                <w:rFonts w:hint="eastAsia" w:ascii="宋体" w:hAnsi="宋体"/>
                <w:b/>
                <w:color w:val="auto"/>
                <w:szCs w:val="24"/>
                <w:highlight w:val="none"/>
              </w:rPr>
              <w:t>门诊费用清单：</w:t>
            </w:r>
          </w:p>
          <w:p>
            <w:pPr>
              <w:pStyle w:val="130"/>
              <w:ind w:firstLine="0"/>
              <w:rPr>
                <w:rFonts w:ascii="宋体" w:hAnsi="宋体"/>
                <w:color w:val="auto"/>
                <w:szCs w:val="24"/>
                <w:highlight w:val="none"/>
              </w:rPr>
            </w:pPr>
            <w:r>
              <w:rPr>
                <w:rFonts w:hint="eastAsia" w:ascii="宋体" w:hAnsi="宋体"/>
                <w:color w:val="auto"/>
                <w:szCs w:val="24"/>
                <w:highlight w:val="none"/>
              </w:rPr>
              <w:t>1、支持查看患者门诊费用明细，显示每个项目名称下单价、规格、数量、执行时间。</w:t>
            </w:r>
          </w:p>
          <w:p>
            <w:pPr>
              <w:pStyle w:val="130"/>
              <w:ind w:firstLine="0"/>
              <w:rPr>
                <w:rFonts w:ascii="宋体" w:hAnsi="宋体"/>
                <w:color w:val="auto"/>
                <w:szCs w:val="24"/>
                <w:highlight w:val="none"/>
              </w:rPr>
            </w:pPr>
            <w:r>
              <w:rPr>
                <w:rFonts w:hint="eastAsia" w:ascii="宋体" w:hAnsi="宋体"/>
                <w:color w:val="auto"/>
                <w:szCs w:val="24"/>
                <w:highlight w:val="none"/>
              </w:rPr>
              <w:t>2、支持导出与打印。</w:t>
            </w:r>
          </w:p>
          <w:p>
            <w:pPr>
              <w:pStyle w:val="130"/>
              <w:ind w:firstLine="0"/>
              <w:rPr>
                <w:rFonts w:ascii="宋体" w:hAnsi="宋体"/>
                <w:b/>
                <w:color w:val="auto"/>
                <w:szCs w:val="24"/>
                <w:highlight w:val="none"/>
              </w:rPr>
            </w:pPr>
            <w:r>
              <w:rPr>
                <w:rFonts w:hint="eastAsia" w:ascii="宋体" w:hAnsi="宋体"/>
                <w:b/>
                <w:color w:val="auto"/>
                <w:szCs w:val="24"/>
                <w:highlight w:val="none"/>
              </w:rPr>
              <w:t>（5）批量医嘱计费</w:t>
            </w:r>
            <w:r>
              <w:rPr>
                <w:rFonts w:hint="eastAsia" w:ascii="宋体" w:hAnsi="宋体"/>
                <w:b/>
                <w:color w:val="auto"/>
                <w:szCs w:val="24"/>
                <w:highlight w:val="none"/>
              </w:rPr>
              <w:tab/>
            </w:r>
          </w:p>
          <w:p>
            <w:pPr>
              <w:pStyle w:val="130"/>
              <w:ind w:firstLine="0"/>
              <w:rPr>
                <w:rFonts w:ascii="宋体" w:hAnsi="宋体"/>
                <w:b/>
                <w:color w:val="auto"/>
                <w:szCs w:val="24"/>
                <w:highlight w:val="none"/>
              </w:rPr>
            </w:pPr>
            <w:r>
              <w:rPr>
                <w:rFonts w:hint="eastAsia" w:ascii="宋体" w:hAnsi="宋体"/>
                <w:b/>
                <w:color w:val="auto"/>
                <w:szCs w:val="24"/>
                <w:highlight w:val="none"/>
              </w:rPr>
              <w:t>批量医嘱计费设置：</w:t>
            </w:r>
          </w:p>
          <w:p>
            <w:pPr>
              <w:pStyle w:val="130"/>
              <w:ind w:firstLine="0"/>
              <w:rPr>
                <w:rFonts w:ascii="宋体" w:hAnsi="宋体"/>
                <w:color w:val="auto"/>
                <w:szCs w:val="24"/>
                <w:highlight w:val="none"/>
              </w:rPr>
            </w:pPr>
            <w:r>
              <w:rPr>
                <w:rFonts w:hint="eastAsia" w:ascii="宋体" w:hAnsi="宋体"/>
                <w:color w:val="auto"/>
                <w:szCs w:val="24"/>
                <w:highlight w:val="none"/>
              </w:rPr>
              <w:t>1、支持进行门诊的批量开单设置；</w:t>
            </w:r>
          </w:p>
          <w:p>
            <w:pPr>
              <w:pStyle w:val="130"/>
              <w:ind w:firstLine="0"/>
              <w:rPr>
                <w:rFonts w:ascii="宋体" w:hAnsi="宋体"/>
                <w:color w:val="auto"/>
                <w:szCs w:val="24"/>
                <w:highlight w:val="none"/>
              </w:rPr>
            </w:pPr>
            <w:r>
              <w:rPr>
                <w:rFonts w:hint="eastAsia" w:ascii="宋体" w:hAnsi="宋体"/>
                <w:color w:val="auto"/>
                <w:szCs w:val="24"/>
                <w:highlight w:val="none"/>
              </w:rPr>
              <w:t>2、支持进行门诊批量开单，且自动计费的设置；</w:t>
            </w:r>
          </w:p>
          <w:p>
            <w:pPr>
              <w:pStyle w:val="130"/>
              <w:ind w:firstLine="0"/>
              <w:rPr>
                <w:rFonts w:ascii="宋体" w:hAnsi="宋体"/>
                <w:color w:val="auto"/>
                <w:szCs w:val="24"/>
                <w:highlight w:val="none"/>
              </w:rPr>
            </w:pPr>
            <w:r>
              <w:rPr>
                <w:rFonts w:hint="eastAsia" w:ascii="宋体" w:hAnsi="宋体"/>
                <w:color w:val="auto"/>
                <w:szCs w:val="24"/>
                <w:highlight w:val="none"/>
              </w:rPr>
              <w:t>4、支持自定义维护开立医嘱。</w:t>
            </w:r>
          </w:p>
          <w:p>
            <w:pPr>
              <w:pStyle w:val="130"/>
              <w:ind w:firstLine="0"/>
              <w:rPr>
                <w:rFonts w:ascii="宋体" w:hAnsi="宋体"/>
                <w:color w:val="auto"/>
                <w:szCs w:val="24"/>
                <w:highlight w:val="none"/>
              </w:rPr>
            </w:pPr>
            <w:r>
              <w:rPr>
                <w:rFonts w:hint="eastAsia" w:ascii="宋体" w:hAnsi="宋体"/>
                <w:color w:val="auto"/>
                <w:szCs w:val="24"/>
                <w:highlight w:val="none"/>
              </w:rPr>
              <w:t>5、</w:t>
            </w:r>
            <w:r>
              <w:rPr>
                <w:rFonts w:hint="eastAsia" w:ascii="宋体" w:hAnsi="宋体" w:cs="Arial"/>
                <w:color w:val="auto"/>
                <w:szCs w:val="24"/>
                <w:highlight w:val="none"/>
              </w:rPr>
              <w:t>支持</w:t>
            </w:r>
            <w:r>
              <w:rPr>
                <w:rFonts w:hint="eastAsia" w:ascii="宋体" w:hAnsi="宋体"/>
                <w:color w:val="auto"/>
                <w:szCs w:val="24"/>
                <w:highlight w:val="none"/>
              </w:rPr>
              <w:t>批量医嘱患者管理。</w:t>
            </w:r>
          </w:p>
          <w:p>
            <w:pPr>
              <w:pStyle w:val="130"/>
              <w:ind w:firstLine="0"/>
              <w:rPr>
                <w:rFonts w:ascii="宋体" w:hAnsi="宋体"/>
                <w:color w:val="auto"/>
                <w:szCs w:val="24"/>
                <w:highlight w:val="none"/>
              </w:rPr>
            </w:pPr>
            <w:r>
              <w:rPr>
                <w:rFonts w:hint="eastAsia" w:ascii="宋体" w:hAnsi="宋体"/>
                <w:color w:val="auto"/>
                <w:szCs w:val="24"/>
                <w:highlight w:val="none"/>
              </w:rPr>
              <w:t>6、支持选择已经启用的某一个批量医嘱设置。</w:t>
            </w:r>
          </w:p>
          <w:p>
            <w:pPr>
              <w:pStyle w:val="130"/>
              <w:ind w:firstLine="0"/>
              <w:rPr>
                <w:rFonts w:ascii="宋体" w:hAnsi="宋体"/>
                <w:color w:val="auto"/>
                <w:szCs w:val="24"/>
                <w:highlight w:val="none"/>
              </w:rPr>
            </w:pPr>
            <w:r>
              <w:rPr>
                <w:rFonts w:hint="eastAsia" w:ascii="宋体" w:hAnsi="宋体"/>
                <w:color w:val="auto"/>
                <w:szCs w:val="24"/>
                <w:highlight w:val="none"/>
              </w:rPr>
              <w:t>7、支持导入患者excel名单。</w:t>
            </w:r>
          </w:p>
          <w:p>
            <w:pPr>
              <w:pStyle w:val="130"/>
              <w:ind w:firstLine="0"/>
              <w:rPr>
                <w:rFonts w:ascii="宋体" w:hAnsi="宋体"/>
                <w:color w:val="auto"/>
                <w:szCs w:val="24"/>
                <w:highlight w:val="none"/>
              </w:rPr>
            </w:pPr>
            <w:r>
              <w:rPr>
                <w:rFonts w:hint="eastAsia" w:ascii="宋体" w:hAnsi="宋体"/>
                <w:color w:val="auto"/>
                <w:szCs w:val="24"/>
                <w:highlight w:val="none"/>
              </w:rPr>
              <w:t>8、支持自动批量计费，并记录计费结果。</w:t>
            </w:r>
          </w:p>
          <w:p>
            <w:pPr>
              <w:pStyle w:val="130"/>
              <w:ind w:firstLine="0"/>
              <w:rPr>
                <w:rFonts w:ascii="宋体" w:hAnsi="宋体"/>
                <w:color w:val="auto"/>
                <w:szCs w:val="24"/>
                <w:highlight w:val="none"/>
              </w:rPr>
            </w:pPr>
            <w:r>
              <w:rPr>
                <w:rFonts w:hint="eastAsia" w:ascii="宋体" w:hAnsi="宋体"/>
                <w:color w:val="auto"/>
                <w:szCs w:val="24"/>
                <w:highlight w:val="none"/>
              </w:rPr>
              <w:t>9、支持导出计费结果。</w:t>
            </w:r>
          </w:p>
        </w:tc>
      </w:tr>
    </w:tbl>
    <w:p>
      <w:pPr>
        <w:spacing w:line="360" w:lineRule="auto"/>
        <w:ind w:firstLine="480" w:firstLineChars="200"/>
        <w:rPr>
          <w:rFonts w:ascii="宋体" w:hAnsi="宋体"/>
          <w:color w:val="auto"/>
          <w:sz w:val="24"/>
          <w:highlight w:val="none"/>
        </w:rPr>
      </w:pPr>
    </w:p>
    <w:p>
      <w:pPr>
        <w:keepNext/>
        <w:keepLines/>
        <w:numPr>
          <w:ilvl w:val="3"/>
          <w:numId w:val="8"/>
        </w:numPr>
        <w:spacing w:before="280" w:after="290" w:line="376" w:lineRule="auto"/>
        <w:outlineLvl w:val="3"/>
        <w:rPr>
          <w:rFonts w:ascii="宋体" w:hAnsi="宋体"/>
          <w:b/>
          <w:bCs/>
          <w:color w:val="auto"/>
          <w:sz w:val="24"/>
          <w:highlight w:val="none"/>
        </w:rPr>
      </w:pPr>
      <w:bookmarkStart w:id="695" w:name="_Toc29680"/>
      <w:r>
        <w:rPr>
          <w:rFonts w:hint="eastAsia" w:ascii="宋体" w:hAnsi="宋体"/>
          <w:b/>
          <w:bCs/>
          <w:color w:val="auto"/>
          <w:sz w:val="24"/>
          <w:highlight w:val="none"/>
        </w:rPr>
        <w:t>住院收费系统</w:t>
      </w:r>
      <w:bookmarkEnd w:id="695"/>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住院收费需满足以下功能：</w:t>
      </w:r>
    </w:p>
    <w:tbl>
      <w:tblPr>
        <w:tblStyle w:val="43"/>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4"/>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jc w:val="center"/>
        </w:trPr>
        <w:tc>
          <w:tcPr>
            <w:tcW w:w="1984" w:type="dxa"/>
            <w:shd w:val="clear" w:color="auto" w:fill="4471C4"/>
          </w:tcPr>
          <w:p>
            <w:pPr>
              <w:autoSpaceDE w:val="0"/>
              <w:autoSpaceDN w:val="0"/>
              <w:spacing w:before="30" w:line="360" w:lineRule="auto"/>
              <w:ind w:left="347"/>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模块</w:t>
            </w:r>
          </w:p>
        </w:tc>
        <w:tc>
          <w:tcPr>
            <w:tcW w:w="7087" w:type="dxa"/>
            <w:shd w:val="clear" w:color="auto" w:fill="4471C4"/>
          </w:tcPr>
          <w:p>
            <w:pPr>
              <w:autoSpaceDE w:val="0"/>
              <w:autoSpaceDN w:val="0"/>
              <w:spacing w:before="30" w:line="360" w:lineRule="auto"/>
              <w:ind w:left="1006" w:right="1000"/>
              <w:jc w:val="center"/>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功能</w:t>
            </w:r>
            <w:r>
              <w:rPr>
                <w:rFonts w:hint="eastAsia" w:ascii="宋体" w:hAnsi="宋体" w:cs="仿宋"/>
                <w:b/>
                <w:bCs/>
                <w:color w:val="auto"/>
                <w:sz w:val="24"/>
                <w:highlight w:val="none"/>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984"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住院收费</w:t>
            </w:r>
          </w:p>
        </w:tc>
        <w:tc>
          <w:tcPr>
            <w:tcW w:w="7087" w:type="dxa"/>
            <w:vAlign w:val="center"/>
          </w:tcPr>
          <w:p>
            <w:pPr>
              <w:pStyle w:val="130"/>
              <w:ind w:firstLine="0"/>
              <w:rPr>
                <w:rFonts w:ascii="宋体" w:hAnsi="宋体"/>
                <w:b/>
                <w:color w:val="auto"/>
                <w:szCs w:val="24"/>
                <w:highlight w:val="none"/>
              </w:rPr>
            </w:pPr>
            <w:r>
              <w:rPr>
                <w:rFonts w:hint="eastAsia" w:ascii="宋体" w:hAnsi="宋体"/>
                <w:b/>
                <w:color w:val="auto"/>
                <w:szCs w:val="24"/>
                <w:highlight w:val="none"/>
              </w:rPr>
              <w:t>（1）记费</w:t>
            </w:r>
          </w:p>
          <w:p>
            <w:pPr>
              <w:pStyle w:val="130"/>
              <w:ind w:firstLine="0"/>
              <w:rPr>
                <w:rFonts w:ascii="宋体" w:hAnsi="宋体"/>
                <w:b/>
                <w:color w:val="auto"/>
                <w:szCs w:val="24"/>
                <w:highlight w:val="none"/>
              </w:rPr>
            </w:pPr>
            <w:r>
              <w:rPr>
                <w:rFonts w:hint="eastAsia" w:ascii="宋体" w:hAnsi="宋体"/>
                <w:b/>
                <w:color w:val="auto"/>
                <w:szCs w:val="24"/>
                <w:highlight w:val="none"/>
              </w:rPr>
              <w:t>后台划价记账：</w:t>
            </w:r>
          </w:p>
          <w:p>
            <w:pPr>
              <w:pStyle w:val="130"/>
              <w:ind w:firstLine="0"/>
              <w:rPr>
                <w:rFonts w:ascii="宋体" w:hAnsi="宋体"/>
                <w:color w:val="auto"/>
                <w:szCs w:val="24"/>
                <w:highlight w:val="none"/>
              </w:rPr>
            </w:pPr>
            <w:r>
              <w:rPr>
                <w:rFonts w:hint="eastAsia" w:ascii="宋体" w:hAnsi="宋体"/>
                <w:color w:val="auto"/>
                <w:szCs w:val="24"/>
                <w:highlight w:val="none"/>
              </w:rPr>
              <w:t>1、支持划价记账，结账结束日期默认时间为当前日期。</w:t>
            </w:r>
          </w:p>
          <w:p>
            <w:pPr>
              <w:pStyle w:val="130"/>
              <w:ind w:firstLine="0"/>
              <w:rPr>
                <w:rFonts w:ascii="宋体" w:hAnsi="宋体"/>
                <w:color w:val="auto"/>
                <w:szCs w:val="24"/>
                <w:highlight w:val="none"/>
              </w:rPr>
            </w:pPr>
            <w:r>
              <w:rPr>
                <w:rFonts w:hint="eastAsia" w:ascii="宋体" w:hAnsi="宋体"/>
                <w:color w:val="auto"/>
                <w:szCs w:val="24"/>
                <w:highlight w:val="none"/>
              </w:rPr>
              <w:t>2、支持对持续医嘱，护理医嘱，固定费用等进行长时间每日记账，记账时间为设置的当天23:59:59。</w:t>
            </w:r>
          </w:p>
          <w:p>
            <w:pPr>
              <w:pStyle w:val="130"/>
              <w:ind w:firstLine="0"/>
              <w:rPr>
                <w:rFonts w:ascii="宋体" w:hAnsi="宋体"/>
                <w:color w:val="auto"/>
                <w:szCs w:val="24"/>
                <w:highlight w:val="none"/>
              </w:rPr>
            </w:pPr>
            <w:r>
              <w:rPr>
                <w:rFonts w:hint="eastAsia" w:ascii="宋体" w:hAnsi="宋体"/>
                <w:color w:val="auto"/>
                <w:szCs w:val="24"/>
                <w:highlight w:val="none"/>
              </w:rPr>
              <w:t>3、支持对持续医嘱，护理医嘱出院当日记账与不记账，记账时间为当前时间。</w:t>
            </w:r>
          </w:p>
          <w:p>
            <w:pPr>
              <w:pStyle w:val="130"/>
              <w:ind w:firstLine="0"/>
              <w:rPr>
                <w:rFonts w:ascii="宋体" w:hAnsi="宋体"/>
                <w:b/>
                <w:color w:val="auto"/>
                <w:szCs w:val="24"/>
                <w:highlight w:val="none"/>
              </w:rPr>
            </w:pPr>
            <w:r>
              <w:rPr>
                <w:rFonts w:hint="eastAsia" w:ascii="宋体" w:hAnsi="宋体"/>
                <w:b/>
                <w:color w:val="auto"/>
                <w:szCs w:val="24"/>
                <w:highlight w:val="none"/>
              </w:rPr>
              <w:t>住院重划价</w:t>
            </w:r>
            <w:r>
              <w:rPr>
                <w:rFonts w:hint="eastAsia" w:ascii="宋体" w:hAnsi="宋体"/>
                <w:b/>
                <w:color w:val="auto"/>
                <w:szCs w:val="24"/>
                <w:highlight w:val="none"/>
              </w:rPr>
              <w:tab/>
            </w:r>
            <w:r>
              <w:rPr>
                <w:rFonts w:hint="eastAsia" w:ascii="宋体" w:hAnsi="宋体"/>
                <w:b/>
                <w:color w:val="auto"/>
                <w:szCs w:val="24"/>
                <w:highlight w:val="none"/>
              </w:rPr>
              <w:t>：</w:t>
            </w:r>
          </w:p>
          <w:p>
            <w:pPr>
              <w:pStyle w:val="130"/>
              <w:ind w:firstLine="0"/>
              <w:rPr>
                <w:rFonts w:ascii="宋体" w:hAnsi="宋体"/>
                <w:color w:val="auto"/>
                <w:szCs w:val="24"/>
                <w:highlight w:val="none"/>
              </w:rPr>
            </w:pPr>
            <w:r>
              <w:rPr>
                <w:rFonts w:hint="eastAsia" w:ascii="宋体" w:hAnsi="宋体"/>
                <w:color w:val="auto"/>
                <w:szCs w:val="24"/>
                <w:highlight w:val="none"/>
              </w:rPr>
              <w:t>1、支持对住院患者费用进行医嘱重划价，重新对患者进行价格分类。</w:t>
            </w:r>
          </w:p>
          <w:p>
            <w:pPr>
              <w:pStyle w:val="130"/>
              <w:ind w:firstLine="0"/>
              <w:rPr>
                <w:rFonts w:ascii="宋体" w:hAnsi="宋体"/>
                <w:color w:val="auto"/>
                <w:szCs w:val="24"/>
                <w:highlight w:val="none"/>
              </w:rPr>
            </w:pPr>
            <w:r>
              <w:rPr>
                <w:rFonts w:hint="eastAsia" w:ascii="宋体" w:hAnsi="宋体"/>
                <w:color w:val="auto"/>
                <w:szCs w:val="24"/>
                <w:highlight w:val="none"/>
              </w:rPr>
              <w:t>2、支持重划价打印。</w:t>
            </w:r>
          </w:p>
          <w:p>
            <w:pPr>
              <w:pStyle w:val="130"/>
              <w:ind w:firstLine="0"/>
              <w:rPr>
                <w:rFonts w:ascii="宋体" w:hAnsi="宋体"/>
                <w:b/>
                <w:color w:val="auto"/>
                <w:szCs w:val="24"/>
                <w:highlight w:val="none"/>
              </w:rPr>
            </w:pPr>
            <w:r>
              <w:rPr>
                <w:rFonts w:hint="eastAsia" w:ascii="宋体" w:hAnsi="宋体"/>
                <w:b/>
                <w:color w:val="auto"/>
                <w:szCs w:val="24"/>
                <w:highlight w:val="none"/>
              </w:rPr>
              <w:t>住院补/退费（病区）：</w:t>
            </w:r>
          </w:p>
          <w:p>
            <w:pPr>
              <w:pStyle w:val="130"/>
              <w:ind w:firstLine="0"/>
              <w:rPr>
                <w:rFonts w:ascii="宋体" w:hAnsi="宋体"/>
                <w:color w:val="auto"/>
                <w:szCs w:val="24"/>
                <w:highlight w:val="none"/>
              </w:rPr>
            </w:pPr>
            <w:r>
              <w:rPr>
                <w:rFonts w:hint="eastAsia" w:ascii="宋体" w:hAnsi="宋体"/>
                <w:color w:val="auto"/>
                <w:szCs w:val="24"/>
                <w:highlight w:val="none"/>
              </w:rPr>
              <w:t>1、支持按照病区在原患者、会诊患者查询。</w:t>
            </w:r>
          </w:p>
          <w:p>
            <w:pPr>
              <w:pStyle w:val="130"/>
              <w:ind w:firstLine="0"/>
              <w:rPr>
                <w:rFonts w:ascii="宋体" w:hAnsi="宋体"/>
                <w:color w:val="auto"/>
                <w:szCs w:val="24"/>
                <w:highlight w:val="none"/>
              </w:rPr>
            </w:pPr>
            <w:r>
              <w:rPr>
                <w:rFonts w:hint="eastAsia" w:ascii="宋体" w:hAnsi="宋体"/>
                <w:color w:val="auto"/>
                <w:szCs w:val="24"/>
                <w:highlight w:val="none"/>
              </w:rPr>
              <w:t>2、支持选中患者进行新增补费项目、保存、删除补费项目。</w:t>
            </w:r>
          </w:p>
          <w:p>
            <w:pPr>
              <w:pStyle w:val="130"/>
              <w:ind w:firstLine="0"/>
              <w:rPr>
                <w:rFonts w:ascii="宋体" w:hAnsi="宋体"/>
                <w:color w:val="auto"/>
                <w:szCs w:val="24"/>
                <w:highlight w:val="none"/>
              </w:rPr>
            </w:pPr>
            <w:r>
              <w:rPr>
                <w:rFonts w:hint="eastAsia" w:ascii="宋体" w:hAnsi="宋体"/>
                <w:color w:val="auto"/>
                <w:szCs w:val="24"/>
                <w:highlight w:val="none"/>
              </w:rPr>
              <w:t>3、支持退费时进行项目过滤。</w:t>
            </w:r>
          </w:p>
          <w:p>
            <w:pPr>
              <w:pStyle w:val="130"/>
              <w:ind w:firstLine="0"/>
              <w:rPr>
                <w:rFonts w:ascii="宋体" w:hAnsi="宋体"/>
                <w:color w:val="auto"/>
                <w:szCs w:val="24"/>
                <w:highlight w:val="none"/>
              </w:rPr>
            </w:pPr>
            <w:r>
              <w:rPr>
                <w:rFonts w:hint="eastAsia" w:ascii="宋体" w:hAnsi="宋体"/>
                <w:color w:val="auto"/>
                <w:szCs w:val="24"/>
                <w:highlight w:val="none"/>
              </w:rPr>
              <w:t>4、</w:t>
            </w:r>
            <w:r>
              <w:rPr>
                <w:rFonts w:hint="eastAsia" w:ascii="宋体" w:hAnsi="宋体" w:cs="Arial"/>
                <w:color w:val="auto"/>
                <w:szCs w:val="24"/>
                <w:highlight w:val="none"/>
              </w:rPr>
              <w:t>支持</w:t>
            </w:r>
            <w:r>
              <w:rPr>
                <w:rFonts w:hint="eastAsia" w:ascii="宋体" w:hAnsi="宋体"/>
                <w:color w:val="auto"/>
                <w:szCs w:val="24"/>
                <w:highlight w:val="none"/>
              </w:rPr>
              <w:t>可查看待退费明细并进行退费确认操作。</w:t>
            </w:r>
          </w:p>
          <w:p>
            <w:pPr>
              <w:pStyle w:val="130"/>
              <w:ind w:firstLine="0"/>
              <w:rPr>
                <w:rFonts w:ascii="宋体" w:hAnsi="宋体"/>
                <w:b/>
                <w:color w:val="auto"/>
                <w:szCs w:val="24"/>
                <w:highlight w:val="none"/>
              </w:rPr>
            </w:pPr>
            <w:r>
              <w:rPr>
                <w:rFonts w:hint="eastAsia" w:ascii="宋体" w:hAnsi="宋体"/>
                <w:b/>
                <w:color w:val="auto"/>
                <w:szCs w:val="24"/>
                <w:highlight w:val="none"/>
              </w:rPr>
              <w:t>（2）预交金</w:t>
            </w:r>
          </w:p>
          <w:p>
            <w:pPr>
              <w:pStyle w:val="130"/>
              <w:ind w:firstLine="0"/>
              <w:rPr>
                <w:rFonts w:ascii="宋体" w:hAnsi="宋体"/>
                <w:b/>
                <w:color w:val="auto"/>
                <w:szCs w:val="24"/>
                <w:highlight w:val="none"/>
              </w:rPr>
            </w:pPr>
            <w:r>
              <w:rPr>
                <w:rFonts w:hint="eastAsia" w:ascii="宋体" w:hAnsi="宋体"/>
                <w:b/>
                <w:color w:val="auto"/>
                <w:szCs w:val="24"/>
                <w:highlight w:val="none"/>
              </w:rPr>
              <w:t>收退住院预交金：</w:t>
            </w:r>
          </w:p>
          <w:p>
            <w:pPr>
              <w:pStyle w:val="130"/>
              <w:ind w:firstLine="0"/>
              <w:rPr>
                <w:rFonts w:ascii="宋体" w:hAnsi="宋体"/>
                <w:color w:val="auto"/>
                <w:szCs w:val="24"/>
                <w:highlight w:val="none"/>
              </w:rPr>
            </w:pPr>
            <w:r>
              <w:rPr>
                <w:rFonts w:hint="eastAsia" w:ascii="宋体" w:hAnsi="宋体"/>
                <w:color w:val="auto"/>
                <w:szCs w:val="24"/>
                <w:highlight w:val="none"/>
              </w:rPr>
              <w:t>1、支持读医保卡查询患者信息。支持住院号、患者编号、证件号码等查询患者信息。</w:t>
            </w:r>
          </w:p>
          <w:p>
            <w:pPr>
              <w:pStyle w:val="130"/>
              <w:ind w:firstLine="0"/>
              <w:rPr>
                <w:rFonts w:ascii="宋体" w:hAnsi="宋体"/>
                <w:color w:val="auto"/>
                <w:szCs w:val="24"/>
                <w:highlight w:val="none"/>
              </w:rPr>
            </w:pPr>
            <w:r>
              <w:rPr>
                <w:rFonts w:hint="eastAsia" w:ascii="宋体" w:hAnsi="宋体"/>
                <w:color w:val="auto"/>
                <w:szCs w:val="24"/>
                <w:highlight w:val="none"/>
              </w:rPr>
              <w:t>2、支持收款与退款支持多种交易方式。</w:t>
            </w:r>
          </w:p>
          <w:p>
            <w:pPr>
              <w:pStyle w:val="130"/>
              <w:ind w:firstLine="0"/>
              <w:rPr>
                <w:rFonts w:ascii="宋体" w:hAnsi="宋体"/>
                <w:color w:val="auto"/>
                <w:szCs w:val="24"/>
                <w:highlight w:val="none"/>
              </w:rPr>
            </w:pPr>
            <w:r>
              <w:rPr>
                <w:rFonts w:hint="eastAsia" w:ascii="宋体" w:hAnsi="宋体"/>
                <w:color w:val="auto"/>
                <w:szCs w:val="24"/>
                <w:highlight w:val="none"/>
              </w:rPr>
              <w:t>3、支持查看可使用预交金，退预交金，结算退回，流水明细。</w:t>
            </w:r>
          </w:p>
          <w:p>
            <w:pPr>
              <w:pStyle w:val="130"/>
              <w:ind w:firstLine="0"/>
              <w:rPr>
                <w:rFonts w:ascii="宋体" w:hAnsi="宋体"/>
                <w:color w:val="auto"/>
                <w:szCs w:val="24"/>
                <w:highlight w:val="none"/>
              </w:rPr>
            </w:pPr>
            <w:r>
              <w:rPr>
                <w:rFonts w:hint="eastAsia" w:ascii="宋体" w:hAnsi="宋体"/>
                <w:color w:val="auto"/>
                <w:szCs w:val="24"/>
                <w:highlight w:val="none"/>
              </w:rPr>
              <w:t>4、支持查看预交金金额、消费金额、账户余额。</w:t>
            </w:r>
          </w:p>
          <w:p>
            <w:pPr>
              <w:pStyle w:val="130"/>
              <w:ind w:firstLine="0"/>
              <w:rPr>
                <w:rFonts w:ascii="宋体" w:hAnsi="宋体"/>
                <w:color w:val="auto"/>
                <w:szCs w:val="24"/>
                <w:highlight w:val="none"/>
              </w:rPr>
            </w:pPr>
            <w:r>
              <w:rPr>
                <w:rFonts w:hint="eastAsia" w:ascii="宋体" w:hAnsi="宋体"/>
                <w:color w:val="auto"/>
                <w:szCs w:val="24"/>
                <w:highlight w:val="none"/>
              </w:rPr>
              <w:t>5、支持按照患者编码，病区，床位查询患者信息。</w:t>
            </w:r>
          </w:p>
          <w:p>
            <w:pPr>
              <w:pStyle w:val="130"/>
              <w:ind w:firstLine="0"/>
              <w:rPr>
                <w:rFonts w:ascii="宋体" w:hAnsi="宋体"/>
                <w:b/>
                <w:color w:val="auto"/>
                <w:szCs w:val="24"/>
                <w:highlight w:val="none"/>
              </w:rPr>
            </w:pPr>
            <w:r>
              <w:rPr>
                <w:rFonts w:hint="eastAsia" w:ascii="宋体" w:hAnsi="宋体"/>
                <w:b/>
                <w:color w:val="auto"/>
                <w:szCs w:val="24"/>
                <w:highlight w:val="none"/>
              </w:rPr>
              <w:t>预交金警告控制策略：</w:t>
            </w:r>
          </w:p>
          <w:p>
            <w:pPr>
              <w:pStyle w:val="130"/>
              <w:ind w:firstLine="0"/>
              <w:rPr>
                <w:rFonts w:ascii="宋体" w:hAnsi="宋体"/>
                <w:color w:val="auto"/>
                <w:szCs w:val="24"/>
                <w:highlight w:val="none"/>
              </w:rPr>
            </w:pPr>
            <w:r>
              <w:rPr>
                <w:rFonts w:hint="eastAsia" w:ascii="宋体" w:hAnsi="宋体"/>
                <w:color w:val="auto"/>
                <w:szCs w:val="24"/>
                <w:highlight w:val="none"/>
              </w:rPr>
              <w:t>1、支持住院医生站、护士站及其医技补费系统根据控制等级增加下医嘱提示控制及其相关执行控制。</w:t>
            </w:r>
          </w:p>
          <w:p>
            <w:pPr>
              <w:pStyle w:val="130"/>
              <w:ind w:firstLine="0"/>
              <w:rPr>
                <w:rFonts w:ascii="宋体" w:hAnsi="宋体"/>
                <w:color w:val="auto"/>
                <w:szCs w:val="24"/>
                <w:highlight w:val="none"/>
              </w:rPr>
            </w:pPr>
            <w:r>
              <w:rPr>
                <w:rFonts w:hint="eastAsia" w:ascii="宋体" w:hAnsi="宋体"/>
                <w:color w:val="auto"/>
                <w:szCs w:val="24"/>
                <w:highlight w:val="none"/>
              </w:rPr>
              <w:t>2、支持全院或科室之间的预交金控制。</w:t>
            </w:r>
          </w:p>
          <w:p>
            <w:pPr>
              <w:pStyle w:val="130"/>
              <w:ind w:firstLine="0"/>
              <w:rPr>
                <w:rFonts w:ascii="宋体" w:hAnsi="宋体"/>
                <w:color w:val="auto"/>
                <w:szCs w:val="24"/>
                <w:highlight w:val="none"/>
              </w:rPr>
            </w:pPr>
            <w:r>
              <w:rPr>
                <w:rFonts w:hint="eastAsia" w:ascii="宋体" w:hAnsi="宋体"/>
                <w:color w:val="auto"/>
                <w:szCs w:val="24"/>
                <w:highlight w:val="none"/>
              </w:rPr>
              <w:t>3、支持实际预交金比例、金额控制、预交金（含信用度）控制3种控制。</w:t>
            </w:r>
          </w:p>
          <w:p>
            <w:pPr>
              <w:pStyle w:val="130"/>
              <w:ind w:firstLine="0"/>
              <w:rPr>
                <w:rFonts w:ascii="宋体" w:hAnsi="宋体"/>
                <w:b/>
                <w:color w:val="auto"/>
                <w:szCs w:val="24"/>
                <w:highlight w:val="none"/>
              </w:rPr>
            </w:pPr>
            <w:r>
              <w:rPr>
                <w:rFonts w:hint="eastAsia" w:ascii="宋体" w:hAnsi="宋体"/>
                <w:b/>
                <w:color w:val="auto"/>
                <w:szCs w:val="24"/>
                <w:highlight w:val="none"/>
              </w:rPr>
              <w:t>住院欠款催缴：</w:t>
            </w:r>
          </w:p>
          <w:p>
            <w:pPr>
              <w:pStyle w:val="130"/>
              <w:ind w:firstLine="0"/>
              <w:rPr>
                <w:rFonts w:ascii="宋体" w:hAnsi="宋体"/>
                <w:color w:val="auto"/>
                <w:szCs w:val="24"/>
                <w:highlight w:val="none"/>
              </w:rPr>
            </w:pPr>
            <w:r>
              <w:rPr>
                <w:rFonts w:hint="eastAsia" w:ascii="宋体" w:hAnsi="宋体"/>
                <w:color w:val="auto"/>
                <w:szCs w:val="24"/>
                <w:highlight w:val="none"/>
              </w:rPr>
              <w:t>1、支持按照病区查询欠款催缴。</w:t>
            </w:r>
          </w:p>
          <w:p>
            <w:pPr>
              <w:pStyle w:val="130"/>
              <w:ind w:firstLine="0"/>
              <w:rPr>
                <w:rFonts w:ascii="宋体" w:hAnsi="宋体"/>
                <w:color w:val="auto"/>
                <w:szCs w:val="24"/>
                <w:highlight w:val="none"/>
              </w:rPr>
            </w:pPr>
            <w:r>
              <w:rPr>
                <w:rFonts w:hint="eastAsia" w:ascii="宋体" w:hAnsi="宋体"/>
                <w:color w:val="auto"/>
                <w:szCs w:val="24"/>
                <w:highlight w:val="none"/>
              </w:rPr>
              <w:t>2、支持查看和打印催费通知和催费列表。</w:t>
            </w:r>
          </w:p>
          <w:p>
            <w:pPr>
              <w:pStyle w:val="130"/>
              <w:ind w:firstLine="0"/>
              <w:rPr>
                <w:rFonts w:ascii="宋体" w:hAnsi="宋体"/>
                <w:color w:val="auto"/>
                <w:szCs w:val="24"/>
                <w:highlight w:val="none"/>
              </w:rPr>
            </w:pPr>
            <w:r>
              <w:rPr>
                <w:rFonts w:hint="eastAsia" w:ascii="宋体" w:hAnsi="宋体"/>
                <w:color w:val="auto"/>
                <w:szCs w:val="24"/>
                <w:highlight w:val="none"/>
              </w:rPr>
              <w:t>3、支持编辑预交金警戒线。</w:t>
            </w:r>
          </w:p>
          <w:p>
            <w:pPr>
              <w:pStyle w:val="130"/>
              <w:ind w:firstLine="0"/>
              <w:rPr>
                <w:rFonts w:ascii="宋体" w:hAnsi="宋体"/>
                <w:b/>
                <w:color w:val="auto"/>
                <w:szCs w:val="24"/>
                <w:highlight w:val="none"/>
              </w:rPr>
            </w:pPr>
            <w:r>
              <w:rPr>
                <w:rFonts w:hint="eastAsia" w:ascii="宋体" w:hAnsi="宋体"/>
                <w:b/>
                <w:color w:val="auto"/>
                <w:szCs w:val="24"/>
                <w:highlight w:val="none"/>
              </w:rPr>
              <w:t>住院预交金收支明细：</w:t>
            </w:r>
          </w:p>
          <w:p>
            <w:pPr>
              <w:pStyle w:val="130"/>
              <w:ind w:firstLine="0"/>
              <w:rPr>
                <w:rFonts w:ascii="宋体" w:hAnsi="宋体"/>
                <w:color w:val="auto"/>
                <w:szCs w:val="24"/>
                <w:highlight w:val="none"/>
              </w:rPr>
            </w:pPr>
            <w:r>
              <w:rPr>
                <w:rFonts w:hint="eastAsia" w:ascii="宋体" w:hAnsi="宋体"/>
                <w:color w:val="auto"/>
                <w:szCs w:val="24"/>
                <w:highlight w:val="none"/>
              </w:rPr>
              <w:t>1、支持查询患者信息。</w:t>
            </w:r>
          </w:p>
          <w:p>
            <w:pPr>
              <w:pStyle w:val="130"/>
              <w:ind w:firstLine="0"/>
              <w:rPr>
                <w:rFonts w:ascii="宋体" w:hAnsi="宋体"/>
                <w:color w:val="auto"/>
                <w:szCs w:val="24"/>
                <w:highlight w:val="none"/>
              </w:rPr>
            </w:pPr>
            <w:r>
              <w:rPr>
                <w:rFonts w:hint="eastAsia" w:ascii="宋体" w:hAnsi="宋体"/>
                <w:color w:val="auto"/>
                <w:szCs w:val="24"/>
                <w:highlight w:val="none"/>
              </w:rPr>
              <w:t>2、支持查看每次住院结算与住院退费的支付方式与类型。</w:t>
            </w:r>
          </w:p>
          <w:p>
            <w:pPr>
              <w:pStyle w:val="130"/>
              <w:ind w:firstLine="0"/>
              <w:rPr>
                <w:rFonts w:ascii="宋体" w:hAnsi="宋体"/>
                <w:color w:val="auto"/>
                <w:szCs w:val="24"/>
                <w:highlight w:val="none"/>
              </w:rPr>
            </w:pPr>
            <w:r>
              <w:rPr>
                <w:rFonts w:hint="eastAsia" w:ascii="宋体" w:hAnsi="宋体"/>
                <w:color w:val="auto"/>
                <w:szCs w:val="24"/>
                <w:highlight w:val="none"/>
              </w:rPr>
              <w:t>3、支持查看住院结算与住院退费的费用明细。</w:t>
            </w:r>
          </w:p>
          <w:p>
            <w:pPr>
              <w:pStyle w:val="130"/>
              <w:ind w:firstLine="0"/>
              <w:rPr>
                <w:rFonts w:ascii="宋体" w:hAnsi="宋体"/>
                <w:color w:val="auto"/>
                <w:szCs w:val="24"/>
                <w:highlight w:val="none"/>
              </w:rPr>
            </w:pPr>
            <w:r>
              <w:rPr>
                <w:rFonts w:hint="eastAsia" w:ascii="宋体" w:hAnsi="宋体"/>
                <w:color w:val="auto"/>
                <w:szCs w:val="24"/>
                <w:highlight w:val="none"/>
              </w:rPr>
              <w:t>4、支持住院预交金消费金额查询。</w:t>
            </w:r>
          </w:p>
          <w:p>
            <w:pPr>
              <w:pStyle w:val="130"/>
              <w:ind w:firstLine="0"/>
              <w:rPr>
                <w:rFonts w:ascii="宋体" w:hAnsi="宋体"/>
                <w:b/>
                <w:color w:val="auto"/>
                <w:szCs w:val="24"/>
                <w:highlight w:val="none"/>
              </w:rPr>
            </w:pPr>
            <w:r>
              <w:rPr>
                <w:rFonts w:hint="eastAsia" w:ascii="宋体" w:hAnsi="宋体"/>
                <w:b/>
                <w:color w:val="auto"/>
                <w:szCs w:val="24"/>
                <w:highlight w:val="none"/>
              </w:rPr>
              <w:t>（3）就诊账户</w:t>
            </w:r>
            <w:r>
              <w:rPr>
                <w:rFonts w:hint="eastAsia" w:ascii="宋体" w:hAnsi="宋体"/>
                <w:b/>
                <w:color w:val="auto"/>
                <w:szCs w:val="24"/>
                <w:highlight w:val="none"/>
              </w:rPr>
              <w:tab/>
            </w:r>
          </w:p>
          <w:p>
            <w:pPr>
              <w:pStyle w:val="130"/>
              <w:ind w:firstLine="0"/>
              <w:rPr>
                <w:rFonts w:ascii="宋体" w:hAnsi="宋体"/>
                <w:b/>
                <w:color w:val="auto"/>
                <w:szCs w:val="24"/>
                <w:highlight w:val="none"/>
              </w:rPr>
            </w:pPr>
            <w:r>
              <w:rPr>
                <w:rFonts w:hint="eastAsia" w:ascii="宋体" w:hAnsi="宋体"/>
                <w:b/>
                <w:color w:val="auto"/>
                <w:szCs w:val="24"/>
                <w:highlight w:val="none"/>
              </w:rPr>
              <w:t>就诊信用度调整：</w:t>
            </w:r>
          </w:p>
          <w:p>
            <w:pPr>
              <w:pStyle w:val="130"/>
              <w:ind w:firstLine="0"/>
              <w:rPr>
                <w:rFonts w:ascii="宋体" w:hAnsi="宋体"/>
                <w:color w:val="auto"/>
                <w:szCs w:val="24"/>
                <w:highlight w:val="none"/>
              </w:rPr>
            </w:pPr>
            <w:r>
              <w:rPr>
                <w:rFonts w:hint="eastAsia" w:ascii="宋体" w:hAnsi="宋体"/>
                <w:color w:val="auto"/>
                <w:szCs w:val="24"/>
                <w:highlight w:val="none"/>
              </w:rPr>
              <w:t>1、支持患者编号、证件号码等查询患者信息。</w:t>
            </w:r>
          </w:p>
          <w:p>
            <w:pPr>
              <w:pStyle w:val="130"/>
              <w:ind w:firstLine="0"/>
              <w:rPr>
                <w:rFonts w:ascii="宋体" w:hAnsi="宋体"/>
                <w:color w:val="auto"/>
                <w:szCs w:val="24"/>
                <w:highlight w:val="none"/>
              </w:rPr>
            </w:pPr>
            <w:r>
              <w:rPr>
                <w:rFonts w:hint="eastAsia" w:ascii="宋体" w:hAnsi="宋体"/>
                <w:color w:val="auto"/>
                <w:szCs w:val="24"/>
                <w:highlight w:val="none"/>
              </w:rPr>
              <w:t>2、支持门诊预交金，信用分类额度等查询。</w:t>
            </w:r>
          </w:p>
          <w:p>
            <w:pPr>
              <w:pStyle w:val="130"/>
              <w:ind w:firstLine="0"/>
              <w:rPr>
                <w:rFonts w:ascii="宋体" w:hAnsi="宋体"/>
                <w:color w:val="auto"/>
                <w:szCs w:val="24"/>
                <w:highlight w:val="none"/>
              </w:rPr>
            </w:pPr>
            <w:r>
              <w:rPr>
                <w:rFonts w:hint="eastAsia" w:ascii="宋体" w:hAnsi="宋体"/>
                <w:color w:val="auto"/>
                <w:szCs w:val="24"/>
                <w:highlight w:val="none"/>
              </w:rPr>
              <w:t>3、支持门诊患者的信用额度向上向下调整。</w:t>
            </w:r>
          </w:p>
          <w:p>
            <w:pPr>
              <w:pStyle w:val="130"/>
              <w:ind w:firstLine="0"/>
              <w:rPr>
                <w:rFonts w:ascii="宋体" w:hAnsi="宋体"/>
                <w:b/>
                <w:color w:val="auto"/>
                <w:szCs w:val="24"/>
                <w:highlight w:val="none"/>
              </w:rPr>
            </w:pPr>
            <w:r>
              <w:rPr>
                <w:rFonts w:hint="eastAsia" w:ascii="宋体" w:hAnsi="宋体"/>
                <w:b/>
                <w:color w:val="auto"/>
                <w:szCs w:val="24"/>
                <w:highlight w:val="none"/>
              </w:rPr>
              <w:t>患者固定费用：</w:t>
            </w:r>
          </w:p>
          <w:p>
            <w:pPr>
              <w:pStyle w:val="130"/>
              <w:ind w:firstLine="0"/>
              <w:rPr>
                <w:rFonts w:ascii="宋体" w:hAnsi="宋体"/>
                <w:color w:val="auto"/>
                <w:szCs w:val="24"/>
                <w:highlight w:val="none"/>
              </w:rPr>
            </w:pPr>
            <w:r>
              <w:rPr>
                <w:rFonts w:hint="eastAsia" w:ascii="宋体" w:hAnsi="宋体"/>
                <w:color w:val="auto"/>
                <w:szCs w:val="24"/>
                <w:highlight w:val="none"/>
              </w:rPr>
              <w:t>1、支持住院号、患者编号、证件号码等查询患者。</w:t>
            </w:r>
          </w:p>
          <w:p>
            <w:pPr>
              <w:pStyle w:val="130"/>
              <w:ind w:firstLine="0"/>
              <w:rPr>
                <w:rFonts w:ascii="宋体" w:hAnsi="宋体"/>
                <w:color w:val="auto"/>
                <w:szCs w:val="24"/>
                <w:highlight w:val="none"/>
              </w:rPr>
            </w:pPr>
            <w:r>
              <w:rPr>
                <w:rFonts w:hint="eastAsia" w:ascii="宋体" w:hAnsi="宋体"/>
                <w:color w:val="auto"/>
                <w:szCs w:val="24"/>
                <w:highlight w:val="none"/>
              </w:rPr>
              <w:t>2、支持住院患者继承科室和患者专用固定费用2种。</w:t>
            </w:r>
          </w:p>
          <w:p>
            <w:pPr>
              <w:pStyle w:val="130"/>
              <w:ind w:firstLine="0"/>
              <w:rPr>
                <w:rFonts w:ascii="宋体" w:hAnsi="宋体"/>
                <w:color w:val="auto"/>
                <w:szCs w:val="24"/>
                <w:highlight w:val="none"/>
              </w:rPr>
            </w:pPr>
            <w:r>
              <w:rPr>
                <w:rFonts w:hint="eastAsia" w:ascii="宋体" w:hAnsi="宋体"/>
                <w:color w:val="auto"/>
                <w:szCs w:val="24"/>
                <w:highlight w:val="none"/>
              </w:rPr>
              <w:t>3、支持住院患者专用固定费用单独维护。</w:t>
            </w:r>
          </w:p>
          <w:p>
            <w:pPr>
              <w:pStyle w:val="130"/>
              <w:ind w:firstLine="0"/>
              <w:rPr>
                <w:rFonts w:ascii="宋体" w:hAnsi="宋体"/>
                <w:b/>
                <w:color w:val="auto"/>
                <w:szCs w:val="24"/>
                <w:highlight w:val="none"/>
              </w:rPr>
            </w:pPr>
            <w:r>
              <w:rPr>
                <w:rFonts w:hint="eastAsia" w:ascii="宋体" w:hAnsi="宋体"/>
                <w:b/>
                <w:color w:val="auto"/>
                <w:szCs w:val="24"/>
                <w:highlight w:val="none"/>
              </w:rPr>
              <w:t>就诊银行账户：</w:t>
            </w:r>
          </w:p>
          <w:p>
            <w:pPr>
              <w:pStyle w:val="130"/>
              <w:ind w:firstLine="0"/>
              <w:rPr>
                <w:rFonts w:ascii="宋体" w:hAnsi="宋体"/>
                <w:color w:val="auto"/>
                <w:szCs w:val="24"/>
                <w:highlight w:val="none"/>
              </w:rPr>
            </w:pPr>
            <w:r>
              <w:rPr>
                <w:rFonts w:hint="eastAsia" w:ascii="宋体" w:hAnsi="宋体"/>
                <w:color w:val="auto"/>
                <w:szCs w:val="24"/>
                <w:highlight w:val="none"/>
              </w:rPr>
              <w:t>1、支持住院号、患者编号、证件号码等查询患者信息。</w:t>
            </w:r>
          </w:p>
          <w:p>
            <w:pPr>
              <w:pStyle w:val="130"/>
              <w:ind w:firstLine="0"/>
              <w:rPr>
                <w:rFonts w:ascii="宋体" w:hAnsi="宋体"/>
                <w:color w:val="auto"/>
                <w:szCs w:val="24"/>
                <w:highlight w:val="none"/>
              </w:rPr>
            </w:pPr>
            <w:r>
              <w:rPr>
                <w:rFonts w:hint="eastAsia" w:ascii="宋体" w:hAnsi="宋体"/>
                <w:color w:val="auto"/>
                <w:szCs w:val="24"/>
                <w:highlight w:val="none"/>
              </w:rPr>
              <w:t>2、支持给患者添加银行卡信息，记录银行卡信息与患者绑定。</w:t>
            </w:r>
          </w:p>
          <w:p>
            <w:pPr>
              <w:pStyle w:val="130"/>
              <w:ind w:firstLine="0"/>
              <w:rPr>
                <w:rFonts w:ascii="宋体" w:hAnsi="宋体"/>
                <w:b/>
                <w:color w:val="auto"/>
                <w:szCs w:val="24"/>
                <w:highlight w:val="none"/>
              </w:rPr>
            </w:pPr>
            <w:r>
              <w:rPr>
                <w:rFonts w:hint="eastAsia" w:ascii="宋体" w:hAnsi="宋体"/>
                <w:b/>
                <w:color w:val="auto"/>
                <w:szCs w:val="24"/>
                <w:highlight w:val="none"/>
              </w:rPr>
              <w:t>（4）暂存金</w:t>
            </w:r>
            <w:r>
              <w:rPr>
                <w:rFonts w:hint="eastAsia" w:ascii="宋体" w:hAnsi="宋体"/>
                <w:b/>
                <w:color w:val="auto"/>
                <w:szCs w:val="24"/>
                <w:highlight w:val="none"/>
              </w:rPr>
              <w:tab/>
            </w:r>
          </w:p>
          <w:p>
            <w:pPr>
              <w:pStyle w:val="130"/>
              <w:ind w:firstLine="0"/>
              <w:rPr>
                <w:rFonts w:ascii="宋体" w:hAnsi="宋体"/>
                <w:color w:val="auto"/>
                <w:szCs w:val="24"/>
                <w:highlight w:val="none"/>
              </w:rPr>
            </w:pPr>
            <w:r>
              <w:rPr>
                <w:rFonts w:hint="eastAsia" w:ascii="宋体" w:hAnsi="宋体"/>
                <w:b/>
                <w:color w:val="auto"/>
                <w:szCs w:val="24"/>
                <w:highlight w:val="none"/>
              </w:rPr>
              <w:t>收住院暂存金（接口）：</w:t>
            </w:r>
            <w:r>
              <w:rPr>
                <w:rFonts w:hint="eastAsia" w:ascii="宋体" w:hAnsi="宋体"/>
                <w:color w:val="auto"/>
                <w:szCs w:val="24"/>
                <w:highlight w:val="none"/>
              </w:rPr>
              <w:t>支持预住院患者收取住院暂存金</w:t>
            </w:r>
          </w:p>
          <w:p>
            <w:pPr>
              <w:pStyle w:val="130"/>
              <w:ind w:firstLine="0"/>
              <w:rPr>
                <w:rFonts w:ascii="宋体" w:hAnsi="宋体"/>
                <w:color w:val="auto"/>
                <w:szCs w:val="24"/>
                <w:highlight w:val="none"/>
              </w:rPr>
            </w:pPr>
            <w:r>
              <w:rPr>
                <w:rFonts w:hint="eastAsia" w:ascii="宋体" w:hAnsi="宋体"/>
                <w:b/>
                <w:color w:val="auto"/>
                <w:szCs w:val="24"/>
                <w:highlight w:val="none"/>
              </w:rPr>
              <w:t>住院暂存金退费申请（接口）：</w:t>
            </w:r>
          </w:p>
          <w:p>
            <w:pPr>
              <w:pStyle w:val="130"/>
              <w:ind w:firstLine="0"/>
              <w:rPr>
                <w:rFonts w:ascii="宋体" w:hAnsi="宋体"/>
                <w:color w:val="auto"/>
                <w:szCs w:val="24"/>
                <w:highlight w:val="none"/>
              </w:rPr>
            </w:pPr>
            <w:r>
              <w:rPr>
                <w:rFonts w:hint="eastAsia" w:ascii="宋体" w:hAnsi="宋体"/>
                <w:color w:val="auto"/>
                <w:szCs w:val="24"/>
                <w:highlight w:val="none"/>
              </w:rPr>
              <w:t>1、支持患者申请退暂存金。</w:t>
            </w:r>
          </w:p>
          <w:p>
            <w:pPr>
              <w:pStyle w:val="130"/>
              <w:ind w:firstLine="0"/>
              <w:rPr>
                <w:rFonts w:ascii="宋体" w:hAnsi="宋体"/>
                <w:color w:val="auto"/>
                <w:szCs w:val="24"/>
                <w:highlight w:val="none"/>
              </w:rPr>
            </w:pPr>
            <w:r>
              <w:rPr>
                <w:rFonts w:hint="eastAsia" w:ascii="宋体" w:hAnsi="宋体"/>
                <w:color w:val="auto"/>
                <w:szCs w:val="24"/>
                <w:highlight w:val="none"/>
              </w:rPr>
              <w:t>2、支持患者查询暂存金情况。</w:t>
            </w:r>
          </w:p>
          <w:p>
            <w:pPr>
              <w:pStyle w:val="130"/>
              <w:ind w:firstLine="0"/>
              <w:rPr>
                <w:rFonts w:ascii="宋体" w:hAnsi="宋体"/>
                <w:b/>
                <w:color w:val="auto"/>
                <w:szCs w:val="24"/>
                <w:highlight w:val="none"/>
              </w:rPr>
            </w:pPr>
            <w:r>
              <w:rPr>
                <w:rFonts w:hint="eastAsia" w:ascii="宋体" w:hAnsi="宋体"/>
                <w:b/>
                <w:color w:val="auto"/>
                <w:szCs w:val="24"/>
                <w:highlight w:val="none"/>
              </w:rPr>
              <w:t>退住院暂存金：</w:t>
            </w:r>
          </w:p>
          <w:p>
            <w:pPr>
              <w:pStyle w:val="130"/>
              <w:ind w:firstLine="0"/>
              <w:rPr>
                <w:rFonts w:ascii="宋体" w:hAnsi="宋体"/>
                <w:color w:val="auto"/>
                <w:szCs w:val="24"/>
                <w:highlight w:val="none"/>
              </w:rPr>
            </w:pPr>
            <w:r>
              <w:rPr>
                <w:rFonts w:hint="eastAsia" w:ascii="宋体" w:hAnsi="宋体"/>
                <w:color w:val="auto"/>
                <w:szCs w:val="24"/>
                <w:highlight w:val="none"/>
              </w:rPr>
              <w:t>1、支持对预住院患者申请退住院暂存金可以拒绝退款和确认退款。</w:t>
            </w:r>
          </w:p>
          <w:p>
            <w:pPr>
              <w:pStyle w:val="130"/>
              <w:ind w:firstLine="0"/>
              <w:rPr>
                <w:rFonts w:ascii="宋体" w:hAnsi="宋体"/>
                <w:color w:val="auto"/>
                <w:szCs w:val="24"/>
                <w:highlight w:val="none"/>
              </w:rPr>
            </w:pPr>
            <w:r>
              <w:rPr>
                <w:rFonts w:hint="eastAsia" w:ascii="宋体" w:hAnsi="宋体"/>
                <w:color w:val="auto"/>
                <w:szCs w:val="24"/>
                <w:highlight w:val="none"/>
              </w:rPr>
              <w:t>2、支持住院患者不能退住院暂存金。</w:t>
            </w:r>
          </w:p>
          <w:p>
            <w:pPr>
              <w:pStyle w:val="130"/>
              <w:ind w:firstLine="0"/>
              <w:rPr>
                <w:rFonts w:ascii="宋体" w:hAnsi="宋体"/>
                <w:color w:val="auto"/>
                <w:szCs w:val="24"/>
                <w:highlight w:val="none"/>
              </w:rPr>
            </w:pPr>
            <w:r>
              <w:rPr>
                <w:rFonts w:hint="eastAsia" w:ascii="宋体" w:hAnsi="宋体"/>
                <w:color w:val="auto"/>
                <w:szCs w:val="24"/>
                <w:highlight w:val="none"/>
              </w:rPr>
              <w:t>3、支持查看患者申请退住院暂存金信息。</w:t>
            </w:r>
          </w:p>
          <w:p>
            <w:pPr>
              <w:pStyle w:val="130"/>
              <w:ind w:firstLine="0"/>
              <w:rPr>
                <w:rFonts w:ascii="宋体" w:hAnsi="宋体"/>
                <w:color w:val="auto"/>
                <w:szCs w:val="24"/>
                <w:highlight w:val="none"/>
              </w:rPr>
            </w:pPr>
            <w:r>
              <w:rPr>
                <w:rFonts w:hint="eastAsia" w:ascii="宋体" w:hAnsi="宋体"/>
                <w:color w:val="auto"/>
                <w:szCs w:val="24"/>
                <w:highlight w:val="none"/>
              </w:rPr>
              <w:t>4、支持患者查看住院暂存金。</w:t>
            </w:r>
          </w:p>
          <w:p>
            <w:pPr>
              <w:pStyle w:val="130"/>
              <w:ind w:firstLine="0"/>
              <w:rPr>
                <w:rFonts w:ascii="宋体" w:hAnsi="宋体"/>
                <w:b/>
                <w:color w:val="auto"/>
                <w:szCs w:val="24"/>
                <w:highlight w:val="none"/>
              </w:rPr>
            </w:pPr>
            <w:r>
              <w:rPr>
                <w:rFonts w:hint="eastAsia" w:ascii="宋体" w:hAnsi="宋体"/>
                <w:b/>
                <w:color w:val="auto"/>
                <w:szCs w:val="24"/>
                <w:highlight w:val="none"/>
              </w:rPr>
              <w:t xml:space="preserve"> (</w:t>
            </w:r>
            <w:r>
              <w:rPr>
                <w:rFonts w:ascii="宋体" w:hAnsi="宋体"/>
                <w:b/>
                <w:color w:val="auto"/>
                <w:szCs w:val="24"/>
                <w:highlight w:val="none"/>
              </w:rPr>
              <w:t>5)</w:t>
            </w:r>
            <w:r>
              <w:rPr>
                <w:rFonts w:hint="eastAsia" w:ascii="宋体" w:hAnsi="宋体"/>
                <w:b/>
                <w:color w:val="auto"/>
                <w:szCs w:val="24"/>
                <w:highlight w:val="none"/>
              </w:rPr>
              <w:t>结算审核</w:t>
            </w:r>
            <w:r>
              <w:rPr>
                <w:rFonts w:hint="eastAsia" w:ascii="宋体" w:hAnsi="宋体"/>
                <w:b/>
                <w:color w:val="auto"/>
                <w:szCs w:val="24"/>
                <w:highlight w:val="none"/>
              </w:rPr>
              <w:tab/>
            </w:r>
          </w:p>
          <w:p>
            <w:pPr>
              <w:pStyle w:val="130"/>
              <w:ind w:firstLine="0"/>
              <w:rPr>
                <w:rFonts w:ascii="宋体" w:hAnsi="宋体"/>
                <w:b/>
                <w:color w:val="auto"/>
                <w:szCs w:val="24"/>
                <w:highlight w:val="none"/>
              </w:rPr>
            </w:pPr>
            <w:r>
              <w:rPr>
                <w:rFonts w:hint="eastAsia" w:ascii="宋体" w:hAnsi="宋体"/>
                <w:b/>
                <w:color w:val="auto"/>
                <w:szCs w:val="24"/>
                <w:highlight w:val="none"/>
              </w:rPr>
              <w:t>出院</w:t>
            </w:r>
            <w:r>
              <w:rPr>
                <w:rFonts w:ascii="宋体" w:hAnsi="宋体"/>
                <w:b/>
                <w:color w:val="auto"/>
                <w:szCs w:val="24"/>
                <w:highlight w:val="none"/>
              </w:rPr>
              <w:t>:</w:t>
            </w:r>
          </w:p>
          <w:p>
            <w:pPr>
              <w:pStyle w:val="130"/>
              <w:ind w:firstLine="0"/>
              <w:rPr>
                <w:rFonts w:ascii="宋体" w:hAnsi="宋体"/>
                <w:color w:val="auto"/>
                <w:szCs w:val="24"/>
                <w:highlight w:val="none"/>
              </w:rPr>
            </w:pPr>
            <w:r>
              <w:rPr>
                <w:rFonts w:hint="eastAsia" w:ascii="宋体" w:hAnsi="宋体"/>
                <w:color w:val="auto"/>
                <w:szCs w:val="24"/>
                <w:highlight w:val="none"/>
              </w:rPr>
              <w:t>1、支持患者病区出院。</w:t>
            </w:r>
          </w:p>
          <w:p>
            <w:pPr>
              <w:pStyle w:val="130"/>
              <w:ind w:firstLine="0"/>
              <w:rPr>
                <w:rFonts w:ascii="宋体" w:hAnsi="宋体"/>
                <w:color w:val="auto"/>
                <w:szCs w:val="24"/>
                <w:highlight w:val="none"/>
              </w:rPr>
            </w:pPr>
            <w:r>
              <w:rPr>
                <w:rFonts w:hint="eastAsia" w:ascii="宋体" w:hAnsi="宋体"/>
                <w:color w:val="auto"/>
                <w:szCs w:val="24"/>
                <w:highlight w:val="none"/>
              </w:rPr>
              <w:t>2、支持独立使用，支持内嵌到护士工作站使用。</w:t>
            </w:r>
          </w:p>
          <w:p>
            <w:pPr>
              <w:pStyle w:val="130"/>
              <w:ind w:firstLine="0"/>
              <w:rPr>
                <w:rFonts w:ascii="宋体" w:hAnsi="宋体"/>
                <w:color w:val="auto"/>
                <w:szCs w:val="24"/>
                <w:highlight w:val="none"/>
              </w:rPr>
            </w:pPr>
            <w:r>
              <w:rPr>
                <w:rFonts w:hint="eastAsia" w:ascii="宋体" w:hAnsi="宋体"/>
                <w:color w:val="auto"/>
                <w:szCs w:val="24"/>
                <w:highlight w:val="none"/>
              </w:rPr>
              <w:t>3、</w:t>
            </w:r>
            <w:r>
              <w:rPr>
                <w:rFonts w:hint="eastAsia" w:ascii="宋体" w:hAnsi="宋体" w:cs="Arial"/>
                <w:color w:val="auto"/>
                <w:szCs w:val="24"/>
                <w:highlight w:val="none"/>
              </w:rPr>
              <w:t>支持</w:t>
            </w:r>
            <w:r>
              <w:rPr>
                <w:rFonts w:hint="eastAsia" w:ascii="宋体" w:hAnsi="宋体"/>
                <w:color w:val="auto"/>
                <w:szCs w:val="24"/>
                <w:highlight w:val="none"/>
              </w:rPr>
              <w:t>自动列出当前病区待出院患者记录。</w:t>
            </w:r>
          </w:p>
          <w:p>
            <w:pPr>
              <w:pStyle w:val="130"/>
              <w:ind w:firstLine="0"/>
              <w:rPr>
                <w:rFonts w:ascii="宋体" w:hAnsi="宋体"/>
                <w:color w:val="auto"/>
                <w:szCs w:val="24"/>
                <w:highlight w:val="none"/>
              </w:rPr>
            </w:pPr>
            <w:r>
              <w:rPr>
                <w:rFonts w:hint="eastAsia" w:ascii="宋体" w:hAnsi="宋体"/>
                <w:color w:val="auto"/>
                <w:szCs w:val="24"/>
                <w:highlight w:val="none"/>
              </w:rPr>
              <w:t>4、支持出院校验：医嘱、执行、药品、医技、费用。</w:t>
            </w:r>
          </w:p>
          <w:p>
            <w:pPr>
              <w:pStyle w:val="130"/>
              <w:ind w:firstLine="0"/>
              <w:rPr>
                <w:rFonts w:ascii="宋体" w:hAnsi="宋体"/>
                <w:color w:val="auto"/>
                <w:szCs w:val="24"/>
                <w:highlight w:val="none"/>
              </w:rPr>
            </w:pPr>
            <w:r>
              <w:rPr>
                <w:rFonts w:hint="eastAsia" w:ascii="宋体" w:hAnsi="宋体"/>
                <w:color w:val="auto"/>
                <w:szCs w:val="24"/>
                <w:highlight w:val="none"/>
              </w:rPr>
              <w:t>5、支持校验规则自定义：限制出院、仅提示、不检验。</w:t>
            </w:r>
          </w:p>
          <w:p>
            <w:pPr>
              <w:pStyle w:val="130"/>
              <w:ind w:firstLine="0"/>
              <w:rPr>
                <w:rFonts w:ascii="宋体" w:hAnsi="宋体"/>
                <w:color w:val="auto"/>
                <w:szCs w:val="24"/>
                <w:highlight w:val="none"/>
              </w:rPr>
            </w:pPr>
            <w:r>
              <w:rPr>
                <w:rFonts w:hint="eastAsia" w:ascii="宋体" w:hAnsi="宋体"/>
                <w:color w:val="auto"/>
                <w:szCs w:val="24"/>
                <w:highlight w:val="none"/>
              </w:rPr>
              <w:t>6、支持未到达定时计费时间的出院，进行手动计费。</w:t>
            </w:r>
          </w:p>
          <w:p>
            <w:pPr>
              <w:pStyle w:val="130"/>
              <w:ind w:firstLine="0"/>
              <w:rPr>
                <w:rFonts w:ascii="宋体" w:hAnsi="宋体"/>
                <w:color w:val="auto"/>
                <w:szCs w:val="24"/>
                <w:highlight w:val="none"/>
              </w:rPr>
            </w:pPr>
            <w:r>
              <w:rPr>
                <w:rFonts w:hint="eastAsia" w:ascii="宋体" w:hAnsi="宋体"/>
                <w:color w:val="auto"/>
                <w:szCs w:val="24"/>
                <w:highlight w:val="none"/>
              </w:rPr>
              <w:t>7、支持出院通知书打印。</w:t>
            </w:r>
          </w:p>
          <w:p>
            <w:pPr>
              <w:pStyle w:val="130"/>
              <w:ind w:firstLine="0"/>
              <w:rPr>
                <w:rFonts w:ascii="宋体" w:hAnsi="宋体"/>
                <w:color w:val="auto"/>
                <w:szCs w:val="24"/>
                <w:highlight w:val="none"/>
              </w:rPr>
            </w:pPr>
            <w:r>
              <w:rPr>
                <w:rFonts w:hint="eastAsia" w:ascii="宋体" w:hAnsi="宋体"/>
                <w:color w:val="auto"/>
                <w:szCs w:val="24"/>
                <w:highlight w:val="none"/>
              </w:rPr>
              <w:t>8、支持住院患者费用提请自费审核，提请医保审核。</w:t>
            </w:r>
          </w:p>
          <w:p>
            <w:pPr>
              <w:pStyle w:val="130"/>
              <w:ind w:firstLine="0"/>
              <w:rPr>
                <w:rFonts w:ascii="宋体" w:hAnsi="宋体"/>
                <w:b/>
                <w:color w:val="auto"/>
                <w:szCs w:val="24"/>
                <w:highlight w:val="none"/>
              </w:rPr>
            </w:pPr>
            <w:r>
              <w:rPr>
                <w:rFonts w:hint="eastAsia" w:ascii="宋体" w:hAnsi="宋体"/>
                <w:b/>
                <w:color w:val="auto"/>
                <w:szCs w:val="24"/>
                <w:highlight w:val="none"/>
              </w:rPr>
              <w:t>住院费用审核：</w:t>
            </w:r>
          </w:p>
          <w:p>
            <w:pPr>
              <w:pStyle w:val="130"/>
              <w:ind w:firstLine="0"/>
              <w:rPr>
                <w:rFonts w:ascii="宋体" w:hAnsi="宋体"/>
                <w:color w:val="auto"/>
                <w:szCs w:val="24"/>
                <w:highlight w:val="none"/>
              </w:rPr>
            </w:pPr>
            <w:r>
              <w:rPr>
                <w:rFonts w:hint="eastAsia" w:ascii="宋体" w:hAnsi="宋体"/>
                <w:color w:val="auto"/>
                <w:szCs w:val="24"/>
                <w:highlight w:val="none"/>
              </w:rPr>
              <w:t>1、支持住院号、患者编号、证件号码等查询患者信息。</w:t>
            </w:r>
          </w:p>
          <w:p>
            <w:pPr>
              <w:pStyle w:val="130"/>
              <w:ind w:firstLine="0"/>
              <w:rPr>
                <w:rFonts w:ascii="宋体" w:hAnsi="宋体"/>
                <w:color w:val="auto"/>
                <w:szCs w:val="24"/>
                <w:highlight w:val="none"/>
              </w:rPr>
            </w:pPr>
            <w:r>
              <w:rPr>
                <w:rFonts w:hint="eastAsia" w:ascii="宋体" w:hAnsi="宋体"/>
                <w:color w:val="auto"/>
                <w:szCs w:val="24"/>
                <w:highlight w:val="none"/>
              </w:rPr>
              <w:t>2、支持住院审核与取消住院审核。</w:t>
            </w:r>
          </w:p>
          <w:p>
            <w:pPr>
              <w:pStyle w:val="130"/>
              <w:ind w:firstLine="0"/>
              <w:rPr>
                <w:rFonts w:ascii="宋体" w:hAnsi="宋体"/>
                <w:color w:val="auto"/>
                <w:szCs w:val="24"/>
                <w:highlight w:val="none"/>
              </w:rPr>
            </w:pPr>
            <w:r>
              <w:rPr>
                <w:rFonts w:hint="eastAsia" w:ascii="宋体" w:hAnsi="宋体"/>
                <w:color w:val="auto"/>
                <w:szCs w:val="24"/>
                <w:highlight w:val="none"/>
              </w:rPr>
              <w:t>3、支持医保审核与取消医保审核。</w:t>
            </w:r>
          </w:p>
          <w:p>
            <w:pPr>
              <w:pStyle w:val="130"/>
              <w:ind w:firstLine="0"/>
              <w:rPr>
                <w:rFonts w:ascii="宋体" w:hAnsi="宋体"/>
                <w:color w:val="auto"/>
                <w:szCs w:val="24"/>
                <w:highlight w:val="none"/>
              </w:rPr>
            </w:pPr>
            <w:r>
              <w:rPr>
                <w:rFonts w:hint="eastAsia" w:ascii="宋体" w:hAnsi="宋体"/>
                <w:color w:val="auto"/>
                <w:szCs w:val="24"/>
                <w:highlight w:val="none"/>
              </w:rPr>
              <w:t>住院医保审核：</w:t>
            </w:r>
          </w:p>
          <w:p>
            <w:pPr>
              <w:pStyle w:val="130"/>
              <w:ind w:firstLine="0"/>
              <w:rPr>
                <w:rFonts w:ascii="宋体" w:hAnsi="宋体"/>
                <w:color w:val="auto"/>
                <w:szCs w:val="24"/>
                <w:highlight w:val="none"/>
              </w:rPr>
            </w:pPr>
            <w:r>
              <w:rPr>
                <w:rFonts w:hint="eastAsia" w:ascii="宋体" w:hAnsi="宋体"/>
                <w:color w:val="auto"/>
                <w:szCs w:val="24"/>
                <w:highlight w:val="none"/>
              </w:rPr>
              <w:t>1、支持住院号、患者编号、证件号码等查询患者信息。</w:t>
            </w:r>
          </w:p>
          <w:p>
            <w:pPr>
              <w:pStyle w:val="130"/>
              <w:ind w:firstLine="0"/>
              <w:rPr>
                <w:rFonts w:ascii="宋体" w:hAnsi="宋体"/>
                <w:color w:val="auto"/>
                <w:szCs w:val="24"/>
                <w:highlight w:val="none"/>
              </w:rPr>
            </w:pPr>
            <w:r>
              <w:rPr>
                <w:rFonts w:hint="eastAsia" w:ascii="宋体" w:hAnsi="宋体"/>
                <w:color w:val="auto"/>
                <w:szCs w:val="24"/>
                <w:highlight w:val="none"/>
              </w:rPr>
              <w:t>2、支持住院医保预审核与取消住院医保预审核。</w:t>
            </w:r>
          </w:p>
          <w:p>
            <w:pPr>
              <w:pStyle w:val="130"/>
              <w:ind w:firstLine="0"/>
              <w:rPr>
                <w:rFonts w:ascii="宋体" w:hAnsi="宋体"/>
                <w:color w:val="auto"/>
                <w:szCs w:val="24"/>
                <w:highlight w:val="none"/>
              </w:rPr>
            </w:pPr>
            <w:r>
              <w:rPr>
                <w:rFonts w:hint="eastAsia" w:ascii="宋体" w:hAnsi="宋体"/>
                <w:color w:val="auto"/>
                <w:szCs w:val="24"/>
                <w:highlight w:val="none"/>
              </w:rPr>
              <w:t>3、支持医保审核与取消医保审核。</w:t>
            </w:r>
          </w:p>
          <w:p>
            <w:pPr>
              <w:pStyle w:val="130"/>
              <w:ind w:firstLine="0"/>
              <w:rPr>
                <w:rFonts w:ascii="宋体" w:hAnsi="宋体"/>
                <w:color w:val="auto"/>
                <w:szCs w:val="24"/>
                <w:highlight w:val="none"/>
              </w:rPr>
            </w:pPr>
            <w:r>
              <w:rPr>
                <w:rFonts w:hint="eastAsia" w:ascii="宋体" w:hAnsi="宋体"/>
                <w:color w:val="auto"/>
                <w:szCs w:val="24"/>
                <w:highlight w:val="none"/>
              </w:rPr>
              <w:t>4、支持调整医保费用与医保身份转换。</w:t>
            </w:r>
          </w:p>
          <w:p>
            <w:pPr>
              <w:pStyle w:val="130"/>
              <w:ind w:firstLine="0"/>
              <w:rPr>
                <w:rFonts w:ascii="宋体" w:hAnsi="宋体"/>
                <w:color w:val="auto"/>
                <w:szCs w:val="24"/>
                <w:highlight w:val="none"/>
              </w:rPr>
            </w:pPr>
            <w:r>
              <w:rPr>
                <w:rFonts w:hint="eastAsia" w:ascii="宋体" w:hAnsi="宋体"/>
                <w:color w:val="auto"/>
                <w:szCs w:val="24"/>
                <w:highlight w:val="none"/>
              </w:rPr>
              <w:t>审核驳回详情：</w:t>
            </w:r>
          </w:p>
          <w:p>
            <w:pPr>
              <w:pStyle w:val="130"/>
              <w:ind w:firstLine="0"/>
              <w:rPr>
                <w:rFonts w:ascii="宋体" w:hAnsi="宋体"/>
                <w:color w:val="auto"/>
                <w:szCs w:val="24"/>
                <w:highlight w:val="none"/>
              </w:rPr>
            </w:pPr>
            <w:r>
              <w:rPr>
                <w:rFonts w:hint="eastAsia" w:ascii="宋体" w:hAnsi="宋体"/>
                <w:color w:val="auto"/>
                <w:szCs w:val="24"/>
                <w:highlight w:val="none"/>
              </w:rPr>
              <w:t>1、支持床号、住院号、患者编号、证件号码等查询患者。</w:t>
            </w:r>
          </w:p>
          <w:p>
            <w:pPr>
              <w:pStyle w:val="130"/>
              <w:ind w:firstLine="0"/>
              <w:rPr>
                <w:rFonts w:ascii="宋体" w:hAnsi="宋体"/>
                <w:color w:val="auto"/>
                <w:szCs w:val="24"/>
                <w:highlight w:val="none"/>
              </w:rPr>
            </w:pPr>
            <w:r>
              <w:rPr>
                <w:rFonts w:hint="eastAsia" w:ascii="宋体" w:hAnsi="宋体"/>
                <w:color w:val="auto"/>
                <w:szCs w:val="24"/>
                <w:highlight w:val="none"/>
              </w:rPr>
              <w:t>2、支持患者的住院费用审核和住院医保审核驳回情况查询。</w:t>
            </w:r>
          </w:p>
          <w:p>
            <w:pPr>
              <w:pStyle w:val="130"/>
              <w:ind w:firstLine="0"/>
              <w:rPr>
                <w:rFonts w:ascii="宋体" w:hAnsi="宋体"/>
                <w:color w:val="auto"/>
                <w:szCs w:val="24"/>
                <w:highlight w:val="none"/>
              </w:rPr>
            </w:pPr>
            <w:r>
              <w:rPr>
                <w:rFonts w:hint="eastAsia" w:ascii="宋体" w:hAnsi="宋体"/>
                <w:color w:val="auto"/>
                <w:szCs w:val="24"/>
                <w:highlight w:val="none"/>
              </w:rPr>
              <w:t>3、支持查询患者费用审核驳回时间，驳回原因，驳回明细等信息。</w:t>
            </w:r>
          </w:p>
          <w:p>
            <w:pPr>
              <w:pStyle w:val="130"/>
              <w:ind w:firstLine="0"/>
              <w:rPr>
                <w:rFonts w:ascii="宋体" w:hAnsi="宋体"/>
                <w:b/>
                <w:color w:val="auto"/>
                <w:szCs w:val="24"/>
                <w:highlight w:val="none"/>
              </w:rPr>
            </w:pPr>
            <w:r>
              <w:rPr>
                <w:rFonts w:hint="eastAsia" w:ascii="宋体" w:hAnsi="宋体"/>
                <w:b/>
                <w:color w:val="auto"/>
                <w:szCs w:val="24"/>
                <w:highlight w:val="none"/>
              </w:rPr>
              <w:t>（6）住院结算</w:t>
            </w:r>
            <w:r>
              <w:rPr>
                <w:rFonts w:hint="eastAsia" w:ascii="宋体" w:hAnsi="宋体"/>
                <w:b/>
                <w:color w:val="auto"/>
                <w:szCs w:val="24"/>
                <w:highlight w:val="none"/>
              </w:rPr>
              <w:tab/>
            </w:r>
          </w:p>
          <w:p>
            <w:pPr>
              <w:pStyle w:val="130"/>
              <w:ind w:firstLine="0"/>
              <w:rPr>
                <w:rFonts w:ascii="宋体" w:hAnsi="宋体"/>
                <w:b/>
                <w:color w:val="auto"/>
                <w:szCs w:val="24"/>
                <w:highlight w:val="none"/>
              </w:rPr>
            </w:pPr>
            <w:r>
              <w:rPr>
                <w:rFonts w:hint="eastAsia" w:ascii="宋体" w:hAnsi="宋体"/>
                <w:b/>
                <w:color w:val="auto"/>
                <w:szCs w:val="24"/>
                <w:highlight w:val="none"/>
              </w:rPr>
              <w:t>住院结算：</w:t>
            </w:r>
          </w:p>
          <w:p>
            <w:pPr>
              <w:pStyle w:val="130"/>
              <w:ind w:firstLine="0"/>
              <w:rPr>
                <w:rFonts w:ascii="宋体" w:hAnsi="宋体"/>
                <w:color w:val="auto"/>
                <w:szCs w:val="24"/>
                <w:highlight w:val="none"/>
              </w:rPr>
            </w:pPr>
            <w:r>
              <w:rPr>
                <w:rFonts w:hint="eastAsia" w:ascii="宋体" w:hAnsi="宋体"/>
                <w:color w:val="auto"/>
                <w:szCs w:val="24"/>
                <w:highlight w:val="none"/>
              </w:rPr>
              <w:t>1、支持住院号、患者编号、证件号码等查询患者信息。</w:t>
            </w:r>
          </w:p>
          <w:p>
            <w:pPr>
              <w:pStyle w:val="130"/>
              <w:ind w:firstLine="0"/>
              <w:rPr>
                <w:rFonts w:ascii="宋体" w:hAnsi="宋体"/>
                <w:color w:val="auto"/>
                <w:szCs w:val="24"/>
                <w:highlight w:val="none"/>
              </w:rPr>
            </w:pPr>
            <w:r>
              <w:rPr>
                <w:rFonts w:hint="eastAsia" w:ascii="宋体" w:hAnsi="宋体"/>
                <w:color w:val="auto"/>
                <w:szCs w:val="24"/>
                <w:highlight w:val="none"/>
              </w:rPr>
              <w:t>2、支持结算审核与取消结算审核。</w:t>
            </w:r>
          </w:p>
          <w:p>
            <w:pPr>
              <w:pStyle w:val="130"/>
              <w:ind w:firstLine="0"/>
              <w:rPr>
                <w:rFonts w:ascii="宋体" w:hAnsi="宋体"/>
                <w:color w:val="auto"/>
                <w:szCs w:val="24"/>
                <w:highlight w:val="none"/>
              </w:rPr>
            </w:pPr>
            <w:r>
              <w:rPr>
                <w:rFonts w:hint="eastAsia" w:ascii="宋体" w:hAnsi="宋体"/>
                <w:color w:val="auto"/>
                <w:szCs w:val="24"/>
                <w:highlight w:val="none"/>
              </w:rPr>
              <w:t>3、支持调入结算项目。</w:t>
            </w:r>
          </w:p>
          <w:p>
            <w:pPr>
              <w:pStyle w:val="130"/>
              <w:ind w:firstLine="0"/>
              <w:rPr>
                <w:rFonts w:ascii="宋体" w:hAnsi="宋体"/>
                <w:color w:val="auto"/>
                <w:szCs w:val="24"/>
                <w:highlight w:val="none"/>
              </w:rPr>
            </w:pPr>
            <w:r>
              <w:rPr>
                <w:rFonts w:hint="eastAsia" w:ascii="宋体" w:hAnsi="宋体"/>
                <w:color w:val="auto"/>
                <w:szCs w:val="24"/>
                <w:highlight w:val="none"/>
              </w:rPr>
              <w:t>4、出院患者支持全部结算、取消结算，未出院患者支持中途结算。</w:t>
            </w:r>
          </w:p>
          <w:p>
            <w:pPr>
              <w:pStyle w:val="130"/>
              <w:ind w:firstLine="0"/>
              <w:rPr>
                <w:rFonts w:ascii="宋体" w:hAnsi="宋体"/>
                <w:color w:val="auto"/>
                <w:szCs w:val="24"/>
                <w:highlight w:val="none"/>
              </w:rPr>
            </w:pPr>
            <w:r>
              <w:rPr>
                <w:rFonts w:hint="eastAsia" w:ascii="宋体" w:hAnsi="宋体"/>
                <w:color w:val="auto"/>
                <w:szCs w:val="24"/>
                <w:highlight w:val="none"/>
              </w:rPr>
              <w:t>5、支持打印报表账单与打印细目。</w:t>
            </w:r>
          </w:p>
          <w:p>
            <w:pPr>
              <w:pStyle w:val="130"/>
              <w:ind w:firstLine="0"/>
              <w:rPr>
                <w:rFonts w:ascii="宋体" w:hAnsi="宋体"/>
                <w:color w:val="auto"/>
                <w:szCs w:val="24"/>
                <w:highlight w:val="none"/>
              </w:rPr>
            </w:pPr>
            <w:r>
              <w:rPr>
                <w:rFonts w:hint="eastAsia" w:ascii="宋体" w:hAnsi="宋体"/>
                <w:color w:val="auto"/>
                <w:szCs w:val="24"/>
                <w:highlight w:val="none"/>
              </w:rPr>
              <w:t>6、支持结算后自动打开住院首付款界面。</w:t>
            </w:r>
          </w:p>
          <w:p>
            <w:pPr>
              <w:pStyle w:val="130"/>
              <w:ind w:firstLine="0"/>
              <w:rPr>
                <w:rFonts w:ascii="宋体" w:hAnsi="宋体"/>
                <w:color w:val="auto"/>
                <w:szCs w:val="24"/>
                <w:highlight w:val="none"/>
              </w:rPr>
            </w:pPr>
            <w:r>
              <w:rPr>
                <w:rFonts w:hint="eastAsia" w:ascii="宋体" w:hAnsi="宋体"/>
                <w:color w:val="auto"/>
                <w:szCs w:val="24"/>
                <w:highlight w:val="none"/>
              </w:rPr>
              <w:t>7、支持查看细目帐页与历史总账。</w:t>
            </w:r>
          </w:p>
          <w:p>
            <w:pPr>
              <w:pStyle w:val="130"/>
              <w:ind w:firstLine="0"/>
              <w:rPr>
                <w:rFonts w:ascii="宋体" w:hAnsi="宋体"/>
                <w:b/>
                <w:color w:val="auto"/>
                <w:szCs w:val="24"/>
                <w:highlight w:val="none"/>
              </w:rPr>
            </w:pPr>
            <w:r>
              <w:rPr>
                <w:rFonts w:hint="eastAsia" w:ascii="宋体" w:hAnsi="宋体"/>
                <w:b/>
                <w:color w:val="auto"/>
                <w:szCs w:val="24"/>
                <w:highlight w:val="none"/>
              </w:rPr>
              <w:t>住院医保结算：</w:t>
            </w:r>
          </w:p>
          <w:p>
            <w:pPr>
              <w:pStyle w:val="130"/>
              <w:ind w:firstLine="0"/>
              <w:rPr>
                <w:rFonts w:ascii="宋体" w:hAnsi="宋体"/>
                <w:color w:val="auto"/>
                <w:szCs w:val="24"/>
                <w:highlight w:val="none"/>
              </w:rPr>
            </w:pPr>
            <w:r>
              <w:rPr>
                <w:rFonts w:hint="eastAsia" w:ascii="宋体" w:hAnsi="宋体"/>
                <w:color w:val="auto"/>
                <w:szCs w:val="24"/>
                <w:highlight w:val="none"/>
              </w:rPr>
              <w:t>1、支持住院号、患者编号、证件号码等查询患者信息。</w:t>
            </w:r>
          </w:p>
          <w:p>
            <w:pPr>
              <w:pStyle w:val="130"/>
              <w:ind w:firstLine="0"/>
              <w:rPr>
                <w:rFonts w:ascii="宋体" w:hAnsi="宋体"/>
                <w:color w:val="auto"/>
                <w:szCs w:val="24"/>
                <w:highlight w:val="none"/>
              </w:rPr>
            </w:pPr>
            <w:r>
              <w:rPr>
                <w:rFonts w:hint="eastAsia" w:ascii="宋体" w:hAnsi="宋体"/>
                <w:color w:val="auto"/>
                <w:szCs w:val="24"/>
                <w:highlight w:val="none"/>
              </w:rPr>
              <w:t>2、支持住院医保患者在此结算。</w:t>
            </w:r>
          </w:p>
          <w:p>
            <w:pPr>
              <w:pStyle w:val="130"/>
              <w:ind w:firstLine="0"/>
              <w:rPr>
                <w:rFonts w:ascii="宋体" w:hAnsi="宋体"/>
                <w:color w:val="auto"/>
                <w:szCs w:val="24"/>
                <w:highlight w:val="none"/>
              </w:rPr>
            </w:pPr>
            <w:r>
              <w:rPr>
                <w:rFonts w:hint="eastAsia" w:ascii="宋体" w:hAnsi="宋体"/>
                <w:color w:val="auto"/>
                <w:szCs w:val="24"/>
                <w:highlight w:val="none"/>
              </w:rPr>
              <w:t>3、支持调入可结算项目。</w:t>
            </w:r>
          </w:p>
          <w:p>
            <w:pPr>
              <w:pStyle w:val="130"/>
              <w:ind w:firstLine="0"/>
              <w:rPr>
                <w:rFonts w:ascii="宋体" w:hAnsi="宋体"/>
                <w:color w:val="auto"/>
                <w:szCs w:val="24"/>
                <w:highlight w:val="none"/>
              </w:rPr>
            </w:pPr>
            <w:r>
              <w:rPr>
                <w:rFonts w:hint="eastAsia" w:ascii="宋体" w:hAnsi="宋体"/>
                <w:color w:val="auto"/>
                <w:szCs w:val="24"/>
                <w:highlight w:val="none"/>
              </w:rPr>
              <w:t>4、支持结算审核与取消审核。</w:t>
            </w:r>
          </w:p>
          <w:p>
            <w:pPr>
              <w:pStyle w:val="130"/>
              <w:ind w:firstLine="0"/>
              <w:rPr>
                <w:rFonts w:ascii="宋体" w:hAnsi="宋体"/>
                <w:color w:val="auto"/>
                <w:szCs w:val="24"/>
                <w:highlight w:val="none"/>
              </w:rPr>
            </w:pPr>
            <w:r>
              <w:rPr>
                <w:rFonts w:hint="eastAsia" w:ascii="宋体" w:hAnsi="宋体"/>
                <w:color w:val="auto"/>
                <w:szCs w:val="24"/>
                <w:highlight w:val="none"/>
              </w:rPr>
              <w:t>5、支持明细上传与撤销。</w:t>
            </w:r>
          </w:p>
          <w:p>
            <w:pPr>
              <w:pStyle w:val="130"/>
              <w:ind w:firstLine="0"/>
              <w:rPr>
                <w:rFonts w:ascii="宋体" w:hAnsi="宋体"/>
                <w:color w:val="auto"/>
                <w:szCs w:val="24"/>
                <w:highlight w:val="none"/>
              </w:rPr>
            </w:pPr>
            <w:r>
              <w:rPr>
                <w:rFonts w:hint="eastAsia" w:ascii="宋体" w:hAnsi="宋体"/>
                <w:color w:val="auto"/>
                <w:szCs w:val="24"/>
                <w:highlight w:val="none"/>
              </w:rPr>
              <w:t>6、支持结算前预结算。</w:t>
            </w:r>
          </w:p>
          <w:p>
            <w:pPr>
              <w:pStyle w:val="130"/>
              <w:ind w:firstLine="0"/>
              <w:rPr>
                <w:rFonts w:ascii="宋体" w:hAnsi="宋体"/>
                <w:color w:val="auto"/>
                <w:szCs w:val="24"/>
                <w:highlight w:val="none"/>
              </w:rPr>
            </w:pPr>
            <w:r>
              <w:rPr>
                <w:rFonts w:hint="eastAsia" w:ascii="宋体" w:hAnsi="宋体"/>
                <w:color w:val="auto"/>
                <w:szCs w:val="24"/>
                <w:highlight w:val="none"/>
              </w:rPr>
              <w:t>7、支持出院登记与取消登记。</w:t>
            </w:r>
          </w:p>
          <w:p>
            <w:pPr>
              <w:pStyle w:val="130"/>
              <w:ind w:firstLine="0"/>
              <w:rPr>
                <w:rFonts w:ascii="宋体" w:hAnsi="宋体"/>
                <w:color w:val="auto"/>
                <w:szCs w:val="24"/>
                <w:highlight w:val="none"/>
              </w:rPr>
            </w:pPr>
            <w:r>
              <w:rPr>
                <w:rFonts w:hint="eastAsia" w:ascii="宋体" w:hAnsi="宋体"/>
                <w:color w:val="auto"/>
                <w:szCs w:val="24"/>
                <w:highlight w:val="none"/>
              </w:rPr>
              <w:t>8、支持结算、取消结算与结算重打。</w:t>
            </w:r>
          </w:p>
          <w:p>
            <w:pPr>
              <w:pStyle w:val="130"/>
              <w:ind w:firstLine="0"/>
              <w:rPr>
                <w:rFonts w:ascii="宋体" w:hAnsi="宋体"/>
                <w:color w:val="auto"/>
                <w:szCs w:val="24"/>
                <w:highlight w:val="none"/>
              </w:rPr>
            </w:pPr>
            <w:r>
              <w:rPr>
                <w:rFonts w:hint="eastAsia" w:ascii="宋体" w:hAnsi="宋体"/>
                <w:color w:val="auto"/>
                <w:szCs w:val="24"/>
                <w:highlight w:val="none"/>
              </w:rPr>
              <w:t>9、支持查看细目帐页与历史总帐。</w:t>
            </w:r>
          </w:p>
          <w:p>
            <w:pPr>
              <w:pStyle w:val="130"/>
              <w:ind w:firstLine="0"/>
              <w:rPr>
                <w:rFonts w:ascii="宋体" w:hAnsi="宋体"/>
                <w:b/>
                <w:color w:val="auto"/>
                <w:szCs w:val="24"/>
                <w:highlight w:val="none"/>
              </w:rPr>
            </w:pPr>
            <w:r>
              <w:rPr>
                <w:rFonts w:hint="eastAsia" w:ascii="宋体" w:hAnsi="宋体"/>
                <w:b/>
                <w:color w:val="auto"/>
                <w:szCs w:val="24"/>
                <w:highlight w:val="none"/>
              </w:rPr>
              <w:t>欠款补缴结算：</w:t>
            </w:r>
          </w:p>
          <w:p>
            <w:pPr>
              <w:pStyle w:val="130"/>
              <w:ind w:firstLine="0"/>
              <w:rPr>
                <w:rFonts w:ascii="宋体" w:hAnsi="宋体"/>
                <w:color w:val="auto"/>
                <w:szCs w:val="24"/>
                <w:highlight w:val="none"/>
              </w:rPr>
            </w:pPr>
            <w:r>
              <w:rPr>
                <w:rFonts w:hint="eastAsia" w:ascii="宋体" w:hAnsi="宋体"/>
                <w:color w:val="auto"/>
                <w:szCs w:val="24"/>
                <w:highlight w:val="none"/>
              </w:rPr>
              <w:t>1、支持住院号、患者编号、证件号码等查询患者信息。</w:t>
            </w:r>
          </w:p>
          <w:p>
            <w:pPr>
              <w:pStyle w:val="130"/>
              <w:ind w:firstLine="0"/>
              <w:rPr>
                <w:rFonts w:ascii="宋体" w:hAnsi="宋体"/>
                <w:color w:val="auto"/>
                <w:szCs w:val="24"/>
                <w:highlight w:val="none"/>
              </w:rPr>
            </w:pPr>
            <w:r>
              <w:rPr>
                <w:rFonts w:hint="eastAsia" w:ascii="宋体" w:hAnsi="宋体"/>
                <w:color w:val="auto"/>
                <w:szCs w:val="24"/>
                <w:highlight w:val="none"/>
              </w:rPr>
              <w:t>2、支持选择多种支付方式。</w:t>
            </w:r>
          </w:p>
          <w:p>
            <w:pPr>
              <w:pStyle w:val="130"/>
              <w:ind w:firstLine="0"/>
              <w:rPr>
                <w:rFonts w:ascii="宋体" w:hAnsi="宋体"/>
                <w:color w:val="auto"/>
                <w:szCs w:val="24"/>
                <w:highlight w:val="none"/>
              </w:rPr>
            </w:pPr>
            <w:r>
              <w:rPr>
                <w:rFonts w:hint="eastAsia" w:ascii="宋体" w:hAnsi="宋体"/>
                <w:color w:val="auto"/>
                <w:szCs w:val="24"/>
                <w:highlight w:val="none"/>
              </w:rPr>
              <w:t>3、支持查看欠款金额、余额、付款合计。</w:t>
            </w:r>
          </w:p>
          <w:p>
            <w:pPr>
              <w:pStyle w:val="130"/>
              <w:ind w:firstLine="0"/>
              <w:rPr>
                <w:rFonts w:ascii="宋体" w:hAnsi="宋体"/>
                <w:color w:val="auto"/>
                <w:szCs w:val="24"/>
                <w:highlight w:val="none"/>
              </w:rPr>
            </w:pPr>
            <w:r>
              <w:rPr>
                <w:rFonts w:hint="eastAsia" w:ascii="宋体" w:hAnsi="宋体"/>
                <w:b/>
                <w:color w:val="auto"/>
                <w:szCs w:val="24"/>
                <w:highlight w:val="none"/>
              </w:rPr>
              <w:t>住院催结算：</w:t>
            </w:r>
            <w:r>
              <w:rPr>
                <w:rFonts w:hint="eastAsia" w:ascii="宋体" w:hAnsi="宋体"/>
                <w:color w:val="auto"/>
                <w:szCs w:val="24"/>
                <w:highlight w:val="none"/>
              </w:rPr>
              <w:t>支持当前病区患者当前押金、当前费用、押金余额等查询。</w:t>
            </w:r>
          </w:p>
          <w:p>
            <w:pPr>
              <w:pStyle w:val="130"/>
              <w:ind w:firstLine="0"/>
              <w:rPr>
                <w:rFonts w:ascii="宋体" w:hAnsi="宋体"/>
                <w:b/>
                <w:color w:val="auto"/>
                <w:szCs w:val="24"/>
                <w:highlight w:val="none"/>
              </w:rPr>
            </w:pPr>
            <w:r>
              <w:rPr>
                <w:rFonts w:hint="eastAsia" w:ascii="宋体" w:hAnsi="宋体"/>
                <w:b/>
                <w:color w:val="auto"/>
                <w:szCs w:val="24"/>
                <w:highlight w:val="none"/>
              </w:rPr>
              <w:t>住院退费：</w:t>
            </w:r>
          </w:p>
          <w:p>
            <w:pPr>
              <w:pStyle w:val="130"/>
              <w:ind w:firstLine="0"/>
              <w:rPr>
                <w:rFonts w:ascii="宋体" w:hAnsi="宋体"/>
                <w:color w:val="auto"/>
                <w:szCs w:val="24"/>
                <w:highlight w:val="none"/>
              </w:rPr>
            </w:pPr>
            <w:r>
              <w:rPr>
                <w:rFonts w:hint="eastAsia" w:ascii="宋体" w:hAnsi="宋体"/>
                <w:color w:val="auto"/>
                <w:szCs w:val="24"/>
                <w:highlight w:val="none"/>
              </w:rPr>
              <w:t>1、支持读医保卡查询患者信息。支持住院号、患者编号、证件号码等查询患者信息。</w:t>
            </w:r>
          </w:p>
          <w:p>
            <w:pPr>
              <w:pStyle w:val="130"/>
              <w:ind w:firstLine="0"/>
              <w:rPr>
                <w:rFonts w:ascii="宋体" w:hAnsi="宋体"/>
                <w:color w:val="auto"/>
                <w:szCs w:val="24"/>
                <w:highlight w:val="none"/>
              </w:rPr>
            </w:pPr>
            <w:r>
              <w:rPr>
                <w:rFonts w:hint="eastAsia" w:ascii="宋体" w:hAnsi="宋体"/>
                <w:color w:val="auto"/>
                <w:szCs w:val="24"/>
                <w:highlight w:val="none"/>
              </w:rPr>
              <w:t>2、支持退费重算与取消出纳。</w:t>
            </w:r>
          </w:p>
          <w:p>
            <w:pPr>
              <w:pStyle w:val="130"/>
              <w:ind w:firstLine="0"/>
              <w:rPr>
                <w:rFonts w:ascii="宋体" w:hAnsi="宋体"/>
                <w:color w:val="auto"/>
                <w:szCs w:val="24"/>
                <w:highlight w:val="none"/>
              </w:rPr>
            </w:pPr>
            <w:r>
              <w:rPr>
                <w:rFonts w:hint="eastAsia" w:ascii="宋体" w:hAnsi="宋体"/>
                <w:color w:val="auto"/>
                <w:szCs w:val="24"/>
                <w:highlight w:val="none"/>
              </w:rPr>
              <w:t>3、支持查看各项目下的费用。</w:t>
            </w:r>
          </w:p>
          <w:p>
            <w:pPr>
              <w:pStyle w:val="130"/>
              <w:ind w:firstLine="0"/>
              <w:rPr>
                <w:rFonts w:ascii="宋体" w:hAnsi="宋体"/>
                <w:color w:val="auto"/>
                <w:szCs w:val="24"/>
                <w:highlight w:val="none"/>
              </w:rPr>
            </w:pPr>
            <w:r>
              <w:rPr>
                <w:rFonts w:hint="eastAsia" w:ascii="宋体" w:hAnsi="宋体"/>
                <w:color w:val="auto"/>
                <w:szCs w:val="24"/>
                <w:highlight w:val="none"/>
              </w:rPr>
              <w:t>4、支持重打发票。</w:t>
            </w:r>
          </w:p>
          <w:p>
            <w:pPr>
              <w:pStyle w:val="130"/>
              <w:ind w:firstLine="0"/>
              <w:rPr>
                <w:rFonts w:ascii="宋体" w:hAnsi="宋体"/>
                <w:color w:val="auto"/>
                <w:szCs w:val="24"/>
                <w:highlight w:val="none"/>
              </w:rPr>
            </w:pPr>
            <w:r>
              <w:rPr>
                <w:rFonts w:hint="eastAsia" w:ascii="宋体" w:hAnsi="宋体"/>
                <w:color w:val="auto"/>
                <w:szCs w:val="24"/>
                <w:highlight w:val="none"/>
              </w:rPr>
              <w:t>5、退款方式支持按原支付方式退款。</w:t>
            </w:r>
          </w:p>
          <w:p>
            <w:pPr>
              <w:pStyle w:val="130"/>
              <w:ind w:firstLine="0"/>
              <w:rPr>
                <w:rFonts w:ascii="宋体" w:hAnsi="宋体"/>
                <w:b/>
                <w:color w:val="auto"/>
                <w:szCs w:val="24"/>
                <w:highlight w:val="none"/>
              </w:rPr>
            </w:pPr>
            <w:r>
              <w:rPr>
                <w:rFonts w:hint="eastAsia" w:ascii="宋体" w:hAnsi="宋体"/>
                <w:b/>
                <w:color w:val="auto"/>
                <w:szCs w:val="24"/>
                <w:highlight w:val="none"/>
              </w:rPr>
              <w:t>医保结算清单上传：</w:t>
            </w:r>
          </w:p>
          <w:p>
            <w:pPr>
              <w:pStyle w:val="130"/>
              <w:ind w:firstLine="0"/>
              <w:rPr>
                <w:rFonts w:ascii="宋体" w:hAnsi="宋体"/>
                <w:color w:val="auto"/>
                <w:szCs w:val="24"/>
                <w:highlight w:val="none"/>
              </w:rPr>
            </w:pPr>
            <w:r>
              <w:rPr>
                <w:rFonts w:hint="eastAsia" w:ascii="宋体" w:hAnsi="宋体"/>
                <w:color w:val="auto"/>
                <w:szCs w:val="24"/>
                <w:highlight w:val="none"/>
              </w:rPr>
              <w:t>1、支持按照清单流水号、结算时间、上传时间、就诊类型、患者id、上传标志快速查询医保结算上传的信息。</w:t>
            </w:r>
          </w:p>
          <w:p>
            <w:pPr>
              <w:pStyle w:val="130"/>
              <w:ind w:firstLine="0"/>
              <w:rPr>
                <w:rFonts w:ascii="宋体" w:hAnsi="宋体"/>
                <w:color w:val="auto"/>
                <w:szCs w:val="24"/>
                <w:highlight w:val="none"/>
              </w:rPr>
            </w:pPr>
            <w:r>
              <w:rPr>
                <w:rFonts w:hint="eastAsia" w:ascii="宋体" w:hAnsi="宋体"/>
                <w:color w:val="auto"/>
                <w:szCs w:val="24"/>
                <w:highlight w:val="none"/>
              </w:rPr>
              <w:t>2、支持查询出医保结算清单上传患者，展示患者就诊基本信息、门诊特慢病、住院诊断、手术操作、重症监护、分级护理、收费项目、付款记录、上传医保清单数据等信息。</w:t>
            </w:r>
          </w:p>
          <w:p>
            <w:pPr>
              <w:pStyle w:val="130"/>
              <w:ind w:firstLine="0"/>
              <w:rPr>
                <w:rFonts w:ascii="宋体" w:hAnsi="宋体"/>
                <w:color w:val="auto"/>
                <w:szCs w:val="24"/>
                <w:highlight w:val="none"/>
              </w:rPr>
            </w:pPr>
            <w:r>
              <w:rPr>
                <w:rFonts w:hint="eastAsia" w:ascii="宋体" w:hAnsi="宋体"/>
                <w:color w:val="auto"/>
                <w:szCs w:val="24"/>
                <w:highlight w:val="none"/>
              </w:rPr>
              <w:t>3、支持医保结算清单上传和清单打印。</w:t>
            </w:r>
          </w:p>
          <w:p>
            <w:pPr>
              <w:pStyle w:val="130"/>
              <w:ind w:firstLine="0"/>
              <w:rPr>
                <w:rFonts w:ascii="宋体" w:hAnsi="宋体"/>
                <w:b/>
                <w:color w:val="auto"/>
                <w:szCs w:val="24"/>
                <w:highlight w:val="none"/>
              </w:rPr>
            </w:pPr>
            <w:r>
              <w:rPr>
                <w:rFonts w:hint="eastAsia" w:ascii="宋体" w:hAnsi="宋体"/>
                <w:b/>
                <w:color w:val="auto"/>
                <w:szCs w:val="24"/>
                <w:highlight w:val="none"/>
              </w:rPr>
              <w:t>（7）查询</w:t>
            </w:r>
          </w:p>
          <w:p>
            <w:pPr>
              <w:pStyle w:val="130"/>
              <w:ind w:firstLine="0"/>
              <w:rPr>
                <w:rFonts w:ascii="宋体" w:hAnsi="宋体"/>
                <w:b/>
                <w:color w:val="auto"/>
                <w:szCs w:val="24"/>
                <w:highlight w:val="none"/>
              </w:rPr>
            </w:pPr>
            <w:r>
              <w:rPr>
                <w:rFonts w:hint="eastAsia" w:ascii="宋体" w:hAnsi="宋体"/>
                <w:b/>
                <w:color w:val="auto"/>
                <w:szCs w:val="24"/>
                <w:highlight w:val="none"/>
              </w:rPr>
              <w:t>住院费用综合查询：</w:t>
            </w:r>
          </w:p>
          <w:p>
            <w:pPr>
              <w:pStyle w:val="130"/>
              <w:ind w:firstLine="0"/>
              <w:rPr>
                <w:rFonts w:ascii="宋体" w:hAnsi="宋体"/>
                <w:color w:val="auto"/>
                <w:szCs w:val="24"/>
                <w:highlight w:val="none"/>
              </w:rPr>
            </w:pPr>
            <w:r>
              <w:rPr>
                <w:rFonts w:hint="eastAsia" w:ascii="宋体" w:hAnsi="宋体"/>
                <w:color w:val="auto"/>
                <w:szCs w:val="24"/>
                <w:highlight w:val="none"/>
              </w:rPr>
              <w:t>1、支持住院号、患者编号、证件号码等查询患者信息。</w:t>
            </w:r>
          </w:p>
          <w:p>
            <w:pPr>
              <w:pStyle w:val="130"/>
              <w:ind w:firstLine="0"/>
              <w:rPr>
                <w:rFonts w:ascii="宋体" w:hAnsi="宋体"/>
                <w:color w:val="auto"/>
                <w:szCs w:val="24"/>
                <w:highlight w:val="none"/>
              </w:rPr>
            </w:pPr>
            <w:r>
              <w:rPr>
                <w:rFonts w:hint="eastAsia" w:ascii="宋体" w:hAnsi="宋体"/>
                <w:color w:val="auto"/>
                <w:szCs w:val="24"/>
                <w:highlight w:val="none"/>
              </w:rPr>
              <w:t>2、支持查看医嘱信息详情。</w:t>
            </w:r>
          </w:p>
          <w:p>
            <w:pPr>
              <w:pStyle w:val="130"/>
              <w:ind w:firstLine="0"/>
              <w:rPr>
                <w:rFonts w:ascii="宋体" w:hAnsi="宋体"/>
                <w:color w:val="auto"/>
                <w:szCs w:val="24"/>
                <w:highlight w:val="none"/>
              </w:rPr>
            </w:pPr>
            <w:r>
              <w:rPr>
                <w:rFonts w:hint="eastAsia" w:ascii="宋体" w:hAnsi="宋体"/>
                <w:color w:val="auto"/>
                <w:szCs w:val="24"/>
                <w:highlight w:val="none"/>
              </w:rPr>
              <w:t>3、支持费用查询账单项目，已结费用里的账单项目、费用明细、发票明细、（结算）交款明细、就诊预交金明细流水、医保分摊明细。</w:t>
            </w:r>
          </w:p>
          <w:p>
            <w:pPr>
              <w:pStyle w:val="130"/>
              <w:ind w:firstLine="0"/>
              <w:rPr>
                <w:rFonts w:ascii="宋体" w:hAnsi="宋体"/>
                <w:color w:val="auto"/>
                <w:szCs w:val="24"/>
                <w:highlight w:val="none"/>
              </w:rPr>
            </w:pPr>
            <w:r>
              <w:rPr>
                <w:rFonts w:hint="eastAsia" w:ascii="宋体" w:hAnsi="宋体"/>
                <w:color w:val="auto"/>
                <w:szCs w:val="24"/>
                <w:highlight w:val="none"/>
              </w:rPr>
              <w:t>4、支持未结费用详情信息包含账单明细、费用明细、就诊预交金明细流水。</w:t>
            </w:r>
          </w:p>
          <w:p>
            <w:pPr>
              <w:pStyle w:val="130"/>
              <w:ind w:firstLine="0"/>
              <w:rPr>
                <w:rFonts w:ascii="宋体" w:hAnsi="宋体"/>
                <w:b/>
                <w:color w:val="auto"/>
                <w:szCs w:val="24"/>
                <w:highlight w:val="none"/>
              </w:rPr>
            </w:pPr>
            <w:r>
              <w:rPr>
                <w:rFonts w:hint="eastAsia" w:ascii="宋体" w:hAnsi="宋体"/>
                <w:b/>
                <w:color w:val="auto"/>
                <w:szCs w:val="24"/>
                <w:highlight w:val="none"/>
              </w:rPr>
              <w:t>住院费用清单：</w:t>
            </w:r>
          </w:p>
          <w:p>
            <w:pPr>
              <w:pStyle w:val="130"/>
              <w:ind w:firstLine="0"/>
              <w:rPr>
                <w:rFonts w:ascii="宋体" w:hAnsi="宋体"/>
                <w:color w:val="auto"/>
                <w:szCs w:val="24"/>
                <w:highlight w:val="none"/>
              </w:rPr>
            </w:pPr>
            <w:r>
              <w:rPr>
                <w:rFonts w:hint="eastAsia" w:ascii="宋体" w:hAnsi="宋体"/>
                <w:color w:val="auto"/>
                <w:szCs w:val="24"/>
                <w:highlight w:val="none"/>
              </w:rPr>
              <w:t>1、支持查看患者住院费用明细，显示每个项目名称下单价、规格、数量、开单科室、执行科室。</w:t>
            </w:r>
          </w:p>
          <w:p>
            <w:pPr>
              <w:pStyle w:val="130"/>
              <w:ind w:firstLine="0"/>
              <w:rPr>
                <w:rFonts w:ascii="宋体" w:hAnsi="宋体"/>
                <w:color w:val="auto"/>
                <w:szCs w:val="24"/>
                <w:highlight w:val="none"/>
              </w:rPr>
            </w:pPr>
            <w:r>
              <w:rPr>
                <w:rFonts w:hint="eastAsia" w:ascii="宋体" w:hAnsi="宋体"/>
                <w:color w:val="auto"/>
                <w:szCs w:val="24"/>
                <w:highlight w:val="none"/>
              </w:rPr>
              <w:t>2、支持查看费用清单并打印。</w:t>
            </w:r>
          </w:p>
          <w:p>
            <w:pPr>
              <w:pStyle w:val="130"/>
              <w:ind w:firstLine="0"/>
              <w:rPr>
                <w:rFonts w:ascii="宋体" w:hAnsi="宋体"/>
                <w:b/>
                <w:color w:val="auto"/>
                <w:szCs w:val="24"/>
                <w:highlight w:val="none"/>
              </w:rPr>
            </w:pPr>
            <w:r>
              <w:rPr>
                <w:rFonts w:hint="eastAsia" w:ascii="宋体" w:hAnsi="宋体"/>
                <w:b/>
                <w:color w:val="auto"/>
                <w:szCs w:val="24"/>
                <w:highlight w:val="none"/>
              </w:rPr>
              <w:t>一日费用清单：</w:t>
            </w:r>
          </w:p>
          <w:p>
            <w:pPr>
              <w:pStyle w:val="130"/>
              <w:ind w:firstLine="0"/>
              <w:rPr>
                <w:rFonts w:ascii="宋体" w:hAnsi="宋体"/>
                <w:color w:val="auto"/>
                <w:szCs w:val="24"/>
                <w:highlight w:val="none"/>
              </w:rPr>
            </w:pPr>
            <w:r>
              <w:rPr>
                <w:rFonts w:hint="eastAsia" w:ascii="宋体" w:hAnsi="宋体"/>
                <w:color w:val="auto"/>
                <w:szCs w:val="24"/>
                <w:highlight w:val="none"/>
              </w:rPr>
              <w:t>1、支持按账单项汇总，项目明细方式显示，支持按时间参数进行筛选。</w:t>
            </w:r>
          </w:p>
          <w:p>
            <w:pPr>
              <w:pStyle w:val="130"/>
              <w:ind w:firstLine="0"/>
              <w:rPr>
                <w:rFonts w:ascii="宋体" w:hAnsi="宋体"/>
                <w:color w:val="auto"/>
                <w:szCs w:val="24"/>
                <w:highlight w:val="none"/>
              </w:rPr>
            </w:pPr>
            <w:r>
              <w:rPr>
                <w:rFonts w:hint="eastAsia" w:ascii="宋体" w:hAnsi="宋体"/>
                <w:color w:val="auto"/>
                <w:szCs w:val="24"/>
                <w:highlight w:val="none"/>
              </w:rPr>
              <w:t>2、支持打印与批量打印。</w:t>
            </w:r>
          </w:p>
          <w:p>
            <w:pPr>
              <w:pStyle w:val="130"/>
              <w:ind w:firstLine="0"/>
              <w:rPr>
                <w:rFonts w:ascii="宋体" w:hAnsi="宋体"/>
                <w:b/>
                <w:color w:val="auto"/>
                <w:szCs w:val="24"/>
                <w:highlight w:val="none"/>
              </w:rPr>
            </w:pPr>
            <w:r>
              <w:rPr>
                <w:rFonts w:hint="eastAsia" w:ascii="宋体" w:hAnsi="宋体"/>
                <w:b/>
                <w:color w:val="auto"/>
                <w:szCs w:val="24"/>
                <w:highlight w:val="none"/>
              </w:rPr>
              <w:t>住院患者费用查询：</w:t>
            </w:r>
          </w:p>
          <w:p>
            <w:pPr>
              <w:pStyle w:val="130"/>
              <w:ind w:firstLine="0"/>
              <w:rPr>
                <w:rFonts w:ascii="宋体" w:hAnsi="宋体"/>
                <w:color w:val="auto"/>
                <w:szCs w:val="24"/>
                <w:highlight w:val="none"/>
              </w:rPr>
            </w:pPr>
            <w:r>
              <w:rPr>
                <w:rFonts w:hint="eastAsia" w:ascii="宋体" w:hAnsi="宋体"/>
                <w:color w:val="auto"/>
                <w:szCs w:val="24"/>
                <w:highlight w:val="none"/>
              </w:rPr>
              <w:t>1、支持住院号、患者编号、证件号码等查询患者信息。</w:t>
            </w:r>
          </w:p>
          <w:p>
            <w:pPr>
              <w:pStyle w:val="130"/>
              <w:ind w:firstLine="0"/>
              <w:rPr>
                <w:rFonts w:ascii="宋体" w:hAnsi="宋体"/>
                <w:color w:val="auto"/>
                <w:szCs w:val="24"/>
                <w:highlight w:val="none"/>
              </w:rPr>
            </w:pPr>
            <w:r>
              <w:rPr>
                <w:rFonts w:hint="eastAsia" w:ascii="宋体" w:hAnsi="宋体"/>
                <w:color w:val="auto"/>
                <w:szCs w:val="24"/>
                <w:highlight w:val="none"/>
              </w:rPr>
              <w:t>2、支持查看在院患者、出院患者。</w:t>
            </w:r>
          </w:p>
          <w:p>
            <w:pPr>
              <w:pStyle w:val="130"/>
              <w:ind w:firstLine="0"/>
              <w:rPr>
                <w:rFonts w:ascii="宋体" w:hAnsi="宋体"/>
                <w:color w:val="auto"/>
                <w:szCs w:val="24"/>
                <w:highlight w:val="none"/>
              </w:rPr>
            </w:pPr>
            <w:r>
              <w:rPr>
                <w:rFonts w:hint="eastAsia" w:ascii="宋体" w:hAnsi="宋体"/>
                <w:color w:val="auto"/>
                <w:szCs w:val="24"/>
                <w:highlight w:val="none"/>
              </w:rPr>
              <w:t>3、支持查看某个患者的预交金明细、账单明细、费用明细、医嘱计价、日清单、费用清单。</w:t>
            </w:r>
          </w:p>
          <w:p>
            <w:pPr>
              <w:pStyle w:val="130"/>
              <w:ind w:firstLine="0"/>
              <w:rPr>
                <w:rFonts w:ascii="宋体" w:hAnsi="宋体"/>
                <w:b/>
                <w:color w:val="auto"/>
                <w:szCs w:val="24"/>
                <w:highlight w:val="none"/>
              </w:rPr>
            </w:pPr>
            <w:r>
              <w:rPr>
                <w:rFonts w:hint="eastAsia" w:ascii="宋体" w:hAnsi="宋体"/>
                <w:b/>
                <w:color w:val="auto"/>
                <w:szCs w:val="24"/>
                <w:highlight w:val="none"/>
              </w:rPr>
              <w:t>欠款结算查询：</w:t>
            </w:r>
          </w:p>
          <w:p>
            <w:pPr>
              <w:pStyle w:val="130"/>
              <w:ind w:firstLine="0"/>
              <w:rPr>
                <w:rFonts w:ascii="宋体" w:hAnsi="宋体"/>
                <w:color w:val="auto"/>
                <w:szCs w:val="24"/>
                <w:highlight w:val="none"/>
              </w:rPr>
            </w:pPr>
            <w:r>
              <w:rPr>
                <w:rFonts w:hint="eastAsia" w:ascii="宋体" w:hAnsi="宋体"/>
                <w:color w:val="auto"/>
                <w:szCs w:val="24"/>
                <w:highlight w:val="none"/>
              </w:rPr>
              <w:t>1、支持按照条件查询欠款结算的患者信息。</w:t>
            </w:r>
          </w:p>
          <w:p>
            <w:pPr>
              <w:pStyle w:val="130"/>
              <w:ind w:firstLine="0"/>
              <w:rPr>
                <w:rFonts w:ascii="宋体" w:hAnsi="宋体"/>
                <w:color w:val="auto"/>
                <w:szCs w:val="24"/>
                <w:highlight w:val="none"/>
              </w:rPr>
            </w:pPr>
            <w:r>
              <w:rPr>
                <w:rFonts w:hint="eastAsia" w:ascii="宋体" w:hAnsi="宋体"/>
                <w:color w:val="auto"/>
                <w:szCs w:val="24"/>
                <w:highlight w:val="none"/>
              </w:rPr>
              <w:t>2、支持欠款结算的信息进行打印与导出。</w:t>
            </w:r>
          </w:p>
          <w:p>
            <w:pPr>
              <w:pStyle w:val="130"/>
              <w:ind w:firstLine="0"/>
              <w:rPr>
                <w:rFonts w:ascii="宋体" w:hAnsi="宋体"/>
                <w:b/>
                <w:color w:val="auto"/>
                <w:szCs w:val="24"/>
                <w:highlight w:val="none"/>
              </w:rPr>
            </w:pPr>
            <w:r>
              <w:rPr>
                <w:rFonts w:hint="eastAsia" w:ascii="宋体" w:hAnsi="宋体"/>
                <w:b/>
                <w:color w:val="auto"/>
                <w:szCs w:val="24"/>
                <w:highlight w:val="none"/>
              </w:rPr>
              <w:t>减免患者信息查询：</w:t>
            </w:r>
          </w:p>
          <w:p>
            <w:pPr>
              <w:pStyle w:val="130"/>
              <w:ind w:firstLine="0"/>
              <w:rPr>
                <w:rFonts w:ascii="宋体" w:hAnsi="宋体"/>
                <w:color w:val="auto"/>
                <w:szCs w:val="24"/>
                <w:highlight w:val="none"/>
              </w:rPr>
            </w:pPr>
            <w:r>
              <w:rPr>
                <w:rFonts w:hint="eastAsia" w:ascii="宋体" w:hAnsi="宋体"/>
                <w:color w:val="auto"/>
                <w:szCs w:val="24"/>
                <w:highlight w:val="none"/>
              </w:rPr>
              <w:t>1、支持按照条件查询出减免患者的信息，减免金额，操作时间等。</w:t>
            </w:r>
          </w:p>
          <w:p>
            <w:pPr>
              <w:pStyle w:val="130"/>
              <w:ind w:firstLine="0"/>
              <w:rPr>
                <w:rFonts w:ascii="宋体" w:hAnsi="宋体"/>
                <w:color w:val="auto"/>
                <w:szCs w:val="24"/>
                <w:highlight w:val="none"/>
              </w:rPr>
            </w:pPr>
            <w:r>
              <w:rPr>
                <w:rFonts w:hint="eastAsia" w:ascii="宋体" w:hAnsi="宋体"/>
                <w:color w:val="auto"/>
                <w:szCs w:val="24"/>
                <w:highlight w:val="none"/>
              </w:rPr>
              <w:t>2、支持对减免患者的信息进行打印与导出。</w:t>
            </w:r>
          </w:p>
          <w:p>
            <w:pPr>
              <w:pStyle w:val="130"/>
              <w:ind w:firstLine="0"/>
              <w:rPr>
                <w:rFonts w:ascii="宋体" w:hAnsi="宋体"/>
                <w:b/>
                <w:color w:val="auto"/>
                <w:szCs w:val="24"/>
                <w:highlight w:val="none"/>
              </w:rPr>
            </w:pPr>
            <w:r>
              <w:rPr>
                <w:rFonts w:hint="eastAsia" w:ascii="宋体" w:hAnsi="宋体"/>
                <w:b/>
                <w:color w:val="auto"/>
                <w:szCs w:val="24"/>
                <w:highlight w:val="none"/>
              </w:rPr>
              <w:t>结算审核查询：</w:t>
            </w:r>
          </w:p>
          <w:p>
            <w:pPr>
              <w:pStyle w:val="130"/>
              <w:ind w:firstLine="0"/>
              <w:rPr>
                <w:rFonts w:ascii="宋体" w:hAnsi="宋体"/>
                <w:color w:val="auto"/>
                <w:szCs w:val="24"/>
                <w:highlight w:val="none"/>
              </w:rPr>
            </w:pPr>
            <w:r>
              <w:rPr>
                <w:rFonts w:hint="eastAsia" w:ascii="宋体" w:hAnsi="宋体"/>
                <w:color w:val="auto"/>
                <w:szCs w:val="24"/>
                <w:highlight w:val="none"/>
              </w:rPr>
              <w:t>1、支持操作员、患者信息、就诊科室、就诊病区、审核分类、审核状态快速查询。</w:t>
            </w:r>
          </w:p>
          <w:p>
            <w:pPr>
              <w:pStyle w:val="130"/>
              <w:ind w:firstLine="0"/>
              <w:rPr>
                <w:rFonts w:ascii="宋体" w:hAnsi="宋体"/>
                <w:color w:val="auto"/>
                <w:szCs w:val="24"/>
                <w:highlight w:val="none"/>
              </w:rPr>
            </w:pPr>
            <w:r>
              <w:rPr>
                <w:rFonts w:hint="eastAsia" w:ascii="宋体" w:hAnsi="宋体"/>
                <w:color w:val="auto"/>
                <w:szCs w:val="24"/>
                <w:highlight w:val="none"/>
              </w:rPr>
              <w:t>2、支持结算审核查询按患者展示和按审核结果展示2种情况。</w:t>
            </w:r>
          </w:p>
          <w:p>
            <w:pPr>
              <w:pStyle w:val="130"/>
              <w:ind w:firstLine="0"/>
              <w:rPr>
                <w:rFonts w:ascii="宋体" w:hAnsi="宋体"/>
                <w:color w:val="auto"/>
                <w:szCs w:val="24"/>
                <w:highlight w:val="none"/>
              </w:rPr>
            </w:pPr>
            <w:r>
              <w:rPr>
                <w:rFonts w:hint="eastAsia" w:ascii="宋体" w:hAnsi="宋体"/>
                <w:color w:val="auto"/>
                <w:szCs w:val="24"/>
                <w:highlight w:val="none"/>
              </w:rPr>
              <w:t>3、支持每次审核结果和记录，驳回审核会展示驳回原因与驳回的记账明细。</w:t>
            </w:r>
          </w:p>
          <w:p>
            <w:pPr>
              <w:pStyle w:val="130"/>
              <w:ind w:firstLine="0"/>
              <w:rPr>
                <w:rFonts w:ascii="宋体" w:hAnsi="宋体"/>
                <w:b/>
                <w:color w:val="auto"/>
                <w:szCs w:val="24"/>
                <w:highlight w:val="none"/>
              </w:rPr>
            </w:pPr>
            <w:r>
              <w:rPr>
                <w:rFonts w:hint="eastAsia" w:ascii="宋体" w:hAnsi="宋体"/>
                <w:b/>
                <w:color w:val="auto"/>
                <w:szCs w:val="24"/>
                <w:highlight w:val="none"/>
              </w:rPr>
              <w:t>住院患者医嘱费用查询：</w:t>
            </w:r>
          </w:p>
          <w:p>
            <w:pPr>
              <w:pStyle w:val="130"/>
              <w:ind w:firstLine="0"/>
              <w:rPr>
                <w:rFonts w:ascii="宋体" w:hAnsi="宋体"/>
                <w:color w:val="auto"/>
                <w:szCs w:val="24"/>
                <w:highlight w:val="none"/>
              </w:rPr>
            </w:pPr>
            <w:r>
              <w:rPr>
                <w:rFonts w:hint="eastAsia" w:ascii="宋体" w:hAnsi="宋体"/>
                <w:color w:val="auto"/>
                <w:szCs w:val="24"/>
                <w:highlight w:val="none"/>
              </w:rPr>
              <w:t>1、支持住院号、患者编号、证件号码等查询患者信息。</w:t>
            </w:r>
          </w:p>
          <w:p>
            <w:pPr>
              <w:pStyle w:val="130"/>
              <w:ind w:firstLine="0"/>
              <w:rPr>
                <w:rFonts w:ascii="宋体" w:hAnsi="宋体"/>
                <w:color w:val="auto"/>
                <w:szCs w:val="24"/>
                <w:highlight w:val="none"/>
              </w:rPr>
            </w:pPr>
            <w:r>
              <w:rPr>
                <w:rFonts w:hint="eastAsia" w:ascii="宋体" w:hAnsi="宋体"/>
                <w:color w:val="auto"/>
                <w:szCs w:val="24"/>
                <w:highlight w:val="none"/>
              </w:rPr>
              <w:t>2、支持查看在院患者、出院患者。</w:t>
            </w:r>
          </w:p>
          <w:p>
            <w:pPr>
              <w:pStyle w:val="130"/>
              <w:ind w:firstLine="0"/>
              <w:rPr>
                <w:rFonts w:ascii="宋体" w:hAnsi="宋体"/>
                <w:color w:val="auto"/>
                <w:szCs w:val="24"/>
                <w:highlight w:val="none"/>
              </w:rPr>
            </w:pPr>
            <w:r>
              <w:rPr>
                <w:rFonts w:hint="eastAsia" w:ascii="宋体" w:hAnsi="宋体"/>
                <w:color w:val="auto"/>
                <w:szCs w:val="24"/>
                <w:highlight w:val="none"/>
              </w:rPr>
              <w:t>3、支持按照医嘱开立时间、医嘱名称、医嘱类型、长临标志、开立医生名称查询医嘱信息。</w:t>
            </w:r>
          </w:p>
          <w:p>
            <w:pPr>
              <w:pStyle w:val="130"/>
              <w:ind w:firstLine="0"/>
              <w:rPr>
                <w:rFonts w:ascii="宋体" w:hAnsi="宋体"/>
                <w:color w:val="auto"/>
                <w:szCs w:val="24"/>
                <w:highlight w:val="none"/>
              </w:rPr>
            </w:pPr>
            <w:r>
              <w:rPr>
                <w:rFonts w:hint="eastAsia" w:ascii="宋体" w:hAnsi="宋体"/>
                <w:color w:val="auto"/>
                <w:szCs w:val="24"/>
                <w:highlight w:val="none"/>
              </w:rPr>
              <w:t>4、支持查看对应医嘱记账金额、医嘱内容、医嘱编码、总金额、总条数。</w:t>
            </w:r>
          </w:p>
          <w:p>
            <w:pPr>
              <w:pStyle w:val="130"/>
              <w:ind w:firstLine="0"/>
              <w:rPr>
                <w:rFonts w:ascii="宋体" w:hAnsi="宋体"/>
                <w:b/>
                <w:color w:val="auto"/>
                <w:szCs w:val="24"/>
                <w:highlight w:val="none"/>
              </w:rPr>
            </w:pPr>
            <w:r>
              <w:rPr>
                <w:rFonts w:hint="eastAsia" w:ascii="宋体" w:hAnsi="宋体"/>
                <w:b/>
                <w:color w:val="auto"/>
                <w:szCs w:val="24"/>
                <w:highlight w:val="none"/>
              </w:rPr>
              <w:t>住院病人费用分析：</w:t>
            </w:r>
          </w:p>
          <w:p>
            <w:pPr>
              <w:pStyle w:val="130"/>
              <w:ind w:firstLine="0"/>
              <w:rPr>
                <w:rFonts w:ascii="宋体" w:hAnsi="宋体"/>
                <w:color w:val="auto"/>
                <w:szCs w:val="24"/>
                <w:highlight w:val="none"/>
              </w:rPr>
            </w:pPr>
            <w:r>
              <w:rPr>
                <w:rFonts w:hint="eastAsia" w:ascii="宋体" w:hAnsi="宋体"/>
                <w:color w:val="auto"/>
                <w:szCs w:val="24"/>
                <w:highlight w:val="none"/>
              </w:rPr>
              <w:t>1、支持住院号、患者编号、证件号码等查询患者信息。</w:t>
            </w:r>
          </w:p>
          <w:p>
            <w:pPr>
              <w:pStyle w:val="130"/>
              <w:ind w:firstLine="0"/>
              <w:rPr>
                <w:rFonts w:ascii="宋体" w:hAnsi="宋体"/>
                <w:color w:val="auto"/>
                <w:szCs w:val="24"/>
                <w:highlight w:val="none"/>
              </w:rPr>
            </w:pPr>
            <w:r>
              <w:rPr>
                <w:rFonts w:hint="eastAsia" w:ascii="宋体" w:hAnsi="宋体"/>
                <w:color w:val="auto"/>
                <w:szCs w:val="24"/>
                <w:highlight w:val="none"/>
              </w:rPr>
              <w:t>2、支持患者的费用用明细格式、汇总格式、医嘱格式、其他格式。</w:t>
            </w:r>
          </w:p>
          <w:p>
            <w:pPr>
              <w:pStyle w:val="201"/>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eastAsia="zh-CN"/>
              </w:rPr>
              <w:t>3、支持病人费用打印和导出。</w:t>
            </w:r>
          </w:p>
        </w:tc>
      </w:tr>
    </w:tbl>
    <w:p>
      <w:pPr>
        <w:spacing w:line="360" w:lineRule="auto"/>
        <w:rPr>
          <w:rFonts w:ascii="宋体" w:hAnsi="宋体"/>
          <w:color w:val="auto"/>
          <w:sz w:val="24"/>
          <w:highlight w:val="none"/>
        </w:rPr>
      </w:pPr>
    </w:p>
    <w:p>
      <w:pPr>
        <w:keepNext/>
        <w:keepLines/>
        <w:numPr>
          <w:ilvl w:val="3"/>
          <w:numId w:val="8"/>
        </w:numPr>
        <w:spacing w:before="280" w:after="290" w:line="376" w:lineRule="auto"/>
        <w:outlineLvl w:val="3"/>
        <w:rPr>
          <w:rFonts w:ascii="宋体" w:hAnsi="宋体"/>
          <w:b/>
          <w:bCs/>
          <w:color w:val="auto"/>
          <w:sz w:val="24"/>
          <w:highlight w:val="none"/>
        </w:rPr>
      </w:pPr>
      <w:bookmarkStart w:id="696" w:name="_Toc28604"/>
      <w:r>
        <w:rPr>
          <w:rFonts w:hint="eastAsia" w:ascii="宋体" w:hAnsi="宋体"/>
          <w:b/>
          <w:bCs/>
          <w:color w:val="auto"/>
          <w:sz w:val="24"/>
          <w:highlight w:val="none"/>
        </w:rPr>
        <w:t>门诊诊间结算</w:t>
      </w:r>
      <w:bookmarkEnd w:id="696"/>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4"/>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2" w:hRule="atLeast"/>
          <w:tblHeader/>
          <w:jc w:val="center"/>
        </w:trPr>
        <w:tc>
          <w:tcPr>
            <w:tcW w:w="1984" w:type="dxa"/>
            <w:shd w:val="clear" w:color="auto" w:fill="4471C4"/>
          </w:tcPr>
          <w:p>
            <w:pPr>
              <w:autoSpaceDE w:val="0"/>
              <w:autoSpaceDN w:val="0"/>
              <w:spacing w:before="30" w:line="360" w:lineRule="auto"/>
              <w:ind w:left="347"/>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模块</w:t>
            </w:r>
          </w:p>
        </w:tc>
        <w:tc>
          <w:tcPr>
            <w:tcW w:w="7087" w:type="dxa"/>
            <w:shd w:val="clear" w:color="auto" w:fill="4471C4"/>
          </w:tcPr>
          <w:p>
            <w:pPr>
              <w:autoSpaceDE w:val="0"/>
              <w:autoSpaceDN w:val="0"/>
              <w:spacing w:before="30" w:line="360" w:lineRule="auto"/>
              <w:ind w:left="1006" w:right="1000"/>
              <w:jc w:val="center"/>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功能</w:t>
            </w:r>
            <w:r>
              <w:rPr>
                <w:rFonts w:hint="eastAsia" w:ascii="宋体" w:hAnsi="宋体" w:cs="仿宋"/>
                <w:b/>
                <w:bCs/>
                <w:color w:val="auto"/>
                <w:sz w:val="24"/>
                <w:highlight w:val="none"/>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984"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门诊诊间结算</w:t>
            </w:r>
          </w:p>
        </w:tc>
        <w:tc>
          <w:tcPr>
            <w:tcW w:w="7087" w:type="dxa"/>
            <w:vAlign w:val="center"/>
          </w:tcPr>
          <w:p>
            <w:pPr>
              <w:pStyle w:val="130"/>
              <w:ind w:firstLine="0"/>
              <w:rPr>
                <w:rFonts w:ascii="宋体" w:hAnsi="宋体"/>
                <w:b/>
                <w:color w:val="auto"/>
                <w:szCs w:val="24"/>
                <w:highlight w:val="none"/>
              </w:rPr>
            </w:pPr>
            <w:r>
              <w:rPr>
                <w:rFonts w:hint="eastAsia" w:ascii="宋体" w:hAnsi="宋体"/>
                <w:b/>
                <w:color w:val="auto"/>
                <w:szCs w:val="24"/>
                <w:highlight w:val="none"/>
              </w:rPr>
              <w:t>（1）通用配置</w:t>
            </w:r>
          </w:p>
          <w:p>
            <w:pPr>
              <w:pStyle w:val="130"/>
              <w:ind w:firstLine="0"/>
              <w:rPr>
                <w:rFonts w:ascii="宋体" w:hAnsi="宋体"/>
                <w:b/>
                <w:color w:val="auto"/>
                <w:szCs w:val="24"/>
                <w:highlight w:val="none"/>
              </w:rPr>
            </w:pPr>
            <w:r>
              <w:rPr>
                <w:rFonts w:hint="eastAsia" w:ascii="宋体" w:hAnsi="宋体"/>
                <w:b/>
                <w:color w:val="auto"/>
                <w:szCs w:val="24"/>
                <w:highlight w:val="none"/>
              </w:rPr>
              <w:t>诊间结算配置：</w:t>
            </w:r>
            <w:r>
              <w:rPr>
                <w:rFonts w:hint="eastAsia" w:ascii="宋体" w:hAnsi="宋体"/>
                <w:color w:val="auto"/>
                <w:szCs w:val="24"/>
                <w:highlight w:val="none"/>
              </w:rPr>
              <w:t>支持对各个业务场景的诊间结算，不同支付模式，不同支付方式的配置。</w:t>
            </w:r>
          </w:p>
          <w:p>
            <w:pPr>
              <w:pStyle w:val="130"/>
              <w:ind w:firstLine="0"/>
              <w:rPr>
                <w:rFonts w:ascii="宋体" w:hAnsi="宋体"/>
                <w:b/>
                <w:color w:val="auto"/>
                <w:szCs w:val="24"/>
                <w:highlight w:val="none"/>
              </w:rPr>
            </w:pPr>
            <w:r>
              <w:rPr>
                <w:rFonts w:hint="eastAsia" w:ascii="宋体" w:hAnsi="宋体"/>
                <w:b/>
                <w:color w:val="auto"/>
                <w:szCs w:val="24"/>
                <w:highlight w:val="none"/>
              </w:rPr>
              <w:t>（2）医生站嵌入的诊间结算配置</w:t>
            </w:r>
          </w:p>
          <w:p>
            <w:pPr>
              <w:pStyle w:val="130"/>
              <w:ind w:firstLine="0"/>
              <w:rPr>
                <w:rFonts w:ascii="宋体" w:hAnsi="宋体"/>
                <w:color w:val="auto"/>
                <w:szCs w:val="24"/>
                <w:highlight w:val="none"/>
              </w:rPr>
            </w:pPr>
            <w:r>
              <w:rPr>
                <w:rFonts w:hint="eastAsia" w:ascii="宋体" w:hAnsi="宋体"/>
                <w:b/>
                <w:color w:val="auto"/>
                <w:szCs w:val="24"/>
                <w:highlight w:val="none"/>
              </w:rPr>
              <w:t>门急诊医生站：</w:t>
            </w:r>
            <w:r>
              <w:rPr>
                <w:rFonts w:hint="eastAsia" w:ascii="宋体" w:hAnsi="宋体"/>
                <w:color w:val="auto"/>
                <w:szCs w:val="24"/>
                <w:highlight w:val="none"/>
              </w:rPr>
              <w:t>支持在医生诊室，通过门急诊医生站，进行诊间结算。</w:t>
            </w:r>
          </w:p>
          <w:p>
            <w:pPr>
              <w:pStyle w:val="130"/>
              <w:ind w:firstLine="0"/>
              <w:rPr>
                <w:rFonts w:ascii="宋体" w:hAnsi="宋体"/>
                <w:color w:val="auto"/>
                <w:szCs w:val="24"/>
                <w:highlight w:val="none"/>
              </w:rPr>
            </w:pPr>
            <w:r>
              <w:rPr>
                <w:rFonts w:hint="eastAsia" w:ascii="宋体" w:hAnsi="宋体"/>
                <w:b/>
                <w:color w:val="auto"/>
                <w:szCs w:val="24"/>
                <w:highlight w:val="none"/>
              </w:rPr>
              <w:t>慢病医生站：</w:t>
            </w:r>
            <w:r>
              <w:rPr>
                <w:rFonts w:hint="eastAsia" w:ascii="宋体" w:hAnsi="宋体"/>
                <w:color w:val="auto"/>
                <w:szCs w:val="24"/>
                <w:highlight w:val="none"/>
              </w:rPr>
              <w:t>支持在医生诊室，通过慢病医生站，进行诊间结算。</w:t>
            </w:r>
          </w:p>
          <w:p>
            <w:pPr>
              <w:pStyle w:val="130"/>
              <w:ind w:firstLine="0"/>
              <w:rPr>
                <w:rFonts w:ascii="宋体" w:hAnsi="宋体"/>
                <w:color w:val="auto"/>
                <w:szCs w:val="24"/>
                <w:highlight w:val="none"/>
              </w:rPr>
            </w:pPr>
            <w:r>
              <w:rPr>
                <w:rFonts w:hint="eastAsia" w:ascii="宋体" w:hAnsi="宋体"/>
                <w:b/>
                <w:color w:val="auto"/>
                <w:szCs w:val="24"/>
                <w:highlight w:val="none"/>
              </w:rPr>
              <w:t>门诊医生站（代录）：</w:t>
            </w:r>
            <w:r>
              <w:rPr>
                <w:rFonts w:hint="eastAsia" w:ascii="宋体" w:hAnsi="宋体"/>
                <w:color w:val="auto"/>
                <w:szCs w:val="24"/>
                <w:highlight w:val="none"/>
              </w:rPr>
              <w:t>支持在医生诊室，通过门诊医生站(代录)，进行诊间结算。</w:t>
            </w:r>
          </w:p>
          <w:p>
            <w:pPr>
              <w:pStyle w:val="130"/>
              <w:ind w:firstLine="0"/>
              <w:rPr>
                <w:rFonts w:ascii="宋体" w:hAnsi="宋体"/>
                <w:b/>
                <w:color w:val="auto"/>
                <w:szCs w:val="24"/>
                <w:highlight w:val="none"/>
              </w:rPr>
            </w:pPr>
            <w:r>
              <w:rPr>
                <w:rFonts w:hint="eastAsia" w:ascii="宋体" w:hAnsi="宋体"/>
                <w:b/>
                <w:color w:val="auto"/>
                <w:szCs w:val="24"/>
                <w:highlight w:val="none"/>
              </w:rPr>
              <w:t>（3）医技执行嵌入的诊间结算</w:t>
            </w:r>
            <w:r>
              <w:rPr>
                <w:rFonts w:hint="eastAsia" w:ascii="宋体" w:hAnsi="宋体"/>
                <w:b/>
                <w:color w:val="auto"/>
                <w:szCs w:val="24"/>
                <w:highlight w:val="none"/>
              </w:rPr>
              <w:tab/>
            </w:r>
          </w:p>
          <w:p>
            <w:pPr>
              <w:pStyle w:val="130"/>
              <w:ind w:firstLine="0"/>
              <w:rPr>
                <w:rFonts w:ascii="宋体" w:hAnsi="宋体"/>
                <w:color w:val="auto"/>
                <w:szCs w:val="24"/>
                <w:highlight w:val="none"/>
              </w:rPr>
            </w:pPr>
            <w:r>
              <w:rPr>
                <w:rFonts w:hint="eastAsia" w:ascii="宋体" w:hAnsi="宋体"/>
                <w:b/>
                <w:color w:val="auto"/>
                <w:szCs w:val="24"/>
                <w:highlight w:val="none"/>
              </w:rPr>
              <w:t>执行确认：</w:t>
            </w:r>
            <w:r>
              <w:rPr>
                <w:rFonts w:hint="eastAsia" w:ascii="宋体" w:hAnsi="宋体"/>
                <w:color w:val="auto"/>
                <w:szCs w:val="24"/>
                <w:highlight w:val="none"/>
              </w:rPr>
              <w:t>支持患者在医技执行科室，进行诊间结算，节省患者去收费处排队结算的时间。</w:t>
            </w:r>
          </w:p>
          <w:p>
            <w:pPr>
              <w:pStyle w:val="130"/>
              <w:ind w:firstLine="0"/>
              <w:rPr>
                <w:rFonts w:ascii="宋体" w:hAnsi="宋体"/>
                <w:color w:val="auto"/>
                <w:szCs w:val="24"/>
                <w:highlight w:val="none"/>
              </w:rPr>
            </w:pPr>
            <w:r>
              <w:rPr>
                <w:rFonts w:hint="eastAsia" w:ascii="宋体" w:hAnsi="宋体"/>
                <w:b/>
                <w:color w:val="auto"/>
                <w:szCs w:val="24"/>
                <w:highlight w:val="none"/>
              </w:rPr>
              <w:t>医技补录细目（药品）：</w:t>
            </w:r>
            <w:r>
              <w:rPr>
                <w:rFonts w:hint="eastAsia" w:ascii="宋体" w:hAnsi="宋体"/>
                <w:color w:val="auto"/>
                <w:szCs w:val="24"/>
                <w:highlight w:val="none"/>
              </w:rPr>
              <w:t>支持患者在医技补录药品科室，进行诊间结算，节省患者去收费处排队结算的时间。</w:t>
            </w:r>
          </w:p>
          <w:p>
            <w:pPr>
              <w:pStyle w:val="130"/>
              <w:ind w:firstLine="0"/>
              <w:rPr>
                <w:rFonts w:ascii="宋体" w:hAnsi="宋体"/>
                <w:color w:val="auto"/>
                <w:szCs w:val="24"/>
                <w:highlight w:val="none"/>
              </w:rPr>
            </w:pPr>
            <w:r>
              <w:rPr>
                <w:rFonts w:hint="eastAsia" w:ascii="宋体" w:hAnsi="宋体"/>
                <w:b/>
                <w:color w:val="auto"/>
                <w:szCs w:val="24"/>
                <w:highlight w:val="none"/>
              </w:rPr>
              <w:t>医技补录细目（治疗）：</w:t>
            </w:r>
            <w:r>
              <w:rPr>
                <w:rFonts w:hint="eastAsia" w:ascii="宋体" w:hAnsi="宋体"/>
                <w:color w:val="auto"/>
                <w:szCs w:val="24"/>
                <w:highlight w:val="none"/>
              </w:rPr>
              <w:t>支持患者在医技补录治疗科室，进行诊间结算。</w:t>
            </w:r>
          </w:p>
          <w:p>
            <w:pPr>
              <w:pStyle w:val="130"/>
              <w:ind w:firstLine="0"/>
              <w:rPr>
                <w:rFonts w:ascii="宋体" w:hAnsi="宋体"/>
                <w:color w:val="auto"/>
                <w:szCs w:val="24"/>
                <w:highlight w:val="none"/>
              </w:rPr>
            </w:pPr>
            <w:r>
              <w:rPr>
                <w:rFonts w:hint="eastAsia" w:ascii="宋体" w:hAnsi="宋体"/>
                <w:b/>
                <w:color w:val="auto"/>
                <w:szCs w:val="24"/>
                <w:highlight w:val="none"/>
              </w:rPr>
              <w:t>门诊输液登记：</w:t>
            </w:r>
            <w:r>
              <w:rPr>
                <w:rFonts w:hint="eastAsia" w:ascii="宋体" w:hAnsi="宋体"/>
                <w:color w:val="auto"/>
                <w:szCs w:val="24"/>
                <w:highlight w:val="none"/>
              </w:rPr>
              <w:t>支持患者在门诊输液登记科室，进行诊间结算。</w:t>
            </w:r>
          </w:p>
          <w:p>
            <w:pPr>
              <w:pStyle w:val="130"/>
              <w:ind w:firstLine="0"/>
              <w:rPr>
                <w:rFonts w:ascii="宋体" w:hAnsi="宋体"/>
                <w:color w:val="auto"/>
                <w:szCs w:val="24"/>
                <w:highlight w:val="none"/>
              </w:rPr>
            </w:pPr>
            <w:r>
              <w:rPr>
                <w:rFonts w:hint="eastAsia" w:ascii="宋体" w:hAnsi="宋体"/>
                <w:b/>
                <w:color w:val="auto"/>
                <w:szCs w:val="24"/>
                <w:highlight w:val="none"/>
              </w:rPr>
              <w:t>门诊输液执行：</w:t>
            </w:r>
            <w:r>
              <w:rPr>
                <w:rFonts w:hint="eastAsia" w:ascii="宋体" w:hAnsi="宋体"/>
                <w:color w:val="auto"/>
                <w:szCs w:val="24"/>
                <w:highlight w:val="none"/>
              </w:rPr>
              <w:t>支持患者在门诊输液执行科室，进行诊间结算。</w:t>
            </w:r>
          </w:p>
          <w:p>
            <w:pPr>
              <w:pStyle w:val="130"/>
              <w:ind w:firstLine="0"/>
              <w:rPr>
                <w:rFonts w:ascii="宋体" w:hAnsi="宋体"/>
                <w:color w:val="auto"/>
                <w:szCs w:val="24"/>
                <w:highlight w:val="none"/>
              </w:rPr>
            </w:pPr>
            <w:r>
              <w:rPr>
                <w:rFonts w:hint="eastAsia" w:ascii="宋体" w:hAnsi="宋体"/>
                <w:b/>
                <w:color w:val="auto"/>
                <w:szCs w:val="24"/>
                <w:highlight w:val="none"/>
              </w:rPr>
              <w:t>门急诊皮试结果录入：</w:t>
            </w:r>
            <w:r>
              <w:rPr>
                <w:rFonts w:hint="eastAsia" w:ascii="宋体" w:hAnsi="宋体"/>
                <w:color w:val="auto"/>
                <w:szCs w:val="24"/>
                <w:highlight w:val="none"/>
              </w:rPr>
              <w:t>支持患者在门诊皮试科室，进行诊间结算。</w:t>
            </w:r>
          </w:p>
          <w:p>
            <w:pPr>
              <w:pStyle w:val="130"/>
              <w:ind w:firstLine="0"/>
              <w:rPr>
                <w:rFonts w:ascii="宋体" w:hAnsi="宋体"/>
                <w:color w:val="auto"/>
                <w:szCs w:val="24"/>
                <w:highlight w:val="none"/>
              </w:rPr>
            </w:pPr>
            <w:r>
              <w:rPr>
                <w:rFonts w:hint="eastAsia" w:ascii="宋体" w:hAnsi="宋体"/>
                <w:b/>
                <w:color w:val="auto"/>
                <w:szCs w:val="24"/>
                <w:highlight w:val="none"/>
              </w:rPr>
              <w:t>治疗执行（一般）：</w:t>
            </w:r>
            <w:r>
              <w:rPr>
                <w:rFonts w:hint="eastAsia" w:ascii="宋体" w:hAnsi="宋体"/>
                <w:color w:val="auto"/>
                <w:szCs w:val="24"/>
                <w:highlight w:val="none"/>
              </w:rPr>
              <w:t>支持患者在治疗执行科室，进行诊间结算。</w:t>
            </w:r>
          </w:p>
          <w:p>
            <w:pPr>
              <w:pStyle w:val="130"/>
              <w:ind w:firstLine="0"/>
              <w:rPr>
                <w:rFonts w:ascii="宋体" w:hAnsi="宋体"/>
                <w:b/>
                <w:color w:val="auto"/>
                <w:szCs w:val="24"/>
                <w:highlight w:val="none"/>
              </w:rPr>
            </w:pPr>
            <w:r>
              <w:rPr>
                <w:rFonts w:hint="eastAsia" w:ascii="宋体" w:hAnsi="宋体"/>
                <w:b/>
                <w:color w:val="auto"/>
                <w:szCs w:val="24"/>
                <w:highlight w:val="none"/>
              </w:rPr>
              <w:t>（4）药房嵌入的诊间结算</w:t>
            </w:r>
            <w:r>
              <w:rPr>
                <w:rFonts w:hint="eastAsia" w:ascii="宋体" w:hAnsi="宋体"/>
                <w:b/>
                <w:color w:val="auto"/>
                <w:szCs w:val="24"/>
                <w:highlight w:val="none"/>
              </w:rPr>
              <w:tab/>
            </w:r>
          </w:p>
          <w:p>
            <w:pPr>
              <w:pStyle w:val="130"/>
              <w:ind w:firstLine="0"/>
              <w:rPr>
                <w:rFonts w:ascii="宋体" w:hAnsi="宋体"/>
                <w:color w:val="auto"/>
                <w:szCs w:val="24"/>
                <w:highlight w:val="none"/>
              </w:rPr>
            </w:pPr>
            <w:r>
              <w:rPr>
                <w:rFonts w:hint="eastAsia" w:ascii="宋体" w:hAnsi="宋体"/>
                <w:b/>
                <w:color w:val="auto"/>
                <w:szCs w:val="24"/>
                <w:highlight w:val="none"/>
              </w:rPr>
              <w:t>门急诊西成药发药-付费结算：</w:t>
            </w:r>
            <w:r>
              <w:rPr>
                <w:rFonts w:hint="eastAsia" w:ascii="宋体" w:hAnsi="宋体"/>
                <w:color w:val="auto"/>
                <w:szCs w:val="24"/>
                <w:highlight w:val="none"/>
              </w:rPr>
              <w:t>支持患者在西药房，进行付费结算。</w:t>
            </w:r>
          </w:p>
          <w:p>
            <w:pPr>
              <w:pStyle w:val="130"/>
              <w:ind w:firstLine="0"/>
              <w:rPr>
                <w:rFonts w:ascii="宋体" w:hAnsi="宋体"/>
                <w:color w:val="auto"/>
                <w:szCs w:val="24"/>
                <w:highlight w:val="none"/>
              </w:rPr>
            </w:pPr>
            <w:r>
              <w:rPr>
                <w:rFonts w:hint="eastAsia" w:ascii="宋体" w:hAnsi="宋体"/>
                <w:b/>
                <w:color w:val="auto"/>
                <w:szCs w:val="24"/>
                <w:highlight w:val="none"/>
              </w:rPr>
              <w:t>门急诊西成药发药-诊间结算：</w:t>
            </w:r>
            <w:r>
              <w:rPr>
                <w:rFonts w:hint="eastAsia" w:ascii="宋体" w:hAnsi="宋体"/>
                <w:color w:val="auto"/>
                <w:szCs w:val="24"/>
                <w:highlight w:val="none"/>
              </w:rPr>
              <w:t>支持患者在西药房，进行诊间结算。</w:t>
            </w:r>
          </w:p>
          <w:p>
            <w:pPr>
              <w:pStyle w:val="201"/>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b/>
                <w:color w:val="auto"/>
                <w:sz w:val="24"/>
                <w:highlight w:val="none"/>
                <w:lang w:eastAsia="zh-CN"/>
              </w:rPr>
              <w:t>门急诊草药发药：</w:t>
            </w:r>
            <w:r>
              <w:rPr>
                <w:rFonts w:hint="eastAsia" w:ascii="宋体" w:hAnsi="宋体" w:eastAsia="宋体"/>
                <w:color w:val="auto"/>
                <w:sz w:val="24"/>
                <w:highlight w:val="none"/>
                <w:lang w:eastAsia="zh-CN"/>
              </w:rPr>
              <w:t>支持患者在中药房，进行付费结算。</w:t>
            </w:r>
          </w:p>
        </w:tc>
      </w:tr>
    </w:tbl>
    <w:p>
      <w:pPr>
        <w:spacing w:line="360" w:lineRule="auto"/>
        <w:ind w:firstLine="480" w:firstLineChars="200"/>
        <w:rPr>
          <w:rFonts w:ascii="宋体" w:hAnsi="宋体"/>
          <w:color w:val="auto"/>
          <w:sz w:val="24"/>
          <w:highlight w:val="none"/>
        </w:rPr>
      </w:pPr>
    </w:p>
    <w:p>
      <w:pPr>
        <w:keepNext/>
        <w:keepLines/>
        <w:numPr>
          <w:ilvl w:val="3"/>
          <w:numId w:val="8"/>
        </w:numPr>
        <w:spacing w:before="280" w:after="290" w:line="376" w:lineRule="auto"/>
        <w:outlineLvl w:val="3"/>
        <w:rPr>
          <w:rFonts w:ascii="宋体" w:hAnsi="宋体"/>
          <w:b/>
          <w:bCs/>
          <w:color w:val="auto"/>
          <w:sz w:val="24"/>
          <w:highlight w:val="none"/>
        </w:rPr>
      </w:pPr>
      <w:bookmarkStart w:id="697" w:name="_Toc30768"/>
      <w:r>
        <w:rPr>
          <w:rFonts w:hint="eastAsia" w:ascii="宋体" w:hAnsi="宋体"/>
          <w:b/>
          <w:bCs/>
          <w:color w:val="auto"/>
          <w:sz w:val="24"/>
          <w:highlight w:val="none"/>
        </w:rPr>
        <w:t>住院床旁结算</w:t>
      </w:r>
      <w:bookmarkEnd w:id="697"/>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住院床旁结算需满足以下功能：</w:t>
      </w:r>
    </w:p>
    <w:tbl>
      <w:tblPr>
        <w:tblStyle w:val="43"/>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4"/>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jc w:val="center"/>
        </w:trPr>
        <w:tc>
          <w:tcPr>
            <w:tcW w:w="1984" w:type="dxa"/>
            <w:shd w:val="clear" w:color="auto" w:fill="4471C4"/>
          </w:tcPr>
          <w:p>
            <w:pPr>
              <w:autoSpaceDE w:val="0"/>
              <w:autoSpaceDN w:val="0"/>
              <w:spacing w:before="30" w:line="360" w:lineRule="auto"/>
              <w:ind w:left="347"/>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模块</w:t>
            </w:r>
          </w:p>
        </w:tc>
        <w:tc>
          <w:tcPr>
            <w:tcW w:w="7087" w:type="dxa"/>
            <w:shd w:val="clear" w:color="auto" w:fill="4471C4"/>
          </w:tcPr>
          <w:p>
            <w:pPr>
              <w:autoSpaceDE w:val="0"/>
              <w:autoSpaceDN w:val="0"/>
              <w:spacing w:before="30" w:line="360" w:lineRule="auto"/>
              <w:ind w:left="1006" w:right="1000"/>
              <w:jc w:val="center"/>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功能</w:t>
            </w:r>
            <w:r>
              <w:rPr>
                <w:rFonts w:hint="eastAsia" w:ascii="宋体" w:hAnsi="宋体" w:cs="仿宋"/>
                <w:b/>
                <w:bCs/>
                <w:color w:val="auto"/>
                <w:sz w:val="24"/>
                <w:highlight w:val="none"/>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984"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床旁结算</w:t>
            </w:r>
          </w:p>
        </w:tc>
        <w:tc>
          <w:tcPr>
            <w:tcW w:w="7087" w:type="dxa"/>
            <w:vAlign w:val="center"/>
          </w:tcPr>
          <w:p>
            <w:pPr>
              <w:pStyle w:val="130"/>
              <w:ind w:firstLine="0"/>
              <w:rPr>
                <w:rFonts w:ascii="宋体" w:hAnsi="宋体"/>
                <w:b/>
                <w:color w:val="auto"/>
                <w:szCs w:val="24"/>
                <w:highlight w:val="none"/>
              </w:rPr>
            </w:pPr>
            <w:r>
              <w:rPr>
                <w:rFonts w:hint="eastAsia" w:ascii="宋体" w:hAnsi="宋体"/>
                <w:b/>
                <w:color w:val="auto"/>
                <w:szCs w:val="24"/>
                <w:highlight w:val="none"/>
              </w:rPr>
              <w:t>护士床旁结算：</w:t>
            </w:r>
          </w:p>
          <w:p>
            <w:pPr>
              <w:pStyle w:val="130"/>
              <w:ind w:firstLine="0"/>
              <w:rPr>
                <w:rFonts w:ascii="宋体" w:hAnsi="宋体"/>
                <w:color w:val="auto"/>
                <w:szCs w:val="24"/>
                <w:highlight w:val="none"/>
              </w:rPr>
            </w:pPr>
            <w:r>
              <w:rPr>
                <w:rFonts w:hint="eastAsia" w:ascii="宋体" w:hAnsi="宋体"/>
                <w:color w:val="auto"/>
                <w:szCs w:val="24"/>
                <w:highlight w:val="none"/>
              </w:rPr>
              <w:t>1、支持在护士站一站式为本病区患者办理收退住院预交金、中途结算、出院结算、发票打印、费用清单打印和住院退费等相关费用业务。</w:t>
            </w:r>
          </w:p>
          <w:p>
            <w:pPr>
              <w:pStyle w:val="130"/>
              <w:ind w:firstLine="0"/>
              <w:rPr>
                <w:rFonts w:ascii="宋体" w:hAnsi="宋体"/>
                <w:color w:val="auto"/>
                <w:szCs w:val="24"/>
                <w:highlight w:val="none"/>
              </w:rPr>
            </w:pPr>
            <w:r>
              <w:rPr>
                <w:rFonts w:hint="eastAsia" w:ascii="宋体" w:hAnsi="宋体"/>
                <w:color w:val="auto"/>
                <w:szCs w:val="24"/>
                <w:highlight w:val="none"/>
              </w:rPr>
              <w:t>2、支持通过付款方式使用场景节点，可灵活配置床旁结算时允许使用的多种付款方式。</w:t>
            </w:r>
          </w:p>
          <w:p>
            <w:pPr>
              <w:pStyle w:val="130"/>
              <w:ind w:firstLine="0"/>
              <w:rPr>
                <w:rFonts w:ascii="宋体" w:hAnsi="宋体"/>
                <w:color w:val="auto"/>
                <w:szCs w:val="24"/>
                <w:highlight w:val="none"/>
              </w:rPr>
            </w:pPr>
            <w:r>
              <w:rPr>
                <w:rFonts w:hint="eastAsia" w:ascii="宋体" w:hAnsi="宋体"/>
                <w:b/>
                <w:color w:val="auto"/>
                <w:szCs w:val="24"/>
                <w:highlight w:val="none"/>
              </w:rPr>
              <w:t>（床旁）收/退住院预交金：支持</w:t>
            </w:r>
            <w:r>
              <w:rPr>
                <w:rFonts w:hint="eastAsia" w:ascii="宋体" w:hAnsi="宋体"/>
                <w:color w:val="auto"/>
                <w:szCs w:val="24"/>
                <w:highlight w:val="none"/>
              </w:rPr>
              <w:t>床旁收、退住院预交金</w:t>
            </w:r>
          </w:p>
          <w:p>
            <w:pPr>
              <w:pStyle w:val="130"/>
              <w:ind w:firstLine="0"/>
              <w:rPr>
                <w:rFonts w:ascii="宋体" w:hAnsi="宋体"/>
                <w:color w:val="auto"/>
                <w:szCs w:val="24"/>
                <w:highlight w:val="none"/>
              </w:rPr>
            </w:pPr>
            <w:r>
              <w:rPr>
                <w:rFonts w:hint="eastAsia" w:ascii="宋体" w:hAnsi="宋体"/>
                <w:b/>
                <w:color w:val="auto"/>
                <w:szCs w:val="24"/>
                <w:highlight w:val="none"/>
              </w:rPr>
              <w:t>床旁医保结算：支持</w:t>
            </w:r>
            <w:r>
              <w:rPr>
                <w:rFonts w:hint="eastAsia" w:ascii="宋体" w:hAnsi="宋体"/>
                <w:color w:val="auto"/>
                <w:szCs w:val="24"/>
                <w:highlight w:val="none"/>
              </w:rPr>
              <w:t>床旁进行住院医保结算。</w:t>
            </w:r>
          </w:p>
          <w:p>
            <w:pPr>
              <w:pStyle w:val="130"/>
              <w:ind w:firstLine="0"/>
              <w:rPr>
                <w:rFonts w:ascii="宋体" w:hAnsi="宋体"/>
                <w:color w:val="auto"/>
                <w:szCs w:val="24"/>
                <w:highlight w:val="none"/>
              </w:rPr>
            </w:pPr>
            <w:r>
              <w:rPr>
                <w:rFonts w:hint="eastAsia" w:ascii="宋体" w:hAnsi="宋体"/>
                <w:b/>
                <w:color w:val="auto"/>
                <w:szCs w:val="24"/>
                <w:highlight w:val="none"/>
              </w:rPr>
              <w:t>床旁收付款：支持</w:t>
            </w:r>
            <w:r>
              <w:rPr>
                <w:rFonts w:hint="eastAsia" w:ascii="宋体" w:hAnsi="宋体"/>
                <w:color w:val="auto"/>
                <w:szCs w:val="24"/>
                <w:highlight w:val="none"/>
              </w:rPr>
              <w:t>床旁进行住院收付款。</w:t>
            </w:r>
          </w:p>
          <w:p>
            <w:pPr>
              <w:pStyle w:val="130"/>
              <w:ind w:firstLine="0"/>
              <w:rPr>
                <w:rFonts w:ascii="宋体" w:hAnsi="宋体"/>
                <w:color w:val="auto"/>
                <w:szCs w:val="24"/>
                <w:highlight w:val="none"/>
              </w:rPr>
            </w:pPr>
            <w:r>
              <w:rPr>
                <w:rFonts w:hint="eastAsia" w:ascii="宋体" w:hAnsi="宋体"/>
                <w:b/>
                <w:color w:val="auto"/>
                <w:szCs w:val="24"/>
                <w:highlight w:val="none"/>
              </w:rPr>
              <w:t>住院退费（床旁）：支持</w:t>
            </w:r>
            <w:r>
              <w:rPr>
                <w:rFonts w:hint="eastAsia" w:ascii="宋体" w:hAnsi="宋体"/>
                <w:color w:val="auto"/>
                <w:szCs w:val="24"/>
                <w:highlight w:val="none"/>
              </w:rPr>
              <w:t>床旁进行住院退费。</w:t>
            </w:r>
          </w:p>
        </w:tc>
      </w:tr>
    </w:tbl>
    <w:p>
      <w:pPr>
        <w:keepNext/>
        <w:keepLines/>
        <w:numPr>
          <w:ilvl w:val="3"/>
          <w:numId w:val="8"/>
        </w:numPr>
        <w:spacing w:before="280" w:after="290" w:line="376" w:lineRule="auto"/>
        <w:outlineLvl w:val="3"/>
        <w:rPr>
          <w:rFonts w:ascii="宋体" w:hAnsi="宋体"/>
          <w:b/>
          <w:bCs/>
          <w:color w:val="auto"/>
          <w:sz w:val="24"/>
          <w:highlight w:val="none"/>
        </w:rPr>
      </w:pPr>
      <w:bookmarkStart w:id="698" w:name="_Toc10616"/>
      <w:r>
        <w:rPr>
          <w:rFonts w:hint="eastAsia" w:ascii="宋体" w:hAnsi="宋体"/>
          <w:b/>
          <w:bCs/>
          <w:color w:val="auto"/>
          <w:sz w:val="24"/>
          <w:highlight w:val="none"/>
        </w:rPr>
        <w:t>入出转管理系统</w:t>
      </w:r>
      <w:bookmarkEnd w:id="698"/>
    </w:p>
    <w:p>
      <w:pPr>
        <w:spacing w:line="360" w:lineRule="auto"/>
        <w:ind w:firstLine="480" w:firstLineChars="200"/>
        <w:rPr>
          <w:rFonts w:ascii="宋体" w:hAnsi="宋体"/>
          <w:color w:val="auto"/>
          <w:sz w:val="24"/>
          <w:highlight w:val="none"/>
          <w:lang w:bidi="zh-CN"/>
        </w:rPr>
      </w:pPr>
      <w:r>
        <w:rPr>
          <w:rFonts w:hint="eastAsia" w:ascii="宋体" w:hAnsi="宋体"/>
          <w:color w:val="auto"/>
          <w:sz w:val="24"/>
          <w:highlight w:val="none"/>
          <w:lang w:bidi="zh-CN"/>
        </w:rPr>
        <w:t>入住转管理系统需满足以下功能：</w:t>
      </w:r>
    </w:p>
    <w:tbl>
      <w:tblPr>
        <w:tblStyle w:val="43"/>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4"/>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jc w:val="center"/>
        </w:trPr>
        <w:tc>
          <w:tcPr>
            <w:tcW w:w="1984" w:type="dxa"/>
            <w:shd w:val="clear" w:color="auto" w:fill="4471C4"/>
          </w:tcPr>
          <w:p>
            <w:pPr>
              <w:autoSpaceDE w:val="0"/>
              <w:autoSpaceDN w:val="0"/>
              <w:spacing w:before="30" w:line="360" w:lineRule="auto"/>
              <w:ind w:left="347"/>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模块</w:t>
            </w:r>
          </w:p>
        </w:tc>
        <w:tc>
          <w:tcPr>
            <w:tcW w:w="7087" w:type="dxa"/>
            <w:shd w:val="clear" w:color="auto" w:fill="4471C4"/>
          </w:tcPr>
          <w:p>
            <w:pPr>
              <w:autoSpaceDE w:val="0"/>
              <w:autoSpaceDN w:val="0"/>
              <w:spacing w:before="30" w:line="360" w:lineRule="auto"/>
              <w:ind w:left="1006" w:right="1000"/>
              <w:jc w:val="center"/>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功能</w:t>
            </w:r>
            <w:r>
              <w:rPr>
                <w:rFonts w:hint="eastAsia" w:ascii="宋体" w:hAnsi="宋体" w:cs="仿宋"/>
                <w:b/>
                <w:bCs/>
                <w:color w:val="auto"/>
                <w:sz w:val="24"/>
                <w:highlight w:val="none"/>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984"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入出转管理</w:t>
            </w:r>
          </w:p>
        </w:tc>
        <w:tc>
          <w:tcPr>
            <w:tcW w:w="7087" w:type="dxa"/>
            <w:vAlign w:val="center"/>
          </w:tcPr>
          <w:p>
            <w:pPr>
              <w:pStyle w:val="130"/>
              <w:ind w:firstLine="0"/>
              <w:rPr>
                <w:rFonts w:ascii="宋体" w:hAnsi="宋体"/>
                <w:b/>
                <w:color w:val="auto"/>
                <w:szCs w:val="24"/>
                <w:highlight w:val="none"/>
              </w:rPr>
            </w:pPr>
            <w:r>
              <w:rPr>
                <w:rFonts w:hint="eastAsia" w:ascii="宋体" w:hAnsi="宋体"/>
                <w:b/>
                <w:color w:val="auto"/>
                <w:szCs w:val="24"/>
                <w:highlight w:val="none"/>
              </w:rPr>
              <w:t>入院登记：</w:t>
            </w:r>
          </w:p>
          <w:p>
            <w:pPr>
              <w:pStyle w:val="130"/>
              <w:ind w:firstLine="0"/>
              <w:rPr>
                <w:rFonts w:ascii="宋体" w:hAnsi="宋体"/>
                <w:color w:val="auto"/>
                <w:szCs w:val="24"/>
                <w:highlight w:val="none"/>
              </w:rPr>
            </w:pPr>
            <w:r>
              <w:rPr>
                <w:rFonts w:hint="eastAsia" w:ascii="宋体" w:hAnsi="宋体"/>
                <w:color w:val="auto"/>
                <w:szCs w:val="24"/>
                <w:highlight w:val="none"/>
              </w:rPr>
              <w:t>1、支持通过病人的各类信息调出病人历史信息，并且为患者办理入院登记。</w:t>
            </w:r>
          </w:p>
          <w:p>
            <w:pPr>
              <w:pStyle w:val="130"/>
              <w:ind w:firstLine="0"/>
              <w:rPr>
                <w:rFonts w:ascii="宋体" w:hAnsi="宋体"/>
                <w:color w:val="auto"/>
                <w:szCs w:val="24"/>
                <w:highlight w:val="none"/>
              </w:rPr>
            </w:pPr>
            <w:r>
              <w:rPr>
                <w:rFonts w:hint="eastAsia" w:ascii="宋体" w:hAnsi="宋体"/>
                <w:color w:val="auto"/>
                <w:szCs w:val="24"/>
                <w:highlight w:val="none"/>
              </w:rPr>
              <w:t>2、支持通过病人的各类信息调出医生填写入院通知单信息，并且为患者办理入院登记。</w:t>
            </w:r>
          </w:p>
          <w:p>
            <w:pPr>
              <w:pStyle w:val="130"/>
              <w:ind w:firstLine="0"/>
              <w:rPr>
                <w:rFonts w:ascii="宋体" w:hAnsi="宋体"/>
                <w:b/>
                <w:color w:val="auto"/>
                <w:szCs w:val="24"/>
                <w:highlight w:val="none"/>
              </w:rPr>
            </w:pPr>
            <w:r>
              <w:rPr>
                <w:rFonts w:hint="eastAsia" w:ascii="宋体" w:hAnsi="宋体"/>
                <w:b/>
                <w:color w:val="auto"/>
                <w:szCs w:val="24"/>
                <w:highlight w:val="none"/>
              </w:rPr>
              <w:t>当日退院：</w:t>
            </w:r>
          </w:p>
          <w:p>
            <w:pPr>
              <w:pStyle w:val="130"/>
              <w:ind w:firstLine="0"/>
              <w:rPr>
                <w:rFonts w:ascii="宋体" w:hAnsi="宋体"/>
                <w:color w:val="auto"/>
                <w:szCs w:val="24"/>
                <w:highlight w:val="none"/>
              </w:rPr>
            </w:pPr>
            <w:r>
              <w:rPr>
                <w:rFonts w:hint="eastAsia" w:ascii="宋体" w:hAnsi="宋体"/>
                <w:color w:val="auto"/>
                <w:szCs w:val="24"/>
                <w:highlight w:val="none"/>
              </w:rPr>
              <w:t>1、患者入院入科，在医生同意下，支持当日退院。</w:t>
            </w:r>
          </w:p>
          <w:p>
            <w:pPr>
              <w:pStyle w:val="130"/>
              <w:ind w:firstLine="0"/>
              <w:rPr>
                <w:rFonts w:ascii="宋体" w:hAnsi="宋体"/>
                <w:color w:val="auto"/>
                <w:szCs w:val="24"/>
                <w:highlight w:val="none"/>
              </w:rPr>
            </w:pPr>
            <w:r>
              <w:rPr>
                <w:rFonts w:hint="eastAsia" w:ascii="宋体" w:hAnsi="宋体"/>
                <w:color w:val="auto"/>
                <w:szCs w:val="24"/>
                <w:highlight w:val="none"/>
              </w:rPr>
              <w:t>2、支持当日退院校验：时限、有无费用、有无有效医嘱。</w:t>
            </w:r>
          </w:p>
          <w:p>
            <w:pPr>
              <w:pStyle w:val="130"/>
              <w:ind w:firstLine="0"/>
              <w:rPr>
                <w:rFonts w:ascii="宋体" w:hAnsi="宋体"/>
                <w:b/>
                <w:color w:val="auto"/>
                <w:szCs w:val="24"/>
                <w:highlight w:val="none"/>
              </w:rPr>
            </w:pPr>
            <w:r>
              <w:rPr>
                <w:rFonts w:hint="eastAsia" w:ascii="宋体" w:hAnsi="宋体"/>
                <w:b/>
                <w:color w:val="auto"/>
                <w:szCs w:val="24"/>
                <w:highlight w:val="none"/>
              </w:rPr>
              <w:t>住院病区接收：</w:t>
            </w:r>
          </w:p>
          <w:p>
            <w:pPr>
              <w:pStyle w:val="130"/>
              <w:ind w:firstLine="0"/>
              <w:rPr>
                <w:rFonts w:ascii="宋体" w:hAnsi="宋体"/>
                <w:color w:val="auto"/>
                <w:szCs w:val="24"/>
                <w:highlight w:val="none"/>
              </w:rPr>
            </w:pPr>
            <w:r>
              <w:rPr>
                <w:rFonts w:hint="eastAsia" w:ascii="宋体" w:hAnsi="宋体"/>
                <w:color w:val="auto"/>
                <w:szCs w:val="24"/>
                <w:highlight w:val="none"/>
              </w:rPr>
              <w:t>1、支持住院病区接收（入科）。</w:t>
            </w:r>
          </w:p>
          <w:p>
            <w:pPr>
              <w:pStyle w:val="130"/>
              <w:ind w:firstLine="0"/>
              <w:rPr>
                <w:rFonts w:ascii="宋体" w:hAnsi="宋体"/>
                <w:color w:val="auto"/>
                <w:szCs w:val="24"/>
                <w:highlight w:val="none"/>
              </w:rPr>
            </w:pPr>
            <w:r>
              <w:rPr>
                <w:rFonts w:hint="eastAsia" w:ascii="宋体" w:hAnsi="宋体"/>
                <w:color w:val="auto"/>
                <w:szCs w:val="24"/>
                <w:highlight w:val="none"/>
              </w:rPr>
              <w:t>2、支持指定医疗组，支持指定三级医生和护士。</w:t>
            </w:r>
          </w:p>
          <w:p>
            <w:pPr>
              <w:pStyle w:val="130"/>
              <w:ind w:firstLine="0"/>
              <w:rPr>
                <w:rFonts w:ascii="宋体" w:hAnsi="宋体"/>
                <w:color w:val="auto"/>
                <w:szCs w:val="24"/>
                <w:highlight w:val="none"/>
              </w:rPr>
            </w:pPr>
            <w:r>
              <w:rPr>
                <w:rFonts w:hint="eastAsia" w:ascii="宋体" w:hAnsi="宋体"/>
                <w:b/>
                <w:color w:val="auto"/>
                <w:szCs w:val="24"/>
                <w:highlight w:val="none"/>
              </w:rPr>
              <w:t>取消入科：</w:t>
            </w:r>
            <w:r>
              <w:rPr>
                <w:rFonts w:hint="eastAsia" w:ascii="宋体" w:hAnsi="宋体"/>
                <w:color w:val="auto"/>
                <w:szCs w:val="24"/>
                <w:highlight w:val="none"/>
              </w:rPr>
              <w:t>支持取消入科。</w:t>
            </w:r>
          </w:p>
          <w:p>
            <w:pPr>
              <w:pStyle w:val="130"/>
              <w:ind w:firstLine="0"/>
              <w:rPr>
                <w:rFonts w:ascii="宋体" w:hAnsi="宋体"/>
                <w:b/>
                <w:color w:val="auto"/>
                <w:szCs w:val="24"/>
                <w:highlight w:val="none"/>
              </w:rPr>
            </w:pPr>
            <w:r>
              <w:rPr>
                <w:rFonts w:hint="eastAsia" w:ascii="宋体" w:hAnsi="宋体"/>
                <w:b/>
                <w:color w:val="auto"/>
                <w:szCs w:val="24"/>
                <w:highlight w:val="none"/>
              </w:rPr>
              <w:t>转科转出：</w:t>
            </w:r>
          </w:p>
          <w:p>
            <w:pPr>
              <w:pStyle w:val="130"/>
              <w:ind w:firstLine="0"/>
              <w:rPr>
                <w:rFonts w:ascii="宋体" w:hAnsi="宋体"/>
                <w:color w:val="auto"/>
                <w:szCs w:val="24"/>
                <w:highlight w:val="none"/>
              </w:rPr>
            </w:pPr>
            <w:r>
              <w:rPr>
                <w:rFonts w:hint="eastAsia" w:ascii="宋体" w:hAnsi="宋体"/>
                <w:color w:val="auto"/>
                <w:szCs w:val="24"/>
                <w:highlight w:val="none"/>
              </w:rPr>
              <w:t>1、支持患者转科，住院转出。</w:t>
            </w:r>
          </w:p>
          <w:p>
            <w:pPr>
              <w:pStyle w:val="130"/>
              <w:ind w:firstLine="0"/>
              <w:rPr>
                <w:rFonts w:ascii="宋体" w:hAnsi="宋体"/>
                <w:color w:val="auto"/>
                <w:szCs w:val="24"/>
                <w:highlight w:val="none"/>
              </w:rPr>
            </w:pPr>
            <w:r>
              <w:rPr>
                <w:rFonts w:hint="eastAsia" w:ascii="宋体" w:hAnsi="宋体"/>
                <w:color w:val="auto"/>
                <w:szCs w:val="24"/>
                <w:highlight w:val="none"/>
              </w:rPr>
              <w:t>2、支持独立使用，也支持内嵌到护士工作站使用。</w:t>
            </w:r>
          </w:p>
          <w:p>
            <w:pPr>
              <w:pStyle w:val="130"/>
              <w:ind w:firstLine="0"/>
              <w:rPr>
                <w:rFonts w:ascii="宋体" w:hAnsi="宋体"/>
                <w:color w:val="auto"/>
                <w:szCs w:val="24"/>
                <w:highlight w:val="none"/>
              </w:rPr>
            </w:pPr>
            <w:r>
              <w:rPr>
                <w:rFonts w:hint="eastAsia" w:ascii="宋体" w:hAnsi="宋体"/>
                <w:color w:val="auto"/>
                <w:szCs w:val="24"/>
                <w:highlight w:val="none"/>
              </w:rPr>
              <w:t>3、支持设置目标科室、目标病区。</w:t>
            </w:r>
          </w:p>
          <w:p>
            <w:pPr>
              <w:pStyle w:val="130"/>
              <w:ind w:firstLine="0"/>
              <w:rPr>
                <w:rFonts w:ascii="宋体" w:hAnsi="宋体"/>
                <w:b/>
                <w:color w:val="auto"/>
                <w:szCs w:val="24"/>
                <w:highlight w:val="none"/>
              </w:rPr>
            </w:pPr>
            <w:r>
              <w:rPr>
                <w:rFonts w:hint="eastAsia" w:ascii="宋体" w:hAnsi="宋体"/>
                <w:b/>
                <w:color w:val="auto"/>
                <w:szCs w:val="24"/>
                <w:highlight w:val="none"/>
              </w:rPr>
              <w:t>转科转入：</w:t>
            </w:r>
          </w:p>
          <w:p>
            <w:pPr>
              <w:pStyle w:val="130"/>
              <w:ind w:firstLine="0"/>
              <w:rPr>
                <w:rFonts w:ascii="宋体" w:hAnsi="宋体"/>
                <w:color w:val="auto"/>
                <w:szCs w:val="24"/>
                <w:highlight w:val="none"/>
              </w:rPr>
            </w:pPr>
            <w:r>
              <w:rPr>
                <w:rFonts w:hint="eastAsia" w:ascii="宋体" w:hAnsi="宋体"/>
                <w:color w:val="auto"/>
                <w:szCs w:val="24"/>
                <w:highlight w:val="none"/>
              </w:rPr>
              <w:t>1、支持患者转科，住院转入。</w:t>
            </w:r>
          </w:p>
          <w:p>
            <w:pPr>
              <w:pStyle w:val="130"/>
              <w:ind w:firstLine="0"/>
              <w:rPr>
                <w:rFonts w:ascii="宋体" w:hAnsi="宋体"/>
                <w:color w:val="auto"/>
                <w:szCs w:val="24"/>
                <w:highlight w:val="none"/>
              </w:rPr>
            </w:pPr>
            <w:r>
              <w:rPr>
                <w:rFonts w:hint="eastAsia" w:ascii="宋体" w:hAnsi="宋体"/>
                <w:color w:val="auto"/>
                <w:szCs w:val="24"/>
                <w:highlight w:val="none"/>
              </w:rPr>
              <w:t>2、支持独立使用，也支持内嵌到护士工作站使用。</w:t>
            </w:r>
          </w:p>
          <w:p>
            <w:pPr>
              <w:pStyle w:val="130"/>
              <w:ind w:firstLine="0"/>
              <w:rPr>
                <w:rFonts w:ascii="宋体" w:hAnsi="宋体"/>
                <w:b/>
                <w:color w:val="auto"/>
                <w:szCs w:val="24"/>
                <w:highlight w:val="none"/>
              </w:rPr>
            </w:pPr>
            <w:r>
              <w:rPr>
                <w:rFonts w:hint="eastAsia" w:ascii="宋体" w:hAnsi="宋体"/>
                <w:b/>
                <w:color w:val="auto"/>
                <w:szCs w:val="24"/>
                <w:highlight w:val="none"/>
              </w:rPr>
              <w:t>出院：</w:t>
            </w:r>
          </w:p>
          <w:p>
            <w:pPr>
              <w:pStyle w:val="130"/>
              <w:ind w:firstLine="0"/>
              <w:rPr>
                <w:rFonts w:ascii="宋体" w:hAnsi="宋体"/>
                <w:color w:val="auto"/>
                <w:szCs w:val="24"/>
                <w:highlight w:val="none"/>
              </w:rPr>
            </w:pPr>
            <w:r>
              <w:rPr>
                <w:rFonts w:hint="eastAsia" w:ascii="宋体" w:hAnsi="宋体"/>
                <w:color w:val="auto"/>
                <w:szCs w:val="24"/>
                <w:highlight w:val="none"/>
              </w:rPr>
              <w:t>1、支持患者病区出院。</w:t>
            </w:r>
          </w:p>
          <w:p>
            <w:pPr>
              <w:pStyle w:val="130"/>
              <w:ind w:firstLine="0"/>
              <w:rPr>
                <w:rFonts w:ascii="宋体" w:hAnsi="宋体"/>
                <w:color w:val="auto"/>
                <w:szCs w:val="24"/>
                <w:highlight w:val="none"/>
              </w:rPr>
            </w:pPr>
            <w:r>
              <w:rPr>
                <w:rFonts w:hint="eastAsia" w:ascii="宋体" w:hAnsi="宋体"/>
                <w:color w:val="auto"/>
                <w:szCs w:val="24"/>
                <w:highlight w:val="none"/>
              </w:rPr>
              <w:t>2、支持独立使用，支持内嵌到护士工作站使用。</w:t>
            </w:r>
          </w:p>
          <w:p>
            <w:pPr>
              <w:pStyle w:val="130"/>
              <w:ind w:firstLine="0"/>
              <w:rPr>
                <w:rFonts w:ascii="宋体" w:hAnsi="宋体"/>
                <w:color w:val="auto"/>
                <w:szCs w:val="24"/>
                <w:highlight w:val="none"/>
              </w:rPr>
            </w:pPr>
            <w:r>
              <w:rPr>
                <w:rFonts w:hint="eastAsia" w:ascii="宋体" w:hAnsi="宋体"/>
                <w:color w:val="auto"/>
                <w:szCs w:val="24"/>
                <w:highlight w:val="none"/>
              </w:rPr>
              <w:t>3、支持自动列出当前病区待出院患者记录。</w:t>
            </w:r>
          </w:p>
          <w:p>
            <w:pPr>
              <w:pStyle w:val="130"/>
              <w:ind w:firstLine="0"/>
              <w:rPr>
                <w:rFonts w:ascii="宋体" w:hAnsi="宋体"/>
                <w:color w:val="auto"/>
                <w:szCs w:val="24"/>
                <w:highlight w:val="none"/>
              </w:rPr>
            </w:pPr>
            <w:r>
              <w:rPr>
                <w:rFonts w:hint="eastAsia" w:ascii="宋体" w:hAnsi="宋体"/>
                <w:color w:val="auto"/>
                <w:szCs w:val="24"/>
                <w:highlight w:val="none"/>
              </w:rPr>
              <w:t>4、支持出院校验：医嘱、执行、药品、医技、费用。</w:t>
            </w:r>
          </w:p>
          <w:p>
            <w:pPr>
              <w:pStyle w:val="130"/>
              <w:ind w:firstLine="0"/>
              <w:rPr>
                <w:rFonts w:ascii="宋体" w:hAnsi="宋体"/>
                <w:color w:val="auto"/>
                <w:szCs w:val="24"/>
                <w:highlight w:val="none"/>
              </w:rPr>
            </w:pPr>
            <w:r>
              <w:rPr>
                <w:rFonts w:hint="eastAsia" w:ascii="宋体" w:hAnsi="宋体"/>
                <w:b/>
                <w:color w:val="auto"/>
                <w:szCs w:val="24"/>
                <w:highlight w:val="none"/>
              </w:rPr>
              <w:t>入院登记查询：</w:t>
            </w:r>
            <w:r>
              <w:rPr>
                <w:rFonts w:hint="eastAsia" w:ascii="宋体" w:hAnsi="宋体"/>
                <w:color w:val="auto"/>
                <w:szCs w:val="24"/>
                <w:highlight w:val="none"/>
              </w:rPr>
              <w:t>支持入院登记查询。</w:t>
            </w:r>
          </w:p>
          <w:p>
            <w:pPr>
              <w:pStyle w:val="201"/>
              <w:spacing w:before="6" w:line="360" w:lineRule="auto"/>
              <w:ind w:left="0" w:right="105" w:rightChars="50" w:firstLine="482"/>
              <w:rPr>
                <w:rFonts w:ascii="宋体" w:hAnsi="宋体" w:eastAsia="宋体"/>
                <w:color w:val="auto"/>
                <w:sz w:val="24"/>
                <w:highlight w:val="none"/>
                <w:lang w:val="zh-CN" w:eastAsia="zh-CN" w:bidi="zh-CN"/>
              </w:rPr>
            </w:pPr>
            <w:r>
              <w:rPr>
                <w:rFonts w:hint="eastAsia" w:ascii="宋体" w:hAnsi="宋体" w:eastAsia="宋体"/>
                <w:b/>
                <w:color w:val="auto"/>
                <w:sz w:val="24"/>
                <w:highlight w:val="none"/>
                <w:lang w:eastAsia="zh-CN"/>
              </w:rPr>
              <w:t>出院列表：</w:t>
            </w:r>
            <w:r>
              <w:rPr>
                <w:rFonts w:hint="eastAsia" w:ascii="宋体" w:hAnsi="宋体" w:eastAsia="宋体"/>
                <w:color w:val="auto"/>
                <w:sz w:val="24"/>
                <w:highlight w:val="none"/>
                <w:lang w:eastAsia="zh-CN"/>
              </w:rPr>
              <w:t>支持出院列表查询。</w:t>
            </w:r>
          </w:p>
        </w:tc>
      </w:tr>
    </w:tbl>
    <w:p>
      <w:pPr>
        <w:pStyle w:val="6"/>
        <w:numPr>
          <w:ilvl w:val="3"/>
          <w:numId w:val="8"/>
        </w:numPr>
        <w:spacing w:before="280" w:after="290" w:line="376" w:lineRule="auto"/>
        <w:rPr>
          <w:rFonts w:ascii="宋体" w:hAnsi="宋体"/>
          <w:color w:val="auto"/>
          <w:sz w:val="24"/>
          <w:szCs w:val="24"/>
          <w:highlight w:val="none"/>
        </w:rPr>
      </w:pPr>
      <w:bookmarkStart w:id="699" w:name="_Toc15145"/>
      <w:r>
        <w:rPr>
          <w:rFonts w:hint="eastAsia" w:ascii="宋体" w:hAnsi="宋体"/>
          <w:color w:val="auto"/>
          <w:sz w:val="24"/>
          <w:szCs w:val="24"/>
          <w:highlight w:val="none"/>
        </w:rPr>
        <w:t>掌上医院</w:t>
      </w:r>
      <w:bookmarkEnd w:id="699"/>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1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5"/>
        <w:gridCol w:w="1560"/>
        <w:gridCol w:w="66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jc w:val="center"/>
        </w:trPr>
        <w:tc>
          <w:tcPr>
            <w:tcW w:w="2565" w:type="dxa"/>
            <w:gridSpan w:val="2"/>
            <w:shd w:val="clear" w:color="auto" w:fill="4471C4"/>
          </w:tcPr>
          <w:p>
            <w:pPr>
              <w:autoSpaceDE w:val="0"/>
              <w:autoSpaceDN w:val="0"/>
              <w:spacing w:before="30" w:line="360" w:lineRule="auto"/>
              <w:ind w:left="347"/>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模块</w:t>
            </w:r>
          </w:p>
        </w:tc>
        <w:tc>
          <w:tcPr>
            <w:tcW w:w="6617" w:type="dxa"/>
            <w:shd w:val="clear" w:color="auto" w:fill="4471C4"/>
          </w:tcPr>
          <w:p>
            <w:pPr>
              <w:autoSpaceDE w:val="0"/>
              <w:autoSpaceDN w:val="0"/>
              <w:spacing w:before="30" w:line="360" w:lineRule="auto"/>
              <w:ind w:left="1006" w:right="1000"/>
              <w:jc w:val="center"/>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功能</w:t>
            </w:r>
            <w:r>
              <w:rPr>
                <w:rFonts w:hint="eastAsia" w:ascii="宋体" w:hAnsi="宋体" w:cs="仿宋"/>
                <w:b/>
                <w:bCs/>
                <w:color w:val="auto"/>
                <w:sz w:val="24"/>
                <w:highlight w:val="none"/>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005" w:type="dxa"/>
            <w:vMerge w:val="restart"/>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患者移动端（微信公众号或小程序）</w:t>
            </w:r>
          </w:p>
        </w:tc>
        <w:tc>
          <w:tcPr>
            <w:tcW w:w="1560"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主功能区</w:t>
            </w:r>
          </w:p>
        </w:tc>
        <w:tc>
          <w:tcPr>
            <w:tcW w:w="661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线上复诊：支持患者通过线上进行复诊预约挂号、在线图文视频复诊</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预约挂号：支持患者通过线上进行预约挂号</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线上问诊：支持患者在线发起免费在线图文视频问诊</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慢病延方：支持患者在线进行延方申请</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智能导诊：</w:t>
            </w: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引导患者根据病情情况选择对应就诊科室</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就医指南：展示医院简介及就医相关流程说明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005" w:type="dxa"/>
            <w:vMerge w:val="continue"/>
          </w:tcPr>
          <w:p>
            <w:pPr>
              <w:jc w:val="center"/>
              <w:textAlignment w:val="center"/>
              <w:rPr>
                <w:rFonts w:ascii="宋体" w:hAnsi="宋体" w:cs="仿宋"/>
                <w:b/>
                <w:bCs/>
                <w:color w:val="auto"/>
                <w:sz w:val="24"/>
                <w:highlight w:val="none"/>
                <w:lang w:bidi="ar"/>
              </w:rPr>
            </w:pPr>
          </w:p>
        </w:tc>
        <w:tc>
          <w:tcPr>
            <w:tcW w:w="1560"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患者服务区</w:t>
            </w:r>
          </w:p>
        </w:tc>
        <w:tc>
          <w:tcPr>
            <w:tcW w:w="661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在线缴费：</w:t>
            </w: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显示待缴费及缴费历史记录信息情况</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报告查询：支持患者在线查看相关检查检验等报告</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处方查询：支持患者在线查看个人处方情况</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健康管理：支持患者根据诊后管理情况进行任务查看与上报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1005" w:type="dxa"/>
            <w:vMerge w:val="continue"/>
          </w:tcPr>
          <w:p>
            <w:pPr>
              <w:jc w:val="center"/>
              <w:textAlignment w:val="center"/>
              <w:rPr>
                <w:rFonts w:ascii="宋体" w:hAnsi="宋体" w:cs="仿宋"/>
                <w:b/>
                <w:bCs/>
                <w:color w:val="auto"/>
                <w:sz w:val="24"/>
                <w:highlight w:val="none"/>
                <w:lang w:bidi="ar"/>
              </w:rPr>
            </w:pPr>
          </w:p>
        </w:tc>
        <w:tc>
          <w:tcPr>
            <w:tcW w:w="1560"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线上专家</w:t>
            </w:r>
          </w:p>
        </w:tc>
        <w:tc>
          <w:tcPr>
            <w:tcW w:w="661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展示当前线上服务专家情况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jc w:val="center"/>
        </w:trPr>
        <w:tc>
          <w:tcPr>
            <w:tcW w:w="1005" w:type="dxa"/>
            <w:vMerge w:val="continue"/>
          </w:tcPr>
          <w:p>
            <w:pPr>
              <w:jc w:val="center"/>
              <w:textAlignment w:val="center"/>
              <w:rPr>
                <w:rFonts w:ascii="宋体" w:hAnsi="宋体" w:cs="仿宋"/>
                <w:b/>
                <w:bCs/>
                <w:color w:val="auto"/>
                <w:sz w:val="24"/>
                <w:highlight w:val="none"/>
                <w:lang w:bidi="ar"/>
              </w:rPr>
            </w:pPr>
          </w:p>
        </w:tc>
        <w:tc>
          <w:tcPr>
            <w:tcW w:w="1560"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健康咨询</w:t>
            </w:r>
          </w:p>
        </w:tc>
        <w:tc>
          <w:tcPr>
            <w:tcW w:w="661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展示最新资讯内容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jc w:val="center"/>
        </w:trPr>
        <w:tc>
          <w:tcPr>
            <w:tcW w:w="1005" w:type="dxa"/>
            <w:vMerge w:val="continue"/>
          </w:tcPr>
          <w:p>
            <w:pPr>
              <w:jc w:val="center"/>
              <w:textAlignment w:val="center"/>
              <w:rPr>
                <w:rFonts w:ascii="宋体" w:hAnsi="宋体" w:cs="仿宋"/>
                <w:b/>
                <w:bCs/>
                <w:color w:val="auto"/>
                <w:sz w:val="24"/>
                <w:highlight w:val="none"/>
                <w:lang w:bidi="ar"/>
              </w:rPr>
            </w:pPr>
          </w:p>
        </w:tc>
        <w:tc>
          <w:tcPr>
            <w:tcW w:w="1560"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问诊</w:t>
            </w:r>
          </w:p>
        </w:tc>
        <w:tc>
          <w:tcPr>
            <w:tcW w:w="661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未结诊：支持患者进行问诊报到、确认问诊时间、退号</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已结诊：支持患者查看问诊记录、评价医生、申请延方</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慢病延方：支持患者查看延方情况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jc w:val="center"/>
        </w:trPr>
        <w:tc>
          <w:tcPr>
            <w:tcW w:w="1005" w:type="dxa"/>
            <w:vMerge w:val="continue"/>
          </w:tcPr>
          <w:p>
            <w:pPr>
              <w:jc w:val="center"/>
              <w:textAlignment w:val="center"/>
              <w:rPr>
                <w:rFonts w:ascii="宋体" w:hAnsi="宋体" w:cs="仿宋"/>
                <w:b/>
                <w:bCs/>
                <w:color w:val="auto"/>
                <w:sz w:val="24"/>
                <w:highlight w:val="none"/>
                <w:lang w:bidi="ar"/>
              </w:rPr>
            </w:pPr>
          </w:p>
        </w:tc>
        <w:tc>
          <w:tcPr>
            <w:tcW w:w="1560"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资讯</w:t>
            </w:r>
          </w:p>
        </w:tc>
        <w:tc>
          <w:tcPr>
            <w:tcW w:w="661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资讯分类：</w:t>
            </w: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展示全部资讯内容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jc w:val="center"/>
        </w:trPr>
        <w:tc>
          <w:tcPr>
            <w:tcW w:w="1005" w:type="dxa"/>
            <w:vMerge w:val="continue"/>
          </w:tcPr>
          <w:p>
            <w:pPr>
              <w:jc w:val="center"/>
              <w:textAlignment w:val="center"/>
              <w:rPr>
                <w:rFonts w:ascii="宋体" w:hAnsi="宋体" w:cs="仿宋"/>
                <w:b/>
                <w:bCs/>
                <w:color w:val="auto"/>
                <w:sz w:val="24"/>
                <w:highlight w:val="none"/>
                <w:lang w:bidi="ar"/>
              </w:rPr>
            </w:pPr>
          </w:p>
        </w:tc>
        <w:tc>
          <w:tcPr>
            <w:tcW w:w="1560"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医保移动服务</w:t>
            </w:r>
          </w:p>
        </w:tc>
        <w:tc>
          <w:tcPr>
            <w:tcW w:w="661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支持慢特病线上办理及其他医保移动业务。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jc w:val="center"/>
        </w:trPr>
        <w:tc>
          <w:tcPr>
            <w:tcW w:w="1005" w:type="dxa"/>
            <w:vMerge w:val="continue"/>
          </w:tcPr>
          <w:p>
            <w:pPr>
              <w:jc w:val="center"/>
              <w:textAlignment w:val="center"/>
              <w:rPr>
                <w:rFonts w:ascii="宋体" w:hAnsi="宋体" w:cs="仿宋"/>
                <w:b/>
                <w:bCs/>
                <w:color w:val="auto"/>
                <w:sz w:val="24"/>
                <w:highlight w:val="none"/>
                <w:lang w:bidi="ar"/>
              </w:rPr>
            </w:pPr>
          </w:p>
        </w:tc>
        <w:tc>
          <w:tcPr>
            <w:tcW w:w="1560"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个人中心</w:t>
            </w:r>
          </w:p>
        </w:tc>
        <w:tc>
          <w:tcPr>
            <w:tcW w:w="661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个人信息：支持修改头像、编辑账户信息、修改密码、退出登陆</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我的挂号：支持患者查看个人待就诊及挂号历史记录</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我的缴费：</w:t>
            </w: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显示待缴费及缴费历史记录信息情况</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我的处方：支持患者在线查看个人处方情况</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我的报告：支持患者在线查看相关检查检验等报告</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我的线下挂号：支持患者在线查看个人线下挂号待就诊及历史记录</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我的收藏：支持患者查看收藏地医生、医院</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医保电子凭证：支持患者查看个人电子凭证信息</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我的诊后管理：支持患者根据诊后管理情况进行任务查看与上报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jc w:val="center"/>
        </w:trPr>
        <w:tc>
          <w:tcPr>
            <w:tcW w:w="1005"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医生移动端（（微信公众号或小程序）</w:t>
            </w:r>
          </w:p>
        </w:tc>
        <w:tc>
          <w:tcPr>
            <w:tcW w:w="1560" w:type="dxa"/>
            <w:vAlign w:val="center"/>
          </w:tcPr>
          <w:p>
            <w:pP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首页</w:t>
            </w:r>
          </w:p>
        </w:tc>
        <w:tc>
          <w:tcPr>
            <w:tcW w:w="661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我的消息：支持医生查看当前挂号消息、问诊消息及患者回复消息</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医生信息：展示医生个人信息，支持编辑医生擅长及简介内容</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我的患者：</w:t>
            </w: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展示近期已结诊的患者列表，方便医生查看相关病情问诊记录</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学习培训：支持医生实时查看院内学习任务、实时资讯、通知公告等内容</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随访管理：支持医生查看随访组患者每日任务执行情况</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在线问诊</w:t>
            </w:r>
          </w:p>
          <w:p>
            <w:pPr>
              <w:pStyle w:val="201"/>
              <w:numPr>
                <w:ilvl w:val="0"/>
                <w:numId w:val="30"/>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电子病历：支持医生根据患者情况进行创建电子病历填写患者主诉、现病史、既往史、诊疗建议、诊断</w:t>
            </w:r>
          </w:p>
          <w:p>
            <w:pPr>
              <w:pStyle w:val="201"/>
              <w:numPr>
                <w:ilvl w:val="0"/>
                <w:numId w:val="30"/>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历史病历：支持医生调阅查看患者历史病历信息</w:t>
            </w:r>
          </w:p>
          <w:p>
            <w:pPr>
              <w:pStyle w:val="201"/>
              <w:numPr>
                <w:ilvl w:val="0"/>
                <w:numId w:val="30"/>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电子处方：支持医生根据患者病情为患者开具相关处方</w:t>
            </w:r>
          </w:p>
          <w:p>
            <w:pPr>
              <w:pStyle w:val="201"/>
              <w:numPr>
                <w:ilvl w:val="0"/>
                <w:numId w:val="30"/>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视频通话：支持医生接诊后与患者进行视频通话</w:t>
            </w:r>
          </w:p>
          <w:p>
            <w:pPr>
              <w:pStyle w:val="201"/>
              <w:numPr>
                <w:ilvl w:val="0"/>
                <w:numId w:val="30"/>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电话通话：支持医生接诊后可直接拨打患者电话进行通话</w:t>
            </w:r>
          </w:p>
          <w:p>
            <w:pPr>
              <w:pStyle w:val="201"/>
              <w:numPr>
                <w:ilvl w:val="0"/>
                <w:numId w:val="30"/>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检查申请：支持医生根据患者病情为其开具检查申请单</w:t>
            </w:r>
          </w:p>
          <w:p>
            <w:pPr>
              <w:pStyle w:val="201"/>
              <w:numPr>
                <w:ilvl w:val="0"/>
                <w:numId w:val="30"/>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检验申请：支持医生根据患者病情为其开具检验申请单</w:t>
            </w:r>
          </w:p>
          <w:p>
            <w:pPr>
              <w:pStyle w:val="201"/>
              <w:numPr>
                <w:ilvl w:val="0"/>
                <w:numId w:val="30"/>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延方审核：支持医生为慢病患者进行延方审核及处方开具</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审方管理：支持审方医生对医生开具的处方笺进行审核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jc w:val="center"/>
        </w:trPr>
        <w:tc>
          <w:tcPr>
            <w:tcW w:w="1005" w:type="dxa"/>
          </w:tcPr>
          <w:p>
            <w:pPr>
              <w:jc w:val="center"/>
              <w:textAlignment w:val="center"/>
              <w:rPr>
                <w:rFonts w:ascii="宋体" w:hAnsi="宋体" w:cs="仿宋"/>
                <w:b/>
                <w:bCs/>
                <w:color w:val="auto"/>
                <w:sz w:val="24"/>
                <w:highlight w:val="none"/>
                <w:lang w:bidi="ar"/>
              </w:rPr>
            </w:pPr>
          </w:p>
        </w:tc>
        <w:tc>
          <w:tcPr>
            <w:tcW w:w="1560" w:type="dxa"/>
            <w:vAlign w:val="center"/>
          </w:tcPr>
          <w:p>
            <w:pP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患者（工作台）</w:t>
            </w:r>
          </w:p>
        </w:tc>
        <w:tc>
          <w:tcPr>
            <w:tcW w:w="661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候诊：</w:t>
            </w: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展示已报到的待接诊或接诊中的患者列表</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未报到：展示未报到的患者列表，支持医生手动提醒患者报到</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已结诊：</w:t>
            </w: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展示已经完成问诊或线上复诊的患者列表</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已退号：</w:t>
            </w: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展示已经退号的问诊或线上复诊的患者列表</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咨询：</w:t>
            </w: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展示健康咨询的患者列表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jc w:val="center"/>
        </w:trPr>
        <w:tc>
          <w:tcPr>
            <w:tcW w:w="1005" w:type="dxa"/>
          </w:tcPr>
          <w:p>
            <w:pPr>
              <w:jc w:val="center"/>
              <w:textAlignment w:val="center"/>
              <w:rPr>
                <w:rFonts w:ascii="宋体" w:hAnsi="宋体" w:cs="仿宋"/>
                <w:b/>
                <w:bCs/>
                <w:color w:val="auto"/>
                <w:sz w:val="24"/>
                <w:highlight w:val="none"/>
                <w:lang w:bidi="ar"/>
              </w:rPr>
            </w:pPr>
          </w:p>
        </w:tc>
        <w:tc>
          <w:tcPr>
            <w:tcW w:w="1560" w:type="dxa"/>
            <w:vAlign w:val="center"/>
          </w:tcPr>
          <w:p>
            <w:pP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我的</w:t>
            </w:r>
          </w:p>
        </w:tc>
        <w:tc>
          <w:tcPr>
            <w:tcW w:w="661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接诊记录：</w:t>
            </w: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展示该医生所有班次挂号患者问诊记录，支持查看患者病历</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我的主页：</w:t>
            </w: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展示医生个人信息，支持编辑医生擅长及简介内容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jc w:val="center"/>
        </w:trPr>
        <w:tc>
          <w:tcPr>
            <w:tcW w:w="1005" w:type="dxa"/>
            <w:vMerge w:val="restart"/>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医生P</w:t>
            </w:r>
            <w:r>
              <w:rPr>
                <w:rFonts w:ascii="宋体" w:hAnsi="宋体" w:cs="仿宋"/>
                <w:b/>
                <w:bCs/>
                <w:color w:val="auto"/>
                <w:sz w:val="24"/>
                <w:highlight w:val="none"/>
                <w:lang w:bidi="ar"/>
              </w:rPr>
              <w:t>C</w:t>
            </w:r>
            <w:r>
              <w:rPr>
                <w:rFonts w:hint="eastAsia" w:ascii="宋体" w:hAnsi="宋体" w:cs="仿宋"/>
                <w:b/>
                <w:bCs/>
                <w:color w:val="auto"/>
                <w:sz w:val="24"/>
                <w:highlight w:val="none"/>
                <w:lang w:bidi="ar"/>
              </w:rPr>
              <w:t>端</w:t>
            </w:r>
          </w:p>
        </w:tc>
        <w:tc>
          <w:tcPr>
            <w:tcW w:w="1560" w:type="dxa"/>
            <w:vAlign w:val="center"/>
          </w:tcPr>
          <w:p>
            <w:pP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首页</w:t>
            </w:r>
          </w:p>
        </w:tc>
        <w:tc>
          <w:tcPr>
            <w:tcW w:w="661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工作台</w:t>
            </w:r>
          </w:p>
          <w:p>
            <w:pPr>
              <w:pStyle w:val="201"/>
              <w:numPr>
                <w:ilvl w:val="0"/>
                <w:numId w:val="31"/>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今日诊疗概况：统计并展示总计挂号人数、候诊人数、已结诊人数、待定患者人数、审方不通过人数</w:t>
            </w:r>
          </w:p>
          <w:p>
            <w:pPr>
              <w:pStyle w:val="201"/>
              <w:numPr>
                <w:ilvl w:val="0"/>
                <w:numId w:val="31"/>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候诊列表：展示当前未报到、已报到、接诊中状态的患者列表支持医生查看患者病历或进行接诊</w:t>
            </w:r>
          </w:p>
          <w:p>
            <w:pPr>
              <w:pStyle w:val="201"/>
              <w:numPr>
                <w:ilvl w:val="0"/>
                <w:numId w:val="31"/>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挂号列表：医生可以通过时间检索所有患者挂号记录，并根据记录查看患者问诊情况及病历信息</w:t>
            </w:r>
          </w:p>
          <w:p>
            <w:pPr>
              <w:pStyle w:val="201"/>
              <w:numPr>
                <w:ilvl w:val="0"/>
                <w:numId w:val="31"/>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已结诊：展示所有已结诊患者列表信息，支持医生查看患者病历信息</w:t>
            </w:r>
          </w:p>
          <w:p>
            <w:pPr>
              <w:pStyle w:val="201"/>
              <w:numPr>
                <w:ilvl w:val="0"/>
                <w:numId w:val="31"/>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待定患者：展示所有需要医生选择就诊时间的患者列表，由医生选择时间发送至用户端由患者确认</w:t>
            </w:r>
          </w:p>
          <w:p>
            <w:pPr>
              <w:pStyle w:val="201"/>
              <w:numPr>
                <w:ilvl w:val="0"/>
                <w:numId w:val="31"/>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审方不通过：展示所有审方不通过的患者处方信息，支持查看审方结果，支持医生进行强制执行或修改药方</w:t>
            </w:r>
          </w:p>
          <w:p>
            <w:pPr>
              <w:pStyle w:val="201"/>
              <w:numPr>
                <w:ilvl w:val="0"/>
                <w:numId w:val="31"/>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延方候诊：展示所有发起慢病延方申请的患者申请信息，支持医生查看延方内容，并根据内容重新开具处方笺</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历史病历</w:t>
            </w:r>
          </w:p>
          <w:p>
            <w:pPr>
              <w:pStyle w:val="201"/>
              <w:numPr>
                <w:ilvl w:val="0"/>
                <w:numId w:val="32"/>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诊疗信息：支持医生查看患者历史诊疗记录</w:t>
            </w:r>
          </w:p>
          <w:p>
            <w:pPr>
              <w:pStyle w:val="201"/>
              <w:numPr>
                <w:ilvl w:val="0"/>
                <w:numId w:val="32"/>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检验报告：支持医生查看患者历史检验报告内容</w:t>
            </w:r>
          </w:p>
          <w:p>
            <w:pPr>
              <w:pStyle w:val="201"/>
              <w:numPr>
                <w:ilvl w:val="0"/>
                <w:numId w:val="32"/>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检查报告：支持医生查看患者历史检查报告内容</w:t>
            </w:r>
          </w:p>
          <w:p>
            <w:pPr>
              <w:pStyle w:val="201"/>
              <w:numPr>
                <w:ilvl w:val="0"/>
                <w:numId w:val="32"/>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问诊图文：支持医生查看诊疗信息具体问诊图文内容</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在线问诊</w:t>
            </w:r>
          </w:p>
          <w:p>
            <w:pPr>
              <w:pStyle w:val="201"/>
              <w:numPr>
                <w:ilvl w:val="0"/>
                <w:numId w:val="33"/>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本次病情描述：支持医生查看患者本次病情自述内容</w:t>
            </w:r>
          </w:p>
          <w:p>
            <w:pPr>
              <w:pStyle w:val="201"/>
              <w:numPr>
                <w:ilvl w:val="0"/>
                <w:numId w:val="33"/>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历史病历：支持医生查看患者历史诊疗信息、检验报告、检查报告、问诊图文</w:t>
            </w:r>
          </w:p>
          <w:p>
            <w:pPr>
              <w:pStyle w:val="201"/>
              <w:numPr>
                <w:ilvl w:val="0"/>
                <w:numId w:val="33"/>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电子病历：支持医生根据患者情况在线进行门诊病历填写，内容包含主诉、现病史、既往史、诊疗建议、诊断</w:t>
            </w:r>
          </w:p>
          <w:p>
            <w:pPr>
              <w:pStyle w:val="201"/>
              <w:numPr>
                <w:ilvl w:val="0"/>
                <w:numId w:val="33"/>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检验申请：支持医生根据患者病情为其开具检查申请单</w:t>
            </w:r>
          </w:p>
          <w:p>
            <w:pPr>
              <w:pStyle w:val="201"/>
              <w:numPr>
                <w:ilvl w:val="0"/>
                <w:numId w:val="33"/>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检查申请；支持医生根据患者病情为其开具检验申请单</w:t>
            </w:r>
          </w:p>
          <w:p>
            <w:pPr>
              <w:pStyle w:val="201"/>
              <w:numPr>
                <w:ilvl w:val="0"/>
                <w:numId w:val="33"/>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电子处方：支持医生根据患者病情为患者开具相关处方</w:t>
            </w:r>
          </w:p>
          <w:p>
            <w:pPr>
              <w:pStyle w:val="201"/>
              <w:numPr>
                <w:ilvl w:val="0"/>
                <w:numId w:val="33"/>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聊天窗口：支持医生与患者进行图文、语音、视频交流。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jc w:val="center"/>
        </w:trPr>
        <w:tc>
          <w:tcPr>
            <w:tcW w:w="1005" w:type="dxa"/>
            <w:vMerge w:val="continue"/>
          </w:tcPr>
          <w:p>
            <w:pPr>
              <w:jc w:val="center"/>
              <w:textAlignment w:val="center"/>
              <w:rPr>
                <w:rFonts w:ascii="宋体" w:hAnsi="宋体" w:cs="仿宋"/>
                <w:b/>
                <w:bCs/>
                <w:color w:val="auto"/>
                <w:sz w:val="24"/>
                <w:highlight w:val="none"/>
                <w:lang w:bidi="ar"/>
              </w:rPr>
            </w:pPr>
          </w:p>
        </w:tc>
        <w:tc>
          <w:tcPr>
            <w:tcW w:w="1560" w:type="dxa"/>
            <w:vAlign w:val="center"/>
          </w:tcPr>
          <w:p>
            <w:pP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挂号查询</w:t>
            </w:r>
          </w:p>
        </w:tc>
        <w:tc>
          <w:tcPr>
            <w:tcW w:w="661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支持检索查看该医生所有班次挂号患者问诊记录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jc w:val="center"/>
        </w:trPr>
        <w:tc>
          <w:tcPr>
            <w:tcW w:w="1005" w:type="dxa"/>
            <w:vMerge w:val="continue"/>
          </w:tcPr>
          <w:p>
            <w:pPr>
              <w:jc w:val="center"/>
              <w:textAlignment w:val="center"/>
              <w:rPr>
                <w:rFonts w:ascii="宋体" w:hAnsi="宋体" w:cs="仿宋"/>
                <w:b/>
                <w:bCs/>
                <w:color w:val="auto"/>
                <w:sz w:val="24"/>
                <w:highlight w:val="none"/>
                <w:lang w:bidi="ar"/>
              </w:rPr>
            </w:pPr>
          </w:p>
        </w:tc>
        <w:tc>
          <w:tcPr>
            <w:tcW w:w="1560" w:type="dxa"/>
            <w:vAlign w:val="center"/>
          </w:tcPr>
          <w:p>
            <w:pP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基础数据</w:t>
            </w:r>
          </w:p>
        </w:tc>
        <w:tc>
          <w:tcPr>
            <w:tcW w:w="661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回复语设置：支持聊天过程各种场景的语句设置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jc w:val="center"/>
        </w:trPr>
        <w:tc>
          <w:tcPr>
            <w:tcW w:w="1005" w:type="dxa"/>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掌上医院管理系统建设</w:t>
            </w:r>
          </w:p>
        </w:tc>
        <w:tc>
          <w:tcPr>
            <w:tcW w:w="1560" w:type="dxa"/>
            <w:vAlign w:val="center"/>
          </w:tcPr>
          <w:p>
            <w:pP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医院信息管理</w:t>
            </w:r>
          </w:p>
        </w:tc>
        <w:tc>
          <w:tcPr>
            <w:tcW w:w="661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支持编辑互联网医院基本信息及上传互联网医院备案材料并上报至有关监管部门。</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科室管理：支持维护互联网医院科室基本信息</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医生管理：支持维护互联网医院医生基本信息、上传相关证件，支持为医生开通线上咨询等线上服务。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jc w:val="center"/>
        </w:trPr>
        <w:tc>
          <w:tcPr>
            <w:tcW w:w="1005" w:type="dxa"/>
          </w:tcPr>
          <w:p>
            <w:pPr>
              <w:jc w:val="center"/>
              <w:textAlignment w:val="center"/>
              <w:rPr>
                <w:rFonts w:ascii="宋体" w:hAnsi="宋体" w:cs="仿宋"/>
                <w:b/>
                <w:bCs/>
                <w:color w:val="auto"/>
                <w:sz w:val="24"/>
                <w:highlight w:val="none"/>
                <w:lang w:bidi="ar"/>
              </w:rPr>
            </w:pPr>
          </w:p>
        </w:tc>
        <w:tc>
          <w:tcPr>
            <w:tcW w:w="1560" w:type="dxa"/>
            <w:vAlign w:val="center"/>
          </w:tcPr>
          <w:p>
            <w:pP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排班管理</w:t>
            </w:r>
          </w:p>
        </w:tc>
        <w:tc>
          <w:tcPr>
            <w:tcW w:w="661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排班信息：展示互联网医院各科室当前医生排班情况，支持新增排班、生效排班、停诊排班</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基础号表：支持维护各科室医生每周基础号源及排班</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时段管理：支持设置时段规则控制号量及取号时间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jc w:val="center"/>
        </w:trPr>
        <w:tc>
          <w:tcPr>
            <w:tcW w:w="1005" w:type="dxa"/>
          </w:tcPr>
          <w:p>
            <w:pPr>
              <w:jc w:val="center"/>
              <w:textAlignment w:val="center"/>
              <w:rPr>
                <w:rFonts w:ascii="宋体" w:hAnsi="宋体" w:cs="仿宋"/>
                <w:b/>
                <w:bCs/>
                <w:color w:val="auto"/>
                <w:sz w:val="24"/>
                <w:highlight w:val="none"/>
                <w:lang w:bidi="ar"/>
              </w:rPr>
            </w:pPr>
          </w:p>
        </w:tc>
        <w:tc>
          <w:tcPr>
            <w:tcW w:w="1560" w:type="dxa"/>
            <w:vAlign w:val="center"/>
          </w:tcPr>
          <w:p>
            <w:pP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诊疗项目管理</w:t>
            </w:r>
          </w:p>
        </w:tc>
        <w:tc>
          <w:tcPr>
            <w:tcW w:w="661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检验信息：支持维护检验项目基本信息</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检查信息：支持维护检查项目基本信息</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药品信息：支持同步获取药品库信息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jc w:val="center"/>
        </w:trPr>
        <w:tc>
          <w:tcPr>
            <w:tcW w:w="1005" w:type="dxa"/>
          </w:tcPr>
          <w:p>
            <w:pPr>
              <w:jc w:val="center"/>
              <w:textAlignment w:val="center"/>
              <w:rPr>
                <w:rFonts w:ascii="宋体" w:hAnsi="宋体" w:cs="仿宋"/>
                <w:b/>
                <w:bCs/>
                <w:color w:val="auto"/>
                <w:sz w:val="24"/>
                <w:highlight w:val="none"/>
                <w:lang w:bidi="ar"/>
              </w:rPr>
            </w:pPr>
          </w:p>
        </w:tc>
        <w:tc>
          <w:tcPr>
            <w:tcW w:w="1560" w:type="dxa"/>
            <w:vAlign w:val="center"/>
          </w:tcPr>
          <w:p>
            <w:pP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患者管理</w:t>
            </w:r>
          </w:p>
        </w:tc>
        <w:tc>
          <w:tcPr>
            <w:tcW w:w="661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注册用户：</w:t>
            </w: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显示当前注册用户数量及对应信息</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评价管理：</w:t>
            </w: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展示当前互联网医院医生诊疗综合评价情况，支持查看患者评价详情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jc w:val="center"/>
        </w:trPr>
        <w:tc>
          <w:tcPr>
            <w:tcW w:w="1005" w:type="dxa"/>
          </w:tcPr>
          <w:p>
            <w:pPr>
              <w:jc w:val="center"/>
              <w:textAlignment w:val="center"/>
              <w:rPr>
                <w:rFonts w:ascii="宋体" w:hAnsi="宋体" w:cs="仿宋"/>
                <w:b/>
                <w:bCs/>
                <w:color w:val="auto"/>
                <w:sz w:val="24"/>
                <w:highlight w:val="none"/>
                <w:lang w:bidi="ar"/>
              </w:rPr>
            </w:pPr>
          </w:p>
        </w:tc>
        <w:tc>
          <w:tcPr>
            <w:tcW w:w="1560" w:type="dxa"/>
            <w:vAlign w:val="center"/>
          </w:tcPr>
          <w:p>
            <w:pP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健康资讯</w:t>
            </w:r>
          </w:p>
        </w:tc>
        <w:tc>
          <w:tcPr>
            <w:tcW w:w="661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资讯发布：支持查看互联网医院健康资讯发布情况，支持新增、删除、预览、失效相关资讯</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资讯审核：支持对未发布的互联网医院健康资讯内容进行审核</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资讯类目：支持对互联网医院健康资讯类目进行维护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jc w:val="center"/>
        </w:trPr>
        <w:tc>
          <w:tcPr>
            <w:tcW w:w="1005" w:type="dxa"/>
          </w:tcPr>
          <w:p>
            <w:pPr>
              <w:jc w:val="center"/>
              <w:textAlignment w:val="center"/>
              <w:rPr>
                <w:rFonts w:ascii="宋体" w:hAnsi="宋体" w:cs="仿宋"/>
                <w:b/>
                <w:bCs/>
                <w:color w:val="auto"/>
                <w:sz w:val="24"/>
                <w:highlight w:val="none"/>
                <w:lang w:bidi="ar"/>
              </w:rPr>
            </w:pPr>
          </w:p>
        </w:tc>
        <w:tc>
          <w:tcPr>
            <w:tcW w:w="1560" w:type="dxa"/>
            <w:vAlign w:val="center"/>
          </w:tcPr>
          <w:p>
            <w:pP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就医指引</w:t>
            </w:r>
          </w:p>
        </w:tc>
        <w:tc>
          <w:tcPr>
            <w:tcW w:w="661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就医指引：支持维护互联网医院就医指引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jc w:val="center"/>
        </w:trPr>
        <w:tc>
          <w:tcPr>
            <w:tcW w:w="1005" w:type="dxa"/>
          </w:tcPr>
          <w:p>
            <w:pPr>
              <w:jc w:val="center"/>
              <w:textAlignment w:val="center"/>
              <w:rPr>
                <w:rFonts w:ascii="宋体" w:hAnsi="宋体" w:cs="仿宋"/>
                <w:b/>
                <w:bCs/>
                <w:color w:val="auto"/>
                <w:sz w:val="24"/>
                <w:highlight w:val="none"/>
                <w:lang w:bidi="ar"/>
              </w:rPr>
            </w:pPr>
          </w:p>
        </w:tc>
        <w:tc>
          <w:tcPr>
            <w:tcW w:w="1560" w:type="dxa"/>
            <w:vAlign w:val="center"/>
          </w:tcPr>
          <w:p>
            <w:pP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审方管理</w:t>
            </w:r>
          </w:p>
        </w:tc>
        <w:tc>
          <w:tcPr>
            <w:tcW w:w="661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药师审方：支持查看药师审方情况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jc w:val="center"/>
        </w:trPr>
        <w:tc>
          <w:tcPr>
            <w:tcW w:w="1005" w:type="dxa"/>
          </w:tcPr>
          <w:p>
            <w:pPr>
              <w:jc w:val="center"/>
              <w:textAlignment w:val="center"/>
              <w:rPr>
                <w:rFonts w:ascii="宋体" w:hAnsi="宋体" w:cs="仿宋"/>
                <w:b/>
                <w:bCs/>
                <w:color w:val="auto"/>
                <w:sz w:val="24"/>
                <w:highlight w:val="none"/>
                <w:lang w:bidi="ar"/>
              </w:rPr>
            </w:pPr>
          </w:p>
        </w:tc>
        <w:tc>
          <w:tcPr>
            <w:tcW w:w="1560" w:type="dxa"/>
            <w:vAlign w:val="center"/>
          </w:tcPr>
          <w:p>
            <w:pP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处方管理</w:t>
            </w:r>
          </w:p>
        </w:tc>
        <w:tc>
          <w:tcPr>
            <w:tcW w:w="661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发药管理：支持查看自取形式下发药机构发药情况</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药品打包：支持查看配送情况下药品的打包情况</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物流管理</w:t>
            </w:r>
            <w:r>
              <w:rPr>
                <w:rFonts w:hint="eastAsia" w:ascii="宋体" w:hAnsi="宋体" w:eastAsia="宋体"/>
                <w:color w:val="auto"/>
                <w:sz w:val="24"/>
                <w:highlight w:val="none"/>
                <w:lang w:val="zh-CN" w:eastAsia="zh-CN" w:bidi="zh-CN"/>
              </w:rPr>
              <w:tab/>
            </w:r>
            <w:r>
              <w:rPr>
                <w:rFonts w:hint="eastAsia" w:ascii="宋体" w:hAnsi="宋体" w:eastAsia="宋体"/>
                <w:color w:val="auto"/>
                <w:sz w:val="24"/>
                <w:highlight w:val="none"/>
                <w:lang w:val="zh-CN" w:eastAsia="zh-CN" w:bidi="zh-CN"/>
              </w:rPr>
              <w:t>支持查看配送情况下药品的物流情况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jc w:val="center"/>
        </w:trPr>
        <w:tc>
          <w:tcPr>
            <w:tcW w:w="1005" w:type="dxa"/>
          </w:tcPr>
          <w:p>
            <w:pPr>
              <w:jc w:val="center"/>
              <w:textAlignment w:val="center"/>
              <w:rPr>
                <w:rFonts w:ascii="宋体" w:hAnsi="宋体" w:cs="仿宋"/>
                <w:b/>
                <w:bCs/>
                <w:color w:val="auto"/>
                <w:sz w:val="24"/>
                <w:highlight w:val="none"/>
                <w:lang w:bidi="ar"/>
              </w:rPr>
            </w:pPr>
          </w:p>
        </w:tc>
        <w:tc>
          <w:tcPr>
            <w:tcW w:w="1560" w:type="dxa"/>
            <w:vAlign w:val="center"/>
          </w:tcPr>
          <w:p>
            <w:pP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检查检验管理</w:t>
            </w:r>
          </w:p>
        </w:tc>
        <w:tc>
          <w:tcPr>
            <w:tcW w:w="661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检验管理：支持查看患者检验单申请情况并确认，支持上传检验报告供患者查看</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检查管理：支持查看患者检查单申请情况并确认，支持上传检查报告供患者查看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jc w:val="center"/>
        </w:trPr>
        <w:tc>
          <w:tcPr>
            <w:tcW w:w="1005" w:type="dxa"/>
          </w:tcPr>
          <w:p>
            <w:pPr>
              <w:jc w:val="center"/>
              <w:textAlignment w:val="center"/>
              <w:rPr>
                <w:rFonts w:ascii="宋体" w:hAnsi="宋体" w:cs="仿宋"/>
                <w:b/>
                <w:bCs/>
                <w:color w:val="auto"/>
                <w:sz w:val="24"/>
                <w:highlight w:val="none"/>
                <w:lang w:bidi="ar"/>
              </w:rPr>
            </w:pPr>
          </w:p>
        </w:tc>
        <w:tc>
          <w:tcPr>
            <w:tcW w:w="1560" w:type="dxa"/>
            <w:vAlign w:val="center"/>
          </w:tcPr>
          <w:p>
            <w:pP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财务管理</w:t>
            </w:r>
          </w:p>
        </w:tc>
        <w:tc>
          <w:tcPr>
            <w:tcW w:w="661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收费报表：</w:t>
            </w: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展示各收费渠道每日收费情况</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缴费查询：支持根据患者订单号、基本信息等查询患者缴费情况</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发票管理：支持维护发票张数、号码、前缀等信息，支持作废或修改发票信息</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发票打印：支持打印发票</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业务收费统计表：</w:t>
            </w: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展示互联网医院各业务每月各渠道收费情况</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收费对账报表；</w:t>
            </w: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展示互联网医院收入对账情况</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退费发票总明细：</w:t>
            </w: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展示退费发票相关信息详情</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退款审核：支持对互联网患者退款申请进行查看与处理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 w:hRule="atLeast"/>
          <w:jc w:val="center"/>
        </w:trPr>
        <w:tc>
          <w:tcPr>
            <w:tcW w:w="1005" w:type="dxa"/>
          </w:tcPr>
          <w:p>
            <w:pPr>
              <w:jc w:val="center"/>
              <w:textAlignment w:val="center"/>
              <w:rPr>
                <w:rFonts w:ascii="宋体" w:hAnsi="宋体" w:cs="仿宋"/>
                <w:b/>
                <w:bCs/>
                <w:color w:val="auto"/>
                <w:sz w:val="24"/>
                <w:highlight w:val="none"/>
                <w:lang w:bidi="ar"/>
              </w:rPr>
            </w:pPr>
          </w:p>
        </w:tc>
        <w:tc>
          <w:tcPr>
            <w:tcW w:w="1560" w:type="dxa"/>
            <w:vAlign w:val="center"/>
          </w:tcPr>
          <w:p>
            <w:pP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后台统计</w:t>
            </w:r>
          </w:p>
        </w:tc>
        <w:tc>
          <w:tcPr>
            <w:tcW w:w="661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挂号统计：</w:t>
            </w: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展示每日互联网医院科室医生患者挂号、医生接诊、退号情况</w:t>
            </w:r>
          </w:p>
        </w:tc>
      </w:tr>
    </w:tbl>
    <w:p>
      <w:pPr>
        <w:spacing w:line="360" w:lineRule="auto"/>
        <w:ind w:firstLine="480" w:firstLineChars="200"/>
        <w:rPr>
          <w:rFonts w:ascii="宋体" w:hAnsi="宋体"/>
          <w:color w:val="auto"/>
          <w:sz w:val="24"/>
          <w:highlight w:val="none"/>
        </w:rPr>
      </w:pPr>
    </w:p>
    <w:p>
      <w:pPr>
        <w:keepNext/>
        <w:keepLines/>
        <w:numPr>
          <w:ilvl w:val="3"/>
          <w:numId w:val="8"/>
        </w:numPr>
        <w:spacing w:before="280" w:after="290" w:line="376" w:lineRule="auto"/>
        <w:outlineLvl w:val="3"/>
        <w:rPr>
          <w:rFonts w:ascii="宋体" w:hAnsi="宋体"/>
          <w:b/>
          <w:bCs/>
          <w:color w:val="auto"/>
          <w:sz w:val="24"/>
          <w:highlight w:val="none"/>
        </w:rPr>
      </w:pPr>
      <w:bookmarkStart w:id="700" w:name="_Toc17708"/>
      <w:r>
        <w:rPr>
          <w:rFonts w:hint="eastAsia" w:ascii="宋体" w:hAnsi="宋体"/>
          <w:b/>
          <w:bCs/>
          <w:color w:val="auto"/>
          <w:sz w:val="24"/>
          <w:highlight w:val="none"/>
        </w:rPr>
        <w:t>统一支付</w:t>
      </w:r>
      <w:r>
        <w:rPr>
          <w:rFonts w:hint="eastAsia" w:ascii="宋体" w:hAnsi="宋体"/>
          <w:b/>
          <w:bCs/>
          <w:color w:val="auto"/>
          <w:sz w:val="24"/>
          <w:highlight w:val="none"/>
          <w:lang w:eastAsia="zh-CN"/>
        </w:rPr>
        <w:t>平台</w:t>
      </w:r>
      <w:bookmarkEnd w:id="700"/>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统一支付平台的建设，主要面向财务管理人员提供更高效的用户体验，方便医院财务人员更好的进行对账清分服务，确保业务系统的正常运行，同时实现财务系统的兼容性及稳定性提升财务系统对新业务发展的高效支持。</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4"/>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jc w:val="center"/>
        </w:trPr>
        <w:tc>
          <w:tcPr>
            <w:tcW w:w="1984" w:type="dxa"/>
            <w:shd w:val="clear" w:color="auto" w:fill="4471C4"/>
          </w:tcPr>
          <w:p>
            <w:pPr>
              <w:autoSpaceDE w:val="0"/>
              <w:autoSpaceDN w:val="0"/>
              <w:spacing w:before="30" w:line="360" w:lineRule="auto"/>
              <w:ind w:left="347"/>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模块</w:t>
            </w:r>
          </w:p>
        </w:tc>
        <w:tc>
          <w:tcPr>
            <w:tcW w:w="7087" w:type="dxa"/>
            <w:shd w:val="clear" w:color="auto" w:fill="4471C4"/>
          </w:tcPr>
          <w:p>
            <w:pPr>
              <w:autoSpaceDE w:val="0"/>
              <w:autoSpaceDN w:val="0"/>
              <w:spacing w:before="30" w:line="360" w:lineRule="auto"/>
              <w:ind w:left="1006" w:right="1000"/>
              <w:jc w:val="center"/>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功能</w:t>
            </w:r>
            <w:r>
              <w:rPr>
                <w:rFonts w:hint="eastAsia" w:ascii="宋体" w:hAnsi="宋体" w:cs="仿宋"/>
                <w:b/>
                <w:bCs/>
                <w:color w:val="auto"/>
                <w:sz w:val="24"/>
                <w:highlight w:val="none"/>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984" w:type="dxa"/>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对账功能</w:t>
            </w:r>
          </w:p>
        </w:tc>
        <w:tc>
          <w:tcPr>
            <w:tcW w:w="708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提供与第三方支付平台、医院信息系统、各业务平台统一自动对账、单边账及及时预警、异常处理功能。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984" w:type="dxa"/>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统计分析</w:t>
            </w:r>
          </w:p>
        </w:tc>
        <w:tc>
          <w:tcPr>
            <w:tcW w:w="708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提供多维度的交易统计及多视角的支付分析，从统计时间范围、不同缴费类型、不同业务类型、不同应用平台等维度，对自费、医保等所有的交易数据进行全面的分析。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984" w:type="dxa"/>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综合管理</w:t>
            </w:r>
          </w:p>
        </w:tc>
        <w:tc>
          <w:tcPr>
            <w:tcW w:w="708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提供各业务应用平台接入信息的统一管理、各第三方支付渠道信息的统一管理、交易流水的统一管理。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984" w:type="dxa"/>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监控系统</w:t>
            </w:r>
          </w:p>
        </w:tc>
        <w:tc>
          <w:tcPr>
            <w:tcW w:w="708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包括资金流监控、支付交易监控、退款交易监控、应用服务监控、数据库监控、任务调度监控等。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984" w:type="dxa"/>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支付退款</w:t>
            </w:r>
          </w:p>
        </w:tc>
        <w:tc>
          <w:tcPr>
            <w:tcW w:w="708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包括聚合支付退款（微信、支付宝、银行）、银行卡退款等。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984" w:type="dxa"/>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医保移动支付</w:t>
            </w:r>
          </w:p>
        </w:tc>
        <w:tc>
          <w:tcPr>
            <w:tcW w:w="7087" w:type="dxa"/>
            <w:vAlign w:val="center"/>
          </w:tcPr>
          <w:p>
            <w:pPr>
              <w:pStyle w:val="201"/>
              <w:numPr>
                <w:ilvl w:val="0"/>
                <w:numId w:val="9"/>
              </w:numPr>
              <w:spacing w:before="6" w:line="360" w:lineRule="auto"/>
              <w:ind w:right="105" w:rightChars="50" w:firstLine="482"/>
              <w:rPr>
                <w:rFonts w:ascii="宋体" w:hAnsi="宋体" w:eastAsia="宋体" w:cs="Arial"/>
                <w:color w:val="auto"/>
                <w:sz w:val="24"/>
                <w:highlight w:val="none"/>
                <w:lang w:eastAsia="zh-CN"/>
              </w:rPr>
            </w:pPr>
            <w:r>
              <w:rPr>
                <w:rFonts w:hint="eastAsia" w:ascii="宋体" w:hAnsi="宋体" w:eastAsia="宋体" w:cs="Arial"/>
                <w:color w:val="auto"/>
                <w:sz w:val="24"/>
                <w:highlight w:val="none"/>
                <w:lang w:eastAsia="zh-CN"/>
              </w:rPr>
              <w:t>支持医保移动支付功能</w:t>
            </w:r>
          </w:p>
        </w:tc>
      </w:tr>
    </w:tbl>
    <w:p>
      <w:pPr>
        <w:keepNext/>
        <w:keepLines/>
        <w:numPr>
          <w:ilvl w:val="3"/>
          <w:numId w:val="8"/>
        </w:numPr>
        <w:spacing w:before="280" w:after="290" w:line="376" w:lineRule="auto"/>
        <w:outlineLvl w:val="3"/>
        <w:rPr>
          <w:rFonts w:ascii="宋体" w:hAnsi="宋体"/>
          <w:color w:val="auto"/>
          <w:sz w:val="24"/>
          <w:highlight w:val="none"/>
        </w:rPr>
      </w:pPr>
      <w:bookmarkStart w:id="701" w:name="_Toc6861"/>
      <w:r>
        <w:rPr>
          <w:rFonts w:hint="eastAsia" w:ascii="宋体" w:hAnsi="宋体"/>
          <w:color w:val="auto"/>
          <w:sz w:val="24"/>
          <w:highlight w:val="none"/>
        </w:rPr>
        <w:t>电子处方流转</w:t>
      </w:r>
      <w:bookmarkEnd w:id="701"/>
    </w:p>
    <w:p>
      <w:pPr>
        <w:pStyle w:val="75"/>
        <w:ind w:firstLine="480"/>
        <w:rPr>
          <w:color w:val="auto"/>
          <w:sz w:val="24"/>
          <w:szCs w:val="24"/>
          <w:highlight w:val="none"/>
        </w:rPr>
      </w:pPr>
      <w:r>
        <w:rPr>
          <w:rFonts w:hint="eastAsia"/>
          <w:color w:val="auto"/>
          <w:sz w:val="24"/>
          <w:szCs w:val="24"/>
          <w:highlight w:val="none"/>
        </w:rPr>
        <w:t>电子</w:t>
      </w:r>
      <w:r>
        <w:rPr>
          <w:color w:val="auto"/>
          <w:sz w:val="24"/>
          <w:szCs w:val="24"/>
          <w:highlight w:val="none"/>
        </w:rPr>
        <w:t>处方流转需满足以下功能要求：</w:t>
      </w:r>
    </w:p>
    <w:tbl>
      <w:tblPr>
        <w:tblStyle w:val="43"/>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4"/>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jc w:val="center"/>
        </w:trPr>
        <w:tc>
          <w:tcPr>
            <w:tcW w:w="1984" w:type="dxa"/>
            <w:shd w:val="clear" w:color="auto" w:fill="4471C4"/>
          </w:tcPr>
          <w:p>
            <w:pPr>
              <w:autoSpaceDE w:val="0"/>
              <w:autoSpaceDN w:val="0"/>
              <w:spacing w:before="30" w:line="360" w:lineRule="auto"/>
              <w:ind w:left="347"/>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模块</w:t>
            </w:r>
          </w:p>
        </w:tc>
        <w:tc>
          <w:tcPr>
            <w:tcW w:w="7087" w:type="dxa"/>
            <w:shd w:val="clear" w:color="auto" w:fill="4471C4"/>
          </w:tcPr>
          <w:p>
            <w:pPr>
              <w:autoSpaceDE w:val="0"/>
              <w:autoSpaceDN w:val="0"/>
              <w:spacing w:before="30" w:line="360" w:lineRule="auto"/>
              <w:ind w:left="1006" w:right="1000"/>
              <w:jc w:val="center"/>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功能</w:t>
            </w:r>
            <w:r>
              <w:rPr>
                <w:rFonts w:hint="eastAsia" w:ascii="宋体" w:hAnsi="宋体" w:cs="仿宋"/>
                <w:b/>
                <w:bCs/>
                <w:color w:val="auto"/>
                <w:sz w:val="24"/>
                <w:highlight w:val="none"/>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984"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药店管理</w:t>
            </w:r>
          </w:p>
        </w:tc>
        <w:tc>
          <w:tcPr>
            <w:tcW w:w="7087" w:type="dxa"/>
            <w:vAlign w:val="center"/>
          </w:tcPr>
          <w:p>
            <w:pPr>
              <w:pStyle w:val="201"/>
              <w:numPr>
                <w:ilvl w:val="0"/>
                <w:numId w:val="9"/>
              </w:numPr>
              <w:spacing w:before="6" w:line="360" w:lineRule="auto"/>
              <w:ind w:right="105" w:rightChars="50" w:firstLine="482"/>
              <w:rPr>
                <w:rFonts w:ascii="宋体" w:hAnsi="宋体" w:eastAsia="宋体" w:cs="Arial"/>
                <w:color w:val="auto"/>
                <w:sz w:val="24"/>
                <w:highlight w:val="none"/>
                <w:lang w:eastAsia="zh-CN"/>
              </w:rPr>
            </w:pPr>
            <w:r>
              <w:rPr>
                <w:rFonts w:hint="eastAsia" w:ascii="宋体" w:hAnsi="宋体" w:eastAsia="宋体" w:cs="Arial"/>
                <w:color w:val="auto"/>
                <w:sz w:val="24"/>
                <w:highlight w:val="none"/>
                <w:lang w:eastAsia="zh-CN"/>
              </w:rPr>
              <w:t>支持完善的管理功能以支撑业务的运行,包括系统设置、权限管理、药品目录维护/审核、评价统计/查询等功能。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984"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药师管理</w:t>
            </w:r>
          </w:p>
        </w:tc>
        <w:tc>
          <w:tcPr>
            <w:tcW w:w="7087" w:type="dxa"/>
            <w:vAlign w:val="center"/>
          </w:tcPr>
          <w:p>
            <w:pPr>
              <w:pStyle w:val="201"/>
              <w:numPr>
                <w:ilvl w:val="0"/>
                <w:numId w:val="9"/>
              </w:numPr>
              <w:spacing w:before="6" w:line="360" w:lineRule="auto"/>
              <w:ind w:right="105" w:rightChars="50" w:firstLine="482"/>
              <w:rPr>
                <w:rFonts w:ascii="宋体" w:hAnsi="宋体" w:eastAsia="宋体" w:cs="Arial"/>
                <w:color w:val="auto"/>
                <w:sz w:val="24"/>
                <w:highlight w:val="none"/>
                <w:lang w:eastAsia="zh-CN"/>
              </w:rPr>
            </w:pPr>
            <w:r>
              <w:rPr>
                <w:rFonts w:hint="eastAsia" w:ascii="宋体" w:hAnsi="宋体" w:eastAsia="宋体" w:cs="Arial"/>
                <w:color w:val="auto"/>
                <w:sz w:val="24"/>
                <w:highlight w:val="none"/>
                <w:lang w:eastAsia="zh-CN"/>
              </w:rPr>
              <w:t>支持药师管理，药店端可以录入服务药师的信息，包括姓名、身份证号、职业资格证等，由管理人员对药师资质审核，通过后给药师开通相关账号。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984"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在线审方</w:t>
            </w:r>
          </w:p>
        </w:tc>
        <w:tc>
          <w:tcPr>
            <w:tcW w:w="7087" w:type="dxa"/>
            <w:vAlign w:val="center"/>
          </w:tcPr>
          <w:p>
            <w:pPr>
              <w:pStyle w:val="201"/>
              <w:numPr>
                <w:ilvl w:val="0"/>
                <w:numId w:val="9"/>
              </w:numPr>
              <w:spacing w:before="6" w:line="360" w:lineRule="auto"/>
              <w:ind w:right="105" w:rightChars="50" w:firstLine="482"/>
              <w:rPr>
                <w:rFonts w:ascii="宋体" w:hAnsi="宋体" w:eastAsia="宋体" w:cs="Arial"/>
                <w:color w:val="auto"/>
                <w:sz w:val="24"/>
                <w:highlight w:val="none"/>
                <w:lang w:eastAsia="zh-CN"/>
              </w:rPr>
            </w:pPr>
            <w:r>
              <w:rPr>
                <w:rFonts w:hint="eastAsia" w:ascii="宋体" w:hAnsi="宋体" w:eastAsia="宋体" w:cs="Arial"/>
                <w:color w:val="auto"/>
                <w:sz w:val="24"/>
                <w:highlight w:val="none"/>
                <w:lang w:eastAsia="zh-CN"/>
              </w:rPr>
              <w:t>支持药师通过PC端和APP端应用对平台上的处方进行审核。平台可灵活设置审核流程。在审方的过程中，药师可以查看到患者历次的就诊记录及病历信息。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984"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订单管理</w:t>
            </w:r>
          </w:p>
        </w:tc>
        <w:tc>
          <w:tcPr>
            <w:tcW w:w="7087" w:type="dxa"/>
            <w:vAlign w:val="center"/>
          </w:tcPr>
          <w:p>
            <w:pPr>
              <w:pStyle w:val="201"/>
              <w:numPr>
                <w:ilvl w:val="0"/>
                <w:numId w:val="9"/>
              </w:numPr>
              <w:spacing w:before="6" w:line="360" w:lineRule="auto"/>
              <w:ind w:right="105" w:rightChars="50" w:firstLine="482"/>
              <w:rPr>
                <w:rFonts w:ascii="宋体" w:hAnsi="宋体" w:eastAsia="宋体" w:cs="Arial"/>
                <w:color w:val="auto"/>
                <w:sz w:val="24"/>
                <w:highlight w:val="none"/>
                <w:lang w:eastAsia="zh-CN"/>
              </w:rPr>
            </w:pPr>
            <w:r>
              <w:rPr>
                <w:rFonts w:hint="eastAsia" w:ascii="宋体" w:hAnsi="宋体" w:eastAsia="宋体" w:cs="Arial"/>
                <w:color w:val="auto"/>
                <w:sz w:val="24"/>
                <w:highlight w:val="none"/>
                <w:lang w:eastAsia="zh-CN"/>
              </w:rPr>
              <w:t>处方流转平台支持接收his或者互联网医院的处方，根据规则将处方流转到药店，实现处方全流程闭环管理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 w:hRule="atLeast"/>
          <w:jc w:val="center"/>
        </w:trPr>
        <w:tc>
          <w:tcPr>
            <w:tcW w:w="1984"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在线支付</w:t>
            </w:r>
          </w:p>
        </w:tc>
        <w:tc>
          <w:tcPr>
            <w:tcW w:w="7087" w:type="dxa"/>
            <w:vAlign w:val="center"/>
          </w:tcPr>
          <w:p>
            <w:pPr>
              <w:pStyle w:val="201"/>
              <w:numPr>
                <w:ilvl w:val="0"/>
                <w:numId w:val="9"/>
              </w:numPr>
              <w:spacing w:before="6" w:line="360" w:lineRule="auto"/>
              <w:ind w:right="105" w:rightChars="50" w:firstLine="482"/>
              <w:rPr>
                <w:rFonts w:ascii="宋体" w:hAnsi="宋体" w:eastAsia="宋体" w:cs="Arial"/>
                <w:color w:val="auto"/>
                <w:sz w:val="24"/>
                <w:highlight w:val="none"/>
                <w:lang w:eastAsia="zh-CN"/>
              </w:rPr>
            </w:pPr>
            <w:r>
              <w:rPr>
                <w:rFonts w:hint="eastAsia" w:ascii="宋体" w:hAnsi="宋体" w:eastAsia="宋体" w:cs="Arial"/>
                <w:color w:val="auto"/>
                <w:sz w:val="24"/>
                <w:highlight w:val="none"/>
                <w:lang w:eastAsia="zh-CN"/>
              </w:rPr>
              <w:t>支持患者对查看在线订单信息并在线支付费用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 w:hRule="atLeast"/>
          <w:jc w:val="center"/>
        </w:trPr>
        <w:tc>
          <w:tcPr>
            <w:tcW w:w="1984"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费用管理</w:t>
            </w:r>
          </w:p>
        </w:tc>
        <w:tc>
          <w:tcPr>
            <w:tcW w:w="7087" w:type="dxa"/>
            <w:vAlign w:val="center"/>
          </w:tcPr>
          <w:p>
            <w:pPr>
              <w:pStyle w:val="201"/>
              <w:numPr>
                <w:ilvl w:val="0"/>
                <w:numId w:val="9"/>
              </w:numPr>
              <w:spacing w:before="6" w:line="360" w:lineRule="auto"/>
              <w:ind w:right="105" w:rightChars="50" w:firstLine="482"/>
              <w:rPr>
                <w:rFonts w:ascii="宋体" w:hAnsi="宋体" w:eastAsia="宋体" w:cs="Arial"/>
                <w:color w:val="auto"/>
                <w:sz w:val="24"/>
                <w:highlight w:val="none"/>
                <w:lang w:eastAsia="zh-CN"/>
              </w:rPr>
            </w:pPr>
            <w:r>
              <w:rPr>
                <w:rFonts w:hint="eastAsia" w:ascii="宋体" w:hAnsi="宋体" w:eastAsia="宋体" w:cs="Arial"/>
                <w:color w:val="auto"/>
                <w:sz w:val="24"/>
                <w:highlight w:val="none"/>
                <w:lang w:eastAsia="zh-CN"/>
              </w:rPr>
              <w:t>平台支持提供费用查询，可以按照时间范围、药店名称进行查询，根据结果与药店间进行结算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 w:hRule="atLeast"/>
          <w:jc w:val="center"/>
        </w:trPr>
        <w:tc>
          <w:tcPr>
            <w:tcW w:w="1984"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主动药学</w:t>
            </w:r>
          </w:p>
        </w:tc>
        <w:tc>
          <w:tcPr>
            <w:tcW w:w="7087" w:type="dxa"/>
            <w:vAlign w:val="center"/>
          </w:tcPr>
          <w:p>
            <w:pPr>
              <w:pStyle w:val="201"/>
              <w:numPr>
                <w:ilvl w:val="0"/>
                <w:numId w:val="9"/>
              </w:numPr>
              <w:spacing w:before="6" w:line="360" w:lineRule="auto"/>
              <w:ind w:right="105" w:rightChars="50" w:firstLine="482"/>
              <w:rPr>
                <w:rFonts w:ascii="宋体" w:hAnsi="宋体" w:eastAsia="宋体" w:cs="Arial"/>
                <w:color w:val="auto"/>
                <w:sz w:val="24"/>
                <w:highlight w:val="none"/>
                <w:lang w:eastAsia="zh-CN"/>
              </w:rPr>
            </w:pPr>
            <w:r>
              <w:rPr>
                <w:rFonts w:hint="eastAsia" w:ascii="宋体" w:hAnsi="宋体" w:eastAsia="宋体" w:cs="Arial"/>
                <w:color w:val="auto"/>
                <w:sz w:val="24"/>
                <w:highlight w:val="none"/>
                <w:lang w:eastAsia="zh-CN"/>
              </w:rPr>
              <w:t>支持结合互联网医院，临床药师可为患者提供延伸普通用药咨询、专项用药咨询、药物重整服务。患者线上咨询药师，便捷快速获取到药学相关内容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 w:hRule="atLeast"/>
          <w:jc w:val="center"/>
        </w:trPr>
        <w:tc>
          <w:tcPr>
            <w:tcW w:w="1984"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处方流转</w:t>
            </w:r>
          </w:p>
        </w:tc>
        <w:tc>
          <w:tcPr>
            <w:tcW w:w="7087" w:type="dxa"/>
            <w:vAlign w:val="center"/>
          </w:tcPr>
          <w:p>
            <w:pPr>
              <w:pStyle w:val="201"/>
              <w:numPr>
                <w:ilvl w:val="0"/>
                <w:numId w:val="9"/>
              </w:numPr>
              <w:spacing w:before="6" w:line="360" w:lineRule="auto"/>
              <w:ind w:right="105" w:rightChars="50" w:firstLine="482"/>
              <w:rPr>
                <w:rFonts w:ascii="宋体" w:hAnsi="宋体" w:eastAsia="宋体" w:cs="Arial"/>
                <w:color w:val="auto"/>
                <w:sz w:val="24"/>
                <w:highlight w:val="none"/>
                <w:lang w:eastAsia="zh-CN"/>
              </w:rPr>
            </w:pPr>
            <w:r>
              <w:rPr>
                <w:rFonts w:hint="eastAsia" w:ascii="宋体" w:hAnsi="宋体" w:eastAsia="宋体" w:cs="Arial"/>
                <w:color w:val="auto"/>
                <w:sz w:val="24"/>
                <w:highlight w:val="none"/>
                <w:lang w:eastAsia="zh-CN"/>
              </w:rPr>
              <w:t>支持设置处方流转规则，根据供应商、药店距离等多维度自定义处方流向规则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 w:hRule="atLeast"/>
          <w:jc w:val="center"/>
        </w:trPr>
        <w:tc>
          <w:tcPr>
            <w:tcW w:w="1984"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统计报表</w:t>
            </w:r>
          </w:p>
        </w:tc>
        <w:tc>
          <w:tcPr>
            <w:tcW w:w="7087" w:type="dxa"/>
            <w:vAlign w:val="center"/>
          </w:tcPr>
          <w:p>
            <w:pPr>
              <w:pStyle w:val="201"/>
              <w:numPr>
                <w:ilvl w:val="0"/>
                <w:numId w:val="9"/>
              </w:numPr>
              <w:spacing w:before="6" w:line="360" w:lineRule="auto"/>
              <w:ind w:right="105" w:rightChars="50" w:firstLine="482"/>
              <w:rPr>
                <w:rFonts w:ascii="宋体" w:hAnsi="宋体" w:eastAsia="宋体" w:cs="Arial"/>
                <w:color w:val="auto"/>
                <w:sz w:val="24"/>
                <w:highlight w:val="none"/>
                <w:lang w:eastAsia="zh-CN"/>
              </w:rPr>
            </w:pPr>
            <w:r>
              <w:rPr>
                <w:rFonts w:hint="eastAsia" w:ascii="宋体" w:hAnsi="宋体" w:eastAsia="宋体" w:cs="Arial"/>
                <w:color w:val="auto"/>
                <w:sz w:val="24"/>
                <w:highlight w:val="none"/>
                <w:lang w:eastAsia="zh-CN"/>
              </w:rPr>
              <w:t>支持统计查询，系统提供完善的报表辅助决策，可根据医院要求定制个性化报表</w:t>
            </w:r>
          </w:p>
        </w:tc>
      </w:tr>
    </w:tbl>
    <w:p>
      <w:pPr>
        <w:pStyle w:val="75"/>
        <w:ind w:firstLine="420"/>
        <w:rPr>
          <w:color w:val="auto"/>
          <w:highlight w:val="none"/>
        </w:rPr>
      </w:pPr>
    </w:p>
    <w:p>
      <w:pPr>
        <w:keepNext/>
        <w:keepLines/>
        <w:numPr>
          <w:ilvl w:val="3"/>
          <w:numId w:val="8"/>
        </w:numPr>
        <w:spacing w:before="280" w:after="290" w:line="376" w:lineRule="auto"/>
        <w:outlineLvl w:val="3"/>
        <w:rPr>
          <w:rFonts w:ascii="宋体" w:hAnsi="宋体"/>
          <w:b/>
          <w:bCs/>
          <w:color w:val="auto"/>
          <w:sz w:val="24"/>
          <w:highlight w:val="none"/>
        </w:rPr>
      </w:pPr>
      <w:bookmarkStart w:id="702" w:name="_Toc27678"/>
      <w:r>
        <w:rPr>
          <w:rFonts w:hint="eastAsia" w:ascii="宋体" w:hAnsi="宋体"/>
          <w:b/>
          <w:bCs/>
          <w:color w:val="auto"/>
          <w:sz w:val="24"/>
          <w:highlight w:val="none"/>
        </w:rPr>
        <w:t>患者随访管理</w:t>
      </w:r>
      <w:bookmarkEnd w:id="702"/>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医院随访是医院以门诊、住院患者为主要服务对象，实现院后持续服务和评价反馈的主要手段，包括关怀性随访和管理性随访，主要目的是提高患者满意度，增强患者黏度，提升医院管理水平。支持患者满意度随访，包括服务评价、投诉反馈、表扬反馈、医风医德调查等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4"/>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jc w:val="center"/>
        </w:trPr>
        <w:tc>
          <w:tcPr>
            <w:tcW w:w="1984" w:type="dxa"/>
            <w:shd w:val="clear" w:color="auto" w:fill="4471C4"/>
          </w:tcPr>
          <w:p>
            <w:pPr>
              <w:autoSpaceDE w:val="0"/>
              <w:autoSpaceDN w:val="0"/>
              <w:spacing w:before="30" w:line="360" w:lineRule="auto"/>
              <w:ind w:left="347"/>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模块</w:t>
            </w:r>
          </w:p>
        </w:tc>
        <w:tc>
          <w:tcPr>
            <w:tcW w:w="7087" w:type="dxa"/>
            <w:shd w:val="clear" w:color="auto" w:fill="4471C4"/>
          </w:tcPr>
          <w:p>
            <w:pPr>
              <w:autoSpaceDE w:val="0"/>
              <w:autoSpaceDN w:val="0"/>
              <w:spacing w:before="30" w:line="360" w:lineRule="auto"/>
              <w:ind w:left="1006" w:right="1000"/>
              <w:jc w:val="center"/>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功能</w:t>
            </w:r>
            <w:r>
              <w:rPr>
                <w:rFonts w:hint="eastAsia" w:ascii="宋体" w:hAnsi="宋体" w:cs="仿宋"/>
                <w:b/>
                <w:bCs/>
                <w:color w:val="auto"/>
                <w:sz w:val="24"/>
                <w:highlight w:val="none"/>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984"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随访知识库</w:t>
            </w:r>
          </w:p>
        </w:tc>
        <w:tc>
          <w:tcPr>
            <w:tcW w:w="708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支持问卷设计，工作人员可通过设置好的问卷开展随访——可将随访表按计划自动发给用户，由用户在手机上填写问卷；也可根据问卷内容打电话随访，根据通话情况填写随访表。</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支持问卷的新增、修改。问卷题目类型支持单选题、多选题、填空题（问答题）、时间题等。</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支持宣教知识的编辑，编辑好的宣教知识可发布给用户手机端进行阅读。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984"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随访方案</w:t>
            </w:r>
          </w:p>
        </w:tc>
        <w:tc>
          <w:tcPr>
            <w:tcW w:w="708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列表显示已配置好的随访方案，可通过列表编辑选定的随访方案，启用、停用随访方案。</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新增随访方案。方案内容包括随访人员（系统按要求筛选的随访名单）、随访计划（计划执行时间）、随访方式（短信、电话、微信、宣教、上门）、问卷名称、执行频率、执行人员。工作人员可选择需要随访的人员，可根据需要配置满意度调查随访、产检/逾期产检提醒、检查阳性提示、产后42天检查提醒、产后康复治疗提醒、儿童体检提醒、生日祝福短信发送、根据不同阶段发送健康宣教内容等。</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电话随访支持对接电话盒子，对通话内容进行录音和回放。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984"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随访任务管理</w:t>
            </w:r>
          </w:p>
        </w:tc>
        <w:tc>
          <w:tcPr>
            <w:tcW w:w="708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系统支持随访任务进行管理，支持显示随访任务列表，转移随访任务，对随访任务执行情况进行审核。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984"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消息中心</w:t>
            </w:r>
          </w:p>
        </w:tc>
        <w:tc>
          <w:tcPr>
            <w:tcW w:w="708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系统提供消息中心功能，可在此配置短信网关、短信模板、微信公众号，查看短信和微信消息发送记录。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 w:hRule="atLeast"/>
          <w:jc w:val="center"/>
        </w:trPr>
        <w:tc>
          <w:tcPr>
            <w:tcW w:w="1984"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消息统计</w:t>
            </w:r>
          </w:p>
        </w:tc>
        <w:tc>
          <w:tcPr>
            <w:tcW w:w="708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系统提供随访统计功能，支持查询不同时间段、不同随访方案的随访统计信息，可为医院绩效考核提供依据。支持统计报表的导出。</w:t>
            </w:r>
          </w:p>
        </w:tc>
      </w:tr>
    </w:tbl>
    <w:p>
      <w:pPr>
        <w:spacing w:line="360" w:lineRule="auto"/>
        <w:ind w:firstLine="480" w:firstLineChars="200"/>
        <w:rPr>
          <w:rFonts w:ascii="宋体" w:hAnsi="宋体"/>
          <w:color w:val="auto"/>
          <w:sz w:val="24"/>
          <w:highlight w:val="none"/>
        </w:rPr>
      </w:pPr>
    </w:p>
    <w:p>
      <w:pPr>
        <w:keepNext/>
        <w:keepLines/>
        <w:numPr>
          <w:ilvl w:val="3"/>
          <w:numId w:val="8"/>
        </w:numPr>
        <w:spacing w:before="280" w:after="290" w:line="376" w:lineRule="auto"/>
        <w:outlineLvl w:val="3"/>
        <w:rPr>
          <w:rFonts w:ascii="宋体" w:hAnsi="宋体"/>
          <w:b/>
          <w:bCs/>
          <w:color w:val="auto"/>
          <w:sz w:val="24"/>
          <w:highlight w:val="none"/>
        </w:rPr>
      </w:pPr>
      <w:bookmarkStart w:id="703" w:name="_Toc14849"/>
      <w:r>
        <w:rPr>
          <w:rFonts w:hint="eastAsia" w:ascii="宋体" w:hAnsi="宋体"/>
          <w:b/>
          <w:bCs/>
          <w:color w:val="auto"/>
          <w:sz w:val="24"/>
          <w:highlight w:val="none"/>
        </w:rPr>
        <w:t>商保结算平台</w:t>
      </w:r>
      <w:bookmarkEnd w:id="703"/>
    </w:p>
    <w:p>
      <w:pPr>
        <w:spacing w:line="30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4"/>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jc w:val="center"/>
        </w:trPr>
        <w:tc>
          <w:tcPr>
            <w:tcW w:w="1984" w:type="dxa"/>
            <w:shd w:val="clear" w:color="auto" w:fill="4471C4"/>
          </w:tcPr>
          <w:p>
            <w:pPr>
              <w:autoSpaceDE w:val="0"/>
              <w:autoSpaceDN w:val="0"/>
              <w:spacing w:before="30" w:line="360" w:lineRule="auto"/>
              <w:ind w:left="347"/>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模块</w:t>
            </w:r>
          </w:p>
        </w:tc>
        <w:tc>
          <w:tcPr>
            <w:tcW w:w="7087" w:type="dxa"/>
            <w:shd w:val="clear" w:color="auto" w:fill="4471C4"/>
          </w:tcPr>
          <w:p>
            <w:pPr>
              <w:autoSpaceDE w:val="0"/>
              <w:autoSpaceDN w:val="0"/>
              <w:spacing w:before="30" w:line="360" w:lineRule="auto"/>
              <w:ind w:left="1006" w:right="1000"/>
              <w:jc w:val="center"/>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功能</w:t>
            </w:r>
            <w:r>
              <w:rPr>
                <w:rFonts w:hint="eastAsia" w:ascii="宋体" w:hAnsi="宋体" w:cs="仿宋"/>
                <w:b/>
                <w:bCs/>
                <w:color w:val="auto"/>
                <w:sz w:val="24"/>
                <w:highlight w:val="none"/>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984"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商保结算</w:t>
            </w:r>
          </w:p>
        </w:tc>
        <w:tc>
          <w:tcPr>
            <w:tcW w:w="708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用户在医院就诊后，利用请求渠道在线提交报销申请。医院根据发票申请，组织医疗数据（包括发票、就诊相关信息等），对数据进行压缩，加密等操作，发送到平台。平台保存数据后，根据就诊医院、请求渠道、商保保险公司等条件，进行路由选择，得到商保报销通道。</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商保快赔：直连医疗机构获取就诊数据，达成患者极速赔的体验。</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商保直赔：通过银行授信或预垫资方式实现费用直付。</w:t>
            </w:r>
          </w:p>
        </w:tc>
      </w:tr>
    </w:tbl>
    <w:p>
      <w:pPr>
        <w:adjustRightInd w:val="0"/>
        <w:spacing w:line="480" w:lineRule="atLeast"/>
        <w:ind w:firstLine="567"/>
        <w:textAlignment w:val="baseline"/>
        <w:rPr>
          <w:rFonts w:ascii="宋体" w:hAnsi="宋体"/>
          <w:color w:val="auto"/>
          <w:kern w:val="0"/>
          <w:sz w:val="24"/>
          <w:highlight w:val="none"/>
        </w:rPr>
      </w:pPr>
    </w:p>
    <w:p>
      <w:pPr>
        <w:keepNext/>
        <w:keepLines/>
        <w:numPr>
          <w:ilvl w:val="3"/>
          <w:numId w:val="8"/>
        </w:numPr>
        <w:spacing w:before="280" w:after="290" w:line="376" w:lineRule="auto"/>
        <w:outlineLvl w:val="3"/>
        <w:rPr>
          <w:rFonts w:ascii="宋体" w:hAnsi="宋体"/>
          <w:b/>
          <w:bCs/>
          <w:color w:val="auto"/>
          <w:sz w:val="24"/>
          <w:highlight w:val="none"/>
        </w:rPr>
      </w:pPr>
      <w:bookmarkStart w:id="704" w:name="_Toc8581"/>
      <w:r>
        <w:rPr>
          <w:rFonts w:hint="eastAsia" w:ascii="宋体" w:hAnsi="宋体"/>
          <w:b/>
          <w:bCs/>
          <w:color w:val="auto"/>
          <w:sz w:val="24"/>
          <w:highlight w:val="none"/>
        </w:rPr>
        <w:t>医患纠纷管理系统</w:t>
      </w:r>
      <w:bookmarkEnd w:id="704"/>
    </w:p>
    <w:p>
      <w:pPr>
        <w:spacing w:line="30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4"/>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jc w:val="center"/>
        </w:trPr>
        <w:tc>
          <w:tcPr>
            <w:tcW w:w="1984" w:type="dxa"/>
            <w:shd w:val="clear" w:color="auto" w:fill="4471C4"/>
          </w:tcPr>
          <w:p>
            <w:pPr>
              <w:autoSpaceDE w:val="0"/>
              <w:autoSpaceDN w:val="0"/>
              <w:spacing w:before="30" w:line="360" w:lineRule="auto"/>
              <w:ind w:left="347"/>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模块</w:t>
            </w:r>
          </w:p>
        </w:tc>
        <w:tc>
          <w:tcPr>
            <w:tcW w:w="7087" w:type="dxa"/>
            <w:shd w:val="clear" w:color="auto" w:fill="4471C4"/>
          </w:tcPr>
          <w:p>
            <w:pPr>
              <w:autoSpaceDE w:val="0"/>
              <w:autoSpaceDN w:val="0"/>
              <w:spacing w:before="30" w:line="360" w:lineRule="auto"/>
              <w:ind w:left="1006" w:right="1000"/>
              <w:jc w:val="center"/>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功能</w:t>
            </w:r>
            <w:r>
              <w:rPr>
                <w:rFonts w:hint="eastAsia" w:ascii="宋体" w:hAnsi="宋体" w:cs="仿宋"/>
                <w:b/>
                <w:bCs/>
                <w:color w:val="auto"/>
                <w:sz w:val="24"/>
                <w:highlight w:val="none"/>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984"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投诉信访管理</w:t>
            </w:r>
          </w:p>
        </w:tc>
        <w:tc>
          <w:tcPr>
            <w:tcW w:w="708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患者现场投诉、电话投诉、信访投诉、上级转办投诉等各种方式的投诉信息登记管理，案件处理过程跟踪，患者沟通过程记录，科室反馈意见，医患部门汇总意见，结案后结果处置，根据原因分析报告,反馈临床科室整改。</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系统支持投诉案件转纠纷等流程跳转。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984"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医疗纠纷管理</w:t>
            </w:r>
          </w:p>
        </w:tc>
        <w:tc>
          <w:tcPr>
            <w:tcW w:w="708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医疗事故引起的纠纷信息登记管理，案件处理过程跟踪，患者沟通过程记录，科室意见、律师意见、专家意见、医患部门意见汇总，最终结果处置，根因智能鱼骨分析,分析报告反馈临床科室。</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系统支持纠纷案件转司法诉讼、转医调委等流程跳转。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984"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风险隐患管理</w:t>
            </w:r>
          </w:p>
        </w:tc>
        <w:tc>
          <w:tcPr>
            <w:tcW w:w="708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暴力倾向患者通知医务管理部门，指导临床科室协同应对，患者沟通过程记录，结果处置。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984"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医调委调解</w:t>
            </w:r>
          </w:p>
        </w:tc>
        <w:tc>
          <w:tcPr>
            <w:tcW w:w="708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对转医调委调解的案件进行管理，案件处理过程跟踪，患者沟通过程记录，科室意见、律师意见、专家意见、医务部门意见汇总，最终结果处置，根因鱼骨分析,分析报告反馈临床科室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984"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表扬管理</w:t>
            </w:r>
          </w:p>
        </w:tc>
        <w:tc>
          <w:tcPr>
            <w:tcW w:w="708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患者对医生的表扬信、锦旗、牌匾等表扬行为的管理。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984"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主任管理</w:t>
            </w:r>
          </w:p>
        </w:tc>
        <w:tc>
          <w:tcPr>
            <w:tcW w:w="708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医务管理人员管理抓手，系统自动生成日报月报季报年报，风险指标概况，数据汇总分析，重大案件审核院内发布院领导查询。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984"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风险指标汇总</w:t>
            </w:r>
          </w:p>
        </w:tc>
        <w:tc>
          <w:tcPr>
            <w:tcW w:w="708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案件统计日报月报，能够显示新增投诉、纠纷数量，纠纷处理入径类别院内调解、医调委调解、法院诉讼及对应的数量，在处理案件到关键节点时进行自定义提醒，根据日常工作模式定期生成全院内参报告。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984"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案例审核管理</w:t>
            </w:r>
          </w:p>
        </w:tc>
        <w:tc>
          <w:tcPr>
            <w:tcW w:w="708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列出近期（自定义周期）需要领导审批的案件列表，可以批量审批、查看、录入意见等。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984"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专家管理</w:t>
            </w:r>
          </w:p>
        </w:tc>
        <w:tc>
          <w:tcPr>
            <w:tcW w:w="708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参与重大纠纷案件评审专家团队的管理，可以对专家进行登记备案，记录专家的专业领域、内部联系方式等，可以修改、删除、查看、查看案件专家意见，专家案件查询统计。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984"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文档管理</w:t>
            </w:r>
          </w:p>
        </w:tc>
        <w:tc>
          <w:tcPr>
            <w:tcW w:w="708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文档分类进行管理，详细记录文档类别、生成时间、格式、操作人，可以对记录进行新增、修改、删除、查看，所有电子档案的文档管理，可以检索、统计、打印和导出。</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系统支持按业务节点类别进行案件文档列表查看模式。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984"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科室纠纷协同</w:t>
            </w:r>
          </w:p>
        </w:tc>
        <w:tc>
          <w:tcPr>
            <w:tcW w:w="708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科室管理者只能查看本科室的全部案件详情，同时可以录入所有业务环节需要反馈的科室意见。</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系统支持医务管理部门向科室发起的催办通知，科室收到消息提醒后及时录入反馈意见。案件结案后，科室可以反馈对医务部门案件处置过程的评价；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984"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统计分析</w:t>
            </w:r>
          </w:p>
        </w:tc>
        <w:tc>
          <w:tcPr>
            <w:tcW w:w="7087"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s="Arial"/>
                <w:color w:val="auto"/>
                <w:sz w:val="24"/>
                <w:highlight w:val="none"/>
                <w:lang w:eastAsia="zh-CN"/>
              </w:rPr>
              <w:t>支持</w:t>
            </w:r>
            <w:r>
              <w:rPr>
                <w:rFonts w:hint="eastAsia" w:ascii="宋体" w:hAnsi="宋体" w:eastAsia="宋体"/>
                <w:color w:val="auto"/>
                <w:sz w:val="24"/>
                <w:highlight w:val="none"/>
                <w:lang w:val="zh-CN" w:eastAsia="zh-CN" w:bidi="zh-CN"/>
              </w:rPr>
              <w:t>多维度多角度数据统计分析功能。</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统计图表支持自定义选择：曲线图、饼状图、柱状图、雷达图等。</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统计报表可根据医院实际需求进行补充增加和修改调整。</w:t>
            </w:r>
          </w:p>
        </w:tc>
      </w:tr>
    </w:tbl>
    <w:p>
      <w:pPr>
        <w:spacing w:line="300" w:lineRule="auto"/>
        <w:ind w:firstLine="480" w:firstLineChars="200"/>
        <w:rPr>
          <w:rFonts w:ascii="宋体" w:hAnsi="宋体"/>
          <w:color w:val="auto"/>
          <w:sz w:val="24"/>
          <w:highlight w:val="none"/>
        </w:rPr>
      </w:pPr>
    </w:p>
    <w:p>
      <w:pPr>
        <w:keepNext/>
        <w:keepLines/>
        <w:numPr>
          <w:ilvl w:val="3"/>
          <w:numId w:val="8"/>
        </w:numPr>
        <w:spacing w:before="280" w:after="290" w:line="376" w:lineRule="auto"/>
        <w:outlineLvl w:val="3"/>
        <w:rPr>
          <w:rFonts w:ascii="宋体" w:hAnsi="宋体"/>
          <w:b/>
          <w:bCs/>
          <w:color w:val="auto"/>
          <w:sz w:val="24"/>
          <w:highlight w:val="none"/>
        </w:rPr>
      </w:pPr>
      <w:bookmarkStart w:id="705" w:name="_Toc29536"/>
      <w:r>
        <w:rPr>
          <w:rFonts w:hint="eastAsia" w:ascii="宋体" w:hAnsi="宋体"/>
          <w:b/>
          <w:bCs/>
          <w:color w:val="auto"/>
          <w:sz w:val="24"/>
          <w:highlight w:val="none"/>
        </w:rPr>
        <w:t>电子发票管理</w:t>
      </w:r>
      <w:bookmarkEnd w:id="705"/>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电子发票管理需满足以下功能：</w:t>
      </w:r>
    </w:p>
    <w:tbl>
      <w:tblPr>
        <w:tblStyle w:val="43"/>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4"/>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jc w:val="center"/>
        </w:trPr>
        <w:tc>
          <w:tcPr>
            <w:tcW w:w="1984" w:type="dxa"/>
            <w:shd w:val="clear" w:color="auto" w:fill="4471C4"/>
          </w:tcPr>
          <w:p>
            <w:pPr>
              <w:autoSpaceDE w:val="0"/>
              <w:autoSpaceDN w:val="0"/>
              <w:spacing w:before="30" w:line="360" w:lineRule="auto"/>
              <w:ind w:left="347"/>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模块</w:t>
            </w:r>
          </w:p>
        </w:tc>
        <w:tc>
          <w:tcPr>
            <w:tcW w:w="7087" w:type="dxa"/>
            <w:shd w:val="clear" w:color="auto" w:fill="4471C4"/>
          </w:tcPr>
          <w:p>
            <w:pPr>
              <w:autoSpaceDE w:val="0"/>
              <w:autoSpaceDN w:val="0"/>
              <w:spacing w:before="30" w:line="360" w:lineRule="auto"/>
              <w:ind w:left="1006" w:right="1000"/>
              <w:jc w:val="center"/>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功能</w:t>
            </w:r>
            <w:r>
              <w:rPr>
                <w:rFonts w:hint="eastAsia" w:ascii="宋体" w:hAnsi="宋体" w:cs="仿宋"/>
                <w:b/>
                <w:bCs/>
                <w:color w:val="auto"/>
                <w:sz w:val="24"/>
                <w:highlight w:val="none"/>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984"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电子发票管理</w:t>
            </w:r>
          </w:p>
        </w:tc>
        <w:tc>
          <w:tcPr>
            <w:tcW w:w="7087" w:type="dxa"/>
            <w:vAlign w:val="center"/>
          </w:tcPr>
          <w:p>
            <w:pPr>
              <w:pStyle w:val="130"/>
              <w:ind w:firstLine="0"/>
              <w:rPr>
                <w:rFonts w:ascii="宋体" w:hAnsi="宋体"/>
                <w:color w:val="auto"/>
                <w:szCs w:val="24"/>
                <w:highlight w:val="none"/>
              </w:rPr>
            </w:pPr>
            <w:r>
              <w:rPr>
                <w:rFonts w:hint="eastAsia" w:ascii="宋体" w:hAnsi="宋体"/>
                <w:b/>
                <w:color w:val="auto"/>
                <w:szCs w:val="24"/>
                <w:highlight w:val="none"/>
              </w:rPr>
              <w:t>电子发票应急处置：</w:t>
            </w:r>
            <w:r>
              <w:rPr>
                <w:rFonts w:hint="eastAsia" w:ascii="宋体" w:hAnsi="宋体"/>
                <w:color w:val="auto"/>
                <w:szCs w:val="24"/>
                <w:highlight w:val="none"/>
              </w:rPr>
              <w:t>支持对发票开票失败情况进行修正处理。</w:t>
            </w:r>
          </w:p>
          <w:p>
            <w:pPr>
              <w:pStyle w:val="130"/>
              <w:ind w:firstLine="0"/>
              <w:rPr>
                <w:rFonts w:ascii="宋体" w:hAnsi="宋体"/>
                <w:color w:val="auto"/>
                <w:szCs w:val="24"/>
                <w:highlight w:val="none"/>
              </w:rPr>
            </w:pPr>
            <w:r>
              <w:rPr>
                <w:rFonts w:hint="eastAsia" w:ascii="宋体" w:hAnsi="宋体"/>
                <w:b/>
                <w:color w:val="auto"/>
                <w:szCs w:val="24"/>
                <w:highlight w:val="none"/>
              </w:rPr>
              <w:t>电子票据数据核对：</w:t>
            </w:r>
            <w:r>
              <w:rPr>
                <w:rFonts w:hint="eastAsia" w:ascii="宋体" w:hAnsi="宋体"/>
                <w:color w:val="auto"/>
                <w:szCs w:val="24"/>
                <w:highlight w:val="none"/>
              </w:rPr>
              <w:t>支持通过电子票据和结算信息进行匹配核对，处理平台单边数据。</w:t>
            </w:r>
          </w:p>
          <w:p>
            <w:pPr>
              <w:pStyle w:val="130"/>
              <w:ind w:firstLine="0"/>
              <w:rPr>
                <w:rFonts w:ascii="宋体" w:hAnsi="宋体"/>
                <w:color w:val="auto"/>
                <w:szCs w:val="24"/>
                <w:highlight w:val="none"/>
              </w:rPr>
            </w:pPr>
            <w:r>
              <w:rPr>
                <w:rFonts w:hint="eastAsia" w:ascii="宋体" w:hAnsi="宋体"/>
                <w:b/>
                <w:color w:val="auto"/>
                <w:szCs w:val="24"/>
                <w:highlight w:val="none"/>
              </w:rPr>
              <w:t>电子发票对照项目维护：支持</w:t>
            </w:r>
            <w:r>
              <w:rPr>
                <w:rFonts w:hint="eastAsia" w:ascii="宋体" w:hAnsi="宋体"/>
                <w:color w:val="auto"/>
                <w:szCs w:val="24"/>
                <w:highlight w:val="none"/>
              </w:rPr>
              <w:t>系统中名称同电子发票项目信息对照。</w:t>
            </w:r>
          </w:p>
          <w:p>
            <w:pPr>
              <w:pStyle w:val="201"/>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b/>
                <w:color w:val="auto"/>
                <w:sz w:val="24"/>
                <w:highlight w:val="none"/>
                <w:lang w:eastAsia="zh-CN"/>
              </w:rPr>
              <w:t>预交金电子票异常处理：</w:t>
            </w:r>
            <w:r>
              <w:rPr>
                <w:rFonts w:hint="eastAsia" w:ascii="宋体" w:hAnsi="宋体" w:eastAsia="宋体"/>
                <w:color w:val="auto"/>
                <w:sz w:val="24"/>
                <w:highlight w:val="none"/>
                <w:lang w:eastAsia="zh-CN"/>
              </w:rPr>
              <w:t>支持根据交易类型和操作员等信息查询出异常数据进行修正的操作。</w:t>
            </w:r>
          </w:p>
        </w:tc>
      </w:tr>
    </w:tbl>
    <w:p>
      <w:pPr>
        <w:keepNext/>
        <w:keepLines/>
        <w:numPr>
          <w:ilvl w:val="3"/>
          <w:numId w:val="8"/>
        </w:numPr>
        <w:spacing w:before="280" w:after="290" w:line="376" w:lineRule="auto"/>
        <w:outlineLvl w:val="3"/>
        <w:rPr>
          <w:rFonts w:ascii="宋体" w:hAnsi="宋体"/>
          <w:b/>
          <w:bCs/>
          <w:color w:val="auto"/>
          <w:sz w:val="24"/>
          <w:highlight w:val="none"/>
        </w:rPr>
      </w:pPr>
      <w:bookmarkStart w:id="706" w:name="_Toc15090"/>
      <w:r>
        <w:rPr>
          <w:rFonts w:hint="eastAsia" w:ascii="宋体" w:hAnsi="宋体"/>
          <w:b/>
          <w:bCs/>
          <w:color w:val="auto"/>
          <w:sz w:val="24"/>
          <w:highlight w:val="none"/>
        </w:rPr>
        <w:t>预住院管理</w:t>
      </w:r>
      <w:bookmarkEnd w:id="706"/>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4"/>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jc w:val="center"/>
        </w:trPr>
        <w:tc>
          <w:tcPr>
            <w:tcW w:w="1984" w:type="dxa"/>
            <w:shd w:val="clear" w:color="auto" w:fill="4471C4"/>
          </w:tcPr>
          <w:p>
            <w:pPr>
              <w:autoSpaceDE w:val="0"/>
              <w:autoSpaceDN w:val="0"/>
              <w:spacing w:before="30" w:line="360" w:lineRule="auto"/>
              <w:ind w:left="347"/>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模块</w:t>
            </w:r>
          </w:p>
        </w:tc>
        <w:tc>
          <w:tcPr>
            <w:tcW w:w="7087" w:type="dxa"/>
            <w:shd w:val="clear" w:color="auto" w:fill="4471C4"/>
          </w:tcPr>
          <w:p>
            <w:pPr>
              <w:autoSpaceDE w:val="0"/>
              <w:autoSpaceDN w:val="0"/>
              <w:spacing w:before="30" w:line="360" w:lineRule="auto"/>
              <w:ind w:left="1006" w:right="1000"/>
              <w:jc w:val="center"/>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984"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预住院管理</w:t>
            </w:r>
          </w:p>
        </w:tc>
        <w:tc>
          <w:tcPr>
            <w:tcW w:w="7087" w:type="dxa"/>
            <w:vAlign w:val="center"/>
          </w:tcPr>
          <w:p>
            <w:pPr>
              <w:pStyle w:val="130"/>
              <w:ind w:firstLine="0"/>
              <w:rPr>
                <w:rFonts w:ascii="宋体" w:hAnsi="宋体"/>
                <w:color w:val="auto"/>
                <w:szCs w:val="24"/>
                <w:highlight w:val="none"/>
              </w:rPr>
            </w:pPr>
            <w:r>
              <w:rPr>
                <w:rFonts w:hint="eastAsia" w:ascii="宋体" w:hAnsi="宋体"/>
                <w:b/>
                <w:color w:val="auto"/>
                <w:szCs w:val="24"/>
                <w:highlight w:val="none"/>
              </w:rPr>
              <w:t>预住院入院申请：</w:t>
            </w:r>
            <w:r>
              <w:rPr>
                <w:rFonts w:hint="eastAsia" w:ascii="宋体" w:hAnsi="宋体"/>
                <w:color w:val="auto"/>
                <w:szCs w:val="24"/>
                <w:highlight w:val="none"/>
              </w:rPr>
              <w:t>支持门诊医生开立预住院申请，提前开立预住院检查、检验项目。</w:t>
            </w:r>
          </w:p>
          <w:p>
            <w:pPr>
              <w:pStyle w:val="130"/>
              <w:ind w:firstLine="0"/>
              <w:rPr>
                <w:rFonts w:ascii="宋体" w:hAnsi="宋体"/>
                <w:color w:val="auto"/>
                <w:szCs w:val="24"/>
                <w:highlight w:val="none"/>
              </w:rPr>
            </w:pPr>
            <w:r>
              <w:rPr>
                <w:rFonts w:hint="eastAsia" w:ascii="宋体" w:hAnsi="宋体"/>
                <w:b/>
                <w:color w:val="auto"/>
                <w:szCs w:val="24"/>
                <w:highlight w:val="none"/>
              </w:rPr>
              <w:t>入院登记：</w:t>
            </w:r>
            <w:r>
              <w:rPr>
                <w:rFonts w:hint="eastAsia" w:ascii="宋体" w:hAnsi="宋体"/>
                <w:color w:val="auto"/>
                <w:szCs w:val="24"/>
                <w:highlight w:val="none"/>
              </w:rPr>
              <w:t>支持预住院服务中心独立管理预住院患者，入院登记。</w:t>
            </w:r>
          </w:p>
          <w:p>
            <w:pPr>
              <w:pStyle w:val="130"/>
              <w:ind w:firstLine="0"/>
              <w:rPr>
                <w:rFonts w:ascii="宋体" w:hAnsi="宋体"/>
                <w:color w:val="auto"/>
                <w:szCs w:val="24"/>
                <w:highlight w:val="none"/>
              </w:rPr>
            </w:pPr>
            <w:r>
              <w:rPr>
                <w:rFonts w:hint="eastAsia" w:ascii="宋体" w:hAnsi="宋体"/>
                <w:b/>
                <w:color w:val="auto"/>
                <w:szCs w:val="24"/>
                <w:highlight w:val="none"/>
              </w:rPr>
              <w:t>接收预住院入科：</w:t>
            </w:r>
            <w:r>
              <w:rPr>
                <w:rFonts w:hint="eastAsia" w:ascii="宋体" w:hAnsi="宋体"/>
                <w:color w:val="auto"/>
                <w:szCs w:val="24"/>
                <w:highlight w:val="none"/>
              </w:rPr>
              <w:t>支持预住院服务中心独立管理预住院患者，接收预住院入科。</w:t>
            </w:r>
          </w:p>
          <w:p>
            <w:pPr>
              <w:pStyle w:val="130"/>
              <w:ind w:firstLine="0"/>
              <w:rPr>
                <w:rFonts w:ascii="宋体" w:hAnsi="宋体"/>
                <w:color w:val="auto"/>
                <w:szCs w:val="24"/>
                <w:highlight w:val="none"/>
              </w:rPr>
            </w:pPr>
            <w:r>
              <w:rPr>
                <w:rFonts w:hint="eastAsia" w:ascii="宋体" w:hAnsi="宋体"/>
                <w:b/>
                <w:color w:val="auto"/>
                <w:szCs w:val="24"/>
                <w:highlight w:val="none"/>
              </w:rPr>
              <w:t>预住院就诊管理：</w:t>
            </w:r>
            <w:r>
              <w:rPr>
                <w:rFonts w:hint="eastAsia" w:ascii="宋体" w:hAnsi="宋体"/>
                <w:color w:val="auto"/>
                <w:szCs w:val="24"/>
                <w:highlight w:val="none"/>
              </w:rPr>
              <w:t>支持对预住院患者的统一管理。</w:t>
            </w:r>
          </w:p>
          <w:p>
            <w:pPr>
              <w:pStyle w:val="130"/>
              <w:ind w:firstLine="0"/>
              <w:rPr>
                <w:rFonts w:ascii="宋体" w:hAnsi="宋体"/>
                <w:b/>
                <w:color w:val="auto"/>
                <w:szCs w:val="24"/>
                <w:highlight w:val="none"/>
              </w:rPr>
            </w:pPr>
            <w:r>
              <w:rPr>
                <w:rFonts w:hint="eastAsia" w:ascii="宋体" w:hAnsi="宋体"/>
                <w:b/>
                <w:color w:val="auto"/>
                <w:szCs w:val="24"/>
                <w:highlight w:val="none"/>
              </w:rPr>
              <w:t>预住院医生站：</w:t>
            </w:r>
          </w:p>
          <w:p>
            <w:pPr>
              <w:pStyle w:val="130"/>
              <w:ind w:firstLine="0"/>
              <w:rPr>
                <w:rFonts w:ascii="宋体" w:hAnsi="宋体"/>
                <w:color w:val="auto"/>
                <w:szCs w:val="24"/>
                <w:highlight w:val="none"/>
              </w:rPr>
            </w:pPr>
            <w:r>
              <w:rPr>
                <w:rFonts w:hint="eastAsia" w:ascii="宋体" w:hAnsi="宋体"/>
                <w:color w:val="auto"/>
                <w:szCs w:val="24"/>
                <w:highlight w:val="none"/>
              </w:rPr>
              <w:t>1、支持临床医生对预住院患者开立医嘱、书写病历。</w:t>
            </w:r>
          </w:p>
          <w:p>
            <w:pPr>
              <w:pStyle w:val="130"/>
              <w:ind w:firstLine="0"/>
              <w:rPr>
                <w:rFonts w:ascii="宋体" w:hAnsi="宋体"/>
                <w:color w:val="auto"/>
                <w:szCs w:val="24"/>
                <w:highlight w:val="none"/>
              </w:rPr>
            </w:pPr>
            <w:r>
              <w:rPr>
                <w:rFonts w:hint="eastAsia" w:ascii="宋体" w:hAnsi="宋体"/>
                <w:color w:val="auto"/>
                <w:szCs w:val="24"/>
                <w:highlight w:val="none"/>
              </w:rPr>
              <w:t>2、支持患者入院后医嘱内容合并处理，确保开医嘱时间和报告时间逻辑一致，并且满足病案管理要求。</w:t>
            </w:r>
          </w:p>
          <w:p>
            <w:pPr>
              <w:pStyle w:val="130"/>
              <w:ind w:firstLine="0"/>
              <w:rPr>
                <w:rFonts w:ascii="宋体" w:hAnsi="宋体"/>
                <w:color w:val="auto"/>
                <w:szCs w:val="24"/>
                <w:highlight w:val="none"/>
              </w:rPr>
            </w:pPr>
            <w:r>
              <w:rPr>
                <w:rFonts w:hint="eastAsia" w:ascii="宋体" w:hAnsi="宋体"/>
                <w:color w:val="auto"/>
                <w:szCs w:val="24"/>
                <w:highlight w:val="none"/>
              </w:rPr>
              <w:t>3、支持预住院医嘱签署后自动确认。</w:t>
            </w:r>
          </w:p>
          <w:p>
            <w:pPr>
              <w:pStyle w:val="130"/>
              <w:ind w:firstLine="0"/>
              <w:rPr>
                <w:rFonts w:ascii="宋体" w:hAnsi="宋体"/>
                <w:color w:val="auto"/>
                <w:szCs w:val="24"/>
                <w:highlight w:val="none"/>
              </w:rPr>
            </w:pPr>
            <w:r>
              <w:rPr>
                <w:rFonts w:hint="eastAsia" w:ascii="宋体" w:hAnsi="宋体"/>
                <w:b/>
                <w:color w:val="auto"/>
                <w:szCs w:val="24"/>
                <w:highlight w:val="none"/>
              </w:rPr>
              <w:t>预住院护士站：</w:t>
            </w:r>
            <w:r>
              <w:rPr>
                <w:rFonts w:hint="eastAsia" w:ascii="宋体" w:hAnsi="宋体"/>
                <w:color w:val="auto"/>
                <w:szCs w:val="24"/>
                <w:highlight w:val="none"/>
              </w:rPr>
              <w:t>支持临床护士对于住院患者执行医嘱，书写护理文书。</w:t>
            </w:r>
          </w:p>
          <w:p>
            <w:pPr>
              <w:pStyle w:val="130"/>
              <w:ind w:firstLine="0"/>
              <w:rPr>
                <w:rFonts w:ascii="宋体" w:hAnsi="宋体"/>
                <w:color w:val="auto"/>
                <w:szCs w:val="24"/>
                <w:highlight w:val="none"/>
              </w:rPr>
            </w:pPr>
            <w:r>
              <w:rPr>
                <w:rFonts w:hint="eastAsia" w:ascii="宋体" w:hAnsi="宋体"/>
                <w:b/>
                <w:color w:val="auto"/>
                <w:szCs w:val="24"/>
                <w:highlight w:val="none"/>
              </w:rPr>
              <w:t>预住院转住院：</w:t>
            </w:r>
            <w:r>
              <w:rPr>
                <w:rFonts w:hint="eastAsia" w:ascii="宋体" w:hAnsi="宋体"/>
                <w:color w:val="auto"/>
                <w:szCs w:val="24"/>
                <w:highlight w:val="none"/>
              </w:rPr>
              <w:t>支持预住院转住院。</w:t>
            </w:r>
          </w:p>
          <w:p>
            <w:pPr>
              <w:pStyle w:val="130"/>
              <w:ind w:firstLine="0"/>
              <w:rPr>
                <w:rFonts w:ascii="宋体" w:hAnsi="宋体"/>
                <w:color w:val="auto"/>
                <w:szCs w:val="24"/>
                <w:highlight w:val="none"/>
              </w:rPr>
            </w:pPr>
            <w:r>
              <w:rPr>
                <w:rFonts w:hint="eastAsia" w:ascii="宋体" w:hAnsi="宋体"/>
                <w:b/>
                <w:color w:val="auto"/>
                <w:szCs w:val="24"/>
                <w:highlight w:val="none"/>
              </w:rPr>
              <w:t>预住院费用转门诊：</w:t>
            </w:r>
            <w:r>
              <w:rPr>
                <w:rFonts w:hint="eastAsia" w:ascii="宋体" w:hAnsi="宋体"/>
                <w:color w:val="auto"/>
                <w:szCs w:val="24"/>
                <w:highlight w:val="none"/>
              </w:rPr>
              <w:t>预住院患者住院后，支持预住院费用转住院结算，也支持预住院费用转门诊结算。</w:t>
            </w:r>
          </w:p>
          <w:p>
            <w:pPr>
              <w:pStyle w:val="201"/>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b/>
                <w:color w:val="auto"/>
                <w:sz w:val="24"/>
                <w:highlight w:val="none"/>
                <w:lang w:eastAsia="zh-CN"/>
              </w:rPr>
              <w:t>预住院查询：</w:t>
            </w:r>
            <w:r>
              <w:rPr>
                <w:rFonts w:hint="eastAsia" w:ascii="宋体" w:hAnsi="宋体" w:eastAsia="宋体"/>
                <w:color w:val="auto"/>
                <w:sz w:val="24"/>
                <w:highlight w:val="none"/>
                <w:lang w:eastAsia="zh-CN"/>
              </w:rPr>
              <w:t>支持预住院查询功能。</w:t>
            </w:r>
          </w:p>
        </w:tc>
      </w:tr>
    </w:tbl>
    <w:p>
      <w:pPr>
        <w:keepNext/>
        <w:keepLines/>
        <w:numPr>
          <w:ilvl w:val="3"/>
          <w:numId w:val="8"/>
        </w:numPr>
        <w:spacing w:before="280" w:after="290" w:line="376" w:lineRule="auto"/>
        <w:outlineLvl w:val="3"/>
        <w:rPr>
          <w:rFonts w:ascii="宋体" w:hAnsi="宋体"/>
          <w:b/>
          <w:bCs/>
          <w:color w:val="auto"/>
          <w:sz w:val="24"/>
          <w:highlight w:val="none"/>
        </w:rPr>
      </w:pPr>
      <w:bookmarkStart w:id="707" w:name="_Toc744"/>
      <w:r>
        <w:rPr>
          <w:rFonts w:hint="eastAsia" w:ascii="宋体" w:hAnsi="宋体"/>
          <w:b/>
          <w:bCs/>
          <w:color w:val="auto"/>
          <w:sz w:val="24"/>
          <w:highlight w:val="none"/>
        </w:rPr>
        <w:t>医院导诊系统</w:t>
      </w:r>
      <w:bookmarkEnd w:id="707"/>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907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4"/>
        <w:gridCol w:w="70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blHeader/>
          <w:jc w:val="center"/>
        </w:trPr>
        <w:tc>
          <w:tcPr>
            <w:tcW w:w="1984" w:type="dxa"/>
            <w:shd w:val="clear" w:color="auto" w:fill="4471C4"/>
          </w:tcPr>
          <w:p>
            <w:pPr>
              <w:autoSpaceDE w:val="0"/>
              <w:autoSpaceDN w:val="0"/>
              <w:spacing w:before="30" w:line="360" w:lineRule="auto"/>
              <w:ind w:left="347"/>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功能模块</w:t>
            </w:r>
          </w:p>
        </w:tc>
        <w:tc>
          <w:tcPr>
            <w:tcW w:w="7087" w:type="dxa"/>
            <w:shd w:val="clear" w:color="auto" w:fill="4471C4"/>
          </w:tcPr>
          <w:p>
            <w:pPr>
              <w:autoSpaceDE w:val="0"/>
              <w:autoSpaceDN w:val="0"/>
              <w:spacing w:before="30" w:line="360" w:lineRule="auto"/>
              <w:ind w:left="1006" w:right="1000"/>
              <w:jc w:val="center"/>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jc w:val="center"/>
        </w:trPr>
        <w:tc>
          <w:tcPr>
            <w:tcW w:w="1984"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自助导诊</w:t>
            </w:r>
          </w:p>
        </w:tc>
        <w:tc>
          <w:tcPr>
            <w:tcW w:w="7087" w:type="dxa"/>
            <w:vAlign w:val="center"/>
          </w:tcPr>
          <w:p>
            <w:pPr>
              <w:pStyle w:val="201"/>
              <w:numPr>
                <w:ilvl w:val="0"/>
                <w:numId w:val="9"/>
              </w:numPr>
              <w:spacing w:before="6" w:line="360" w:lineRule="auto"/>
              <w:ind w:left="367"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eastAsia="zh-CN" w:bidi="zh-CN"/>
              </w:rPr>
              <w:t>支持</w:t>
            </w:r>
            <w:r>
              <w:rPr>
                <w:rFonts w:hint="eastAsia" w:ascii="宋体" w:hAnsi="宋体" w:eastAsia="宋体"/>
                <w:color w:val="auto"/>
                <w:sz w:val="24"/>
                <w:highlight w:val="none"/>
                <w:lang w:val="zh-CN" w:eastAsia="zh-CN" w:bidi="zh-CN"/>
              </w:rPr>
              <w:t>在自助导诊界面显示成年或儿童的男性或女性身体结构图，可切换正面和背面，或者以文字列表的形式列出身体部位，患者在结构图或文字列表选择身体不适的部位，系统会列出该部位的症状，患者选择与自己相同的症状，系统自动列出可能的疾病及疾病介绍和建议可挂号的就诊科室及医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 w:hRule="atLeast"/>
          <w:jc w:val="center"/>
        </w:trPr>
        <w:tc>
          <w:tcPr>
            <w:tcW w:w="1984" w:type="dxa"/>
            <w:vAlign w:val="center"/>
          </w:tcPr>
          <w:p>
            <w:pPr>
              <w:jc w:val="center"/>
              <w:textAlignment w:val="center"/>
              <w:rPr>
                <w:rFonts w:ascii="宋体" w:hAnsi="宋体" w:cs="仿宋"/>
                <w:b/>
                <w:bCs/>
                <w:color w:val="auto"/>
                <w:sz w:val="24"/>
                <w:highlight w:val="none"/>
                <w:lang w:bidi="ar"/>
              </w:rPr>
            </w:pPr>
            <w:r>
              <w:rPr>
                <w:rFonts w:hint="eastAsia" w:ascii="宋体" w:hAnsi="宋体" w:cs="仿宋"/>
                <w:b/>
                <w:bCs/>
                <w:color w:val="auto"/>
                <w:sz w:val="24"/>
                <w:highlight w:val="none"/>
                <w:lang w:bidi="ar"/>
              </w:rPr>
              <w:t>导诊知识库</w:t>
            </w:r>
          </w:p>
        </w:tc>
        <w:tc>
          <w:tcPr>
            <w:tcW w:w="7087" w:type="dxa"/>
            <w:vAlign w:val="center"/>
          </w:tcPr>
          <w:p>
            <w:pPr>
              <w:pStyle w:val="201"/>
              <w:numPr>
                <w:ilvl w:val="0"/>
                <w:numId w:val="9"/>
              </w:numPr>
              <w:spacing w:before="6" w:line="360" w:lineRule="auto"/>
              <w:ind w:left="367"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支持通过对后台导诊知识库中人体各部位可能出现的症状，表现特征，可能疾病及治疗科室的维护。</w:t>
            </w:r>
          </w:p>
          <w:p>
            <w:pPr>
              <w:pStyle w:val="201"/>
              <w:numPr>
                <w:ilvl w:val="0"/>
                <w:numId w:val="9"/>
              </w:numPr>
              <w:spacing w:before="6" w:line="360" w:lineRule="auto"/>
              <w:ind w:left="367"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支持可辅助患者对人体模型部位的点选和症状的选择，给出患者可能罹患的疾病以及科室建议，为患者预约挂号提供参考。如医院有自己的医学知识库，可进行扩展使用。</w:t>
            </w:r>
          </w:p>
        </w:tc>
      </w:tr>
    </w:tbl>
    <w:p>
      <w:pPr>
        <w:spacing w:line="360" w:lineRule="auto"/>
        <w:ind w:firstLine="480" w:firstLineChars="200"/>
        <w:rPr>
          <w:rFonts w:ascii="宋体" w:hAnsi="宋体"/>
          <w:color w:val="auto"/>
          <w:sz w:val="24"/>
          <w:highlight w:val="none"/>
        </w:rPr>
      </w:pPr>
    </w:p>
    <w:p>
      <w:pPr>
        <w:keepNext/>
        <w:keepLines/>
        <w:numPr>
          <w:ilvl w:val="3"/>
          <w:numId w:val="8"/>
        </w:numPr>
        <w:spacing w:before="280" w:after="290" w:line="376" w:lineRule="auto"/>
        <w:outlineLvl w:val="3"/>
        <w:rPr>
          <w:rFonts w:ascii="宋体" w:hAnsi="宋体"/>
          <w:b/>
          <w:bCs/>
          <w:color w:val="auto"/>
          <w:sz w:val="24"/>
          <w:highlight w:val="none"/>
        </w:rPr>
      </w:pPr>
      <w:bookmarkStart w:id="708" w:name="_Toc11988"/>
      <w:r>
        <w:rPr>
          <w:rFonts w:hint="eastAsia" w:ascii="宋体" w:hAnsi="宋体"/>
          <w:b/>
          <w:bCs/>
          <w:color w:val="auto"/>
          <w:sz w:val="24"/>
          <w:highlight w:val="none"/>
        </w:rPr>
        <w:t>院内导航系统</w:t>
      </w:r>
      <w:bookmarkEnd w:id="708"/>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要求可通过院内平面图方式搜索和查看院内各科室位置，方面患者根据位置信息，智能规划路径，可实现导诊大屏路径指引和移动端目的地位置标记指引，快速到达诊疗区域。</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要求定位实时面积覆盖</w:t>
      </w:r>
      <w:r>
        <w:rPr>
          <w:rFonts w:ascii="宋体" w:hAnsi="宋体"/>
          <w:color w:val="auto"/>
          <w:sz w:val="24"/>
          <w:highlight w:val="none"/>
        </w:rPr>
        <w:t>45000</w:t>
      </w:r>
      <w:r>
        <w:rPr>
          <w:rFonts w:hint="eastAsia" w:ascii="宋体" w:hAnsi="宋体"/>
          <w:color w:val="auto"/>
          <w:sz w:val="24"/>
          <w:highlight w:val="none"/>
        </w:rPr>
        <w:t>平米，覆盖检查科室、检验科室、门诊科室、急诊科室（总院、新院区、儿童中心、区域医疗中心、喀广院），结合室外导航及手机端医疗服务应用，基于“互联网+”的服务模式，帮助患者在院内获得动态连续的位置指引，让患者不再需要问路、不再走错路，真正的做到让信息多跑路，患者少跑路</w:t>
      </w:r>
      <w:r>
        <w:rPr>
          <w:rFonts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8342" w:type="dxa"/>
        <w:jc w:val="center"/>
        <w:tblLayout w:type="fixed"/>
        <w:tblCellMar>
          <w:top w:w="15" w:type="dxa"/>
          <w:left w:w="15" w:type="dxa"/>
          <w:bottom w:w="15" w:type="dxa"/>
          <w:right w:w="15" w:type="dxa"/>
        </w:tblCellMar>
      </w:tblPr>
      <w:tblGrid>
        <w:gridCol w:w="2286"/>
        <w:gridCol w:w="6006"/>
        <w:gridCol w:w="50"/>
      </w:tblGrid>
      <w:tr>
        <w:tblPrEx>
          <w:tblCellMar>
            <w:top w:w="15" w:type="dxa"/>
            <w:left w:w="15" w:type="dxa"/>
            <w:bottom w:w="15" w:type="dxa"/>
            <w:right w:w="15" w:type="dxa"/>
          </w:tblCellMar>
        </w:tblPrEx>
        <w:trPr>
          <w:trHeight w:val="360" w:hRule="atLeast"/>
          <w:jc w:val="center"/>
        </w:trPr>
        <w:tc>
          <w:tcPr>
            <w:tcW w:w="228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autoSpaceDE w:val="0"/>
              <w:autoSpaceDN w:val="0"/>
              <w:spacing w:before="30" w:line="360" w:lineRule="auto"/>
              <w:ind w:left="347"/>
              <w:jc w:val="center"/>
              <w:rPr>
                <w:rFonts w:ascii="宋体" w:hAnsi="宋体" w:cs="仿宋"/>
                <w:b/>
                <w:color w:val="auto"/>
                <w:w w:val="105"/>
                <w:sz w:val="24"/>
                <w:highlight w:val="none"/>
                <w:lang w:val="zh-CN" w:bidi="zh-CN"/>
              </w:rPr>
            </w:pPr>
            <w:r>
              <w:rPr>
                <w:rFonts w:hint="eastAsia" w:ascii="宋体" w:hAnsi="宋体" w:cs="仿宋"/>
                <w:b/>
                <w:color w:val="auto"/>
                <w:w w:val="105"/>
                <w:sz w:val="24"/>
                <w:highlight w:val="none"/>
                <w:lang w:val="zh-CN" w:bidi="zh-CN"/>
              </w:rPr>
              <w:t>模块</w:t>
            </w:r>
          </w:p>
        </w:tc>
        <w:tc>
          <w:tcPr>
            <w:tcW w:w="6006" w:type="dxa"/>
            <w:tcBorders>
              <w:top w:val="single" w:color="000000" w:sz="4" w:space="0"/>
              <w:left w:val="single" w:color="000000" w:sz="4" w:space="0"/>
              <w:bottom w:val="single" w:color="000000" w:sz="4" w:space="0"/>
              <w:right w:val="single" w:color="000000" w:sz="4" w:space="0"/>
            </w:tcBorders>
            <w:shd w:val="clear" w:color="auto" w:fill="5B9BD5"/>
            <w:noWrap/>
            <w:vAlign w:val="center"/>
          </w:tcPr>
          <w:p>
            <w:pPr>
              <w:autoSpaceDE w:val="0"/>
              <w:autoSpaceDN w:val="0"/>
              <w:spacing w:before="30" w:line="360" w:lineRule="auto"/>
              <w:ind w:left="347"/>
              <w:jc w:val="center"/>
              <w:rPr>
                <w:rFonts w:ascii="宋体" w:hAnsi="宋体" w:cs="仿宋"/>
                <w:b/>
                <w:color w:val="auto"/>
                <w:w w:val="105"/>
                <w:sz w:val="24"/>
                <w:highlight w:val="none"/>
                <w:lang w:val="zh-CN" w:bidi="zh-CN"/>
              </w:rPr>
            </w:pPr>
            <w:r>
              <w:rPr>
                <w:rFonts w:hint="eastAsia" w:ascii="宋体" w:hAnsi="宋体" w:cs="仿宋"/>
                <w:b/>
                <w:color w:val="auto"/>
                <w:w w:val="105"/>
                <w:sz w:val="24"/>
                <w:highlight w:val="none"/>
                <w:lang w:val="zh-CN" w:bidi="zh-CN"/>
              </w:rPr>
              <w:t>功能要求</w:t>
            </w:r>
          </w:p>
        </w:tc>
        <w:tc>
          <w:tcPr>
            <w:tcW w:w="50" w:type="dxa"/>
            <w:vAlign w:val="center"/>
          </w:tcPr>
          <w:p>
            <w:pPr>
              <w:widowControl/>
              <w:spacing w:line="360" w:lineRule="auto"/>
              <w:jc w:val="left"/>
              <w:rPr>
                <w:rFonts w:ascii="宋体" w:hAnsi="宋体"/>
                <w:color w:val="auto"/>
                <w:kern w:val="0"/>
                <w:sz w:val="24"/>
                <w:highlight w:val="none"/>
              </w:rPr>
            </w:pPr>
          </w:p>
        </w:tc>
      </w:tr>
      <w:tr>
        <w:tblPrEx>
          <w:tblCellMar>
            <w:top w:w="15" w:type="dxa"/>
            <w:left w:w="15" w:type="dxa"/>
            <w:bottom w:w="15" w:type="dxa"/>
            <w:right w:w="15" w:type="dxa"/>
          </w:tblCellMar>
        </w:tblPrEx>
        <w:trPr>
          <w:trHeight w:val="360" w:hRule="atLeast"/>
          <w:jc w:val="center"/>
        </w:trPr>
        <w:tc>
          <w:tcPr>
            <w:tcW w:w="22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utoSpaceDE w:val="0"/>
              <w:autoSpaceDN w:val="0"/>
              <w:spacing w:before="30" w:line="360" w:lineRule="auto"/>
              <w:ind w:left="347"/>
              <w:jc w:val="left"/>
              <w:rPr>
                <w:rFonts w:ascii="宋体" w:hAnsi="宋体" w:cs="宋体"/>
                <w:b/>
                <w:color w:val="auto"/>
                <w:w w:val="105"/>
                <w:sz w:val="24"/>
                <w:highlight w:val="none"/>
                <w:lang w:val="zh-CN" w:bidi="zh-CN"/>
              </w:rPr>
            </w:pPr>
            <w:r>
              <w:rPr>
                <w:rFonts w:hint="eastAsia" w:ascii="宋体" w:hAnsi="宋体" w:cs="宋体"/>
                <w:color w:val="auto"/>
                <w:kern w:val="0"/>
                <w:sz w:val="24"/>
                <w:highlight w:val="none"/>
                <w:lang w:bidi="ar"/>
              </w:rPr>
              <w:t>室内定位信标</w:t>
            </w:r>
          </w:p>
        </w:tc>
        <w:tc>
          <w:tcPr>
            <w:tcW w:w="60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Hans"/>
              </w:rPr>
              <w:t>、</w:t>
            </w:r>
            <w:r>
              <w:rPr>
                <w:rFonts w:hint="eastAsia" w:ascii="宋体" w:hAnsi="宋体" w:cs="宋体"/>
                <w:color w:val="auto"/>
                <w:sz w:val="24"/>
                <w:highlight w:val="none"/>
              </w:rPr>
              <w:t>支持BluetoothBLE4.0和iBeacon协议，工作于2.4GHzISM频段；</w:t>
            </w:r>
            <w:r>
              <w:rPr>
                <w:rFonts w:hint="eastAsia" w:ascii="宋体" w:hAnsi="宋体" w:cs="宋体"/>
                <w:color w:val="auto"/>
                <w:sz w:val="24"/>
                <w:highlight w:val="none"/>
              </w:rPr>
              <w:br w:type="textWrapping"/>
            </w:r>
            <w:r>
              <w:rPr>
                <w:rFonts w:hint="eastAsia" w:ascii="宋体" w:hAnsi="宋体" w:cs="宋体"/>
                <w:color w:val="auto"/>
                <w:sz w:val="24"/>
                <w:highlight w:val="none"/>
              </w:rPr>
              <w:t>2、尺寸直径≤70mm，厚度≤25mm；</w:t>
            </w:r>
            <w:r>
              <w:rPr>
                <w:rFonts w:hint="eastAsia" w:ascii="宋体" w:hAnsi="宋体" w:cs="宋体"/>
                <w:color w:val="auto"/>
                <w:sz w:val="24"/>
                <w:highlight w:val="none"/>
              </w:rPr>
              <w:br w:type="textWrapping"/>
            </w:r>
            <w:r>
              <w:rPr>
                <w:rFonts w:hint="eastAsia" w:ascii="宋体" w:hAnsi="宋体" w:cs="宋体"/>
                <w:color w:val="auto"/>
                <w:sz w:val="24"/>
                <w:highlight w:val="none"/>
              </w:rPr>
              <w:t>3、重量≤60g；</w:t>
            </w:r>
            <w:r>
              <w:rPr>
                <w:rFonts w:hint="eastAsia" w:ascii="宋体" w:hAnsi="宋体" w:cs="宋体"/>
                <w:color w:val="auto"/>
                <w:sz w:val="24"/>
                <w:highlight w:val="none"/>
              </w:rPr>
              <w:br w:type="textWrapping"/>
            </w:r>
            <w:r>
              <w:rPr>
                <w:rFonts w:hint="eastAsia" w:ascii="宋体" w:hAnsi="宋体" w:cs="宋体"/>
                <w:color w:val="auto"/>
                <w:sz w:val="24"/>
                <w:highlight w:val="none"/>
              </w:rPr>
              <w:t>4、内置锂电池，电池容量≥2400mAh；</w:t>
            </w:r>
            <w:r>
              <w:rPr>
                <w:rFonts w:hint="eastAsia" w:ascii="宋体" w:hAnsi="宋体" w:cs="宋体"/>
                <w:color w:val="auto"/>
                <w:sz w:val="24"/>
                <w:highlight w:val="none"/>
              </w:rPr>
              <w:br w:type="textWrapping"/>
            </w:r>
            <w:r>
              <w:rPr>
                <w:rFonts w:hint="eastAsia" w:ascii="宋体" w:hAnsi="宋体" w:cs="宋体"/>
                <w:color w:val="auto"/>
                <w:sz w:val="24"/>
                <w:highlight w:val="none"/>
              </w:rPr>
              <w:t>5、支持VHB背胶固定安装，同时支持螺丝固定安装方式，安装效果稳定可靠；</w:t>
            </w:r>
          </w:p>
          <w:p>
            <w:pPr>
              <w:spacing w:line="360" w:lineRule="auto"/>
              <w:rPr>
                <w:rFonts w:ascii="宋体" w:hAnsi="宋体" w:cs="宋体"/>
                <w:color w:val="auto"/>
                <w:sz w:val="24"/>
                <w:highlight w:val="none"/>
              </w:rPr>
            </w:pPr>
            <w:r>
              <w:rPr>
                <w:rFonts w:hint="eastAsia" w:ascii="宋体" w:hAnsi="宋体" w:cs="宋体"/>
                <w:color w:val="auto"/>
                <w:sz w:val="24"/>
                <w:highlight w:val="none"/>
              </w:rPr>
              <w:t>6、室内蓝牙信标，BluetoothBLE4.0, iBeacon协议，定位网络信号覆盖</w:t>
            </w:r>
          </w:p>
        </w:tc>
        <w:tc>
          <w:tcPr>
            <w:tcW w:w="50" w:type="dxa"/>
            <w:vAlign w:val="center"/>
          </w:tcPr>
          <w:p>
            <w:pPr>
              <w:widowControl/>
              <w:spacing w:line="360" w:lineRule="auto"/>
              <w:jc w:val="left"/>
              <w:rPr>
                <w:rFonts w:ascii="宋体" w:hAnsi="宋体"/>
                <w:color w:val="auto"/>
                <w:kern w:val="0"/>
                <w:sz w:val="24"/>
                <w:highlight w:val="none"/>
              </w:rPr>
            </w:pPr>
          </w:p>
        </w:tc>
      </w:tr>
      <w:tr>
        <w:tblPrEx>
          <w:tblCellMar>
            <w:top w:w="15" w:type="dxa"/>
            <w:left w:w="15" w:type="dxa"/>
            <w:bottom w:w="15" w:type="dxa"/>
            <w:right w:w="15" w:type="dxa"/>
          </w:tblCellMar>
        </w:tblPrEx>
        <w:trPr>
          <w:trHeight w:val="360" w:hRule="atLeast"/>
          <w:jc w:val="center"/>
        </w:trPr>
        <w:tc>
          <w:tcPr>
            <w:tcW w:w="22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utoSpaceDE w:val="0"/>
              <w:autoSpaceDN w:val="0"/>
              <w:spacing w:before="30" w:line="360" w:lineRule="auto"/>
              <w:ind w:left="347"/>
              <w:jc w:val="left"/>
              <w:rPr>
                <w:rFonts w:ascii="宋体" w:hAnsi="宋体" w:cs="宋体"/>
                <w:b/>
                <w:color w:val="auto"/>
                <w:w w:val="105"/>
                <w:sz w:val="24"/>
                <w:highlight w:val="none"/>
                <w:lang w:val="zh-CN" w:bidi="zh-CN"/>
              </w:rPr>
            </w:pPr>
            <w:r>
              <w:rPr>
                <w:rFonts w:hint="eastAsia" w:ascii="宋体" w:hAnsi="宋体" w:cs="宋体"/>
                <w:color w:val="auto"/>
                <w:kern w:val="0"/>
                <w:sz w:val="24"/>
                <w:highlight w:val="none"/>
                <w:lang w:bidi="ar"/>
              </w:rPr>
              <w:t>手机导诊陪诊软件</w:t>
            </w:r>
          </w:p>
        </w:tc>
        <w:tc>
          <w:tcPr>
            <w:tcW w:w="60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auto"/>
              <w:rPr>
                <w:rFonts w:ascii="宋体" w:hAnsi="宋体" w:cs="宋体"/>
                <w:b/>
                <w:color w:val="auto"/>
                <w:w w:val="105"/>
                <w:sz w:val="24"/>
                <w:highlight w:val="none"/>
                <w:lang w:val="zh-CN" w:bidi="zh-CN"/>
              </w:rPr>
            </w:pPr>
            <w:r>
              <w:rPr>
                <w:rFonts w:hint="eastAsia" w:ascii="宋体" w:hAnsi="宋体" w:cs="宋体"/>
                <w:color w:val="auto"/>
                <w:kern w:val="0"/>
                <w:sz w:val="24"/>
                <w:highlight w:val="none"/>
                <w:lang w:bidi="ar"/>
              </w:rPr>
              <w:t>1、具有文字搜索功能和语音搜索功能；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2、具有楼宇、楼层科室类别展示功能；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3、全面的POI热点，系统可将用户高频访问的一些设施点设置为快捷兴趣点；</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4、具有路线总览功能，路径规划页面可以同时显示跨楼层路线，并且可显示院内外路径统一规划总览；</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5、支持智行/电梯/楼梯/手扶梯/无障碍多模式路径规划方式；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6、实时导航过程中系统提供语音、文字、图片等多种辅助导航提示；</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7、具有模拟导航功能，如用户不在定位网络覆盖范围之内，可选择模拟导航，查询全程导航情况；</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8、支持720°全景VR展示；</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9、具有来院导航功能，可调用百度、高德或腾讯等地图完成来院的院外导航；</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10、院内外地图一体化展示功能，可将医院地图融入到如高德、百度、腾讯等院外地图中进行一体化展示；</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11、支持停车场一键停车，记录车位；支持反向寻车一键导航；</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12、支持分享自己的实时位置，支持与其他用户共享位置；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13、具有导航体验评价功能，导航结束后为用户推送导航体验意见反馈调查表；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14、具有医院介绍信息功能，可为医院做基本信息推广；</w:t>
            </w:r>
          </w:p>
        </w:tc>
        <w:tc>
          <w:tcPr>
            <w:tcW w:w="50" w:type="dxa"/>
            <w:vAlign w:val="center"/>
          </w:tcPr>
          <w:p>
            <w:pPr>
              <w:widowControl/>
              <w:spacing w:line="360" w:lineRule="auto"/>
              <w:jc w:val="left"/>
              <w:rPr>
                <w:rFonts w:ascii="宋体" w:hAnsi="宋体"/>
                <w:color w:val="auto"/>
                <w:kern w:val="0"/>
                <w:sz w:val="24"/>
                <w:highlight w:val="none"/>
              </w:rPr>
            </w:pPr>
          </w:p>
        </w:tc>
      </w:tr>
      <w:tr>
        <w:tblPrEx>
          <w:tblCellMar>
            <w:top w:w="15" w:type="dxa"/>
            <w:left w:w="15" w:type="dxa"/>
            <w:bottom w:w="15" w:type="dxa"/>
            <w:right w:w="15" w:type="dxa"/>
          </w:tblCellMar>
        </w:tblPrEx>
        <w:trPr>
          <w:trHeight w:val="360" w:hRule="atLeast"/>
          <w:jc w:val="center"/>
        </w:trPr>
        <w:tc>
          <w:tcPr>
            <w:tcW w:w="22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autoSpaceDE w:val="0"/>
              <w:autoSpaceDN w:val="0"/>
              <w:spacing w:before="30" w:line="360" w:lineRule="auto"/>
              <w:ind w:left="347"/>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巡检部署平台软件</w:t>
            </w:r>
          </w:p>
        </w:tc>
        <w:tc>
          <w:tcPr>
            <w:tcW w:w="60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spacing w:line="360" w:lineRule="auto"/>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1、支持院内GIS地图绘制，地图呈现2D和3D效果；</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2、支持数字地图动态操作，包括缩放，平移、旋转、分级显示等；地图旋转时，保持字体正向显示；</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3、支持离线地图，地图上医院结构及各POI点名称可清晰展现；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4、地图可切换院区、楼宇或是楼层，用户可通过地图上显示的文字标注结合方向方位，点击地图上的模型来确认目的地；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5、支持文字搜索或POI分类点（如洗手间、诊室、药房等）搜索，搜索结果进行高亮显示；</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6、支持目的地模拟导航，可点选起点、终点规划路径，精准展示规划的路径及行走的预估时间，模拟导航支持倍速切换；</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7、具有路径规划功能，系统有智行/电梯/楼梯/手扶梯/无障碍多模式路径规划方式，支持路径全程、多楼层切换预览；</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8、具有科室介绍、专家介绍、专家出诊排班表功能；</w:t>
            </w:r>
          </w:p>
        </w:tc>
        <w:tc>
          <w:tcPr>
            <w:tcW w:w="50" w:type="dxa"/>
            <w:vAlign w:val="center"/>
          </w:tcPr>
          <w:p>
            <w:pPr>
              <w:widowControl/>
              <w:spacing w:line="360" w:lineRule="auto"/>
              <w:jc w:val="left"/>
              <w:rPr>
                <w:rFonts w:ascii="宋体" w:hAnsi="宋体"/>
                <w:color w:val="auto"/>
                <w:kern w:val="0"/>
                <w:sz w:val="24"/>
                <w:highlight w:val="none"/>
              </w:rPr>
            </w:pPr>
          </w:p>
        </w:tc>
      </w:tr>
      <w:tr>
        <w:tblPrEx>
          <w:tblCellMar>
            <w:top w:w="15" w:type="dxa"/>
            <w:left w:w="15" w:type="dxa"/>
            <w:bottom w:w="15" w:type="dxa"/>
            <w:right w:w="15" w:type="dxa"/>
          </w:tblCellMar>
        </w:tblPrEx>
        <w:trPr>
          <w:trHeight w:val="360" w:hRule="atLeast"/>
          <w:jc w:val="center"/>
        </w:trPr>
        <w:tc>
          <w:tcPr>
            <w:tcW w:w="22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公众号对接</w:t>
            </w:r>
          </w:p>
        </w:tc>
        <w:tc>
          <w:tcPr>
            <w:tcW w:w="60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通过微信公众号中的消息模板或智慧医院系统增加按钮的形式，增加跳转导航小程序链接，直接进入导航流程</w:t>
            </w:r>
          </w:p>
        </w:tc>
        <w:tc>
          <w:tcPr>
            <w:tcW w:w="50" w:type="dxa"/>
            <w:vAlign w:val="center"/>
          </w:tcPr>
          <w:p>
            <w:pPr>
              <w:widowControl/>
              <w:spacing w:line="360" w:lineRule="auto"/>
              <w:jc w:val="left"/>
              <w:rPr>
                <w:rFonts w:ascii="宋体" w:hAnsi="宋体"/>
                <w:color w:val="auto"/>
                <w:kern w:val="0"/>
                <w:sz w:val="24"/>
                <w:highlight w:val="none"/>
              </w:rPr>
            </w:pPr>
          </w:p>
        </w:tc>
      </w:tr>
      <w:tr>
        <w:tblPrEx>
          <w:tblCellMar>
            <w:top w:w="15" w:type="dxa"/>
            <w:left w:w="15" w:type="dxa"/>
            <w:bottom w:w="15" w:type="dxa"/>
            <w:right w:w="15" w:type="dxa"/>
          </w:tblCellMar>
        </w:tblPrEx>
        <w:trPr>
          <w:trHeight w:val="360" w:hRule="atLeast"/>
          <w:jc w:val="center"/>
        </w:trPr>
        <w:tc>
          <w:tcPr>
            <w:tcW w:w="22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定位引擎</w:t>
            </w:r>
          </w:p>
        </w:tc>
        <w:tc>
          <w:tcPr>
            <w:tcW w:w="60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定位系统核心模块，定位引擎实现了高精度定位算法及高并发数据结构的软件封装</w:t>
            </w:r>
          </w:p>
        </w:tc>
        <w:tc>
          <w:tcPr>
            <w:tcW w:w="50" w:type="dxa"/>
            <w:vAlign w:val="center"/>
          </w:tcPr>
          <w:p>
            <w:pPr>
              <w:widowControl/>
              <w:spacing w:line="360" w:lineRule="auto"/>
              <w:jc w:val="left"/>
              <w:rPr>
                <w:rFonts w:ascii="宋体" w:hAnsi="宋体"/>
                <w:color w:val="auto"/>
                <w:kern w:val="0"/>
                <w:sz w:val="24"/>
                <w:highlight w:val="none"/>
              </w:rPr>
            </w:pPr>
          </w:p>
        </w:tc>
      </w:tr>
      <w:tr>
        <w:tblPrEx>
          <w:tblCellMar>
            <w:top w:w="15" w:type="dxa"/>
            <w:left w:w="15" w:type="dxa"/>
            <w:bottom w:w="15" w:type="dxa"/>
            <w:right w:w="15" w:type="dxa"/>
          </w:tblCellMar>
        </w:tblPrEx>
        <w:trPr>
          <w:trHeight w:val="360" w:hRule="atLeast"/>
          <w:jc w:val="center"/>
        </w:trPr>
        <w:tc>
          <w:tcPr>
            <w:tcW w:w="22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地图引擎</w:t>
            </w:r>
          </w:p>
        </w:tc>
        <w:tc>
          <w:tcPr>
            <w:tcW w:w="60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提供3D地图引擎，实现电子地图的3D展现、POI搜索、路径规划等功能的软件封装</w:t>
            </w:r>
          </w:p>
        </w:tc>
        <w:tc>
          <w:tcPr>
            <w:tcW w:w="50" w:type="dxa"/>
            <w:vAlign w:val="center"/>
          </w:tcPr>
          <w:p>
            <w:pPr>
              <w:widowControl/>
              <w:spacing w:line="360" w:lineRule="auto"/>
              <w:jc w:val="left"/>
              <w:rPr>
                <w:rFonts w:ascii="宋体" w:hAnsi="宋体"/>
                <w:color w:val="auto"/>
                <w:kern w:val="0"/>
                <w:sz w:val="24"/>
                <w:highlight w:val="none"/>
              </w:rPr>
            </w:pPr>
          </w:p>
        </w:tc>
      </w:tr>
    </w:tbl>
    <w:p>
      <w:pPr>
        <w:keepNext/>
        <w:keepLines/>
        <w:numPr>
          <w:ilvl w:val="3"/>
          <w:numId w:val="8"/>
        </w:numPr>
        <w:spacing w:before="280" w:after="290" w:line="376" w:lineRule="auto"/>
        <w:outlineLvl w:val="3"/>
        <w:rPr>
          <w:rFonts w:ascii="宋体" w:hAnsi="宋体"/>
          <w:b/>
          <w:bCs/>
          <w:color w:val="auto"/>
          <w:sz w:val="24"/>
          <w:highlight w:val="none"/>
        </w:rPr>
      </w:pPr>
      <w:bookmarkStart w:id="709" w:name="_Toc15064"/>
      <w:r>
        <w:rPr>
          <w:rFonts w:hint="eastAsia" w:ascii="宋体" w:hAnsi="宋体"/>
          <w:b/>
          <w:bCs/>
          <w:color w:val="auto"/>
          <w:sz w:val="24"/>
          <w:highlight w:val="none"/>
        </w:rPr>
        <w:t>患者定位管理</w:t>
      </w:r>
      <w:bookmarkEnd w:id="709"/>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患者佩戴定位手环，</w:t>
      </w:r>
      <w:r>
        <w:rPr>
          <w:rFonts w:hint="eastAsia" w:ascii="宋体" w:hAnsi="宋体"/>
          <w:color w:val="auto"/>
          <w:sz w:val="24"/>
          <w:highlight w:val="none"/>
          <w:lang w:eastAsia="zh-Hans"/>
        </w:rPr>
        <w:t>新生儿科和心理医学科</w:t>
      </w:r>
      <w:r>
        <w:rPr>
          <w:rFonts w:hint="eastAsia" w:ascii="宋体" w:hAnsi="宋体"/>
          <w:color w:val="auto"/>
          <w:sz w:val="24"/>
          <w:highlight w:val="none"/>
        </w:rPr>
        <w:t>定位网关通过手环获取用户所在位置，通过交换机上传数据到服务器，服务器实时查看人员所在位置。后台服务器管理端，可设置电子围栏，用户超出电子围栏后，系统有语音、微信或声光报警器报警等，提示医护或相关人员。</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88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1"/>
        <w:gridCol w:w="71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671" w:type="dxa"/>
            <w:shd w:val="clear" w:color="auto" w:fill="4471C4"/>
          </w:tcPr>
          <w:p>
            <w:pPr>
              <w:autoSpaceDE w:val="0"/>
              <w:autoSpaceDN w:val="0"/>
              <w:spacing w:before="30" w:line="360" w:lineRule="auto"/>
              <w:ind w:left="347"/>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模块</w:t>
            </w:r>
          </w:p>
        </w:tc>
        <w:tc>
          <w:tcPr>
            <w:tcW w:w="7168" w:type="dxa"/>
            <w:shd w:val="clear" w:color="auto" w:fill="4471C4"/>
          </w:tcPr>
          <w:p>
            <w:pPr>
              <w:autoSpaceDE w:val="0"/>
              <w:autoSpaceDN w:val="0"/>
              <w:spacing w:before="30" w:line="360" w:lineRule="auto"/>
              <w:ind w:left="1006" w:right="1000"/>
              <w:jc w:val="center"/>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功能</w:t>
            </w:r>
            <w:r>
              <w:rPr>
                <w:rFonts w:hint="eastAsia" w:ascii="宋体" w:hAnsi="宋体" w:cs="仿宋"/>
                <w:b/>
                <w:bCs/>
                <w:color w:val="auto"/>
                <w:sz w:val="24"/>
                <w:highlight w:val="none"/>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671" w:type="dxa"/>
            <w:vAlign w:val="center"/>
          </w:tcPr>
          <w:p>
            <w:pPr>
              <w:widowControl/>
              <w:jc w:val="center"/>
              <w:textAlignment w:val="center"/>
              <w:rPr>
                <w:rFonts w:ascii="宋体" w:hAnsi="宋体" w:cs="宋体"/>
                <w:b/>
                <w:bCs/>
                <w:color w:val="auto"/>
                <w:sz w:val="24"/>
                <w:highlight w:val="none"/>
                <w:lang w:val="zh-CN"/>
              </w:rPr>
            </w:pPr>
            <w:r>
              <w:rPr>
                <w:rFonts w:hint="eastAsia" w:ascii="宋体" w:hAnsi="宋体" w:cs="宋体"/>
                <w:color w:val="auto"/>
                <w:kern w:val="0"/>
                <w:sz w:val="24"/>
                <w:highlight w:val="none"/>
                <w:lang w:bidi="ar"/>
              </w:rPr>
              <w:t>物联网单元</w:t>
            </w:r>
          </w:p>
        </w:tc>
        <w:tc>
          <w:tcPr>
            <w:tcW w:w="7168" w:type="dxa"/>
            <w:vAlign w:val="center"/>
          </w:tcPr>
          <w:p>
            <w:pPr>
              <w:widowControl/>
              <w:jc w:val="left"/>
              <w:textAlignment w:val="center"/>
              <w:rPr>
                <w:rFonts w:ascii="宋体" w:hAnsi="宋体" w:cs="宋体"/>
                <w:color w:val="auto"/>
                <w:sz w:val="24"/>
                <w:highlight w:val="none"/>
                <w:lang w:val="zh-CN" w:bidi="zh-CN"/>
              </w:rPr>
            </w:pPr>
            <w:r>
              <w:rPr>
                <w:rFonts w:hint="eastAsia" w:ascii="宋体" w:hAnsi="宋体" w:cs="宋体"/>
                <w:color w:val="auto"/>
                <w:kern w:val="0"/>
                <w:sz w:val="24"/>
                <w:highlight w:val="none"/>
                <w:lang w:bidi="ar"/>
              </w:rPr>
              <w:t>1、内置POE转·换模块，支持POE/DC9V~24V供电；</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2、具有2.4GHz通信芯片和SUB-1GHz通信芯片；</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3、同时支持多路2.4GHz数据协议（Zigbee、2.4G私有、BLE)和多路SUB-1GHz通信要求，实现一网多用；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4、BLE同时支持扫描、广播、连接功能，实现定位技术要求和蓝牙物联网终端数据采集；</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5、支持OTA升级；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1671" w:type="dxa"/>
            <w:vAlign w:val="center"/>
          </w:tcPr>
          <w:p>
            <w:pPr>
              <w:widowControl/>
              <w:jc w:val="center"/>
              <w:textAlignment w:val="center"/>
              <w:rPr>
                <w:rFonts w:ascii="宋体" w:hAnsi="宋体" w:cs="宋体"/>
                <w:b/>
                <w:bCs/>
                <w:color w:val="auto"/>
                <w:sz w:val="24"/>
                <w:highlight w:val="none"/>
                <w:lang w:val="zh-CN"/>
              </w:rPr>
            </w:pPr>
            <w:r>
              <w:rPr>
                <w:rFonts w:hint="eastAsia" w:ascii="宋体" w:hAnsi="宋体" w:cs="宋体"/>
                <w:color w:val="auto"/>
                <w:kern w:val="0"/>
                <w:sz w:val="24"/>
                <w:highlight w:val="none"/>
                <w:lang w:bidi="ar"/>
              </w:rPr>
              <w:t>婴儿定位脚环</w:t>
            </w:r>
          </w:p>
        </w:tc>
        <w:tc>
          <w:tcPr>
            <w:tcW w:w="7168" w:type="dxa"/>
            <w:vAlign w:val="center"/>
          </w:tcPr>
          <w:p>
            <w:pPr>
              <w:widowControl/>
              <w:jc w:val="left"/>
              <w:textAlignment w:val="center"/>
              <w:rPr>
                <w:rFonts w:ascii="宋体" w:hAnsi="宋体" w:cs="宋体"/>
                <w:color w:val="auto"/>
                <w:sz w:val="24"/>
                <w:highlight w:val="none"/>
                <w:lang w:val="zh-CN" w:bidi="zh-CN"/>
              </w:rPr>
            </w:pPr>
            <w:r>
              <w:rPr>
                <w:rFonts w:hint="eastAsia" w:ascii="宋体" w:hAnsi="宋体" w:cs="宋体"/>
                <w:color w:val="auto"/>
                <w:kern w:val="0"/>
                <w:sz w:val="24"/>
                <w:highlight w:val="none"/>
                <w:lang w:bidi="ar"/>
              </w:rPr>
              <w:t>1、具有2种或以上颜色可选；</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2、内置锂电池，电池续航可达4个月（每秒广播1次），电池可充电；</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3、具有防拆报警功能；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4、支持LED灯显示工作状态（通信成功、电量不足）；</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5、上报时间间隔可配置；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6、终端要求安全无毒无公害，并符合电磁场人体暴露评估标准；</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7、主壳尺寸≤31mmx25mmx11mm(LxWxH)；</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8、重量≤20g；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1671" w:type="dxa"/>
            <w:vAlign w:val="center"/>
          </w:tcPr>
          <w:p>
            <w:pPr>
              <w:widowControl/>
              <w:jc w:val="center"/>
              <w:textAlignment w:val="center"/>
              <w:rPr>
                <w:rFonts w:ascii="宋体" w:hAnsi="宋体" w:cs="宋体"/>
                <w:b/>
                <w:bCs/>
                <w:color w:val="auto"/>
                <w:sz w:val="24"/>
                <w:highlight w:val="none"/>
              </w:rPr>
            </w:pPr>
            <w:r>
              <w:rPr>
                <w:rFonts w:hint="eastAsia" w:ascii="宋体" w:hAnsi="宋体" w:cs="宋体"/>
                <w:color w:val="auto"/>
                <w:kern w:val="0"/>
                <w:sz w:val="24"/>
                <w:highlight w:val="none"/>
                <w:lang w:bidi="ar"/>
              </w:rPr>
              <w:t>婴儿脚环专用腕带</w:t>
            </w:r>
          </w:p>
        </w:tc>
        <w:tc>
          <w:tcPr>
            <w:tcW w:w="7168" w:type="dxa"/>
            <w:vAlign w:val="center"/>
          </w:tcPr>
          <w:p>
            <w:pPr>
              <w:widowControl/>
              <w:jc w:val="left"/>
              <w:textAlignment w:val="center"/>
              <w:rPr>
                <w:rFonts w:ascii="宋体" w:hAnsi="宋体" w:cs="宋体"/>
                <w:color w:val="auto"/>
                <w:sz w:val="24"/>
                <w:highlight w:val="none"/>
                <w:lang w:val="zh-CN" w:bidi="zh-CN"/>
              </w:rPr>
            </w:pPr>
            <w:r>
              <w:rPr>
                <w:rFonts w:hint="eastAsia" w:ascii="宋体" w:hAnsi="宋体" w:cs="宋体"/>
                <w:color w:val="auto"/>
                <w:kern w:val="0"/>
                <w:sz w:val="24"/>
                <w:highlight w:val="none"/>
                <w:lang w:bidi="ar"/>
              </w:rPr>
              <w:t>1、具有2种或以上颜色可选；</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2、腕带非皮肤接触面要求采用食品安全级硅胶材料；</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3、皮肤接触面为经编银纤维防辐射面料，面料柔和无刺激；</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4、腕带出厂经过消毒辐照灭菌处理；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3" w:hRule="atLeast"/>
        </w:trPr>
        <w:tc>
          <w:tcPr>
            <w:tcW w:w="1671" w:type="dxa"/>
            <w:vAlign w:val="center"/>
          </w:tcPr>
          <w:p>
            <w:pPr>
              <w:widowControl/>
              <w:jc w:val="center"/>
              <w:textAlignment w:val="center"/>
              <w:rPr>
                <w:rFonts w:ascii="宋体" w:hAnsi="宋体" w:cs="宋体"/>
                <w:b/>
                <w:bCs/>
                <w:color w:val="auto"/>
                <w:sz w:val="24"/>
                <w:highlight w:val="none"/>
                <w:lang w:val="zh-CN"/>
              </w:rPr>
            </w:pPr>
            <w:r>
              <w:rPr>
                <w:rFonts w:hint="eastAsia" w:ascii="宋体" w:hAnsi="宋体" w:cs="宋体"/>
                <w:color w:val="auto"/>
                <w:kern w:val="0"/>
                <w:sz w:val="24"/>
                <w:highlight w:val="none"/>
                <w:lang w:bidi="ar"/>
              </w:rPr>
              <w:t>充电储存盒</w:t>
            </w:r>
          </w:p>
        </w:tc>
        <w:tc>
          <w:tcPr>
            <w:tcW w:w="7168" w:type="dxa"/>
            <w:vAlign w:val="center"/>
          </w:tcPr>
          <w:p>
            <w:pPr>
              <w:widowControl/>
              <w:jc w:val="left"/>
              <w:textAlignment w:val="center"/>
              <w:rPr>
                <w:rFonts w:ascii="宋体" w:hAnsi="宋体" w:cs="宋体"/>
                <w:color w:val="auto"/>
                <w:sz w:val="24"/>
                <w:highlight w:val="none"/>
                <w:lang w:val="zh-CN" w:bidi="zh-CN"/>
              </w:rPr>
            </w:pPr>
            <w:r>
              <w:rPr>
                <w:rFonts w:hint="eastAsia" w:ascii="宋体" w:hAnsi="宋体" w:cs="宋体"/>
                <w:color w:val="auto"/>
                <w:kern w:val="0"/>
                <w:sz w:val="24"/>
                <w:highlight w:val="none"/>
                <w:lang w:bidi="ar"/>
              </w:rPr>
              <w:t>1、支持供电DC12V/2A，输出电流100mA/个；</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2、批量充电盒，同时支持15个婴儿定位终端充电；</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3、支持2小时充满电；</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4、支持批量充电管理；</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5、具有短路保护、稳压保护功能；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6、可存放婴儿定位终端，使其处于非报警状态；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671" w:type="dxa"/>
            <w:vAlign w:val="center"/>
          </w:tcPr>
          <w:p>
            <w:pPr>
              <w:widowControl/>
              <w:jc w:val="center"/>
              <w:textAlignment w:val="center"/>
              <w:rPr>
                <w:rFonts w:ascii="宋体" w:hAnsi="宋体" w:cs="宋体"/>
                <w:b/>
                <w:bCs/>
                <w:color w:val="auto"/>
                <w:sz w:val="24"/>
                <w:highlight w:val="none"/>
                <w:lang w:val="zh-CN"/>
              </w:rPr>
            </w:pPr>
            <w:r>
              <w:rPr>
                <w:rFonts w:hint="eastAsia" w:ascii="宋体" w:hAnsi="宋体" w:cs="宋体"/>
                <w:color w:val="auto"/>
                <w:kern w:val="0"/>
                <w:sz w:val="24"/>
                <w:highlight w:val="none"/>
                <w:lang w:bidi="ar"/>
              </w:rPr>
              <w:t>声光报警器</w:t>
            </w:r>
          </w:p>
        </w:tc>
        <w:tc>
          <w:tcPr>
            <w:tcW w:w="7168" w:type="dxa"/>
            <w:vAlign w:val="center"/>
          </w:tcPr>
          <w:p>
            <w:pPr>
              <w:widowControl/>
              <w:jc w:val="left"/>
              <w:textAlignment w:val="center"/>
              <w:rPr>
                <w:rFonts w:ascii="宋体" w:hAnsi="宋体" w:cs="宋体"/>
                <w:color w:val="auto"/>
                <w:sz w:val="24"/>
                <w:highlight w:val="none"/>
                <w:lang w:val="zh-CN" w:bidi="zh-CN"/>
              </w:rPr>
            </w:pPr>
            <w:r>
              <w:rPr>
                <w:rFonts w:hint="eastAsia" w:ascii="宋体" w:hAnsi="宋体" w:cs="宋体"/>
                <w:color w:val="auto"/>
                <w:kern w:val="0"/>
                <w:sz w:val="24"/>
                <w:highlight w:val="none"/>
                <w:lang w:bidi="ar"/>
              </w:rPr>
              <w:t>1、频率支持2.4G；</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2、供电方式:POE供电或DC12V1A；</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3、报警器闪动频次：150次/分钟；</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4、报警器声压:110±3db/m；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5、报警器声音强度：0~100分贝可调节；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6、报警器提示类型：声音+闪光；</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7、安装方式:挂墙、吸顶；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 w:hRule="atLeast"/>
        </w:trPr>
        <w:tc>
          <w:tcPr>
            <w:tcW w:w="1671" w:type="dxa"/>
            <w:vAlign w:val="center"/>
          </w:tcPr>
          <w:p>
            <w:pPr>
              <w:widowControl/>
              <w:jc w:val="center"/>
              <w:textAlignment w:val="center"/>
              <w:rPr>
                <w:rFonts w:ascii="宋体" w:hAnsi="宋体" w:cs="宋体"/>
                <w:b/>
                <w:bCs/>
                <w:color w:val="auto"/>
                <w:sz w:val="24"/>
                <w:highlight w:val="none"/>
              </w:rPr>
            </w:pPr>
            <w:r>
              <w:rPr>
                <w:rFonts w:hint="eastAsia" w:ascii="宋体" w:hAnsi="宋体" w:cs="宋体"/>
                <w:color w:val="auto"/>
                <w:kern w:val="0"/>
                <w:sz w:val="24"/>
                <w:highlight w:val="none"/>
                <w:lang w:bidi="ar"/>
              </w:rPr>
              <w:t>婴儿防盗系统</w:t>
            </w:r>
          </w:p>
        </w:tc>
        <w:tc>
          <w:tcPr>
            <w:tcW w:w="7168" w:type="dxa"/>
            <w:vAlign w:val="center"/>
          </w:tcPr>
          <w:p>
            <w:pPr>
              <w:widowControl/>
              <w:jc w:val="left"/>
              <w:textAlignment w:val="center"/>
              <w:rPr>
                <w:rFonts w:ascii="宋体" w:hAnsi="宋体" w:cs="宋体"/>
                <w:color w:val="auto"/>
                <w:sz w:val="24"/>
                <w:highlight w:val="none"/>
                <w:lang w:val="zh-CN" w:bidi="zh-CN"/>
              </w:rPr>
            </w:pPr>
            <w:r>
              <w:rPr>
                <w:rFonts w:hint="eastAsia" w:ascii="宋体" w:hAnsi="宋体" w:cs="宋体"/>
                <w:color w:val="auto"/>
                <w:kern w:val="0"/>
                <w:sz w:val="24"/>
                <w:highlight w:val="none"/>
                <w:lang w:bidi="ar"/>
              </w:rPr>
              <w:t>1、支持全区域定位覆盖；</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2、具有查看婴儿定位终端实时位置功能；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3、具有目标跟踪功能，可实时追踪单个婴儿；</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4、支持回放已绑定的婴儿定位终端历史轨迹；</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5、具有数据统计分析功能，可统计各区域婴儿数量；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6、具有视频联动功能；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7、具有电子围栏功能：支持越界告警、迁出超时报警，围栏可对婴儿设置特定生效时间；</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8、具有定位终端异常报警功能：定位终端发生未经授权的拆卸及脱落均会发出报警，支持定位终端低电量报警；</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9、支持与医院的HIS系统对接，对接后可获取婴儿及家属信息；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10、支持扫一扫、一键解绑婴儿信息，可随时查看已解绑的婴儿信息；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11、具有迁出功能，可随时查看婴儿迁出事由与时间区间；                               12、婴儿实时位置查看，历史轨迹，电子围栏安全防护，临时迁入，迁出、剪断、拆卸报警等</w:t>
            </w:r>
          </w:p>
        </w:tc>
      </w:tr>
    </w:tbl>
    <w:p>
      <w:pPr>
        <w:spacing w:line="360" w:lineRule="auto"/>
        <w:ind w:firstLine="480" w:firstLineChars="200"/>
        <w:rPr>
          <w:rFonts w:ascii="宋体" w:hAnsi="宋体"/>
          <w:color w:val="auto"/>
          <w:sz w:val="24"/>
          <w:highlight w:val="none"/>
        </w:rPr>
      </w:pPr>
    </w:p>
    <w:p>
      <w:pPr>
        <w:pStyle w:val="6"/>
        <w:numPr>
          <w:ilvl w:val="3"/>
          <w:numId w:val="8"/>
        </w:numPr>
        <w:spacing w:before="280" w:after="290" w:line="376" w:lineRule="auto"/>
        <w:rPr>
          <w:rFonts w:ascii="宋体" w:hAnsi="宋体"/>
          <w:color w:val="auto"/>
          <w:sz w:val="24"/>
          <w:szCs w:val="24"/>
          <w:highlight w:val="none"/>
        </w:rPr>
      </w:pPr>
      <w:bookmarkStart w:id="710" w:name="_Toc21985"/>
      <w:r>
        <w:rPr>
          <w:rFonts w:hint="eastAsia" w:ascii="宋体" w:hAnsi="宋体"/>
          <w:color w:val="auto"/>
          <w:sz w:val="24"/>
          <w:szCs w:val="24"/>
          <w:highlight w:val="none"/>
        </w:rPr>
        <w:t>一卡通管理系统</w:t>
      </w:r>
      <w:bookmarkEnd w:id="710"/>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实现患者身份进行实名认证。具备对预约挂号后未就诊、诊疗后未付费等患者实行信息管理。</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88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1"/>
        <w:gridCol w:w="71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671" w:type="dxa"/>
            <w:shd w:val="clear" w:color="auto" w:fill="4471C4"/>
          </w:tcPr>
          <w:p>
            <w:pPr>
              <w:autoSpaceDE w:val="0"/>
              <w:autoSpaceDN w:val="0"/>
              <w:spacing w:before="30" w:line="360" w:lineRule="auto"/>
              <w:ind w:left="347"/>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模块</w:t>
            </w:r>
          </w:p>
        </w:tc>
        <w:tc>
          <w:tcPr>
            <w:tcW w:w="7168" w:type="dxa"/>
            <w:shd w:val="clear" w:color="auto" w:fill="4471C4"/>
          </w:tcPr>
          <w:p>
            <w:pPr>
              <w:autoSpaceDE w:val="0"/>
              <w:autoSpaceDN w:val="0"/>
              <w:spacing w:before="30" w:line="360" w:lineRule="auto"/>
              <w:ind w:left="1006" w:right="1000"/>
              <w:jc w:val="center"/>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功能</w:t>
            </w:r>
            <w:r>
              <w:rPr>
                <w:rFonts w:hint="eastAsia" w:ascii="宋体" w:hAnsi="宋体" w:cs="仿宋"/>
                <w:b/>
                <w:bCs/>
                <w:color w:val="auto"/>
                <w:sz w:val="24"/>
                <w:highlight w:val="none"/>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671" w:type="dxa"/>
            <w:vAlign w:val="center"/>
          </w:tcPr>
          <w:p>
            <w:pPr>
              <w:jc w:val="center"/>
              <w:textAlignment w:val="center"/>
              <w:rPr>
                <w:rFonts w:ascii="宋体" w:hAnsi="宋体" w:cs="仿宋"/>
                <w:b/>
                <w:bCs/>
                <w:color w:val="auto"/>
                <w:sz w:val="24"/>
                <w:highlight w:val="none"/>
                <w:lang w:val="zh-CN"/>
              </w:rPr>
            </w:pPr>
            <w:r>
              <w:rPr>
                <w:rFonts w:hint="eastAsia" w:ascii="宋体" w:hAnsi="宋体" w:cs="仿宋"/>
                <w:b/>
                <w:bCs/>
                <w:color w:val="auto"/>
                <w:sz w:val="24"/>
                <w:highlight w:val="none"/>
              </w:rPr>
              <w:t>发卡</w:t>
            </w:r>
          </w:p>
        </w:tc>
        <w:tc>
          <w:tcPr>
            <w:tcW w:w="7168" w:type="dxa"/>
            <w:vAlign w:val="center"/>
          </w:tcPr>
          <w:p>
            <w:pPr>
              <w:pStyle w:val="130"/>
              <w:ind w:firstLine="0"/>
              <w:rPr>
                <w:rFonts w:ascii="宋体" w:hAnsi="宋体"/>
                <w:b/>
                <w:color w:val="auto"/>
                <w:szCs w:val="24"/>
                <w:highlight w:val="none"/>
              </w:rPr>
            </w:pPr>
            <w:r>
              <w:rPr>
                <w:rFonts w:hint="eastAsia" w:ascii="宋体" w:hAnsi="宋体"/>
                <w:b/>
                <w:color w:val="auto"/>
                <w:szCs w:val="24"/>
                <w:highlight w:val="none"/>
              </w:rPr>
              <w:t>（1）卡管理</w:t>
            </w:r>
          </w:p>
          <w:p>
            <w:pPr>
              <w:pStyle w:val="130"/>
              <w:ind w:firstLine="0"/>
              <w:rPr>
                <w:rFonts w:ascii="宋体" w:hAnsi="宋体"/>
                <w:color w:val="auto"/>
                <w:szCs w:val="24"/>
                <w:highlight w:val="none"/>
              </w:rPr>
            </w:pPr>
            <w:r>
              <w:rPr>
                <w:rFonts w:hint="eastAsia" w:ascii="宋体" w:hAnsi="宋体"/>
                <w:b/>
                <w:color w:val="auto"/>
                <w:szCs w:val="24"/>
                <w:highlight w:val="none"/>
              </w:rPr>
              <w:t>卡库管理：</w:t>
            </w:r>
            <w:r>
              <w:rPr>
                <w:rFonts w:hint="eastAsia" w:ascii="宋体" w:hAnsi="宋体"/>
                <w:color w:val="auto"/>
                <w:szCs w:val="24"/>
                <w:highlight w:val="none"/>
              </w:rPr>
              <w:t>支持用于进行不同患者卡的录入、领取、注销；也可批量导入。常用卡如：院内就诊卡、电子社保卡、医保卡、身份证ID、护照、健康卡等。</w:t>
            </w:r>
          </w:p>
          <w:p>
            <w:pPr>
              <w:pStyle w:val="130"/>
              <w:ind w:firstLine="0"/>
              <w:rPr>
                <w:rFonts w:ascii="宋体" w:hAnsi="宋体"/>
                <w:b/>
                <w:color w:val="auto"/>
                <w:szCs w:val="24"/>
                <w:highlight w:val="none"/>
              </w:rPr>
            </w:pPr>
            <w:r>
              <w:rPr>
                <w:rFonts w:hint="eastAsia" w:ascii="宋体" w:hAnsi="宋体"/>
                <w:b/>
                <w:color w:val="auto"/>
                <w:szCs w:val="24"/>
                <w:highlight w:val="none"/>
              </w:rPr>
              <w:t>（2）患者卡管理</w:t>
            </w:r>
          </w:p>
          <w:p>
            <w:pPr>
              <w:pStyle w:val="130"/>
              <w:ind w:firstLine="0"/>
              <w:rPr>
                <w:rFonts w:ascii="宋体" w:hAnsi="宋体"/>
                <w:color w:val="auto"/>
                <w:szCs w:val="24"/>
                <w:highlight w:val="none"/>
              </w:rPr>
            </w:pPr>
            <w:r>
              <w:rPr>
                <w:rFonts w:hint="eastAsia" w:ascii="宋体" w:hAnsi="宋体"/>
                <w:b/>
                <w:color w:val="auto"/>
                <w:szCs w:val="24"/>
                <w:highlight w:val="none"/>
              </w:rPr>
              <w:t>患者注册发卡：</w:t>
            </w:r>
            <w:r>
              <w:rPr>
                <w:rFonts w:hint="eastAsia" w:ascii="宋体" w:hAnsi="宋体"/>
                <w:color w:val="auto"/>
                <w:szCs w:val="24"/>
                <w:highlight w:val="none"/>
              </w:rPr>
              <w:t>支持维护患者的基本信息，可以实现对患者基本信息的扩充，卡类型支持磁条卡、条形码卡、IC卡等。</w:t>
            </w:r>
          </w:p>
          <w:p>
            <w:pPr>
              <w:pStyle w:val="130"/>
              <w:ind w:firstLine="0"/>
              <w:rPr>
                <w:rFonts w:ascii="宋体" w:hAnsi="宋体"/>
                <w:b/>
                <w:color w:val="auto"/>
                <w:szCs w:val="24"/>
                <w:highlight w:val="none"/>
              </w:rPr>
            </w:pPr>
            <w:r>
              <w:rPr>
                <w:rFonts w:hint="eastAsia" w:ascii="宋体" w:hAnsi="宋体"/>
                <w:b/>
                <w:color w:val="auto"/>
                <w:szCs w:val="24"/>
                <w:highlight w:val="none"/>
              </w:rPr>
              <w:t>退卡与挂失</w:t>
            </w:r>
            <w:r>
              <w:rPr>
                <w:rFonts w:hint="eastAsia" w:ascii="宋体" w:hAnsi="宋体"/>
                <w:b/>
                <w:color w:val="auto"/>
                <w:szCs w:val="24"/>
                <w:highlight w:val="none"/>
              </w:rPr>
              <w:tab/>
            </w:r>
            <w:r>
              <w:rPr>
                <w:rFonts w:hint="eastAsia" w:ascii="宋体" w:hAnsi="宋体"/>
                <w:b/>
                <w:color w:val="auto"/>
                <w:szCs w:val="24"/>
                <w:highlight w:val="none"/>
              </w:rPr>
              <w:t>：</w:t>
            </w:r>
          </w:p>
          <w:p>
            <w:pPr>
              <w:pStyle w:val="130"/>
              <w:ind w:firstLine="0"/>
              <w:rPr>
                <w:rFonts w:ascii="宋体" w:hAnsi="宋体"/>
                <w:color w:val="auto"/>
                <w:szCs w:val="24"/>
                <w:highlight w:val="none"/>
              </w:rPr>
            </w:pPr>
            <w:r>
              <w:rPr>
                <w:rFonts w:hint="eastAsia" w:ascii="宋体" w:hAnsi="宋体"/>
                <w:color w:val="auto"/>
                <w:szCs w:val="24"/>
                <w:highlight w:val="none"/>
              </w:rPr>
              <w:t>1、卡丢失冻结：支持具备对丢失的卡置失效标志，进行账户冻结，并提示失效卡，重建卡或找回卡后，账户再进行激活。</w:t>
            </w:r>
          </w:p>
          <w:p>
            <w:pPr>
              <w:pStyle w:val="130"/>
              <w:ind w:firstLine="0"/>
              <w:rPr>
                <w:rFonts w:ascii="宋体" w:hAnsi="宋体"/>
                <w:color w:val="auto"/>
                <w:szCs w:val="24"/>
                <w:highlight w:val="none"/>
              </w:rPr>
            </w:pPr>
            <w:r>
              <w:rPr>
                <w:rFonts w:hint="eastAsia" w:ascii="宋体" w:hAnsi="宋体"/>
                <w:color w:val="auto"/>
                <w:szCs w:val="24"/>
                <w:highlight w:val="none"/>
              </w:rPr>
              <w:t>2、卡挂失：支持当病人的就诊卡丢失后，能根据病人的身份证等有效证件、姓名、年龄、地址等信息查询病人记录，确认病人身份之后，对丢失卡置挂失标志，并发新卡。</w:t>
            </w:r>
          </w:p>
          <w:p>
            <w:pPr>
              <w:pStyle w:val="130"/>
              <w:ind w:firstLine="0"/>
              <w:rPr>
                <w:rFonts w:ascii="宋体" w:hAnsi="宋体"/>
                <w:color w:val="auto"/>
                <w:szCs w:val="24"/>
                <w:highlight w:val="none"/>
              </w:rPr>
            </w:pPr>
            <w:r>
              <w:rPr>
                <w:rFonts w:hint="eastAsia" w:ascii="宋体" w:hAnsi="宋体"/>
                <w:color w:val="auto"/>
                <w:szCs w:val="24"/>
                <w:highlight w:val="none"/>
              </w:rPr>
              <w:t>3、取消挂失；支持可进行取消挂失操作。</w:t>
            </w:r>
          </w:p>
          <w:p>
            <w:pPr>
              <w:pStyle w:val="201"/>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b/>
                <w:color w:val="auto"/>
                <w:sz w:val="24"/>
                <w:highlight w:val="none"/>
                <w:lang w:eastAsia="zh-CN"/>
              </w:rPr>
              <w:t>患者卡操作查询：</w:t>
            </w:r>
            <w:r>
              <w:rPr>
                <w:rFonts w:hint="eastAsia" w:ascii="宋体" w:hAnsi="宋体" w:eastAsia="宋体"/>
                <w:color w:val="auto"/>
                <w:sz w:val="24"/>
                <w:highlight w:val="none"/>
                <w:lang w:eastAsia="zh-CN"/>
              </w:rPr>
              <w:t>支持可按患者姓名、患者卡类型等条件查询该患者绑定的患者卡状态。</w:t>
            </w:r>
          </w:p>
        </w:tc>
      </w:tr>
    </w:tbl>
    <w:p>
      <w:pPr>
        <w:pStyle w:val="6"/>
        <w:numPr>
          <w:ilvl w:val="3"/>
          <w:numId w:val="8"/>
        </w:numPr>
        <w:spacing w:before="280" w:after="290" w:line="376" w:lineRule="auto"/>
        <w:rPr>
          <w:rFonts w:ascii="宋体" w:hAnsi="宋体"/>
          <w:color w:val="auto"/>
          <w:sz w:val="24"/>
          <w:szCs w:val="24"/>
          <w:highlight w:val="none"/>
        </w:rPr>
      </w:pPr>
      <w:bookmarkStart w:id="711" w:name="_Toc15413"/>
      <w:r>
        <w:rPr>
          <w:rFonts w:hint="eastAsia" w:ascii="宋体" w:hAnsi="宋体"/>
          <w:color w:val="auto"/>
          <w:sz w:val="24"/>
          <w:szCs w:val="24"/>
          <w:highlight w:val="none"/>
        </w:rPr>
        <w:t>3</w:t>
      </w:r>
      <w:r>
        <w:rPr>
          <w:rFonts w:ascii="宋体" w:hAnsi="宋体"/>
          <w:color w:val="auto"/>
          <w:sz w:val="24"/>
          <w:szCs w:val="24"/>
          <w:highlight w:val="none"/>
        </w:rPr>
        <w:t>60</w:t>
      </w:r>
      <w:r>
        <w:rPr>
          <w:rFonts w:hint="eastAsia" w:ascii="宋体" w:hAnsi="宋体"/>
          <w:color w:val="auto"/>
          <w:sz w:val="24"/>
          <w:szCs w:val="24"/>
          <w:highlight w:val="none"/>
        </w:rPr>
        <w:t>度</w:t>
      </w:r>
      <w:r>
        <w:rPr>
          <w:rFonts w:hint="eastAsia" w:ascii="宋体" w:hAnsi="宋体"/>
          <w:color w:val="auto"/>
          <w:sz w:val="24"/>
          <w:szCs w:val="24"/>
          <w:highlight w:val="none"/>
          <w:lang w:eastAsia="zh-CN"/>
        </w:rPr>
        <w:t>评审</w:t>
      </w:r>
      <w:r>
        <w:rPr>
          <w:rFonts w:hint="eastAsia" w:ascii="宋体" w:hAnsi="宋体"/>
          <w:color w:val="auto"/>
          <w:sz w:val="24"/>
          <w:szCs w:val="24"/>
          <w:highlight w:val="none"/>
        </w:rPr>
        <w:t>系统</w:t>
      </w:r>
      <w:bookmarkEnd w:id="711"/>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住院医师规培的效果如何，多方位的评价反馈就非常有必要，通过周期性的评价反馈获得优点和不足，优点继续保持，针对不足制定改进计划，循环往复的评估反馈和改进，从而良好有效的促进规培的开展实施。360度评估系统支持在住院医师规范化培训过程管理中，通过设置多种角色开展360度评估，具备根据中国医师协会要求的岗位胜任力核心内涵设计的360度评估指标，并支持设计自定义评估指标和开展更多维度的评估,帮助规培工作的落地。</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需满足以下功能：</w:t>
      </w:r>
    </w:p>
    <w:tbl>
      <w:tblPr>
        <w:tblStyle w:val="43"/>
        <w:tblW w:w="88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1"/>
        <w:gridCol w:w="71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671" w:type="dxa"/>
            <w:shd w:val="clear" w:color="auto" w:fill="4471C4"/>
          </w:tcPr>
          <w:p>
            <w:pPr>
              <w:autoSpaceDE w:val="0"/>
              <w:autoSpaceDN w:val="0"/>
              <w:spacing w:before="30" w:line="360" w:lineRule="auto"/>
              <w:ind w:left="347"/>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模块</w:t>
            </w:r>
          </w:p>
        </w:tc>
        <w:tc>
          <w:tcPr>
            <w:tcW w:w="7168" w:type="dxa"/>
            <w:shd w:val="clear" w:color="auto" w:fill="4471C4"/>
          </w:tcPr>
          <w:p>
            <w:pPr>
              <w:autoSpaceDE w:val="0"/>
              <w:autoSpaceDN w:val="0"/>
              <w:spacing w:before="30" w:line="360" w:lineRule="auto"/>
              <w:ind w:left="1006" w:right="1000"/>
              <w:jc w:val="center"/>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功能</w:t>
            </w:r>
            <w:r>
              <w:rPr>
                <w:rFonts w:hint="eastAsia" w:ascii="宋体" w:hAnsi="宋体" w:cs="仿宋"/>
                <w:b/>
                <w:bCs/>
                <w:color w:val="auto"/>
                <w:sz w:val="24"/>
                <w:highlight w:val="none"/>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671" w:type="dxa"/>
            <w:vAlign w:val="center"/>
          </w:tcPr>
          <w:p>
            <w:pPr>
              <w:jc w:val="center"/>
              <w:textAlignment w:val="center"/>
              <w:rPr>
                <w:rFonts w:ascii="宋体" w:hAnsi="宋体" w:cs="仿宋"/>
                <w:b/>
                <w:bCs/>
                <w:color w:val="auto"/>
                <w:sz w:val="24"/>
                <w:highlight w:val="none"/>
                <w:lang w:val="zh-CN"/>
              </w:rPr>
            </w:pPr>
            <w:r>
              <w:rPr>
                <w:rFonts w:hint="eastAsia" w:ascii="宋体" w:hAnsi="宋体" w:cs="仿宋"/>
                <w:b/>
                <w:bCs/>
                <w:color w:val="auto"/>
                <w:sz w:val="24"/>
                <w:highlight w:val="none"/>
              </w:rPr>
              <w:t>3</w:t>
            </w:r>
            <w:r>
              <w:rPr>
                <w:rFonts w:ascii="宋体" w:hAnsi="宋体" w:cs="仿宋"/>
                <w:b/>
                <w:bCs/>
                <w:color w:val="auto"/>
                <w:sz w:val="24"/>
                <w:highlight w:val="none"/>
              </w:rPr>
              <w:t>60</w:t>
            </w:r>
            <w:r>
              <w:rPr>
                <w:rFonts w:hint="eastAsia" w:ascii="宋体" w:hAnsi="宋体" w:cs="仿宋"/>
                <w:b/>
                <w:bCs/>
                <w:color w:val="auto"/>
                <w:sz w:val="24"/>
                <w:highlight w:val="none"/>
              </w:rPr>
              <w:t>度评估</w:t>
            </w:r>
          </w:p>
        </w:tc>
        <w:tc>
          <w:tcPr>
            <w:tcW w:w="7168"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支持对接和打通现有住规培系统的整个用户体系。</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对接住规培系统，包括登录、角色、人员信息等，用户角色分为管理员、基地、和评价人员，评价人员又细分为住院医师、带教老师、同级住院医师、实习生、护理人员、患者。其中住院医师、带教老师、同级住院医师可通过系统直接进入问卷页面，实习生、护理人员、患者属于不记名一类人员，无账号可通过扫描二维码填写问卷。</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支持管理员可设置开通具体基地问卷功能使用以及时间，基地可维护问卷、设置人员类别、评价对象等。</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支持从住培系统中取值统计每月轮转人员情况以及同级住院医师（同级住院医师指本院同一时间在同一个科室轮转的其他住院医师）。</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支持人员信息包括：姓名、培训基地、录取学科、学员年级、培训年限、学员类型、身份证号码后四位、毕业院校、学历、学位、学员类型、工作单位、是否执业医师、轮转时间、轮转科室、</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支持对问卷进行套管理，一个套包含多个问卷，问卷包括单选，打分，问答等题型，可以复制问卷，停用</w:t>
            </w:r>
            <w:r>
              <w:rPr>
                <w:rFonts w:ascii="宋体" w:hAnsi="宋体" w:eastAsia="宋体"/>
                <w:color w:val="auto"/>
                <w:sz w:val="24"/>
                <w:highlight w:val="none"/>
                <w:lang w:val="zh-CN" w:eastAsia="zh-CN" w:bidi="zh-CN"/>
              </w:rPr>
              <w:t>/</w:t>
            </w:r>
            <w:r>
              <w:rPr>
                <w:rFonts w:hint="eastAsia" w:ascii="宋体" w:hAnsi="宋体" w:eastAsia="宋体"/>
                <w:color w:val="auto"/>
                <w:sz w:val="24"/>
                <w:highlight w:val="none"/>
                <w:lang w:val="zh-CN" w:eastAsia="zh-CN" w:bidi="zh-CN"/>
              </w:rPr>
              <w:t>启用</w:t>
            </w:r>
            <w:r>
              <w:rPr>
                <w:rFonts w:ascii="宋体" w:hAnsi="宋体" w:eastAsia="宋体"/>
                <w:color w:val="auto"/>
                <w:sz w:val="24"/>
                <w:highlight w:val="none"/>
                <w:lang w:val="zh-CN" w:eastAsia="zh-CN" w:bidi="zh-CN"/>
              </w:rPr>
              <w:t>/</w:t>
            </w:r>
            <w:r>
              <w:rPr>
                <w:rFonts w:hint="eastAsia" w:ascii="宋体" w:hAnsi="宋体" w:eastAsia="宋体"/>
                <w:color w:val="auto"/>
                <w:sz w:val="24"/>
                <w:highlight w:val="none"/>
                <w:lang w:val="zh-CN" w:eastAsia="zh-CN" w:bidi="zh-CN"/>
              </w:rPr>
              <w:t>删除等操作。单位可以自行设置问卷的套，以及有效时间。套内的问卷可以自由设置需要哪些角色填写，问卷有雷同建议可复制上一份再维护。</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支持参评人员调用住规培系统用户</w:t>
            </w:r>
            <w:r>
              <w:rPr>
                <w:rFonts w:ascii="宋体" w:hAnsi="宋体" w:eastAsia="宋体"/>
                <w:color w:val="auto"/>
                <w:sz w:val="24"/>
                <w:highlight w:val="none"/>
                <w:lang w:val="zh-CN" w:eastAsia="zh-CN" w:bidi="zh-CN"/>
              </w:rPr>
              <w:t>api</w:t>
            </w:r>
            <w:r>
              <w:rPr>
                <w:rFonts w:hint="eastAsia" w:ascii="宋体" w:hAnsi="宋体" w:eastAsia="宋体"/>
                <w:color w:val="auto"/>
                <w:sz w:val="24"/>
                <w:highlight w:val="none"/>
                <w:lang w:val="zh-CN" w:eastAsia="zh-CN" w:bidi="zh-CN"/>
              </w:rPr>
              <w:t>，实现参评人员的选择、添加。</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支持不同角色用户查看统计权限不同</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支持用户中心管理，可查看我的待评测及已评测问卷</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支持基地的管理中心：统计每月评价人数、实际评价份数、以及各维度统计评价结果。</w:t>
            </w:r>
          </w:p>
          <w:p>
            <w:pPr>
              <w:pStyle w:val="201"/>
              <w:numPr>
                <w:ilvl w:val="0"/>
                <w:numId w:val="9"/>
              </w:numPr>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val="zh-CN" w:eastAsia="zh-CN" w:bidi="zh-CN"/>
              </w:rPr>
              <w:t>系统具有国家安全等级保护资质（三级）。</w:t>
            </w:r>
          </w:p>
        </w:tc>
      </w:tr>
    </w:tbl>
    <w:p>
      <w:pPr>
        <w:spacing w:line="360" w:lineRule="auto"/>
        <w:rPr>
          <w:rFonts w:ascii="宋体" w:hAnsi="宋体"/>
          <w:color w:val="auto"/>
          <w:sz w:val="24"/>
          <w:highlight w:val="none"/>
        </w:rPr>
      </w:pPr>
    </w:p>
    <w:p>
      <w:pPr>
        <w:keepNext/>
        <w:keepLines/>
        <w:numPr>
          <w:ilvl w:val="3"/>
          <w:numId w:val="8"/>
        </w:numPr>
        <w:spacing w:before="280" w:after="290" w:line="376" w:lineRule="auto"/>
        <w:outlineLvl w:val="3"/>
        <w:rPr>
          <w:rFonts w:ascii="宋体" w:hAnsi="宋体"/>
          <w:b/>
          <w:bCs/>
          <w:color w:val="auto"/>
          <w:sz w:val="24"/>
          <w:highlight w:val="none"/>
        </w:rPr>
      </w:pPr>
      <w:bookmarkStart w:id="712" w:name="_Toc17626"/>
      <w:r>
        <w:rPr>
          <w:rFonts w:hint="eastAsia" w:ascii="宋体" w:hAnsi="宋体"/>
          <w:b/>
          <w:bCs/>
          <w:color w:val="auto"/>
          <w:sz w:val="24"/>
          <w:highlight w:val="none"/>
        </w:rPr>
        <w:t>全资源预约系统</w:t>
      </w:r>
      <w:bookmarkEnd w:id="712"/>
    </w:p>
    <w:p>
      <w:pPr>
        <w:pStyle w:val="8"/>
        <w:ind w:firstLine="480"/>
        <w:rPr>
          <w:rFonts w:ascii="宋体" w:hAnsi="宋体"/>
          <w:color w:val="auto"/>
          <w:szCs w:val="24"/>
          <w:highlight w:val="none"/>
        </w:rPr>
      </w:pPr>
      <w:r>
        <w:rPr>
          <w:rFonts w:hint="eastAsia" w:ascii="宋体" w:hAnsi="宋体"/>
          <w:color w:val="auto"/>
          <w:szCs w:val="24"/>
          <w:highlight w:val="none"/>
        </w:rPr>
        <w:t>全资源预约系统需满足以下功能：</w:t>
      </w:r>
    </w:p>
    <w:tbl>
      <w:tblPr>
        <w:tblStyle w:val="43"/>
        <w:tblW w:w="88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71"/>
        <w:gridCol w:w="71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trPr>
        <w:tc>
          <w:tcPr>
            <w:tcW w:w="1671" w:type="dxa"/>
            <w:shd w:val="clear" w:color="auto" w:fill="4471C4"/>
          </w:tcPr>
          <w:p>
            <w:pPr>
              <w:autoSpaceDE w:val="0"/>
              <w:autoSpaceDN w:val="0"/>
              <w:spacing w:before="30" w:line="360" w:lineRule="auto"/>
              <w:ind w:left="347"/>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模块</w:t>
            </w:r>
          </w:p>
        </w:tc>
        <w:tc>
          <w:tcPr>
            <w:tcW w:w="7168" w:type="dxa"/>
            <w:shd w:val="clear" w:color="auto" w:fill="4471C4"/>
          </w:tcPr>
          <w:p>
            <w:pPr>
              <w:autoSpaceDE w:val="0"/>
              <w:autoSpaceDN w:val="0"/>
              <w:spacing w:before="30" w:line="360" w:lineRule="auto"/>
              <w:ind w:left="1006" w:right="1000"/>
              <w:jc w:val="center"/>
              <w:rPr>
                <w:rFonts w:ascii="宋体" w:hAnsi="宋体" w:cs="仿宋"/>
                <w:b/>
                <w:color w:val="auto"/>
                <w:sz w:val="24"/>
                <w:highlight w:val="none"/>
                <w:lang w:val="zh-CN" w:bidi="zh-CN"/>
              </w:rPr>
            </w:pPr>
            <w:r>
              <w:rPr>
                <w:rFonts w:hint="eastAsia" w:ascii="宋体" w:hAnsi="宋体" w:cs="仿宋"/>
                <w:b/>
                <w:color w:val="auto"/>
                <w:w w:val="105"/>
                <w:sz w:val="24"/>
                <w:highlight w:val="none"/>
                <w:lang w:val="zh-CN" w:bidi="zh-CN"/>
              </w:rPr>
              <w:t>功能</w:t>
            </w:r>
            <w:r>
              <w:rPr>
                <w:rFonts w:hint="eastAsia" w:ascii="宋体" w:hAnsi="宋体" w:cs="仿宋"/>
                <w:b/>
                <w:bCs/>
                <w:color w:val="auto"/>
                <w:sz w:val="24"/>
                <w:highlight w:val="none"/>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671" w:type="dxa"/>
            <w:vAlign w:val="center"/>
          </w:tcPr>
          <w:p>
            <w:pPr>
              <w:textAlignment w:val="center"/>
              <w:rPr>
                <w:rFonts w:ascii="宋体" w:hAnsi="宋体" w:cs="仿宋"/>
                <w:b/>
                <w:bCs/>
                <w:color w:val="auto"/>
                <w:sz w:val="24"/>
                <w:highlight w:val="none"/>
                <w:lang w:val="zh-CN"/>
              </w:rPr>
            </w:pPr>
            <w:r>
              <w:rPr>
                <w:rFonts w:hint="eastAsia" w:ascii="宋体" w:hAnsi="宋体" w:cs="仿宋"/>
                <w:b/>
                <w:bCs/>
                <w:color w:val="auto"/>
                <w:sz w:val="24"/>
                <w:highlight w:val="none"/>
                <w:lang w:val="zh-CN"/>
              </w:rPr>
              <w:t>全资源预约系统</w:t>
            </w:r>
          </w:p>
        </w:tc>
        <w:tc>
          <w:tcPr>
            <w:tcW w:w="7168" w:type="dxa"/>
            <w:vAlign w:val="center"/>
          </w:tcPr>
          <w:p>
            <w:pPr>
              <w:pStyle w:val="130"/>
              <w:ind w:firstLine="0"/>
              <w:rPr>
                <w:rFonts w:ascii="宋体" w:hAnsi="宋体"/>
                <w:color w:val="auto"/>
                <w:szCs w:val="24"/>
                <w:highlight w:val="none"/>
              </w:rPr>
            </w:pPr>
            <w:r>
              <w:rPr>
                <w:rFonts w:hint="eastAsia" w:ascii="宋体" w:hAnsi="宋体"/>
                <w:color w:val="auto"/>
                <w:szCs w:val="24"/>
                <w:highlight w:val="none"/>
              </w:rPr>
              <w:t>系统支持医技、住院、手术等多种医疗资源的预约，支持时间片预约，支持多号源池、多渠道管理，每个排班计划均可设置独立号源释放规则。医技预约支持项目互斥规则定义。</w:t>
            </w:r>
          </w:p>
          <w:p>
            <w:pPr>
              <w:pStyle w:val="130"/>
              <w:ind w:firstLine="0"/>
              <w:rPr>
                <w:rFonts w:ascii="宋体" w:hAnsi="宋体"/>
                <w:b/>
                <w:color w:val="auto"/>
                <w:szCs w:val="24"/>
                <w:highlight w:val="none"/>
              </w:rPr>
            </w:pPr>
            <w:r>
              <w:rPr>
                <w:rFonts w:hint="eastAsia" w:ascii="宋体" w:hAnsi="宋体"/>
                <w:b/>
                <w:color w:val="auto"/>
                <w:szCs w:val="24"/>
                <w:highlight w:val="none"/>
              </w:rPr>
              <w:t>（1）基础数据维护</w:t>
            </w:r>
          </w:p>
          <w:p>
            <w:pPr>
              <w:pStyle w:val="130"/>
              <w:ind w:firstLine="0"/>
              <w:rPr>
                <w:rFonts w:ascii="宋体" w:hAnsi="宋体"/>
                <w:b/>
                <w:color w:val="auto"/>
                <w:szCs w:val="24"/>
                <w:highlight w:val="none"/>
              </w:rPr>
            </w:pPr>
            <w:r>
              <w:rPr>
                <w:rFonts w:hint="eastAsia" w:ascii="宋体" w:hAnsi="宋体"/>
                <w:b/>
                <w:color w:val="auto"/>
                <w:szCs w:val="24"/>
                <w:highlight w:val="none"/>
              </w:rPr>
              <w:t>排班分类：</w:t>
            </w:r>
          </w:p>
          <w:p>
            <w:pPr>
              <w:pStyle w:val="130"/>
              <w:ind w:firstLine="0"/>
              <w:rPr>
                <w:rFonts w:ascii="宋体" w:hAnsi="宋体"/>
                <w:color w:val="auto"/>
                <w:szCs w:val="24"/>
                <w:highlight w:val="none"/>
              </w:rPr>
            </w:pPr>
            <w:r>
              <w:rPr>
                <w:rFonts w:hint="eastAsia" w:ascii="宋体" w:hAnsi="宋体"/>
                <w:color w:val="auto"/>
                <w:szCs w:val="24"/>
                <w:highlight w:val="none"/>
              </w:rPr>
              <w:t>1、支持维护排班分类。</w:t>
            </w:r>
          </w:p>
          <w:p>
            <w:pPr>
              <w:pStyle w:val="130"/>
              <w:ind w:firstLine="0"/>
              <w:rPr>
                <w:rFonts w:ascii="宋体" w:hAnsi="宋体"/>
                <w:color w:val="auto"/>
                <w:szCs w:val="24"/>
                <w:highlight w:val="none"/>
              </w:rPr>
            </w:pPr>
            <w:r>
              <w:rPr>
                <w:rFonts w:hint="eastAsia" w:ascii="宋体" w:hAnsi="宋体"/>
                <w:color w:val="auto"/>
                <w:szCs w:val="24"/>
                <w:highlight w:val="none"/>
              </w:rPr>
              <w:t>2、支持指定该分类对应的工作日历和日期分组分类。</w:t>
            </w:r>
          </w:p>
          <w:p>
            <w:pPr>
              <w:pStyle w:val="130"/>
              <w:ind w:firstLine="0"/>
              <w:rPr>
                <w:rFonts w:ascii="宋体" w:hAnsi="宋体"/>
                <w:color w:val="auto"/>
                <w:szCs w:val="24"/>
                <w:highlight w:val="none"/>
              </w:rPr>
            </w:pPr>
            <w:r>
              <w:rPr>
                <w:rFonts w:hint="eastAsia" w:ascii="宋体" w:hAnsi="宋体"/>
                <w:b/>
                <w:color w:val="auto"/>
                <w:szCs w:val="24"/>
                <w:highlight w:val="none"/>
              </w:rPr>
              <w:t>渠道定义：</w:t>
            </w:r>
            <w:r>
              <w:rPr>
                <w:rFonts w:hint="eastAsia" w:ascii="宋体" w:hAnsi="宋体"/>
                <w:color w:val="auto"/>
                <w:szCs w:val="24"/>
                <w:highlight w:val="none"/>
              </w:rPr>
              <w:t>支持维护号源渠道，指定对应渠道可预约天数，开始时间，是否计算节假日，提前关闭时间，提前关闭时间单位等。</w:t>
            </w:r>
          </w:p>
          <w:p>
            <w:pPr>
              <w:pStyle w:val="130"/>
              <w:ind w:firstLine="0"/>
              <w:rPr>
                <w:rFonts w:ascii="宋体" w:hAnsi="宋体"/>
                <w:color w:val="auto"/>
                <w:szCs w:val="24"/>
                <w:highlight w:val="none"/>
              </w:rPr>
            </w:pPr>
            <w:r>
              <w:rPr>
                <w:rFonts w:hint="eastAsia" w:ascii="宋体" w:hAnsi="宋体"/>
                <w:b/>
                <w:color w:val="auto"/>
                <w:szCs w:val="24"/>
                <w:highlight w:val="none"/>
              </w:rPr>
              <w:t>号源释放规则：</w:t>
            </w:r>
            <w:r>
              <w:rPr>
                <w:rFonts w:hint="eastAsia" w:ascii="宋体" w:hAnsi="宋体"/>
                <w:color w:val="auto"/>
                <w:szCs w:val="24"/>
                <w:highlight w:val="none"/>
              </w:rPr>
              <w:t>支持对应排班分类，号源释放规则维护：排班属性类型名称，释放时间类型名称，提前天数，提前小时数，排除节假日，排班服务类型明细，排班服务。</w:t>
            </w:r>
          </w:p>
          <w:p>
            <w:pPr>
              <w:pStyle w:val="130"/>
              <w:ind w:firstLine="0"/>
              <w:rPr>
                <w:rFonts w:ascii="宋体" w:hAnsi="宋体"/>
                <w:color w:val="auto"/>
                <w:szCs w:val="24"/>
                <w:highlight w:val="none"/>
              </w:rPr>
            </w:pPr>
            <w:r>
              <w:rPr>
                <w:rFonts w:hint="eastAsia" w:ascii="宋体" w:hAnsi="宋体"/>
                <w:b/>
                <w:color w:val="auto"/>
                <w:szCs w:val="24"/>
                <w:highlight w:val="none"/>
              </w:rPr>
              <w:t>预约释放规则：</w:t>
            </w:r>
            <w:r>
              <w:rPr>
                <w:rFonts w:hint="eastAsia" w:ascii="宋体" w:hAnsi="宋体"/>
                <w:color w:val="auto"/>
                <w:szCs w:val="24"/>
                <w:highlight w:val="none"/>
              </w:rPr>
              <w:t>支持对应科室维护排班类型，预约释放规则，释放时间类型，排班节假日，提前天数，提前小时数，启用标志。</w:t>
            </w:r>
          </w:p>
          <w:p>
            <w:pPr>
              <w:pStyle w:val="130"/>
              <w:ind w:firstLine="0"/>
              <w:rPr>
                <w:rFonts w:ascii="宋体" w:hAnsi="宋体"/>
                <w:b/>
                <w:color w:val="auto"/>
                <w:szCs w:val="24"/>
                <w:highlight w:val="none"/>
              </w:rPr>
            </w:pPr>
            <w:r>
              <w:rPr>
                <w:rFonts w:hint="eastAsia" w:ascii="宋体" w:hAnsi="宋体"/>
                <w:b/>
                <w:color w:val="auto"/>
                <w:szCs w:val="24"/>
                <w:highlight w:val="none"/>
              </w:rPr>
              <w:t>（2）门诊排班预约</w:t>
            </w:r>
          </w:p>
          <w:p>
            <w:pPr>
              <w:pStyle w:val="130"/>
              <w:ind w:firstLine="0"/>
              <w:rPr>
                <w:rFonts w:ascii="宋体" w:hAnsi="宋体"/>
                <w:b/>
                <w:color w:val="auto"/>
                <w:szCs w:val="24"/>
                <w:highlight w:val="none"/>
              </w:rPr>
            </w:pPr>
            <w:r>
              <w:rPr>
                <w:rFonts w:hint="eastAsia" w:ascii="宋体" w:hAnsi="宋体"/>
                <w:b/>
                <w:color w:val="auto"/>
                <w:szCs w:val="24"/>
                <w:highlight w:val="none"/>
              </w:rPr>
              <w:t>门急诊服务维护：</w:t>
            </w:r>
          </w:p>
          <w:p>
            <w:pPr>
              <w:pStyle w:val="130"/>
              <w:ind w:firstLine="0"/>
              <w:rPr>
                <w:rFonts w:ascii="宋体" w:hAnsi="宋体"/>
                <w:color w:val="auto"/>
                <w:szCs w:val="24"/>
                <w:highlight w:val="none"/>
              </w:rPr>
            </w:pPr>
            <w:r>
              <w:rPr>
                <w:rFonts w:hint="eastAsia" w:ascii="宋体" w:hAnsi="宋体"/>
                <w:color w:val="auto"/>
                <w:szCs w:val="24"/>
                <w:highlight w:val="none"/>
              </w:rPr>
              <w:t>1、支持维护门急诊服务(号别)和该服务对应的价格。</w:t>
            </w:r>
          </w:p>
          <w:p>
            <w:pPr>
              <w:pStyle w:val="130"/>
              <w:ind w:firstLine="0"/>
              <w:rPr>
                <w:rFonts w:ascii="宋体" w:hAnsi="宋体"/>
                <w:color w:val="auto"/>
                <w:szCs w:val="24"/>
                <w:highlight w:val="none"/>
              </w:rPr>
            </w:pPr>
            <w:r>
              <w:rPr>
                <w:rFonts w:hint="eastAsia" w:ascii="宋体" w:hAnsi="宋体"/>
                <w:color w:val="auto"/>
                <w:szCs w:val="24"/>
                <w:highlight w:val="none"/>
              </w:rPr>
              <w:t>2、支持号别类型：普通、专家、急诊、特需。</w:t>
            </w:r>
          </w:p>
          <w:p>
            <w:pPr>
              <w:pStyle w:val="130"/>
              <w:ind w:firstLine="0"/>
              <w:rPr>
                <w:rFonts w:ascii="宋体" w:hAnsi="宋体"/>
                <w:color w:val="auto"/>
                <w:szCs w:val="24"/>
                <w:highlight w:val="none"/>
              </w:rPr>
            </w:pPr>
            <w:r>
              <w:rPr>
                <w:rFonts w:hint="eastAsia" w:ascii="宋体" w:hAnsi="宋体"/>
                <w:color w:val="auto"/>
                <w:szCs w:val="24"/>
                <w:highlight w:val="none"/>
              </w:rPr>
              <w:t>3、支持票号模式：号段、号位。</w:t>
            </w:r>
          </w:p>
          <w:p>
            <w:pPr>
              <w:pStyle w:val="130"/>
              <w:ind w:firstLine="0"/>
              <w:rPr>
                <w:rFonts w:ascii="宋体" w:hAnsi="宋体"/>
                <w:b/>
                <w:color w:val="auto"/>
                <w:szCs w:val="24"/>
                <w:highlight w:val="none"/>
              </w:rPr>
            </w:pPr>
            <w:r>
              <w:rPr>
                <w:rFonts w:hint="eastAsia" w:ascii="宋体" w:hAnsi="宋体"/>
                <w:b/>
                <w:color w:val="auto"/>
                <w:szCs w:val="24"/>
                <w:highlight w:val="none"/>
              </w:rPr>
              <w:t>门诊排班参数维护：</w:t>
            </w:r>
          </w:p>
          <w:p>
            <w:pPr>
              <w:pStyle w:val="130"/>
              <w:ind w:firstLine="0"/>
              <w:rPr>
                <w:rFonts w:ascii="宋体" w:hAnsi="宋体"/>
                <w:color w:val="auto"/>
                <w:szCs w:val="24"/>
                <w:highlight w:val="none"/>
              </w:rPr>
            </w:pPr>
            <w:r>
              <w:rPr>
                <w:rFonts w:hint="eastAsia" w:ascii="宋体" w:hAnsi="宋体"/>
                <w:color w:val="auto"/>
                <w:szCs w:val="24"/>
                <w:highlight w:val="none"/>
              </w:rPr>
              <w:t>1、支持按临床科室进行排班参数设置。</w:t>
            </w:r>
          </w:p>
          <w:p>
            <w:pPr>
              <w:pStyle w:val="130"/>
              <w:ind w:firstLine="0"/>
              <w:rPr>
                <w:rFonts w:ascii="宋体" w:hAnsi="宋体"/>
                <w:color w:val="auto"/>
                <w:szCs w:val="24"/>
                <w:highlight w:val="none"/>
              </w:rPr>
            </w:pPr>
            <w:r>
              <w:rPr>
                <w:rFonts w:hint="eastAsia" w:ascii="宋体" w:hAnsi="宋体"/>
                <w:color w:val="auto"/>
                <w:szCs w:val="24"/>
                <w:highlight w:val="none"/>
              </w:rPr>
              <w:t>2、支持维护最少号源池数、主号源池、推荐提前报到时间。</w:t>
            </w:r>
          </w:p>
          <w:p>
            <w:pPr>
              <w:pStyle w:val="130"/>
              <w:ind w:firstLine="0"/>
              <w:rPr>
                <w:rFonts w:ascii="宋体" w:hAnsi="宋体"/>
                <w:color w:val="auto"/>
                <w:szCs w:val="24"/>
                <w:highlight w:val="none"/>
              </w:rPr>
            </w:pPr>
            <w:r>
              <w:rPr>
                <w:rFonts w:hint="eastAsia" w:ascii="宋体" w:hAnsi="宋体"/>
                <w:color w:val="auto"/>
                <w:szCs w:val="24"/>
                <w:highlight w:val="none"/>
              </w:rPr>
              <w:t>3、支持维护科室排班对应诊疗时间：午别、开始时间、结束时间、取消预约时间、停止挂号时间。</w:t>
            </w:r>
          </w:p>
          <w:p>
            <w:pPr>
              <w:pStyle w:val="130"/>
              <w:ind w:firstLine="0"/>
              <w:rPr>
                <w:rFonts w:ascii="宋体" w:hAnsi="宋体"/>
                <w:b/>
                <w:color w:val="auto"/>
                <w:szCs w:val="24"/>
                <w:highlight w:val="none"/>
              </w:rPr>
            </w:pPr>
            <w:r>
              <w:rPr>
                <w:rFonts w:hint="eastAsia" w:ascii="宋体" w:hAnsi="宋体"/>
                <w:b/>
                <w:color w:val="auto"/>
                <w:szCs w:val="24"/>
                <w:highlight w:val="none"/>
              </w:rPr>
              <w:t>门诊排班计划：</w:t>
            </w:r>
          </w:p>
          <w:p>
            <w:pPr>
              <w:pStyle w:val="130"/>
              <w:ind w:firstLine="0"/>
              <w:rPr>
                <w:rFonts w:ascii="宋体" w:hAnsi="宋体"/>
                <w:color w:val="auto"/>
                <w:szCs w:val="24"/>
                <w:highlight w:val="none"/>
              </w:rPr>
            </w:pPr>
            <w:r>
              <w:rPr>
                <w:rFonts w:hint="eastAsia" w:ascii="宋体" w:hAnsi="宋体"/>
                <w:color w:val="auto"/>
                <w:szCs w:val="24"/>
                <w:highlight w:val="none"/>
              </w:rPr>
              <w:t>1、支持维护门诊排班计划，维护计划对应的排班服务、排班资源、出诊诊区、票号模式。</w:t>
            </w:r>
          </w:p>
          <w:p>
            <w:pPr>
              <w:pStyle w:val="130"/>
              <w:ind w:firstLine="0"/>
              <w:rPr>
                <w:rFonts w:ascii="宋体" w:hAnsi="宋体"/>
                <w:color w:val="auto"/>
                <w:szCs w:val="24"/>
                <w:highlight w:val="none"/>
              </w:rPr>
            </w:pPr>
            <w:r>
              <w:rPr>
                <w:rFonts w:hint="eastAsia" w:ascii="宋体" w:hAnsi="宋体"/>
                <w:color w:val="auto"/>
                <w:szCs w:val="24"/>
                <w:highlight w:val="none"/>
              </w:rPr>
              <w:t>2、支持设置优先开放规则：全部预约、偶数优先、奇数优先。</w:t>
            </w:r>
          </w:p>
          <w:p>
            <w:pPr>
              <w:pStyle w:val="130"/>
              <w:ind w:firstLine="0"/>
              <w:rPr>
                <w:rFonts w:ascii="宋体" w:hAnsi="宋体"/>
                <w:color w:val="auto"/>
                <w:szCs w:val="24"/>
                <w:highlight w:val="none"/>
              </w:rPr>
            </w:pPr>
            <w:r>
              <w:rPr>
                <w:rFonts w:hint="eastAsia" w:ascii="宋体" w:hAnsi="宋体"/>
                <w:color w:val="auto"/>
                <w:szCs w:val="24"/>
                <w:highlight w:val="none"/>
              </w:rPr>
              <w:t>3、支持设置挂号规则：如妇科不能接诊男性、14岁以上不能挂儿科等。</w:t>
            </w:r>
          </w:p>
          <w:p>
            <w:pPr>
              <w:pStyle w:val="130"/>
              <w:ind w:firstLine="0"/>
              <w:rPr>
                <w:rFonts w:ascii="宋体" w:hAnsi="宋体"/>
                <w:b/>
                <w:color w:val="auto"/>
                <w:szCs w:val="24"/>
                <w:highlight w:val="none"/>
              </w:rPr>
            </w:pPr>
            <w:r>
              <w:rPr>
                <w:rFonts w:hint="eastAsia" w:ascii="宋体" w:hAnsi="宋体"/>
                <w:b/>
                <w:color w:val="auto"/>
                <w:szCs w:val="24"/>
                <w:highlight w:val="none"/>
              </w:rPr>
              <w:t>门诊排班：</w:t>
            </w:r>
          </w:p>
          <w:p>
            <w:pPr>
              <w:pStyle w:val="130"/>
              <w:ind w:firstLine="0"/>
              <w:rPr>
                <w:rFonts w:ascii="宋体" w:hAnsi="宋体"/>
                <w:color w:val="auto"/>
                <w:szCs w:val="24"/>
                <w:highlight w:val="none"/>
              </w:rPr>
            </w:pPr>
            <w:r>
              <w:rPr>
                <w:rFonts w:hint="eastAsia" w:ascii="宋体" w:hAnsi="宋体"/>
                <w:color w:val="auto"/>
                <w:szCs w:val="24"/>
                <w:highlight w:val="none"/>
              </w:rPr>
              <w:t>1、支持维护门诊排班。</w:t>
            </w:r>
          </w:p>
          <w:p>
            <w:pPr>
              <w:pStyle w:val="130"/>
              <w:ind w:firstLine="0"/>
              <w:rPr>
                <w:rFonts w:ascii="宋体" w:hAnsi="宋体"/>
                <w:color w:val="auto"/>
                <w:szCs w:val="24"/>
                <w:highlight w:val="none"/>
              </w:rPr>
            </w:pPr>
            <w:r>
              <w:rPr>
                <w:rFonts w:hint="eastAsia" w:ascii="宋体" w:hAnsi="宋体"/>
                <w:color w:val="auto"/>
                <w:szCs w:val="24"/>
                <w:highlight w:val="none"/>
              </w:rPr>
              <w:t>2、支持指定时间内的单计划排班和多计划批量排班。和已有排班时间有重叠时，支持覆盖。</w:t>
            </w:r>
          </w:p>
          <w:p>
            <w:pPr>
              <w:pStyle w:val="130"/>
              <w:ind w:firstLine="0"/>
              <w:rPr>
                <w:rFonts w:ascii="宋体" w:hAnsi="宋体"/>
                <w:color w:val="auto"/>
                <w:szCs w:val="24"/>
                <w:highlight w:val="none"/>
              </w:rPr>
            </w:pPr>
            <w:r>
              <w:rPr>
                <w:rFonts w:hint="eastAsia" w:ascii="宋体" w:hAnsi="宋体"/>
                <w:color w:val="auto"/>
                <w:szCs w:val="24"/>
                <w:highlight w:val="none"/>
              </w:rPr>
              <w:t>3、按计划生成排班后，支持对每个排班进行单独修改。</w:t>
            </w:r>
          </w:p>
          <w:p>
            <w:pPr>
              <w:pStyle w:val="130"/>
              <w:ind w:firstLine="0"/>
              <w:rPr>
                <w:rFonts w:ascii="宋体" w:hAnsi="宋体"/>
                <w:b/>
                <w:color w:val="auto"/>
                <w:szCs w:val="24"/>
                <w:highlight w:val="none"/>
              </w:rPr>
            </w:pPr>
            <w:r>
              <w:rPr>
                <w:rFonts w:hint="eastAsia" w:ascii="宋体" w:hAnsi="宋体"/>
                <w:b/>
                <w:color w:val="auto"/>
                <w:szCs w:val="24"/>
                <w:highlight w:val="none"/>
              </w:rPr>
              <w:t>门诊预约：</w:t>
            </w:r>
          </w:p>
          <w:p>
            <w:pPr>
              <w:pStyle w:val="130"/>
              <w:ind w:firstLine="0"/>
              <w:rPr>
                <w:rFonts w:ascii="宋体" w:hAnsi="宋体"/>
                <w:color w:val="auto"/>
                <w:szCs w:val="24"/>
                <w:highlight w:val="none"/>
              </w:rPr>
            </w:pPr>
            <w:r>
              <w:rPr>
                <w:rFonts w:hint="eastAsia" w:ascii="宋体" w:hAnsi="宋体"/>
                <w:color w:val="auto"/>
                <w:szCs w:val="24"/>
                <w:highlight w:val="none"/>
              </w:rPr>
              <w:t>1、支持门诊预约中心按患者预约指定科室、指定号别、指定时间的门诊号。</w:t>
            </w:r>
          </w:p>
          <w:p>
            <w:pPr>
              <w:pStyle w:val="130"/>
              <w:ind w:firstLine="0"/>
              <w:rPr>
                <w:rFonts w:ascii="宋体" w:hAnsi="宋体"/>
                <w:color w:val="auto"/>
                <w:szCs w:val="24"/>
                <w:highlight w:val="none"/>
              </w:rPr>
            </w:pPr>
            <w:r>
              <w:rPr>
                <w:rFonts w:hint="eastAsia" w:ascii="宋体" w:hAnsi="宋体"/>
                <w:color w:val="auto"/>
                <w:szCs w:val="24"/>
                <w:highlight w:val="none"/>
              </w:rPr>
              <w:t>2、支持快捷预约和选号预约。</w:t>
            </w:r>
          </w:p>
          <w:p>
            <w:pPr>
              <w:pStyle w:val="130"/>
              <w:ind w:firstLine="0"/>
              <w:rPr>
                <w:rFonts w:ascii="宋体" w:hAnsi="宋体"/>
                <w:color w:val="auto"/>
                <w:szCs w:val="24"/>
                <w:highlight w:val="none"/>
              </w:rPr>
            </w:pPr>
            <w:r>
              <w:rPr>
                <w:rFonts w:hint="eastAsia" w:ascii="宋体" w:hAnsi="宋体"/>
                <w:color w:val="auto"/>
                <w:szCs w:val="24"/>
                <w:highlight w:val="none"/>
              </w:rPr>
              <w:t>3、支持预约条打印。</w:t>
            </w:r>
          </w:p>
          <w:p>
            <w:pPr>
              <w:pStyle w:val="130"/>
              <w:ind w:firstLine="0"/>
              <w:rPr>
                <w:rFonts w:ascii="宋体" w:hAnsi="宋体"/>
                <w:b/>
                <w:color w:val="auto"/>
                <w:szCs w:val="24"/>
                <w:highlight w:val="none"/>
              </w:rPr>
            </w:pPr>
            <w:r>
              <w:rPr>
                <w:rFonts w:hint="eastAsia" w:ascii="宋体" w:hAnsi="宋体"/>
                <w:b/>
                <w:color w:val="auto"/>
                <w:szCs w:val="24"/>
                <w:highlight w:val="none"/>
              </w:rPr>
              <w:t>门诊分诊台预约：</w:t>
            </w:r>
          </w:p>
          <w:p>
            <w:pPr>
              <w:pStyle w:val="130"/>
              <w:ind w:firstLine="0"/>
              <w:rPr>
                <w:rFonts w:ascii="宋体" w:hAnsi="宋体"/>
                <w:color w:val="auto"/>
                <w:szCs w:val="24"/>
                <w:highlight w:val="none"/>
              </w:rPr>
            </w:pPr>
            <w:r>
              <w:rPr>
                <w:rFonts w:hint="eastAsia" w:ascii="宋体" w:hAnsi="宋体"/>
                <w:color w:val="auto"/>
                <w:szCs w:val="24"/>
                <w:highlight w:val="none"/>
              </w:rPr>
              <w:t>1、支持门诊台按患者预约指定科室、指定号别、指定时间的门诊号。</w:t>
            </w:r>
          </w:p>
          <w:p>
            <w:pPr>
              <w:pStyle w:val="130"/>
              <w:ind w:firstLine="0"/>
              <w:rPr>
                <w:rFonts w:ascii="宋体" w:hAnsi="宋体"/>
                <w:color w:val="auto"/>
                <w:szCs w:val="24"/>
                <w:highlight w:val="none"/>
              </w:rPr>
            </w:pPr>
            <w:r>
              <w:rPr>
                <w:rFonts w:hint="eastAsia" w:ascii="宋体" w:hAnsi="宋体"/>
                <w:color w:val="auto"/>
                <w:szCs w:val="24"/>
                <w:highlight w:val="none"/>
              </w:rPr>
              <w:t>2、支持快捷预约和选号预约。</w:t>
            </w:r>
          </w:p>
          <w:p>
            <w:pPr>
              <w:pStyle w:val="130"/>
              <w:ind w:firstLine="0"/>
              <w:rPr>
                <w:rFonts w:ascii="宋体" w:hAnsi="宋体"/>
                <w:color w:val="auto"/>
                <w:szCs w:val="24"/>
                <w:highlight w:val="none"/>
              </w:rPr>
            </w:pPr>
            <w:r>
              <w:rPr>
                <w:rFonts w:hint="eastAsia" w:ascii="宋体" w:hAnsi="宋体"/>
                <w:color w:val="auto"/>
                <w:szCs w:val="24"/>
                <w:highlight w:val="none"/>
              </w:rPr>
              <w:t>3、支持预约条打印。</w:t>
            </w:r>
          </w:p>
          <w:p>
            <w:pPr>
              <w:pStyle w:val="130"/>
              <w:ind w:firstLine="0"/>
              <w:rPr>
                <w:rFonts w:ascii="宋体" w:hAnsi="宋体"/>
                <w:b/>
                <w:color w:val="auto"/>
                <w:szCs w:val="24"/>
                <w:highlight w:val="none"/>
              </w:rPr>
            </w:pPr>
            <w:r>
              <w:rPr>
                <w:rFonts w:hint="eastAsia" w:ascii="宋体" w:hAnsi="宋体"/>
                <w:b/>
                <w:color w:val="auto"/>
                <w:szCs w:val="24"/>
                <w:highlight w:val="none"/>
              </w:rPr>
              <w:t>（3）口腔专科排班预约</w:t>
            </w:r>
          </w:p>
          <w:p>
            <w:pPr>
              <w:pStyle w:val="130"/>
              <w:ind w:firstLine="0"/>
              <w:rPr>
                <w:rFonts w:ascii="宋体" w:hAnsi="宋体"/>
                <w:b/>
                <w:color w:val="auto"/>
                <w:szCs w:val="24"/>
                <w:highlight w:val="none"/>
              </w:rPr>
            </w:pPr>
            <w:r>
              <w:rPr>
                <w:rFonts w:hint="eastAsia" w:ascii="宋体" w:hAnsi="宋体"/>
                <w:b/>
                <w:color w:val="auto"/>
                <w:szCs w:val="24"/>
                <w:highlight w:val="none"/>
              </w:rPr>
              <w:t>口腔科排班计划：</w:t>
            </w:r>
          </w:p>
          <w:p>
            <w:pPr>
              <w:pStyle w:val="130"/>
              <w:ind w:firstLine="0"/>
              <w:rPr>
                <w:rFonts w:ascii="宋体" w:hAnsi="宋体"/>
                <w:color w:val="auto"/>
                <w:szCs w:val="24"/>
                <w:highlight w:val="none"/>
              </w:rPr>
            </w:pPr>
            <w:r>
              <w:rPr>
                <w:rFonts w:hint="eastAsia" w:ascii="宋体" w:hAnsi="宋体"/>
                <w:color w:val="auto"/>
                <w:szCs w:val="24"/>
                <w:highlight w:val="none"/>
              </w:rPr>
              <w:t>1、支持维护专用于口腔门诊的排班计划，维护计划对应的排班服务、排班资源、版本、出诊诊区。</w:t>
            </w:r>
          </w:p>
          <w:p>
            <w:pPr>
              <w:pStyle w:val="130"/>
              <w:ind w:firstLine="0"/>
              <w:rPr>
                <w:rFonts w:ascii="宋体" w:hAnsi="宋体"/>
                <w:color w:val="auto"/>
                <w:szCs w:val="24"/>
                <w:highlight w:val="none"/>
              </w:rPr>
            </w:pPr>
            <w:r>
              <w:rPr>
                <w:rFonts w:hint="eastAsia" w:ascii="宋体" w:hAnsi="宋体"/>
                <w:color w:val="auto"/>
                <w:szCs w:val="24"/>
                <w:highlight w:val="none"/>
              </w:rPr>
              <w:t>2、支持设置优先开放规则：全部预约、偶数优先、奇数优先。</w:t>
            </w:r>
          </w:p>
          <w:p>
            <w:pPr>
              <w:pStyle w:val="130"/>
              <w:ind w:firstLine="0"/>
              <w:rPr>
                <w:rFonts w:ascii="宋体" w:hAnsi="宋体"/>
                <w:color w:val="auto"/>
                <w:szCs w:val="24"/>
                <w:highlight w:val="none"/>
              </w:rPr>
            </w:pPr>
            <w:r>
              <w:rPr>
                <w:rFonts w:hint="eastAsia" w:ascii="宋体" w:hAnsi="宋体"/>
                <w:color w:val="auto"/>
                <w:szCs w:val="24"/>
                <w:highlight w:val="none"/>
              </w:rPr>
              <w:t>3、支持分号源池管理号源；支持按号源池设置预约渠道。</w:t>
            </w:r>
          </w:p>
          <w:p>
            <w:pPr>
              <w:pStyle w:val="130"/>
              <w:ind w:firstLine="0"/>
              <w:rPr>
                <w:rFonts w:ascii="宋体" w:hAnsi="宋体"/>
                <w:b/>
                <w:color w:val="auto"/>
                <w:szCs w:val="24"/>
                <w:highlight w:val="none"/>
              </w:rPr>
            </w:pPr>
            <w:r>
              <w:rPr>
                <w:rFonts w:hint="eastAsia" w:ascii="宋体" w:hAnsi="宋体"/>
                <w:b/>
                <w:color w:val="auto"/>
                <w:szCs w:val="24"/>
                <w:highlight w:val="none"/>
              </w:rPr>
              <w:t>口腔科医生排班：</w:t>
            </w:r>
          </w:p>
          <w:p>
            <w:pPr>
              <w:pStyle w:val="130"/>
              <w:ind w:firstLine="0"/>
              <w:rPr>
                <w:rFonts w:ascii="宋体" w:hAnsi="宋体"/>
                <w:color w:val="auto"/>
                <w:szCs w:val="24"/>
                <w:highlight w:val="none"/>
              </w:rPr>
            </w:pPr>
            <w:r>
              <w:rPr>
                <w:rFonts w:hint="eastAsia" w:ascii="宋体" w:hAnsi="宋体"/>
                <w:color w:val="auto"/>
                <w:szCs w:val="24"/>
                <w:highlight w:val="none"/>
              </w:rPr>
              <w:t>1、支持维护口腔医生排班。</w:t>
            </w:r>
          </w:p>
          <w:p>
            <w:pPr>
              <w:pStyle w:val="130"/>
              <w:ind w:firstLine="0"/>
              <w:rPr>
                <w:rFonts w:ascii="宋体" w:hAnsi="宋体"/>
                <w:color w:val="auto"/>
                <w:szCs w:val="24"/>
                <w:highlight w:val="none"/>
              </w:rPr>
            </w:pPr>
            <w:r>
              <w:rPr>
                <w:rFonts w:hint="eastAsia" w:ascii="宋体" w:hAnsi="宋体"/>
                <w:color w:val="auto"/>
                <w:szCs w:val="24"/>
                <w:highlight w:val="none"/>
              </w:rPr>
              <w:t>2、支持按诊间、诊椅，选择对应版本和口腔排班计划进行排班。</w:t>
            </w:r>
          </w:p>
          <w:p>
            <w:pPr>
              <w:pStyle w:val="130"/>
              <w:ind w:firstLine="0"/>
              <w:rPr>
                <w:rFonts w:ascii="宋体" w:hAnsi="宋体"/>
                <w:color w:val="auto"/>
                <w:szCs w:val="24"/>
                <w:highlight w:val="none"/>
              </w:rPr>
            </w:pPr>
            <w:r>
              <w:rPr>
                <w:rFonts w:hint="eastAsia" w:ascii="宋体" w:hAnsi="宋体"/>
                <w:color w:val="auto"/>
                <w:szCs w:val="24"/>
                <w:highlight w:val="none"/>
              </w:rPr>
              <w:t>3、支持按计划生成排班后，支持对每个排班进行单独修改。</w:t>
            </w:r>
          </w:p>
          <w:p>
            <w:pPr>
              <w:pStyle w:val="130"/>
              <w:ind w:firstLine="0"/>
              <w:rPr>
                <w:rFonts w:ascii="宋体" w:hAnsi="宋体"/>
                <w:b/>
                <w:color w:val="auto"/>
                <w:szCs w:val="24"/>
                <w:highlight w:val="none"/>
              </w:rPr>
            </w:pPr>
            <w:r>
              <w:rPr>
                <w:rFonts w:hint="eastAsia" w:ascii="宋体" w:hAnsi="宋体"/>
                <w:b/>
                <w:color w:val="auto"/>
                <w:szCs w:val="24"/>
                <w:highlight w:val="none"/>
              </w:rPr>
              <w:t>口腔科护士排班：</w:t>
            </w:r>
          </w:p>
          <w:p>
            <w:pPr>
              <w:pStyle w:val="130"/>
              <w:ind w:firstLine="0"/>
              <w:rPr>
                <w:rFonts w:ascii="宋体" w:hAnsi="宋体"/>
                <w:color w:val="auto"/>
                <w:szCs w:val="24"/>
                <w:highlight w:val="none"/>
              </w:rPr>
            </w:pPr>
            <w:r>
              <w:rPr>
                <w:rFonts w:hint="eastAsia" w:ascii="宋体" w:hAnsi="宋体"/>
                <w:color w:val="auto"/>
                <w:szCs w:val="24"/>
                <w:highlight w:val="none"/>
              </w:rPr>
              <w:t>1、支持维护口腔护士排班。</w:t>
            </w:r>
          </w:p>
          <w:p>
            <w:pPr>
              <w:pStyle w:val="130"/>
              <w:ind w:firstLine="0"/>
              <w:rPr>
                <w:rFonts w:ascii="宋体" w:hAnsi="宋体"/>
                <w:color w:val="auto"/>
                <w:szCs w:val="24"/>
                <w:highlight w:val="none"/>
              </w:rPr>
            </w:pPr>
            <w:r>
              <w:rPr>
                <w:rFonts w:hint="eastAsia" w:ascii="宋体" w:hAnsi="宋体"/>
                <w:color w:val="auto"/>
                <w:szCs w:val="24"/>
                <w:highlight w:val="none"/>
              </w:rPr>
              <w:t>2、支持按诊间、诊椅，在口腔医生排班基础上，添加护士排班。</w:t>
            </w:r>
          </w:p>
          <w:p>
            <w:pPr>
              <w:pStyle w:val="130"/>
              <w:ind w:firstLine="0"/>
              <w:rPr>
                <w:rFonts w:ascii="宋体" w:hAnsi="宋体"/>
                <w:color w:val="auto"/>
                <w:szCs w:val="24"/>
                <w:highlight w:val="none"/>
              </w:rPr>
            </w:pPr>
            <w:r>
              <w:rPr>
                <w:rFonts w:hint="eastAsia" w:ascii="宋体" w:hAnsi="宋体"/>
                <w:color w:val="auto"/>
                <w:szCs w:val="24"/>
                <w:highlight w:val="none"/>
              </w:rPr>
              <w:t>3、支持打印排班表。</w:t>
            </w:r>
          </w:p>
          <w:p>
            <w:pPr>
              <w:pStyle w:val="130"/>
              <w:ind w:firstLine="0"/>
              <w:rPr>
                <w:rFonts w:ascii="宋体" w:hAnsi="宋体"/>
                <w:b/>
                <w:color w:val="auto"/>
                <w:szCs w:val="24"/>
                <w:highlight w:val="none"/>
              </w:rPr>
            </w:pPr>
            <w:r>
              <w:rPr>
                <w:rFonts w:hint="eastAsia" w:ascii="宋体" w:hAnsi="宋体"/>
                <w:b/>
                <w:color w:val="auto"/>
                <w:szCs w:val="24"/>
                <w:highlight w:val="none"/>
              </w:rPr>
              <w:t>口腔预约：</w:t>
            </w:r>
          </w:p>
          <w:p>
            <w:pPr>
              <w:pStyle w:val="130"/>
              <w:ind w:firstLine="0"/>
              <w:rPr>
                <w:rFonts w:ascii="宋体" w:hAnsi="宋体"/>
                <w:color w:val="auto"/>
                <w:szCs w:val="24"/>
                <w:highlight w:val="none"/>
              </w:rPr>
            </w:pPr>
            <w:r>
              <w:rPr>
                <w:rFonts w:hint="eastAsia" w:ascii="宋体" w:hAnsi="宋体"/>
                <w:color w:val="auto"/>
                <w:szCs w:val="24"/>
                <w:highlight w:val="none"/>
              </w:rPr>
              <w:t>1、支持专用于口腔科的门诊号预约。</w:t>
            </w:r>
          </w:p>
          <w:p>
            <w:pPr>
              <w:pStyle w:val="130"/>
              <w:ind w:firstLine="0"/>
              <w:rPr>
                <w:rFonts w:ascii="宋体" w:hAnsi="宋体"/>
                <w:color w:val="auto"/>
                <w:szCs w:val="24"/>
                <w:highlight w:val="none"/>
              </w:rPr>
            </w:pPr>
            <w:r>
              <w:rPr>
                <w:rFonts w:hint="eastAsia" w:ascii="宋体" w:hAnsi="宋体"/>
                <w:color w:val="auto"/>
                <w:szCs w:val="24"/>
                <w:highlight w:val="none"/>
              </w:rPr>
              <w:t>2、支持单医生的全周预约、全科的单日预约。</w:t>
            </w:r>
          </w:p>
          <w:p>
            <w:pPr>
              <w:pStyle w:val="130"/>
              <w:ind w:firstLine="0"/>
              <w:rPr>
                <w:rFonts w:ascii="宋体" w:hAnsi="宋体"/>
                <w:color w:val="auto"/>
                <w:szCs w:val="24"/>
                <w:highlight w:val="none"/>
              </w:rPr>
            </w:pPr>
            <w:r>
              <w:rPr>
                <w:rFonts w:hint="eastAsia" w:ascii="宋体" w:hAnsi="宋体"/>
                <w:color w:val="auto"/>
                <w:szCs w:val="24"/>
                <w:highlight w:val="none"/>
              </w:rPr>
              <w:t>3、支持指定时间段预约。</w:t>
            </w:r>
          </w:p>
          <w:p>
            <w:pPr>
              <w:pStyle w:val="130"/>
              <w:ind w:firstLine="0"/>
              <w:rPr>
                <w:rFonts w:ascii="宋体" w:hAnsi="宋体"/>
                <w:color w:val="auto"/>
                <w:szCs w:val="24"/>
                <w:highlight w:val="none"/>
              </w:rPr>
            </w:pPr>
            <w:r>
              <w:rPr>
                <w:rFonts w:hint="eastAsia" w:ascii="宋体" w:hAnsi="宋体"/>
                <w:color w:val="auto"/>
                <w:szCs w:val="24"/>
                <w:highlight w:val="none"/>
              </w:rPr>
              <w:t>4、支持预约、退约、改约。</w:t>
            </w:r>
          </w:p>
          <w:p>
            <w:pPr>
              <w:pStyle w:val="130"/>
              <w:ind w:firstLine="0"/>
              <w:rPr>
                <w:rFonts w:ascii="宋体" w:hAnsi="宋体"/>
                <w:b/>
                <w:color w:val="auto"/>
                <w:szCs w:val="24"/>
                <w:highlight w:val="none"/>
              </w:rPr>
            </w:pPr>
            <w:r>
              <w:rPr>
                <w:rFonts w:hint="eastAsia" w:ascii="宋体" w:hAnsi="宋体"/>
                <w:b/>
                <w:color w:val="auto"/>
                <w:szCs w:val="24"/>
                <w:highlight w:val="none"/>
              </w:rPr>
              <w:t>口腔预约查询：</w:t>
            </w:r>
          </w:p>
          <w:p>
            <w:pPr>
              <w:pStyle w:val="130"/>
              <w:ind w:firstLine="0"/>
              <w:rPr>
                <w:rFonts w:ascii="宋体" w:hAnsi="宋体"/>
                <w:color w:val="auto"/>
                <w:szCs w:val="24"/>
                <w:highlight w:val="none"/>
              </w:rPr>
            </w:pPr>
            <w:r>
              <w:rPr>
                <w:rFonts w:hint="eastAsia" w:ascii="宋体" w:hAnsi="宋体"/>
                <w:color w:val="auto"/>
                <w:szCs w:val="24"/>
                <w:highlight w:val="none"/>
              </w:rPr>
              <w:t>1、支持口腔预约查询。</w:t>
            </w:r>
          </w:p>
          <w:p>
            <w:pPr>
              <w:pStyle w:val="130"/>
              <w:ind w:firstLine="0"/>
              <w:rPr>
                <w:rFonts w:ascii="宋体" w:hAnsi="宋体"/>
                <w:color w:val="auto"/>
                <w:szCs w:val="24"/>
                <w:highlight w:val="none"/>
              </w:rPr>
            </w:pPr>
            <w:r>
              <w:rPr>
                <w:rFonts w:hint="eastAsia" w:ascii="宋体" w:hAnsi="宋体"/>
                <w:color w:val="auto"/>
                <w:szCs w:val="24"/>
                <w:highlight w:val="none"/>
              </w:rPr>
              <w:t>2、支持按照患者条码、患者证件号、患者电话、患者、复诊日期、预约就诊日期、排班计划等，查询口腔预约记录和导出。</w:t>
            </w:r>
          </w:p>
          <w:p>
            <w:pPr>
              <w:pStyle w:val="130"/>
              <w:ind w:firstLine="0"/>
              <w:rPr>
                <w:rFonts w:ascii="宋体" w:hAnsi="宋体"/>
                <w:color w:val="auto"/>
                <w:szCs w:val="24"/>
                <w:highlight w:val="none"/>
              </w:rPr>
            </w:pPr>
            <w:r>
              <w:rPr>
                <w:rFonts w:hint="eastAsia" w:ascii="宋体" w:hAnsi="宋体"/>
                <w:color w:val="auto"/>
                <w:szCs w:val="24"/>
                <w:highlight w:val="none"/>
              </w:rPr>
              <w:t>3、支持退约、设置预约状态。</w:t>
            </w:r>
          </w:p>
          <w:p>
            <w:pPr>
              <w:pStyle w:val="130"/>
              <w:ind w:firstLine="0"/>
              <w:rPr>
                <w:rFonts w:ascii="宋体" w:hAnsi="宋体"/>
                <w:b/>
                <w:color w:val="auto"/>
                <w:szCs w:val="24"/>
                <w:highlight w:val="none"/>
              </w:rPr>
            </w:pPr>
            <w:r>
              <w:rPr>
                <w:rFonts w:hint="eastAsia" w:ascii="宋体" w:hAnsi="宋体"/>
                <w:b/>
                <w:color w:val="auto"/>
                <w:szCs w:val="24"/>
                <w:highlight w:val="none"/>
              </w:rPr>
              <w:t>（4）医技排班预约</w:t>
            </w:r>
          </w:p>
          <w:p>
            <w:pPr>
              <w:pStyle w:val="130"/>
              <w:ind w:firstLine="0"/>
              <w:rPr>
                <w:rFonts w:ascii="宋体" w:hAnsi="宋体"/>
                <w:b/>
                <w:color w:val="auto"/>
                <w:szCs w:val="24"/>
                <w:highlight w:val="none"/>
              </w:rPr>
            </w:pPr>
            <w:r>
              <w:rPr>
                <w:rFonts w:hint="eastAsia" w:ascii="宋体" w:hAnsi="宋体"/>
                <w:b/>
                <w:color w:val="auto"/>
                <w:szCs w:val="24"/>
                <w:highlight w:val="none"/>
              </w:rPr>
              <w:t>医技服务维护：</w:t>
            </w:r>
          </w:p>
          <w:p>
            <w:pPr>
              <w:pStyle w:val="130"/>
              <w:ind w:firstLine="0"/>
              <w:rPr>
                <w:rFonts w:ascii="宋体" w:hAnsi="宋体"/>
                <w:color w:val="auto"/>
                <w:szCs w:val="24"/>
                <w:highlight w:val="none"/>
              </w:rPr>
            </w:pPr>
            <w:r>
              <w:rPr>
                <w:rFonts w:hint="eastAsia" w:ascii="宋体" w:hAnsi="宋体"/>
                <w:color w:val="auto"/>
                <w:szCs w:val="24"/>
                <w:highlight w:val="none"/>
              </w:rPr>
              <w:t>1、支持维护医技服务和该服务对应的医疗服务项目和价格、时长、类别。</w:t>
            </w:r>
          </w:p>
          <w:p>
            <w:pPr>
              <w:pStyle w:val="130"/>
              <w:ind w:firstLine="0"/>
              <w:rPr>
                <w:rFonts w:ascii="宋体" w:hAnsi="宋体"/>
                <w:color w:val="auto"/>
                <w:szCs w:val="24"/>
                <w:highlight w:val="none"/>
              </w:rPr>
            </w:pPr>
            <w:r>
              <w:rPr>
                <w:rFonts w:hint="eastAsia" w:ascii="宋体" w:hAnsi="宋体"/>
                <w:color w:val="auto"/>
                <w:szCs w:val="24"/>
                <w:highlight w:val="none"/>
              </w:rPr>
              <w:t>2、支持票号模式：号段、号位、时间片。</w:t>
            </w:r>
          </w:p>
          <w:p>
            <w:pPr>
              <w:pStyle w:val="130"/>
              <w:ind w:firstLine="0"/>
              <w:rPr>
                <w:rFonts w:ascii="宋体" w:hAnsi="宋体"/>
                <w:b/>
                <w:color w:val="auto"/>
                <w:szCs w:val="24"/>
                <w:highlight w:val="none"/>
              </w:rPr>
            </w:pPr>
            <w:r>
              <w:rPr>
                <w:rFonts w:hint="eastAsia" w:ascii="宋体" w:hAnsi="宋体"/>
                <w:b/>
                <w:color w:val="auto"/>
                <w:szCs w:val="24"/>
                <w:highlight w:val="none"/>
              </w:rPr>
              <w:t>医技排班计划维护：</w:t>
            </w:r>
          </w:p>
          <w:p>
            <w:pPr>
              <w:pStyle w:val="130"/>
              <w:ind w:firstLine="0"/>
              <w:rPr>
                <w:rFonts w:ascii="宋体" w:hAnsi="宋体"/>
                <w:color w:val="auto"/>
                <w:szCs w:val="24"/>
                <w:highlight w:val="none"/>
              </w:rPr>
            </w:pPr>
            <w:r>
              <w:rPr>
                <w:rFonts w:hint="eastAsia" w:ascii="宋体" w:hAnsi="宋体"/>
                <w:color w:val="auto"/>
                <w:szCs w:val="24"/>
                <w:highlight w:val="none"/>
              </w:rPr>
              <w:t>1、支持维护医技排班计划，维护计划对应的排班服务、排班资源、票号模式。</w:t>
            </w:r>
          </w:p>
          <w:p>
            <w:pPr>
              <w:pStyle w:val="130"/>
              <w:ind w:firstLine="0"/>
              <w:rPr>
                <w:rFonts w:ascii="宋体" w:hAnsi="宋体"/>
                <w:color w:val="auto"/>
                <w:szCs w:val="24"/>
                <w:highlight w:val="none"/>
              </w:rPr>
            </w:pPr>
            <w:r>
              <w:rPr>
                <w:rFonts w:hint="eastAsia" w:ascii="宋体" w:hAnsi="宋体"/>
                <w:color w:val="auto"/>
                <w:szCs w:val="24"/>
                <w:highlight w:val="none"/>
              </w:rPr>
              <w:t>2、支持最多五种周模板设置。</w:t>
            </w:r>
          </w:p>
          <w:p>
            <w:pPr>
              <w:pStyle w:val="130"/>
              <w:ind w:firstLine="0"/>
              <w:rPr>
                <w:rFonts w:ascii="宋体" w:hAnsi="宋体"/>
                <w:color w:val="auto"/>
                <w:szCs w:val="24"/>
                <w:highlight w:val="none"/>
              </w:rPr>
            </w:pPr>
            <w:r>
              <w:rPr>
                <w:rFonts w:hint="eastAsia" w:ascii="宋体" w:hAnsi="宋体"/>
                <w:color w:val="auto"/>
                <w:szCs w:val="24"/>
                <w:highlight w:val="none"/>
              </w:rPr>
              <w:t>3、周模板支持指定总号源数，开放数。</w:t>
            </w:r>
          </w:p>
          <w:p>
            <w:pPr>
              <w:pStyle w:val="130"/>
              <w:ind w:firstLine="0"/>
              <w:rPr>
                <w:rFonts w:ascii="宋体" w:hAnsi="宋体"/>
                <w:color w:val="auto"/>
                <w:szCs w:val="24"/>
                <w:highlight w:val="none"/>
              </w:rPr>
            </w:pPr>
            <w:r>
              <w:rPr>
                <w:rFonts w:hint="eastAsia" w:ascii="宋体" w:hAnsi="宋体"/>
                <w:color w:val="auto"/>
                <w:szCs w:val="24"/>
                <w:highlight w:val="none"/>
              </w:rPr>
              <w:t>4、支持分号源池管理号源；支持按号源池设置预约渠道；支持按号位指定预约渠道；诊间预约号源，可以限制可预约科室或医生。</w:t>
            </w:r>
          </w:p>
          <w:p>
            <w:pPr>
              <w:pStyle w:val="130"/>
              <w:ind w:firstLine="0"/>
              <w:rPr>
                <w:rFonts w:ascii="宋体" w:hAnsi="宋体"/>
                <w:b/>
                <w:color w:val="auto"/>
                <w:szCs w:val="24"/>
                <w:highlight w:val="none"/>
              </w:rPr>
            </w:pPr>
            <w:r>
              <w:rPr>
                <w:rFonts w:hint="eastAsia" w:ascii="宋体" w:hAnsi="宋体"/>
                <w:b/>
                <w:color w:val="auto"/>
                <w:szCs w:val="24"/>
                <w:highlight w:val="none"/>
              </w:rPr>
              <w:t>医技排班：</w:t>
            </w:r>
          </w:p>
          <w:p>
            <w:pPr>
              <w:pStyle w:val="130"/>
              <w:ind w:firstLine="0"/>
              <w:rPr>
                <w:rFonts w:ascii="宋体" w:hAnsi="宋体"/>
                <w:color w:val="auto"/>
                <w:szCs w:val="24"/>
                <w:highlight w:val="none"/>
              </w:rPr>
            </w:pPr>
            <w:r>
              <w:rPr>
                <w:rFonts w:hint="eastAsia" w:ascii="宋体" w:hAnsi="宋体"/>
                <w:color w:val="auto"/>
                <w:szCs w:val="24"/>
                <w:highlight w:val="none"/>
              </w:rPr>
              <w:t>1、支持维护医技排班。</w:t>
            </w:r>
          </w:p>
          <w:p>
            <w:pPr>
              <w:pStyle w:val="130"/>
              <w:ind w:firstLine="0"/>
              <w:rPr>
                <w:rFonts w:ascii="宋体" w:hAnsi="宋体"/>
                <w:color w:val="auto"/>
                <w:szCs w:val="24"/>
                <w:highlight w:val="none"/>
              </w:rPr>
            </w:pPr>
            <w:r>
              <w:rPr>
                <w:rFonts w:hint="eastAsia" w:ascii="宋体" w:hAnsi="宋体"/>
                <w:color w:val="auto"/>
                <w:szCs w:val="24"/>
                <w:highlight w:val="none"/>
              </w:rPr>
              <w:t>2、支持指定时间内的单计划排班和多计划批量排班。和已有排班时间有重叠时，支持覆盖。</w:t>
            </w:r>
          </w:p>
          <w:p>
            <w:pPr>
              <w:pStyle w:val="130"/>
              <w:ind w:firstLine="0"/>
              <w:rPr>
                <w:rFonts w:ascii="宋体" w:hAnsi="宋体"/>
                <w:color w:val="auto"/>
                <w:szCs w:val="24"/>
                <w:highlight w:val="none"/>
              </w:rPr>
            </w:pPr>
            <w:r>
              <w:rPr>
                <w:rFonts w:hint="eastAsia" w:ascii="宋体" w:hAnsi="宋体"/>
                <w:color w:val="auto"/>
                <w:szCs w:val="24"/>
                <w:highlight w:val="none"/>
              </w:rPr>
              <w:t>3、支持按计划生成排班后，支持对每个排班进行单独修改。</w:t>
            </w:r>
          </w:p>
          <w:p>
            <w:pPr>
              <w:pStyle w:val="130"/>
              <w:ind w:firstLine="0"/>
              <w:rPr>
                <w:rFonts w:ascii="宋体" w:hAnsi="宋体"/>
                <w:color w:val="auto"/>
                <w:szCs w:val="24"/>
                <w:highlight w:val="none"/>
              </w:rPr>
            </w:pPr>
            <w:r>
              <w:rPr>
                <w:rFonts w:hint="eastAsia" w:ascii="宋体" w:hAnsi="宋体"/>
                <w:color w:val="auto"/>
                <w:szCs w:val="24"/>
                <w:highlight w:val="none"/>
              </w:rPr>
              <w:t>4、支持单独、批量停诊/取消停诊。</w:t>
            </w:r>
          </w:p>
          <w:p>
            <w:pPr>
              <w:pStyle w:val="130"/>
              <w:ind w:firstLine="0"/>
              <w:rPr>
                <w:rFonts w:ascii="宋体" w:hAnsi="宋体"/>
                <w:color w:val="auto"/>
                <w:szCs w:val="24"/>
                <w:highlight w:val="none"/>
              </w:rPr>
            </w:pPr>
            <w:r>
              <w:rPr>
                <w:rFonts w:hint="eastAsia" w:ascii="宋体" w:hAnsi="宋体"/>
                <w:color w:val="auto"/>
                <w:szCs w:val="24"/>
                <w:highlight w:val="none"/>
              </w:rPr>
              <w:t>5、支持单独、批量删除排班。</w:t>
            </w:r>
          </w:p>
          <w:p>
            <w:pPr>
              <w:pStyle w:val="130"/>
              <w:ind w:firstLine="0"/>
              <w:rPr>
                <w:rFonts w:ascii="宋体" w:hAnsi="宋体"/>
                <w:b/>
                <w:color w:val="auto"/>
                <w:szCs w:val="24"/>
                <w:highlight w:val="none"/>
              </w:rPr>
            </w:pPr>
            <w:r>
              <w:rPr>
                <w:rFonts w:hint="eastAsia" w:ascii="宋体" w:hAnsi="宋体"/>
                <w:b/>
                <w:color w:val="auto"/>
                <w:szCs w:val="24"/>
                <w:highlight w:val="none"/>
              </w:rPr>
              <w:t>医技预约（预约中心）：</w:t>
            </w:r>
          </w:p>
          <w:p>
            <w:pPr>
              <w:pStyle w:val="130"/>
              <w:ind w:firstLine="0"/>
              <w:rPr>
                <w:rFonts w:ascii="宋体" w:hAnsi="宋体"/>
                <w:color w:val="auto"/>
                <w:szCs w:val="24"/>
                <w:highlight w:val="none"/>
              </w:rPr>
            </w:pPr>
            <w:r>
              <w:rPr>
                <w:rFonts w:hint="eastAsia" w:ascii="宋体" w:hAnsi="宋体"/>
                <w:color w:val="auto"/>
                <w:szCs w:val="24"/>
                <w:highlight w:val="none"/>
              </w:rPr>
              <w:t>1、支持医技预约中心，支持按照医技科室，查询待预约记录，进行预约。</w:t>
            </w:r>
          </w:p>
          <w:p>
            <w:pPr>
              <w:pStyle w:val="130"/>
              <w:ind w:firstLine="0"/>
              <w:rPr>
                <w:rFonts w:ascii="宋体" w:hAnsi="宋体"/>
                <w:color w:val="auto"/>
                <w:szCs w:val="24"/>
                <w:highlight w:val="none"/>
              </w:rPr>
            </w:pPr>
            <w:r>
              <w:rPr>
                <w:rFonts w:hint="eastAsia" w:ascii="宋体" w:hAnsi="宋体"/>
                <w:color w:val="auto"/>
                <w:szCs w:val="24"/>
                <w:highlight w:val="none"/>
              </w:rPr>
              <w:t>2、支持按照排班分类、医技项目、开立科室，进行待预约记录过滤。</w:t>
            </w:r>
          </w:p>
          <w:p>
            <w:pPr>
              <w:pStyle w:val="130"/>
              <w:ind w:firstLine="0"/>
              <w:rPr>
                <w:rFonts w:ascii="宋体" w:hAnsi="宋体"/>
                <w:color w:val="auto"/>
                <w:szCs w:val="24"/>
                <w:highlight w:val="none"/>
              </w:rPr>
            </w:pPr>
            <w:r>
              <w:rPr>
                <w:rFonts w:hint="eastAsia" w:ascii="宋体" w:hAnsi="宋体"/>
                <w:color w:val="auto"/>
                <w:szCs w:val="24"/>
                <w:highlight w:val="none"/>
              </w:rPr>
              <w:t>3、支持快捷预约和选号预约。</w:t>
            </w:r>
          </w:p>
          <w:p>
            <w:pPr>
              <w:pStyle w:val="130"/>
              <w:ind w:firstLine="0"/>
              <w:rPr>
                <w:rFonts w:ascii="宋体" w:hAnsi="宋体"/>
                <w:color w:val="auto"/>
                <w:szCs w:val="24"/>
                <w:highlight w:val="none"/>
              </w:rPr>
            </w:pPr>
            <w:r>
              <w:rPr>
                <w:rFonts w:hint="eastAsia" w:ascii="宋体" w:hAnsi="宋体"/>
                <w:color w:val="auto"/>
                <w:szCs w:val="24"/>
                <w:highlight w:val="none"/>
              </w:rPr>
              <w:t>4、支持自动预约和改约。</w:t>
            </w:r>
          </w:p>
          <w:p>
            <w:pPr>
              <w:pStyle w:val="130"/>
              <w:ind w:firstLine="0"/>
              <w:rPr>
                <w:rFonts w:ascii="宋体" w:hAnsi="宋体"/>
                <w:color w:val="auto"/>
                <w:szCs w:val="24"/>
                <w:highlight w:val="none"/>
              </w:rPr>
            </w:pPr>
            <w:r>
              <w:rPr>
                <w:rFonts w:hint="eastAsia" w:ascii="宋体" w:hAnsi="宋体"/>
                <w:color w:val="auto"/>
                <w:szCs w:val="24"/>
                <w:highlight w:val="none"/>
              </w:rPr>
              <w:t>5、支持排班自动过滤。</w:t>
            </w:r>
          </w:p>
          <w:p>
            <w:pPr>
              <w:pStyle w:val="130"/>
              <w:ind w:firstLine="0"/>
              <w:rPr>
                <w:rFonts w:ascii="宋体" w:hAnsi="宋体"/>
                <w:b/>
                <w:color w:val="auto"/>
                <w:szCs w:val="24"/>
                <w:highlight w:val="none"/>
              </w:rPr>
            </w:pPr>
            <w:r>
              <w:rPr>
                <w:rFonts w:hint="eastAsia" w:ascii="宋体" w:hAnsi="宋体"/>
                <w:b/>
                <w:color w:val="auto"/>
                <w:szCs w:val="24"/>
                <w:highlight w:val="none"/>
              </w:rPr>
              <w:t>预约预约（诊间医生）：</w:t>
            </w:r>
          </w:p>
          <w:p>
            <w:pPr>
              <w:pStyle w:val="130"/>
              <w:ind w:firstLine="0"/>
              <w:rPr>
                <w:rFonts w:ascii="宋体" w:hAnsi="宋体"/>
                <w:color w:val="auto"/>
                <w:szCs w:val="24"/>
                <w:highlight w:val="none"/>
              </w:rPr>
            </w:pPr>
            <w:r>
              <w:rPr>
                <w:rFonts w:hint="eastAsia" w:ascii="宋体" w:hAnsi="宋体"/>
                <w:color w:val="auto"/>
                <w:szCs w:val="24"/>
                <w:highlight w:val="none"/>
              </w:rPr>
              <w:t>1、支持临床医生按照患者查询待预约记录，进行预约。</w:t>
            </w:r>
          </w:p>
          <w:p>
            <w:pPr>
              <w:pStyle w:val="130"/>
              <w:ind w:firstLine="0"/>
              <w:rPr>
                <w:rFonts w:ascii="宋体" w:hAnsi="宋体"/>
                <w:color w:val="auto"/>
                <w:szCs w:val="24"/>
                <w:highlight w:val="none"/>
              </w:rPr>
            </w:pPr>
            <w:r>
              <w:rPr>
                <w:rFonts w:hint="eastAsia" w:ascii="宋体" w:hAnsi="宋体"/>
                <w:color w:val="auto"/>
                <w:szCs w:val="24"/>
                <w:highlight w:val="none"/>
              </w:rPr>
              <w:t>2、支持快捷预约和选号预约。</w:t>
            </w:r>
          </w:p>
          <w:p>
            <w:pPr>
              <w:pStyle w:val="130"/>
              <w:ind w:firstLine="0"/>
              <w:rPr>
                <w:rFonts w:ascii="宋体" w:hAnsi="宋体"/>
                <w:color w:val="auto"/>
                <w:szCs w:val="24"/>
                <w:highlight w:val="none"/>
              </w:rPr>
            </w:pPr>
            <w:r>
              <w:rPr>
                <w:rFonts w:hint="eastAsia" w:ascii="宋体" w:hAnsi="宋体"/>
                <w:color w:val="auto"/>
                <w:szCs w:val="24"/>
                <w:highlight w:val="none"/>
              </w:rPr>
              <w:t>3、支持自动预约和改约。</w:t>
            </w:r>
          </w:p>
          <w:p>
            <w:pPr>
              <w:pStyle w:val="130"/>
              <w:ind w:firstLine="0"/>
              <w:rPr>
                <w:rFonts w:ascii="宋体" w:hAnsi="宋体"/>
                <w:b/>
                <w:color w:val="auto"/>
                <w:szCs w:val="24"/>
                <w:highlight w:val="none"/>
              </w:rPr>
            </w:pPr>
            <w:r>
              <w:rPr>
                <w:rFonts w:hint="eastAsia" w:ascii="宋体" w:hAnsi="宋体"/>
                <w:b/>
                <w:color w:val="auto"/>
                <w:szCs w:val="24"/>
                <w:highlight w:val="none"/>
              </w:rPr>
              <w:t>预约预约查询：</w:t>
            </w:r>
          </w:p>
          <w:p>
            <w:pPr>
              <w:pStyle w:val="130"/>
              <w:ind w:firstLine="0"/>
              <w:rPr>
                <w:rFonts w:ascii="宋体" w:hAnsi="宋体"/>
                <w:color w:val="auto"/>
                <w:szCs w:val="24"/>
                <w:highlight w:val="none"/>
              </w:rPr>
            </w:pPr>
            <w:r>
              <w:rPr>
                <w:rFonts w:hint="eastAsia" w:ascii="宋体" w:hAnsi="宋体"/>
                <w:color w:val="auto"/>
                <w:szCs w:val="24"/>
                <w:highlight w:val="none"/>
              </w:rPr>
              <w:t>1、支持医技预约查询。</w:t>
            </w:r>
          </w:p>
          <w:p>
            <w:pPr>
              <w:pStyle w:val="130"/>
              <w:ind w:firstLine="0"/>
              <w:rPr>
                <w:rFonts w:ascii="宋体" w:hAnsi="宋体"/>
                <w:color w:val="auto"/>
                <w:szCs w:val="24"/>
                <w:highlight w:val="none"/>
              </w:rPr>
            </w:pPr>
            <w:r>
              <w:rPr>
                <w:rFonts w:hint="eastAsia" w:ascii="宋体" w:hAnsi="宋体"/>
                <w:color w:val="auto"/>
                <w:szCs w:val="24"/>
                <w:highlight w:val="none"/>
              </w:rPr>
              <w:t>2、支持按照操作时间、就诊时间、科室、预约资源、号别、午别、患者、登记人、预约状态、预约号、预约渠道等，进行多条件查询及导出。</w:t>
            </w:r>
          </w:p>
          <w:p>
            <w:pPr>
              <w:pStyle w:val="130"/>
              <w:ind w:firstLine="0"/>
              <w:rPr>
                <w:rFonts w:ascii="宋体" w:hAnsi="宋体"/>
                <w:b/>
                <w:color w:val="auto"/>
                <w:szCs w:val="24"/>
                <w:highlight w:val="none"/>
              </w:rPr>
            </w:pPr>
            <w:r>
              <w:rPr>
                <w:rFonts w:hint="eastAsia" w:ascii="宋体" w:hAnsi="宋体"/>
                <w:b/>
                <w:color w:val="auto"/>
                <w:szCs w:val="24"/>
                <w:highlight w:val="none"/>
              </w:rPr>
              <w:t>医技预约确认：</w:t>
            </w:r>
          </w:p>
          <w:p>
            <w:pPr>
              <w:pStyle w:val="130"/>
              <w:ind w:firstLine="0"/>
              <w:rPr>
                <w:rFonts w:ascii="宋体" w:hAnsi="宋体"/>
                <w:color w:val="auto"/>
                <w:szCs w:val="24"/>
                <w:highlight w:val="none"/>
              </w:rPr>
            </w:pPr>
            <w:r>
              <w:rPr>
                <w:rFonts w:hint="eastAsia" w:ascii="宋体" w:hAnsi="宋体"/>
                <w:color w:val="auto"/>
                <w:szCs w:val="24"/>
                <w:highlight w:val="none"/>
              </w:rPr>
              <w:t>支持根据患者姓名，编码，检查时间，申请编码，执行部门，检查项目，排班服务进行查询；医技预约确认列表选择选中数据可进行确认，取消确认，打印及拍照。</w:t>
            </w:r>
          </w:p>
          <w:p>
            <w:pPr>
              <w:pStyle w:val="130"/>
              <w:ind w:firstLine="0"/>
              <w:rPr>
                <w:rFonts w:ascii="宋体" w:hAnsi="宋体"/>
                <w:b/>
                <w:color w:val="auto"/>
                <w:szCs w:val="24"/>
                <w:highlight w:val="none"/>
              </w:rPr>
            </w:pPr>
            <w:r>
              <w:rPr>
                <w:rFonts w:hint="eastAsia" w:ascii="宋体" w:hAnsi="宋体"/>
                <w:b/>
                <w:color w:val="auto"/>
                <w:szCs w:val="24"/>
                <w:highlight w:val="none"/>
              </w:rPr>
              <w:t>（5）手术排班预约</w:t>
            </w:r>
          </w:p>
          <w:p>
            <w:pPr>
              <w:pStyle w:val="130"/>
              <w:ind w:firstLine="0"/>
              <w:rPr>
                <w:rFonts w:ascii="宋体" w:hAnsi="宋体"/>
                <w:b/>
                <w:color w:val="auto"/>
                <w:szCs w:val="24"/>
                <w:highlight w:val="none"/>
              </w:rPr>
            </w:pPr>
            <w:r>
              <w:rPr>
                <w:rFonts w:hint="eastAsia" w:ascii="宋体" w:hAnsi="宋体"/>
                <w:b/>
                <w:color w:val="auto"/>
                <w:szCs w:val="24"/>
                <w:highlight w:val="none"/>
              </w:rPr>
              <w:t>手术服务维护：</w:t>
            </w:r>
          </w:p>
          <w:p>
            <w:pPr>
              <w:pStyle w:val="130"/>
              <w:ind w:firstLine="0"/>
              <w:rPr>
                <w:rFonts w:ascii="宋体" w:hAnsi="宋体"/>
                <w:color w:val="auto"/>
                <w:szCs w:val="24"/>
                <w:highlight w:val="none"/>
              </w:rPr>
            </w:pPr>
            <w:r>
              <w:rPr>
                <w:rFonts w:hint="eastAsia" w:ascii="宋体" w:hAnsi="宋体"/>
                <w:color w:val="auto"/>
                <w:szCs w:val="24"/>
                <w:highlight w:val="none"/>
              </w:rPr>
              <w:t>1、支持维护手术服务和该服务对应的医疗服务项目和价格、时长、类别。</w:t>
            </w:r>
          </w:p>
          <w:p>
            <w:pPr>
              <w:pStyle w:val="130"/>
              <w:ind w:firstLine="0"/>
              <w:rPr>
                <w:rFonts w:ascii="宋体" w:hAnsi="宋体"/>
                <w:color w:val="auto"/>
                <w:szCs w:val="24"/>
                <w:highlight w:val="none"/>
              </w:rPr>
            </w:pPr>
            <w:r>
              <w:rPr>
                <w:rFonts w:hint="eastAsia" w:ascii="宋体" w:hAnsi="宋体"/>
                <w:color w:val="auto"/>
                <w:szCs w:val="24"/>
                <w:highlight w:val="none"/>
              </w:rPr>
              <w:t>2、支持票号模式：号段、号位。</w:t>
            </w:r>
          </w:p>
          <w:p>
            <w:pPr>
              <w:pStyle w:val="130"/>
              <w:ind w:firstLine="0"/>
              <w:rPr>
                <w:rFonts w:ascii="宋体" w:hAnsi="宋体"/>
                <w:color w:val="auto"/>
                <w:szCs w:val="24"/>
                <w:highlight w:val="none"/>
              </w:rPr>
            </w:pPr>
            <w:r>
              <w:rPr>
                <w:rFonts w:hint="eastAsia" w:ascii="宋体" w:hAnsi="宋体"/>
                <w:b/>
                <w:color w:val="auto"/>
                <w:szCs w:val="24"/>
                <w:highlight w:val="none"/>
              </w:rPr>
              <w:t>手术排班诊疗项目维护：</w:t>
            </w:r>
            <w:r>
              <w:rPr>
                <w:rFonts w:hint="eastAsia" w:ascii="宋体" w:hAnsi="宋体"/>
                <w:color w:val="auto"/>
                <w:szCs w:val="24"/>
                <w:highlight w:val="none"/>
              </w:rPr>
              <w:t>支持根据手术服务进行排班医疗项目查询，得出结果后选中排班医疗项目类别维护，可进行批量增加服务，可保存删除对应的项目类别。</w:t>
            </w:r>
          </w:p>
          <w:p>
            <w:pPr>
              <w:pStyle w:val="130"/>
              <w:ind w:firstLine="0"/>
              <w:rPr>
                <w:rFonts w:ascii="宋体" w:hAnsi="宋体"/>
                <w:b/>
                <w:color w:val="auto"/>
                <w:szCs w:val="24"/>
                <w:highlight w:val="none"/>
              </w:rPr>
            </w:pPr>
            <w:r>
              <w:rPr>
                <w:rFonts w:hint="eastAsia" w:ascii="宋体" w:hAnsi="宋体"/>
                <w:b/>
                <w:color w:val="auto"/>
                <w:szCs w:val="24"/>
                <w:highlight w:val="none"/>
              </w:rPr>
              <w:t>手术排班计划：</w:t>
            </w:r>
          </w:p>
          <w:p>
            <w:pPr>
              <w:pStyle w:val="130"/>
              <w:ind w:firstLine="0"/>
              <w:rPr>
                <w:rFonts w:ascii="宋体" w:hAnsi="宋体"/>
                <w:color w:val="auto"/>
                <w:szCs w:val="24"/>
                <w:highlight w:val="none"/>
              </w:rPr>
            </w:pPr>
            <w:r>
              <w:rPr>
                <w:rFonts w:hint="eastAsia" w:ascii="宋体" w:hAnsi="宋体"/>
                <w:color w:val="auto"/>
                <w:szCs w:val="24"/>
                <w:highlight w:val="none"/>
              </w:rPr>
              <w:t>1、支持维护手术排班计划，维护计划对应的排班服务、排班资源。</w:t>
            </w:r>
          </w:p>
          <w:p>
            <w:pPr>
              <w:pStyle w:val="130"/>
              <w:ind w:firstLine="0"/>
              <w:rPr>
                <w:rFonts w:ascii="宋体" w:hAnsi="宋体"/>
                <w:color w:val="auto"/>
                <w:szCs w:val="24"/>
                <w:highlight w:val="none"/>
              </w:rPr>
            </w:pPr>
            <w:r>
              <w:rPr>
                <w:rFonts w:hint="eastAsia" w:ascii="宋体" w:hAnsi="宋体"/>
                <w:color w:val="auto"/>
                <w:szCs w:val="24"/>
                <w:highlight w:val="none"/>
              </w:rPr>
              <w:t>2、支持最多五种周模板设置。</w:t>
            </w:r>
          </w:p>
          <w:p>
            <w:pPr>
              <w:pStyle w:val="130"/>
              <w:ind w:firstLine="0"/>
              <w:rPr>
                <w:rFonts w:ascii="宋体" w:hAnsi="宋体"/>
                <w:color w:val="auto"/>
                <w:szCs w:val="24"/>
                <w:highlight w:val="none"/>
              </w:rPr>
            </w:pPr>
            <w:r>
              <w:rPr>
                <w:rFonts w:hint="eastAsia" w:ascii="宋体" w:hAnsi="宋体"/>
                <w:color w:val="auto"/>
                <w:szCs w:val="24"/>
                <w:highlight w:val="none"/>
              </w:rPr>
              <w:t>3、周模板支持指定总号源数，开放数。</w:t>
            </w:r>
          </w:p>
          <w:p>
            <w:pPr>
              <w:pStyle w:val="130"/>
              <w:ind w:firstLine="0"/>
              <w:rPr>
                <w:rFonts w:ascii="宋体" w:hAnsi="宋体"/>
                <w:color w:val="auto"/>
                <w:szCs w:val="24"/>
                <w:highlight w:val="none"/>
              </w:rPr>
            </w:pPr>
            <w:r>
              <w:rPr>
                <w:rFonts w:hint="eastAsia" w:ascii="宋体" w:hAnsi="宋体"/>
                <w:color w:val="auto"/>
                <w:szCs w:val="24"/>
                <w:highlight w:val="none"/>
              </w:rPr>
              <w:t>4、支持分号源池管理号源；支持按号源池设置预约渠道；支持按号位指定预约渠道；诊间预约号源，可以限制可预约科室或医生。</w:t>
            </w:r>
          </w:p>
          <w:p>
            <w:pPr>
              <w:pStyle w:val="130"/>
              <w:ind w:firstLine="0"/>
              <w:rPr>
                <w:rFonts w:ascii="宋体" w:hAnsi="宋体"/>
                <w:b/>
                <w:color w:val="auto"/>
                <w:szCs w:val="24"/>
                <w:highlight w:val="none"/>
              </w:rPr>
            </w:pPr>
            <w:r>
              <w:rPr>
                <w:rFonts w:hint="eastAsia" w:ascii="宋体" w:hAnsi="宋体"/>
                <w:b/>
                <w:color w:val="auto"/>
                <w:szCs w:val="24"/>
                <w:highlight w:val="none"/>
              </w:rPr>
              <w:t>手术排班：</w:t>
            </w:r>
          </w:p>
          <w:p>
            <w:pPr>
              <w:pStyle w:val="130"/>
              <w:ind w:firstLine="0"/>
              <w:rPr>
                <w:rFonts w:ascii="宋体" w:hAnsi="宋体"/>
                <w:color w:val="auto"/>
                <w:szCs w:val="24"/>
                <w:highlight w:val="none"/>
              </w:rPr>
            </w:pPr>
            <w:r>
              <w:rPr>
                <w:rFonts w:hint="eastAsia" w:ascii="宋体" w:hAnsi="宋体"/>
                <w:color w:val="auto"/>
                <w:szCs w:val="24"/>
                <w:highlight w:val="none"/>
              </w:rPr>
              <w:t>1、支持维护手术排班。</w:t>
            </w:r>
          </w:p>
          <w:p>
            <w:pPr>
              <w:pStyle w:val="130"/>
              <w:ind w:firstLine="0"/>
              <w:rPr>
                <w:rFonts w:ascii="宋体" w:hAnsi="宋体"/>
                <w:color w:val="auto"/>
                <w:szCs w:val="24"/>
                <w:highlight w:val="none"/>
              </w:rPr>
            </w:pPr>
            <w:r>
              <w:rPr>
                <w:rFonts w:hint="eastAsia" w:ascii="宋体" w:hAnsi="宋体"/>
                <w:color w:val="auto"/>
                <w:szCs w:val="24"/>
                <w:highlight w:val="none"/>
              </w:rPr>
              <w:t>2、支持指定时间内的单计划排班和多计划批量排班。和已有排班时间有重叠时，支持覆盖。</w:t>
            </w:r>
          </w:p>
          <w:p>
            <w:pPr>
              <w:pStyle w:val="130"/>
              <w:ind w:firstLine="0"/>
              <w:rPr>
                <w:rFonts w:ascii="宋体" w:hAnsi="宋体"/>
                <w:color w:val="auto"/>
                <w:szCs w:val="24"/>
                <w:highlight w:val="none"/>
              </w:rPr>
            </w:pPr>
            <w:r>
              <w:rPr>
                <w:rFonts w:hint="eastAsia" w:ascii="宋体" w:hAnsi="宋体"/>
                <w:color w:val="auto"/>
                <w:szCs w:val="24"/>
                <w:highlight w:val="none"/>
              </w:rPr>
              <w:t>3、支持按计划生成排班后，支持对每个排班进行单独修改。</w:t>
            </w:r>
          </w:p>
          <w:p>
            <w:pPr>
              <w:pStyle w:val="130"/>
              <w:ind w:firstLine="0"/>
              <w:rPr>
                <w:rFonts w:ascii="宋体" w:hAnsi="宋体"/>
                <w:b/>
                <w:color w:val="auto"/>
                <w:szCs w:val="24"/>
                <w:highlight w:val="none"/>
              </w:rPr>
            </w:pPr>
            <w:r>
              <w:rPr>
                <w:rFonts w:hint="eastAsia" w:ascii="宋体" w:hAnsi="宋体"/>
                <w:b/>
                <w:color w:val="auto"/>
                <w:szCs w:val="24"/>
                <w:highlight w:val="none"/>
              </w:rPr>
              <w:t>手术预约：</w:t>
            </w:r>
          </w:p>
          <w:p>
            <w:pPr>
              <w:pStyle w:val="130"/>
              <w:ind w:firstLine="0"/>
              <w:rPr>
                <w:rFonts w:ascii="宋体" w:hAnsi="宋体"/>
                <w:color w:val="auto"/>
                <w:szCs w:val="24"/>
                <w:highlight w:val="none"/>
              </w:rPr>
            </w:pPr>
            <w:r>
              <w:rPr>
                <w:rFonts w:hint="eastAsia" w:ascii="宋体" w:hAnsi="宋体"/>
                <w:color w:val="auto"/>
                <w:szCs w:val="24"/>
                <w:highlight w:val="none"/>
              </w:rPr>
              <w:t>1、支持临床医生、患者、手术室按照患者查询待预约记录（有无申请单），进行预约。</w:t>
            </w:r>
          </w:p>
          <w:p>
            <w:pPr>
              <w:pStyle w:val="130"/>
              <w:ind w:firstLine="0"/>
              <w:rPr>
                <w:rFonts w:ascii="宋体" w:hAnsi="宋体"/>
                <w:color w:val="auto"/>
                <w:szCs w:val="24"/>
                <w:highlight w:val="none"/>
              </w:rPr>
            </w:pPr>
            <w:r>
              <w:rPr>
                <w:rFonts w:hint="eastAsia" w:ascii="宋体" w:hAnsi="宋体"/>
                <w:color w:val="auto"/>
                <w:szCs w:val="24"/>
                <w:highlight w:val="none"/>
              </w:rPr>
              <w:t>2、支持快捷预约和选号预约。</w:t>
            </w:r>
          </w:p>
          <w:p>
            <w:pPr>
              <w:pStyle w:val="130"/>
              <w:ind w:firstLine="0"/>
              <w:rPr>
                <w:rFonts w:ascii="宋体" w:hAnsi="宋体"/>
                <w:color w:val="auto"/>
                <w:szCs w:val="24"/>
                <w:highlight w:val="none"/>
              </w:rPr>
            </w:pPr>
            <w:r>
              <w:rPr>
                <w:rFonts w:hint="eastAsia" w:ascii="宋体" w:hAnsi="宋体"/>
                <w:color w:val="auto"/>
                <w:szCs w:val="24"/>
                <w:highlight w:val="none"/>
              </w:rPr>
              <w:t>3、支持预约单打印。</w:t>
            </w:r>
          </w:p>
          <w:p>
            <w:pPr>
              <w:pStyle w:val="130"/>
              <w:ind w:firstLine="0"/>
              <w:rPr>
                <w:rFonts w:ascii="宋体" w:hAnsi="宋体"/>
                <w:color w:val="auto"/>
                <w:szCs w:val="24"/>
                <w:highlight w:val="none"/>
              </w:rPr>
            </w:pPr>
            <w:r>
              <w:rPr>
                <w:rFonts w:hint="eastAsia" w:ascii="宋体" w:hAnsi="宋体"/>
                <w:color w:val="auto"/>
                <w:szCs w:val="24"/>
                <w:highlight w:val="none"/>
              </w:rPr>
              <w:t>4、支持患者全部预约查看。</w:t>
            </w:r>
          </w:p>
          <w:p>
            <w:pPr>
              <w:pStyle w:val="130"/>
              <w:ind w:firstLine="0"/>
              <w:rPr>
                <w:rFonts w:ascii="宋体" w:hAnsi="宋体"/>
                <w:color w:val="auto"/>
                <w:szCs w:val="24"/>
                <w:highlight w:val="none"/>
              </w:rPr>
            </w:pPr>
            <w:r>
              <w:rPr>
                <w:rFonts w:hint="eastAsia" w:ascii="宋体" w:hAnsi="宋体"/>
                <w:color w:val="auto"/>
                <w:szCs w:val="24"/>
                <w:highlight w:val="none"/>
              </w:rPr>
              <w:t>5、支持资源已预约记录查看。</w:t>
            </w:r>
          </w:p>
          <w:p>
            <w:pPr>
              <w:pStyle w:val="130"/>
              <w:ind w:firstLine="0"/>
              <w:rPr>
                <w:rFonts w:ascii="宋体" w:hAnsi="宋体"/>
                <w:color w:val="auto"/>
                <w:szCs w:val="24"/>
                <w:highlight w:val="none"/>
              </w:rPr>
            </w:pPr>
            <w:r>
              <w:rPr>
                <w:rFonts w:hint="eastAsia" w:ascii="宋体" w:hAnsi="宋体"/>
                <w:color w:val="auto"/>
                <w:szCs w:val="24"/>
                <w:highlight w:val="none"/>
              </w:rPr>
              <w:t>手术预约查询：</w:t>
            </w:r>
          </w:p>
          <w:p>
            <w:pPr>
              <w:pStyle w:val="130"/>
              <w:ind w:firstLine="0"/>
              <w:rPr>
                <w:rFonts w:ascii="宋体" w:hAnsi="宋体"/>
                <w:color w:val="auto"/>
                <w:szCs w:val="24"/>
                <w:highlight w:val="none"/>
              </w:rPr>
            </w:pPr>
            <w:r>
              <w:rPr>
                <w:rFonts w:hint="eastAsia" w:ascii="宋体" w:hAnsi="宋体"/>
                <w:color w:val="auto"/>
                <w:szCs w:val="24"/>
                <w:highlight w:val="none"/>
              </w:rPr>
              <w:t>1、支持手术预约查询。</w:t>
            </w:r>
          </w:p>
          <w:p>
            <w:pPr>
              <w:pStyle w:val="130"/>
              <w:ind w:firstLine="0"/>
              <w:rPr>
                <w:rFonts w:ascii="宋体" w:hAnsi="宋体"/>
                <w:color w:val="auto"/>
                <w:szCs w:val="24"/>
                <w:highlight w:val="none"/>
              </w:rPr>
            </w:pPr>
            <w:r>
              <w:rPr>
                <w:rFonts w:hint="eastAsia" w:ascii="宋体" w:hAnsi="宋体"/>
                <w:color w:val="auto"/>
                <w:szCs w:val="24"/>
                <w:highlight w:val="none"/>
              </w:rPr>
              <w:t>2、支持按照申请日期、预约日期、预约科室、申请科室、预约操作人、预约状态、预约号、预约渠道、患者姓名、编码，患者就诊类别(门诊/住院/急诊)等，进行多条件查询及导出。</w:t>
            </w:r>
          </w:p>
          <w:p>
            <w:pPr>
              <w:pStyle w:val="201"/>
              <w:spacing w:before="6" w:line="360" w:lineRule="auto"/>
              <w:ind w:right="105" w:rightChars="50" w:firstLine="482"/>
              <w:rPr>
                <w:rFonts w:ascii="宋体" w:hAnsi="宋体" w:eastAsia="宋体"/>
                <w:color w:val="auto"/>
                <w:sz w:val="24"/>
                <w:highlight w:val="none"/>
                <w:lang w:val="zh-CN" w:eastAsia="zh-CN" w:bidi="zh-CN"/>
              </w:rPr>
            </w:pPr>
            <w:r>
              <w:rPr>
                <w:rFonts w:hint="eastAsia" w:ascii="宋体" w:hAnsi="宋体" w:eastAsia="宋体"/>
                <w:color w:val="auto"/>
                <w:sz w:val="24"/>
                <w:highlight w:val="none"/>
                <w:lang w:eastAsia="zh-CN"/>
              </w:rPr>
              <w:t>3、支持单独、批量取消预约。</w:t>
            </w:r>
          </w:p>
        </w:tc>
      </w:tr>
    </w:tbl>
    <w:p>
      <w:pPr>
        <w:pStyle w:val="8"/>
        <w:ind w:firstLine="480"/>
        <w:rPr>
          <w:rFonts w:ascii="宋体" w:hAnsi="宋体"/>
          <w:color w:val="auto"/>
          <w:szCs w:val="24"/>
          <w:highlight w:val="none"/>
        </w:rPr>
      </w:pPr>
    </w:p>
    <w:p>
      <w:pPr>
        <w:pStyle w:val="5"/>
        <w:numPr>
          <w:ilvl w:val="2"/>
          <w:numId w:val="8"/>
        </w:numPr>
        <w:autoSpaceDE/>
        <w:autoSpaceDN/>
        <w:adjustRightInd/>
        <w:spacing w:before="260" w:after="260" w:line="416" w:lineRule="auto"/>
        <w:jc w:val="both"/>
        <w:rPr>
          <w:rFonts w:hAnsi="宋体"/>
          <w:color w:val="auto"/>
          <w:szCs w:val="24"/>
          <w:highlight w:val="none"/>
        </w:rPr>
      </w:pPr>
      <w:bookmarkStart w:id="713" w:name="_Toc4665"/>
      <w:bookmarkStart w:id="714" w:name="_Toc138247817"/>
      <w:bookmarkStart w:id="715" w:name="_Toc2103541466"/>
      <w:r>
        <w:rPr>
          <w:rFonts w:hint="eastAsia" w:hAnsi="宋体"/>
          <w:color w:val="auto"/>
          <w:szCs w:val="24"/>
          <w:highlight w:val="none"/>
        </w:rPr>
        <w:t>评审评级要求</w:t>
      </w:r>
      <w:bookmarkEnd w:id="713"/>
      <w:bookmarkEnd w:id="714"/>
      <w:bookmarkEnd w:id="715"/>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根据我院业务及发展需要，引入医院信息化整体督导服务。通过督导服务，制定合理的信息系统总集规划及方案，以及明确、可执行的进度计划路线图，并保证制定的方案及路线图和建设的项目符合实用性、经济性、先进性、前瞻性的要求。</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引入“以评促建”模式，工作的开展需要按照本次信息化建设的目标级别对标国家标准、分阶段为评级评价提供相关梳理、分析、准备及评级辅助支持工作。</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协助医院对评级相关要求的各项内容进行解读，指导业务系统进行改造，协助医院准备对应评级：</w:t>
      </w:r>
    </w:p>
    <w:p>
      <w:pPr>
        <w:numPr>
          <w:ilvl w:val="0"/>
          <w:numId w:val="34"/>
        </w:numPr>
        <w:spacing w:line="360" w:lineRule="auto"/>
        <w:rPr>
          <w:rFonts w:ascii="宋体" w:hAnsi="宋体"/>
          <w:color w:val="auto"/>
          <w:sz w:val="24"/>
          <w:highlight w:val="none"/>
        </w:rPr>
      </w:pPr>
      <w:r>
        <w:rPr>
          <w:rFonts w:hint="eastAsia" w:ascii="宋体" w:hAnsi="宋体"/>
          <w:color w:val="auto"/>
          <w:sz w:val="24"/>
          <w:highlight w:val="none"/>
        </w:rPr>
        <w:t>《电子病历系统应用水平分级评价标准》六级</w:t>
      </w:r>
    </w:p>
    <w:p>
      <w:pPr>
        <w:numPr>
          <w:ilvl w:val="0"/>
          <w:numId w:val="34"/>
        </w:numPr>
        <w:spacing w:line="360" w:lineRule="auto"/>
        <w:rPr>
          <w:rFonts w:ascii="宋体" w:hAnsi="宋体"/>
          <w:color w:val="auto"/>
          <w:sz w:val="24"/>
          <w:highlight w:val="none"/>
        </w:rPr>
      </w:pPr>
      <w:r>
        <w:rPr>
          <w:rFonts w:hint="eastAsia" w:ascii="宋体" w:hAnsi="宋体"/>
          <w:color w:val="auto"/>
          <w:sz w:val="24"/>
          <w:highlight w:val="none"/>
        </w:rPr>
        <w:t>《国家医疗健康信息互联互通标准化成熟度测评方案》五级乙等</w:t>
      </w:r>
    </w:p>
    <w:p>
      <w:pPr>
        <w:numPr>
          <w:ilvl w:val="0"/>
          <w:numId w:val="34"/>
        </w:numPr>
        <w:spacing w:line="360" w:lineRule="auto"/>
        <w:rPr>
          <w:rFonts w:ascii="宋体" w:hAnsi="宋体"/>
          <w:color w:val="auto"/>
          <w:sz w:val="24"/>
          <w:highlight w:val="none"/>
        </w:rPr>
      </w:pPr>
      <w:r>
        <w:rPr>
          <w:rFonts w:hint="eastAsia" w:ascii="宋体" w:hAnsi="宋体"/>
          <w:color w:val="auto"/>
          <w:sz w:val="24"/>
          <w:highlight w:val="none"/>
        </w:rPr>
        <w:t>《医院智慧服务分级评估标准体系》四级</w:t>
      </w:r>
    </w:p>
    <w:p>
      <w:pPr>
        <w:numPr>
          <w:ilvl w:val="0"/>
          <w:numId w:val="34"/>
        </w:numPr>
        <w:spacing w:line="360" w:lineRule="auto"/>
        <w:rPr>
          <w:rFonts w:ascii="宋体" w:hAnsi="宋体"/>
          <w:color w:val="auto"/>
          <w:sz w:val="24"/>
          <w:highlight w:val="none"/>
        </w:rPr>
      </w:pPr>
      <w:r>
        <w:rPr>
          <w:rFonts w:hint="eastAsia" w:ascii="宋体" w:hAnsi="宋体"/>
          <w:color w:val="auto"/>
          <w:sz w:val="24"/>
          <w:highlight w:val="none"/>
        </w:rPr>
        <w:t>《医院智慧管理分级评估标准体系》三级</w:t>
      </w:r>
    </w:p>
    <w:p>
      <w:pPr>
        <w:pStyle w:val="4"/>
        <w:keepNext w:val="0"/>
        <w:keepLines w:val="0"/>
        <w:numPr>
          <w:ilvl w:val="1"/>
          <w:numId w:val="8"/>
        </w:numPr>
        <w:tabs>
          <w:tab w:val="left" w:pos="720"/>
          <w:tab w:val="clear" w:pos="576"/>
        </w:tabs>
        <w:autoSpaceDE/>
        <w:autoSpaceDN/>
        <w:adjustRightInd/>
        <w:spacing w:before="0" w:line="240" w:lineRule="auto"/>
        <w:jc w:val="both"/>
        <w:rPr>
          <w:rFonts w:ascii="宋体" w:hAnsi="宋体"/>
          <w:color w:val="auto"/>
          <w:sz w:val="24"/>
          <w:highlight w:val="none"/>
        </w:rPr>
      </w:pPr>
      <w:bookmarkStart w:id="716" w:name="_Toc18871"/>
      <w:bookmarkStart w:id="717" w:name="_Toc138439917"/>
      <w:bookmarkStart w:id="718" w:name="_Toc26019"/>
      <w:bookmarkStart w:id="719" w:name="_Toc22122"/>
      <w:bookmarkStart w:id="720" w:name="_Toc31401"/>
      <w:bookmarkStart w:id="721" w:name="_Toc198138501"/>
      <w:r>
        <w:rPr>
          <w:rFonts w:ascii="宋体" w:hAnsi="宋体"/>
          <w:color w:val="auto"/>
          <w:sz w:val="24"/>
          <w:highlight w:val="none"/>
        </w:rPr>
        <w:t>区域大数据中心</w:t>
      </w:r>
      <w:bookmarkEnd w:id="716"/>
      <w:bookmarkEnd w:id="717"/>
      <w:bookmarkEnd w:id="718"/>
      <w:bookmarkEnd w:id="719"/>
      <w:bookmarkEnd w:id="720"/>
      <w:bookmarkEnd w:id="721"/>
    </w:p>
    <w:p>
      <w:pPr>
        <w:pStyle w:val="5"/>
        <w:numPr>
          <w:ilvl w:val="2"/>
          <w:numId w:val="8"/>
        </w:numPr>
        <w:tabs>
          <w:tab w:val="clear" w:pos="720"/>
        </w:tabs>
        <w:autoSpaceDE/>
        <w:autoSpaceDN/>
        <w:adjustRightInd/>
        <w:spacing w:before="260" w:after="260" w:line="416" w:lineRule="auto"/>
        <w:jc w:val="both"/>
        <w:rPr>
          <w:rFonts w:hAnsi="宋体"/>
          <w:color w:val="auto"/>
          <w:szCs w:val="24"/>
          <w:highlight w:val="none"/>
        </w:rPr>
      </w:pPr>
      <w:bookmarkStart w:id="722" w:name="_Toc9343"/>
      <w:bookmarkStart w:id="723" w:name="_Toc138439918"/>
      <w:bookmarkStart w:id="724" w:name="_Toc1514133457"/>
      <w:bookmarkStart w:id="725" w:name="_Toc19186"/>
      <w:bookmarkStart w:id="726" w:name="_Toc2123"/>
      <w:r>
        <w:rPr>
          <w:rFonts w:hint="eastAsia" w:hAnsi="宋体"/>
          <w:color w:val="auto"/>
          <w:szCs w:val="24"/>
          <w:highlight w:val="none"/>
        </w:rPr>
        <w:t>区域多学科专病大数据平台</w:t>
      </w:r>
      <w:bookmarkEnd w:id="722"/>
      <w:bookmarkEnd w:id="723"/>
      <w:bookmarkEnd w:id="724"/>
      <w:bookmarkEnd w:id="725"/>
      <w:bookmarkEnd w:id="726"/>
    </w:p>
    <w:p>
      <w:pPr>
        <w:pStyle w:val="6"/>
        <w:numPr>
          <w:ilvl w:val="3"/>
          <w:numId w:val="8"/>
        </w:numPr>
        <w:tabs>
          <w:tab w:val="clear" w:pos="864"/>
        </w:tabs>
        <w:spacing w:before="280" w:after="290" w:line="376" w:lineRule="auto"/>
        <w:rPr>
          <w:rFonts w:ascii="宋体" w:hAnsi="宋体"/>
          <w:color w:val="auto"/>
          <w:sz w:val="24"/>
          <w:szCs w:val="24"/>
          <w:highlight w:val="none"/>
        </w:rPr>
      </w:pPr>
      <w:bookmarkStart w:id="727" w:name="_Toc12198"/>
      <w:bookmarkStart w:id="728" w:name="_Toc14732"/>
      <w:bookmarkStart w:id="729" w:name="_Toc8003"/>
      <w:bookmarkStart w:id="730" w:name="_Toc8073"/>
      <w:r>
        <w:rPr>
          <w:rFonts w:hint="eastAsia" w:ascii="宋体" w:hAnsi="宋体"/>
          <w:color w:val="auto"/>
          <w:sz w:val="24"/>
          <w:szCs w:val="24"/>
          <w:highlight w:val="none"/>
        </w:rPr>
        <w:t>数据采集</w:t>
      </w:r>
      <w:bookmarkEnd w:id="727"/>
      <w:bookmarkEnd w:id="728"/>
      <w:bookmarkEnd w:id="729"/>
      <w:bookmarkEnd w:id="730"/>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left="105" w:leftChars="50" w:right="105" w:rightChars="50"/>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1" w:leftChars="48" w:right="105" w:rightChars="50"/>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w:t>
            </w:r>
            <w:r>
              <w:rPr>
                <w:rFonts w:hint="eastAsia" w:ascii="宋体" w:hAnsi="宋体" w:eastAsia="宋体"/>
                <w:b/>
                <w:bCs/>
                <w:color w:val="auto"/>
                <w:sz w:val="24"/>
                <w:highlight w:val="none"/>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1" w:leftChars="48" w:right="105" w:rightChars="50"/>
              <w:jc w:val="center"/>
              <w:rPr>
                <w:rFonts w:ascii="宋体" w:hAnsi="宋体" w:eastAsia="宋体"/>
                <w:b/>
                <w:bCs/>
                <w:color w:val="auto"/>
                <w:sz w:val="24"/>
                <w:highlight w:val="none"/>
              </w:rPr>
            </w:pPr>
            <w:r>
              <w:rPr>
                <w:rFonts w:hint="eastAsia" w:ascii="宋体" w:hAnsi="宋体" w:eastAsia="宋体"/>
                <w:b/>
                <w:bCs/>
                <w:color w:val="auto"/>
                <w:sz w:val="24"/>
                <w:highlight w:val="none"/>
              </w:rPr>
              <w:t>数据采集</w:t>
            </w:r>
          </w:p>
        </w:tc>
        <w:tc>
          <w:tcPr>
            <w:tcW w:w="6622" w:type="dxa"/>
            <w:vAlign w:val="center"/>
          </w:tcPr>
          <w:p>
            <w:pPr>
              <w:pStyle w:val="201"/>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color w:val="auto"/>
                <w:kern w:val="0"/>
                <w:sz w:val="24"/>
                <w:highlight w:val="none"/>
                <w:lang w:eastAsia="zh-CN"/>
              </w:rPr>
              <w:t>支持平台通过数据库同步技术和ETL等技术，对数据进行抽取、同步、汇集，实现针对区域内多家医院的多源异构数据的采集和汇聚。平台需要整合的生产系统至少包含医院HIS系统、EMR系统、PACS、RIS系统、检验信息系统、超声信息管理系统、病理等临床系统。</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支持对接主流数据库，如Oracle、Sqlserver、Mysql、国产数据库等</w:t>
            </w:r>
          </w:p>
          <w:p>
            <w:pPr>
              <w:pStyle w:val="201"/>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执行增量数据采集任务在医院指定的非业务繁忙时段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1" w:leftChars="48" w:right="105" w:rightChars="50"/>
              <w:jc w:val="center"/>
              <w:rPr>
                <w:rFonts w:ascii="宋体" w:hAnsi="宋体" w:eastAsia="宋体"/>
                <w:b/>
                <w:bCs/>
                <w:color w:val="auto"/>
                <w:sz w:val="24"/>
                <w:highlight w:val="none"/>
              </w:rPr>
            </w:pPr>
            <w:r>
              <w:rPr>
                <w:rFonts w:hint="eastAsia" w:ascii="宋体" w:hAnsi="宋体" w:eastAsia="宋体"/>
                <w:b/>
                <w:bCs/>
                <w:color w:val="auto"/>
                <w:sz w:val="24"/>
                <w:highlight w:val="none"/>
              </w:rPr>
              <w:t>采集范围</w:t>
            </w:r>
          </w:p>
        </w:tc>
        <w:tc>
          <w:tcPr>
            <w:tcW w:w="6622" w:type="dxa"/>
            <w:vAlign w:val="center"/>
          </w:tcPr>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支持平台接入内容包括但不限于下列系统及系统中的信息：</w:t>
            </w:r>
            <w:r>
              <w:rPr>
                <w:rFonts w:hint="eastAsia" w:ascii="宋体" w:hAnsi="宋体" w:eastAsia="宋体"/>
                <w:color w:val="auto"/>
                <w:kern w:val="0"/>
                <w:sz w:val="24"/>
                <w:highlight w:val="none"/>
                <w:lang w:eastAsia="zh-CN"/>
              </w:rPr>
              <w:br w:type="textWrapping"/>
            </w:r>
            <w:r>
              <w:rPr>
                <w:rFonts w:hint="eastAsia" w:ascii="宋体" w:hAnsi="宋体" w:eastAsia="宋体"/>
                <w:color w:val="auto"/>
                <w:kern w:val="0"/>
                <w:sz w:val="24"/>
                <w:highlight w:val="none"/>
                <w:lang w:eastAsia="zh-CN"/>
              </w:rPr>
              <w:t>1、医疗机构信息系统（HIS）：患者、挂号、入出转、就诊、处方/医嘱等信息；</w:t>
            </w:r>
            <w:r>
              <w:rPr>
                <w:rFonts w:hint="eastAsia" w:ascii="宋体" w:hAnsi="宋体" w:eastAsia="宋体"/>
                <w:color w:val="auto"/>
                <w:kern w:val="0"/>
                <w:sz w:val="24"/>
                <w:highlight w:val="none"/>
                <w:lang w:eastAsia="zh-CN"/>
              </w:rPr>
              <w:br w:type="textWrapping"/>
            </w:r>
            <w:r>
              <w:rPr>
                <w:rFonts w:hint="eastAsia" w:ascii="宋体" w:hAnsi="宋体" w:eastAsia="宋体"/>
                <w:color w:val="auto"/>
                <w:kern w:val="0"/>
                <w:sz w:val="24"/>
                <w:highlight w:val="none"/>
                <w:lang w:eastAsia="zh-CN"/>
              </w:rPr>
              <w:t>2、实验室系统（LIS）：标本、检验结果等信息；</w:t>
            </w:r>
            <w:r>
              <w:rPr>
                <w:rFonts w:hint="eastAsia" w:ascii="宋体" w:hAnsi="宋体" w:eastAsia="宋体"/>
                <w:color w:val="auto"/>
                <w:kern w:val="0"/>
                <w:sz w:val="24"/>
                <w:highlight w:val="none"/>
                <w:lang w:eastAsia="zh-CN"/>
              </w:rPr>
              <w:br w:type="textWrapping"/>
            </w:r>
            <w:r>
              <w:rPr>
                <w:rFonts w:hint="eastAsia" w:ascii="宋体" w:hAnsi="宋体" w:eastAsia="宋体"/>
                <w:color w:val="auto"/>
                <w:kern w:val="0"/>
                <w:sz w:val="24"/>
                <w:highlight w:val="none"/>
                <w:lang w:eastAsia="zh-CN"/>
              </w:rPr>
              <w:t>3、超声信息系统：超声检查、超声报告等信息；</w:t>
            </w:r>
            <w:r>
              <w:rPr>
                <w:rFonts w:hint="eastAsia" w:ascii="宋体" w:hAnsi="宋体" w:eastAsia="宋体"/>
                <w:color w:val="auto"/>
                <w:kern w:val="0"/>
                <w:sz w:val="24"/>
                <w:highlight w:val="none"/>
                <w:lang w:eastAsia="zh-CN"/>
              </w:rPr>
              <w:br w:type="textWrapping"/>
            </w:r>
            <w:r>
              <w:rPr>
                <w:rFonts w:hint="eastAsia" w:ascii="宋体" w:hAnsi="宋体" w:eastAsia="宋体"/>
                <w:color w:val="auto"/>
                <w:kern w:val="0"/>
                <w:sz w:val="24"/>
                <w:highlight w:val="none"/>
                <w:lang w:eastAsia="zh-CN"/>
              </w:rPr>
              <w:t>4、病理信息系统：病理检查、病理标本、病理报告等信息；</w:t>
            </w:r>
            <w:r>
              <w:rPr>
                <w:rFonts w:hint="eastAsia" w:ascii="宋体" w:hAnsi="宋体" w:eastAsia="宋体"/>
                <w:color w:val="auto"/>
                <w:kern w:val="0"/>
                <w:sz w:val="24"/>
                <w:highlight w:val="none"/>
                <w:lang w:eastAsia="zh-CN"/>
              </w:rPr>
              <w:br w:type="textWrapping"/>
            </w:r>
            <w:r>
              <w:rPr>
                <w:rFonts w:hint="eastAsia" w:ascii="宋体" w:hAnsi="宋体" w:eastAsia="宋体"/>
                <w:color w:val="auto"/>
                <w:kern w:val="0"/>
                <w:sz w:val="24"/>
                <w:highlight w:val="none"/>
                <w:lang w:eastAsia="zh-CN"/>
              </w:rPr>
              <w:t>5、内镜信息系统：内镜检查、内镜报告等信息；</w:t>
            </w:r>
            <w:r>
              <w:rPr>
                <w:rFonts w:hint="eastAsia" w:ascii="宋体" w:hAnsi="宋体" w:eastAsia="宋体"/>
                <w:color w:val="auto"/>
                <w:kern w:val="0"/>
                <w:sz w:val="24"/>
                <w:highlight w:val="none"/>
                <w:lang w:eastAsia="zh-CN"/>
              </w:rPr>
              <w:br w:type="textWrapping"/>
            </w:r>
            <w:r>
              <w:rPr>
                <w:rFonts w:hint="eastAsia" w:ascii="宋体" w:hAnsi="宋体" w:eastAsia="宋体"/>
                <w:color w:val="auto"/>
                <w:kern w:val="0"/>
                <w:sz w:val="24"/>
                <w:highlight w:val="none"/>
                <w:lang w:eastAsia="zh-CN"/>
              </w:rPr>
              <w:t>6、放射信息系统：放射检查、放射报告等信息；</w:t>
            </w:r>
            <w:r>
              <w:rPr>
                <w:rFonts w:hint="eastAsia" w:ascii="宋体" w:hAnsi="宋体" w:eastAsia="宋体"/>
                <w:color w:val="auto"/>
                <w:kern w:val="0"/>
                <w:sz w:val="24"/>
                <w:highlight w:val="none"/>
                <w:lang w:eastAsia="zh-CN"/>
              </w:rPr>
              <w:br w:type="textWrapping"/>
            </w:r>
            <w:r>
              <w:rPr>
                <w:rFonts w:hint="eastAsia" w:ascii="宋体" w:hAnsi="宋体" w:eastAsia="宋体"/>
                <w:color w:val="auto"/>
                <w:kern w:val="0"/>
                <w:sz w:val="24"/>
                <w:highlight w:val="none"/>
                <w:lang w:eastAsia="zh-CN"/>
              </w:rPr>
              <w:t>7、心电信息系统：心电检查、心电报告等信息；</w:t>
            </w:r>
            <w:r>
              <w:rPr>
                <w:rFonts w:hint="eastAsia" w:ascii="宋体" w:hAnsi="宋体" w:eastAsia="宋体"/>
                <w:color w:val="auto"/>
                <w:kern w:val="0"/>
                <w:sz w:val="24"/>
                <w:highlight w:val="none"/>
                <w:lang w:eastAsia="zh-CN"/>
              </w:rPr>
              <w:br w:type="textWrapping"/>
            </w:r>
            <w:r>
              <w:rPr>
                <w:rFonts w:hint="eastAsia" w:ascii="宋体" w:hAnsi="宋体" w:eastAsia="宋体"/>
                <w:color w:val="auto"/>
                <w:kern w:val="0"/>
                <w:sz w:val="24"/>
                <w:highlight w:val="none"/>
                <w:lang w:eastAsia="zh-CN"/>
              </w:rPr>
              <w:t>8、电子病历系统（EMR）：入院记录、出院记录、病程等病历信息；</w:t>
            </w:r>
            <w:r>
              <w:rPr>
                <w:rFonts w:hint="eastAsia" w:ascii="宋体" w:hAnsi="宋体" w:eastAsia="宋体"/>
                <w:color w:val="auto"/>
                <w:kern w:val="0"/>
                <w:sz w:val="24"/>
                <w:highlight w:val="none"/>
                <w:lang w:eastAsia="zh-CN"/>
              </w:rPr>
              <w:br w:type="textWrapping"/>
            </w:r>
            <w:r>
              <w:rPr>
                <w:rFonts w:hint="eastAsia" w:ascii="宋体" w:hAnsi="宋体" w:eastAsia="宋体"/>
                <w:color w:val="auto"/>
                <w:kern w:val="0"/>
                <w:sz w:val="24"/>
                <w:highlight w:val="none"/>
                <w:lang w:eastAsia="zh-CN"/>
              </w:rPr>
              <w:t>9、护理系统：护理记录、观察记录、护理文书、用药记录等信息；</w:t>
            </w:r>
            <w:r>
              <w:rPr>
                <w:rFonts w:hint="eastAsia" w:ascii="宋体" w:hAnsi="宋体" w:eastAsia="宋体"/>
                <w:color w:val="auto"/>
                <w:kern w:val="0"/>
                <w:sz w:val="24"/>
                <w:highlight w:val="none"/>
                <w:lang w:eastAsia="zh-CN"/>
              </w:rPr>
              <w:br w:type="textWrapping"/>
            </w:r>
            <w:r>
              <w:rPr>
                <w:rFonts w:hint="eastAsia" w:ascii="宋体" w:hAnsi="宋体" w:eastAsia="宋体"/>
                <w:color w:val="auto"/>
                <w:kern w:val="0"/>
                <w:sz w:val="24"/>
                <w:highlight w:val="none"/>
                <w:lang w:eastAsia="zh-CN"/>
              </w:rPr>
              <w:t>10、病案管理系统：病案首页信息；</w:t>
            </w:r>
            <w:r>
              <w:rPr>
                <w:rFonts w:hint="eastAsia" w:ascii="宋体" w:hAnsi="宋体" w:eastAsia="宋体"/>
                <w:color w:val="auto"/>
                <w:kern w:val="0"/>
                <w:sz w:val="24"/>
                <w:highlight w:val="none"/>
                <w:lang w:eastAsia="zh-CN"/>
              </w:rPr>
              <w:br w:type="textWrapping"/>
            </w:r>
            <w:r>
              <w:rPr>
                <w:rFonts w:hint="eastAsia" w:ascii="宋体" w:hAnsi="宋体" w:eastAsia="宋体"/>
                <w:color w:val="auto"/>
                <w:kern w:val="0"/>
                <w:sz w:val="24"/>
                <w:highlight w:val="none"/>
                <w:lang w:eastAsia="zh-CN"/>
              </w:rPr>
              <w:t>11、重症监护系统：重症护理记录、观察记录、护理文书、用药记录等信息；</w:t>
            </w:r>
            <w:r>
              <w:rPr>
                <w:rFonts w:hint="eastAsia" w:ascii="宋体" w:hAnsi="宋体" w:eastAsia="宋体"/>
                <w:color w:val="auto"/>
                <w:kern w:val="0"/>
                <w:sz w:val="24"/>
                <w:highlight w:val="none"/>
                <w:lang w:eastAsia="zh-CN"/>
              </w:rPr>
              <w:br w:type="textWrapping"/>
            </w:r>
            <w:r>
              <w:rPr>
                <w:rFonts w:hint="eastAsia" w:ascii="宋体" w:hAnsi="宋体" w:eastAsia="宋体"/>
                <w:color w:val="auto"/>
                <w:kern w:val="0"/>
                <w:sz w:val="24"/>
                <w:highlight w:val="none"/>
                <w:lang w:eastAsia="zh-CN"/>
              </w:rPr>
              <w:t>12、手术麻醉系统：手术记录、事件、用药等信息；</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支持采集文本文件、影像文件、视频文件等非结构化数据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1" w:leftChars="48" w:right="105" w:rightChars="50"/>
              <w:jc w:val="center"/>
              <w:rPr>
                <w:rFonts w:ascii="宋体" w:hAnsi="宋体" w:eastAsia="宋体"/>
                <w:b/>
                <w:bCs/>
                <w:color w:val="auto"/>
                <w:sz w:val="24"/>
                <w:highlight w:val="none"/>
              </w:rPr>
            </w:pPr>
            <w:r>
              <w:rPr>
                <w:rFonts w:hint="eastAsia" w:ascii="宋体" w:hAnsi="宋体" w:eastAsia="宋体"/>
                <w:b/>
                <w:bCs/>
                <w:color w:val="auto"/>
                <w:sz w:val="24"/>
                <w:highlight w:val="none"/>
              </w:rPr>
              <w:t>任务监控</w:t>
            </w:r>
          </w:p>
        </w:tc>
        <w:tc>
          <w:tcPr>
            <w:tcW w:w="6622" w:type="dxa"/>
            <w:vAlign w:val="center"/>
          </w:tcPr>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支持配置数据采集任务，包括任务分组、连接的数据源、采集方式、采集时间、采集频率、异常处理方式、最近一次执行时间等；</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查看当前任务执行状态，包括已执行完毕、正在执行中、执行失败等状态。</w:t>
            </w:r>
          </w:p>
        </w:tc>
      </w:tr>
    </w:tbl>
    <w:p>
      <w:pPr>
        <w:rPr>
          <w:rFonts w:ascii="宋体" w:hAnsi="宋体"/>
          <w:color w:val="auto"/>
          <w:sz w:val="24"/>
          <w:highlight w:val="none"/>
        </w:rPr>
      </w:pPr>
    </w:p>
    <w:p>
      <w:pPr>
        <w:pStyle w:val="6"/>
        <w:numPr>
          <w:ilvl w:val="3"/>
          <w:numId w:val="8"/>
        </w:numPr>
        <w:tabs>
          <w:tab w:val="clear" w:pos="864"/>
        </w:tabs>
        <w:spacing w:before="280" w:after="290" w:line="376" w:lineRule="auto"/>
        <w:rPr>
          <w:rFonts w:ascii="宋体" w:hAnsi="宋体"/>
          <w:color w:val="auto"/>
          <w:sz w:val="24"/>
          <w:szCs w:val="24"/>
          <w:highlight w:val="none"/>
        </w:rPr>
      </w:pPr>
      <w:bookmarkStart w:id="731" w:name="_Toc10865"/>
      <w:bookmarkStart w:id="732" w:name="_Toc28065"/>
      <w:bookmarkStart w:id="733" w:name="_Toc20148"/>
      <w:bookmarkStart w:id="734" w:name="_Toc30432"/>
      <w:r>
        <w:rPr>
          <w:rFonts w:hint="eastAsia" w:ascii="宋体" w:hAnsi="宋体"/>
          <w:color w:val="auto"/>
          <w:sz w:val="24"/>
          <w:szCs w:val="24"/>
          <w:highlight w:val="none"/>
        </w:rPr>
        <w:t>数据处理</w:t>
      </w:r>
      <w:bookmarkEnd w:id="731"/>
      <w:bookmarkEnd w:id="732"/>
      <w:bookmarkEnd w:id="733"/>
      <w:bookmarkEnd w:id="734"/>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left="105" w:leftChars="50" w:right="105" w:rightChars="50"/>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1" w:leftChars="48" w:right="105" w:rightChars="50"/>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1" w:leftChars="48" w:right="105" w:rightChars="50"/>
              <w:jc w:val="center"/>
              <w:rPr>
                <w:rFonts w:ascii="宋体" w:hAnsi="宋体" w:eastAsia="宋体"/>
                <w:b/>
                <w:bCs/>
                <w:color w:val="auto"/>
                <w:sz w:val="24"/>
                <w:highlight w:val="none"/>
              </w:rPr>
            </w:pPr>
            <w:r>
              <w:rPr>
                <w:rFonts w:hint="eastAsia" w:ascii="宋体" w:hAnsi="宋体" w:eastAsia="宋体"/>
                <w:b/>
                <w:bCs/>
                <w:color w:val="auto"/>
                <w:sz w:val="24"/>
                <w:highlight w:val="none"/>
              </w:rPr>
              <w:t>数据清洗</w:t>
            </w:r>
          </w:p>
        </w:tc>
        <w:tc>
          <w:tcPr>
            <w:tcW w:w="6622" w:type="dxa"/>
            <w:vAlign w:val="center"/>
          </w:tcPr>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支持按数据清洗规则进行数据清洗</w:t>
            </w:r>
          </w:p>
          <w:p>
            <w:pPr>
              <w:pStyle w:val="201"/>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color w:val="auto"/>
                <w:sz w:val="24"/>
                <w:highlight w:val="none"/>
                <w:lang w:eastAsia="zh-CN"/>
              </w:rPr>
              <w:t>支持对数据清洗规则的新增、删除、修改、禁用等</w:t>
            </w:r>
          </w:p>
          <w:p>
            <w:pPr>
              <w:pStyle w:val="201"/>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数据清洗规则包括：非空检核、主键重复、非法代码清洗、非法值清洗、数据格式检核、记录数检核等</w:t>
            </w:r>
          </w:p>
          <w:p>
            <w:pPr>
              <w:pStyle w:val="201"/>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color w:val="auto"/>
                <w:sz w:val="24"/>
                <w:highlight w:val="none"/>
                <w:lang w:eastAsia="zh-CN"/>
              </w:rPr>
              <w:t>支持对于缺失值数据、错误数据和错误关联数据这三种类型的脏数据，分别进行数据清洗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1" w:leftChars="48" w:right="105" w:rightChars="50"/>
              <w:jc w:val="center"/>
              <w:rPr>
                <w:rFonts w:ascii="宋体" w:hAnsi="宋体" w:eastAsia="宋体"/>
                <w:b/>
                <w:bCs/>
                <w:color w:val="auto"/>
                <w:sz w:val="24"/>
                <w:highlight w:val="none"/>
              </w:rPr>
            </w:pPr>
            <w:r>
              <w:rPr>
                <w:rFonts w:hint="eastAsia" w:ascii="宋体" w:hAnsi="宋体" w:eastAsia="宋体"/>
                <w:b/>
                <w:bCs/>
                <w:color w:val="auto"/>
                <w:sz w:val="24"/>
                <w:highlight w:val="none"/>
              </w:rPr>
              <w:t>数据结构化</w:t>
            </w:r>
          </w:p>
        </w:tc>
        <w:tc>
          <w:tcPr>
            <w:tcW w:w="6622" w:type="dxa"/>
            <w:vAlign w:val="center"/>
          </w:tcPr>
          <w:p>
            <w:pPr>
              <w:pStyle w:val="201"/>
              <w:widowControl/>
              <w:numPr>
                <w:ilvl w:val="0"/>
                <w:numId w:val="9"/>
              </w:numPr>
              <w:autoSpaceDE/>
              <w:autoSpaceDN/>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color w:val="auto"/>
                <w:sz w:val="24"/>
                <w:highlight w:val="none"/>
                <w:lang w:eastAsia="zh-CN"/>
              </w:rPr>
              <w:t>★支持使用自然语言处理技术对患者电子病历、影像报告、心电报告、病理报告等文本文档进行文本划分和结构化抽取。须提供系统截图</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结构化处理的结果存储于结构化数据库</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支持定义数据结构化任务，监控任务执行状态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jc w:val="center"/>
              <w:rPr>
                <w:rFonts w:ascii="宋体" w:hAnsi="宋体" w:eastAsia="宋体"/>
                <w:b/>
                <w:bCs/>
                <w:color w:val="auto"/>
                <w:sz w:val="24"/>
                <w:highlight w:val="none"/>
              </w:rPr>
            </w:pPr>
            <w:r>
              <w:rPr>
                <w:rFonts w:hint="eastAsia" w:ascii="宋体" w:hAnsi="宋体" w:eastAsia="宋体"/>
                <w:b/>
                <w:bCs/>
                <w:color w:val="auto"/>
                <w:sz w:val="24"/>
                <w:highlight w:val="none"/>
              </w:rPr>
              <w:t>数据标准化</w:t>
            </w:r>
          </w:p>
        </w:tc>
        <w:tc>
          <w:tcPr>
            <w:tcW w:w="6622" w:type="dxa"/>
            <w:vAlign w:val="center"/>
          </w:tcPr>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支持对国家、国际、行业、指南等标准编码映射，并</w:t>
            </w:r>
            <w:r>
              <w:rPr>
                <w:rFonts w:hint="eastAsia" w:ascii="宋体" w:hAnsi="宋体" w:eastAsia="宋体"/>
                <w:color w:val="auto"/>
                <w:kern w:val="0"/>
                <w:sz w:val="24"/>
                <w:highlight w:val="none"/>
                <w:lang w:eastAsia="zh-CN"/>
              </w:rPr>
              <w:t>对采集数据进行标准化处理：（1）卫健委数据标准：中国卫生信息数据元值域代码WS364.X-2011、电子病历基本数据集WS445.X-2014、医疗机构诊疗科目名录、中国卫生信息数据元、电子病历基本数据集；（2）国家相关数据标准：GB/T 2261.1-2003 个人基本信息分类与代码、GB/T 4671-2008 家庭关系代码等；（3）相关术语标准：国际疾病分类第九版临床修订第三卷：手术与操作 ICD-9-CM-3、国际疾病分类第10版 ICD-10</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标准管理：可新增、编辑标准，用于定义明确的术语规范、语义语境且无歧义并支持扩展的标准</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支持定义数据标准化任务，监控任务执行状态</w:t>
            </w:r>
          </w:p>
        </w:tc>
      </w:tr>
    </w:tbl>
    <w:p>
      <w:pPr>
        <w:pStyle w:val="6"/>
        <w:numPr>
          <w:ilvl w:val="3"/>
          <w:numId w:val="8"/>
        </w:numPr>
        <w:tabs>
          <w:tab w:val="clear" w:pos="864"/>
        </w:tabs>
        <w:spacing w:before="280" w:after="290" w:line="376" w:lineRule="auto"/>
        <w:rPr>
          <w:rFonts w:ascii="宋体" w:hAnsi="宋体"/>
          <w:color w:val="auto"/>
          <w:sz w:val="24"/>
          <w:szCs w:val="24"/>
          <w:highlight w:val="none"/>
        </w:rPr>
      </w:pPr>
      <w:bookmarkStart w:id="735" w:name="_Toc641"/>
      <w:bookmarkStart w:id="736" w:name="_Toc23230"/>
      <w:bookmarkStart w:id="737" w:name="_Toc19565"/>
      <w:bookmarkStart w:id="738" w:name="_Toc7582"/>
      <w:r>
        <w:rPr>
          <w:rFonts w:hint="eastAsia" w:ascii="宋体" w:hAnsi="宋体"/>
          <w:color w:val="auto"/>
          <w:sz w:val="24"/>
          <w:szCs w:val="24"/>
          <w:highlight w:val="none"/>
        </w:rPr>
        <w:t>数据管控</w:t>
      </w:r>
      <w:bookmarkEnd w:id="735"/>
      <w:bookmarkEnd w:id="736"/>
      <w:bookmarkEnd w:id="737"/>
      <w:bookmarkEnd w:id="738"/>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left="105" w:leftChars="50" w:right="105" w:rightChars="50"/>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1" w:leftChars="48" w:right="105" w:rightChars="50"/>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jc w:val="center"/>
              <w:rPr>
                <w:rFonts w:ascii="宋体" w:hAnsi="宋体" w:eastAsia="宋体"/>
                <w:b/>
                <w:bCs/>
                <w:color w:val="auto"/>
                <w:sz w:val="24"/>
                <w:highlight w:val="none"/>
              </w:rPr>
            </w:pPr>
            <w:r>
              <w:rPr>
                <w:rFonts w:hint="eastAsia" w:ascii="宋体" w:hAnsi="宋体" w:eastAsia="宋体"/>
                <w:b/>
                <w:bCs/>
                <w:color w:val="auto"/>
                <w:sz w:val="24"/>
                <w:highlight w:val="none"/>
              </w:rPr>
              <w:t>元数据管理</w:t>
            </w:r>
          </w:p>
        </w:tc>
        <w:tc>
          <w:tcPr>
            <w:tcW w:w="6622" w:type="dxa"/>
            <w:vAlign w:val="center"/>
          </w:tcPr>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支持数据源配置，包括数据源的新增、修改、删除</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支持从传统关系型数据库或Hadoop平台中采集全量元数据</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支持元数据模型的创建和修改</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支持元数据的查询和搜索</w:t>
            </w:r>
          </w:p>
          <w:p>
            <w:pPr>
              <w:pStyle w:val="201"/>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color w:val="auto"/>
                <w:sz w:val="24"/>
                <w:highlight w:val="none"/>
                <w:lang w:eastAsia="zh-CN"/>
              </w:rPr>
              <w:t>支持数据源及表信息的查询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jc w:val="center"/>
              <w:rPr>
                <w:rFonts w:ascii="宋体" w:hAnsi="宋体" w:eastAsia="宋体"/>
                <w:b/>
                <w:bCs/>
                <w:color w:val="auto"/>
                <w:sz w:val="24"/>
                <w:highlight w:val="none"/>
              </w:rPr>
            </w:pPr>
            <w:r>
              <w:rPr>
                <w:rFonts w:hint="eastAsia" w:ascii="宋体" w:hAnsi="宋体" w:eastAsia="宋体"/>
                <w:b/>
                <w:bCs/>
                <w:color w:val="auto"/>
                <w:sz w:val="24"/>
                <w:highlight w:val="none"/>
                <w:lang w:eastAsia="zh-CN"/>
              </w:rPr>
              <w:t>区域患者</w:t>
            </w:r>
            <w:r>
              <w:rPr>
                <w:rFonts w:hint="eastAsia" w:ascii="宋体" w:hAnsi="宋体" w:eastAsia="宋体"/>
                <w:b/>
                <w:bCs/>
                <w:color w:val="auto"/>
                <w:sz w:val="24"/>
                <w:highlight w:val="none"/>
              </w:rPr>
              <w:t>主索引管理</w:t>
            </w:r>
          </w:p>
        </w:tc>
        <w:tc>
          <w:tcPr>
            <w:tcW w:w="6622" w:type="dxa"/>
            <w:vAlign w:val="center"/>
          </w:tcPr>
          <w:p>
            <w:pPr>
              <w:spacing w:line="312" w:lineRule="auto"/>
              <w:contextualSpacing/>
              <w:rPr>
                <w:rFonts w:ascii="宋体" w:hAnsi="宋体" w:cs="@宋体"/>
                <w:bCs/>
                <w:color w:val="auto"/>
                <w:sz w:val="24"/>
                <w:highlight w:val="none"/>
              </w:rPr>
            </w:pPr>
            <w:r>
              <w:rPr>
                <w:rFonts w:hint="eastAsia" w:ascii="宋体" w:hAnsi="宋体" w:cs="@宋体"/>
                <w:bCs/>
                <w:color w:val="auto"/>
                <w:sz w:val="24"/>
                <w:highlight w:val="none"/>
              </w:rPr>
              <w:t>患者信息主索引用于本区域范围内患者基本信息索引的创建、搜索和维护，可以协助医疗人员对患者有效地进行搜索。医疗机构通过主索引来匹配、合并、取消重复的数据，利用主索引可获得完整而单一的患者视图。具体要求如下：</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为每个患者创建一个唯一标示，并和相关系统的医疗记录的标识之间建立映射关系。</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系统提供一个搜索引擎，提供给其它应用程序对患者的搜索功能；它也会存储病人属性的部分子集，以便作为病人检索的“单一最佳记录”的权威来源。</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根据索引规则，对系统内各类信息系统中的患者信息进行索引重建，使历史记录可以进行关联。</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提供主索引归并、人工处理等功能，完善主索引管理体系。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jc w:val="center"/>
              <w:rPr>
                <w:rFonts w:ascii="宋体" w:hAnsi="宋体" w:eastAsia="宋体"/>
                <w:b/>
                <w:bCs/>
                <w:color w:val="auto"/>
                <w:sz w:val="24"/>
                <w:highlight w:val="none"/>
              </w:rPr>
            </w:pPr>
            <w:r>
              <w:rPr>
                <w:rFonts w:hint="eastAsia" w:ascii="宋体" w:hAnsi="宋体" w:eastAsia="宋体"/>
                <w:b/>
                <w:bCs/>
                <w:color w:val="auto"/>
                <w:sz w:val="24"/>
                <w:highlight w:val="none"/>
              </w:rPr>
              <w:t>主数据管理</w:t>
            </w:r>
          </w:p>
        </w:tc>
        <w:tc>
          <w:tcPr>
            <w:tcW w:w="6622" w:type="dxa"/>
            <w:vAlign w:val="center"/>
          </w:tcPr>
          <w:p>
            <w:pPr>
              <w:pStyle w:val="201"/>
              <w:spacing w:before="6" w:line="360" w:lineRule="auto"/>
              <w:ind w:left="120" w:right="105" w:rightChars="50" w:firstLine="480" w:firstLineChars="2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利用主数据管理（MDM）来集中统一地管理整个区域的基础数据，通过对平台相关的各业务系统提供基础数据服务，实现基础数据的同步或匹配，以规范数据的统计口径，提高数据质量。</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主数据定义</w:t>
            </w:r>
            <w:r>
              <w:rPr>
                <w:rFonts w:hint="eastAsia" w:ascii="宋体" w:hAnsi="宋体" w:eastAsia="宋体"/>
                <w:color w:val="auto"/>
                <w:sz w:val="24"/>
                <w:highlight w:val="none"/>
                <w:lang w:eastAsia="zh-CN"/>
              </w:rPr>
              <w:t>：支持内部管理的主数据定义，提供统一的术语注册服务接口，及相应维护界面。</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主数据映射</w:t>
            </w:r>
            <w:r>
              <w:rPr>
                <w:rFonts w:hint="eastAsia" w:ascii="宋体" w:hAnsi="宋体" w:eastAsia="宋体"/>
                <w:color w:val="auto"/>
                <w:sz w:val="24"/>
                <w:highlight w:val="none"/>
                <w:lang w:eastAsia="zh-CN"/>
              </w:rPr>
              <w:t>：</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提供术语映射机制，适应不同术语域之间的映射和关联，如内部管理词汇和未来标准术语体系间的映射，以及各种标准术语间的映射、词汇关联等，服务于信息检索。</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主数据订阅</w:t>
            </w:r>
            <w:r>
              <w:rPr>
                <w:rFonts w:hint="eastAsia" w:ascii="宋体" w:hAnsi="宋体" w:eastAsia="宋体"/>
                <w:color w:val="auto"/>
                <w:sz w:val="24"/>
                <w:highlight w:val="none"/>
                <w:lang w:eastAsia="zh-CN"/>
              </w:rPr>
              <w:t>：</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为了让采集而来的数据和信息兼容标准术语，提供相应的术语订阅服务，提供术语访问服务接口。</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主数据审核</w:t>
            </w:r>
            <w:r>
              <w:rPr>
                <w:rFonts w:hint="eastAsia" w:ascii="宋体" w:hAnsi="宋体" w:eastAsia="宋体"/>
                <w:color w:val="auto"/>
                <w:sz w:val="24"/>
                <w:highlight w:val="none"/>
                <w:lang w:eastAsia="zh-CN"/>
              </w:rPr>
              <w:t>：</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对定义和映射的主数据进行唯一性、准确性审核，确保数据采集的质量。</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主数据发布</w:t>
            </w:r>
            <w:r>
              <w:rPr>
                <w:rFonts w:hint="eastAsia" w:ascii="宋体" w:hAnsi="宋体" w:eastAsia="宋体"/>
                <w:color w:val="auto"/>
                <w:sz w:val="24"/>
                <w:highlight w:val="none"/>
                <w:lang w:eastAsia="zh-CN"/>
              </w:rPr>
              <w:t>：</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为适应第三方系统可能采用不同的系统、平台和语言实现，提供多种数据服务和数据交换应用，如通过Webservice、数据库视图等方式实现。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jc w:val="center"/>
              <w:rPr>
                <w:rFonts w:ascii="宋体" w:hAnsi="宋体" w:eastAsia="宋体"/>
                <w:b/>
                <w:bCs/>
                <w:color w:val="auto"/>
                <w:sz w:val="24"/>
                <w:highlight w:val="none"/>
              </w:rPr>
            </w:pPr>
            <w:r>
              <w:rPr>
                <w:rFonts w:hint="eastAsia" w:ascii="宋体" w:hAnsi="宋体" w:eastAsia="宋体"/>
                <w:b/>
                <w:bCs/>
                <w:color w:val="auto"/>
                <w:sz w:val="24"/>
                <w:highlight w:val="none"/>
              </w:rPr>
              <w:t>数据模型管理</w:t>
            </w:r>
          </w:p>
        </w:tc>
        <w:tc>
          <w:tcPr>
            <w:tcW w:w="6622" w:type="dxa"/>
            <w:vAlign w:val="center"/>
          </w:tcPr>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数据模型的创建、查询、修改、删除的管理</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支持将大数据中心的数据重构为病历、检验、检查、病理、手术、处方/医嘱、护理、随访等多种通用数据模型</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支持结合应用场景构建疾病模型、患者模型、运营管理模型等主题域模型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jc w:val="center"/>
              <w:rPr>
                <w:rFonts w:ascii="宋体" w:hAnsi="宋体" w:eastAsia="宋体"/>
                <w:b/>
                <w:bCs/>
                <w:color w:val="auto"/>
                <w:sz w:val="24"/>
                <w:highlight w:val="none"/>
              </w:rPr>
            </w:pPr>
            <w:r>
              <w:rPr>
                <w:rFonts w:hint="eastAsia" w:ascii="宋体" w:hAnsi="宋体" w:eastAsia="宋体"/>
                <w:b/>
                <w:bCs/>
                <w:color w:val="auto"/>
                <w:sz w:val="24"/>
                <w:highlight w:val="none"/>
              </w:rPr>
              <w:t>数据质量管理</w:t>
            </w:r>
          </w:p>
        </w:tc>
        <w:tc>
          <w:tcPr>
            <w:tcW w:w="6622" w:type="dxa"/>
            <w:vAlign w:val="center"/>
          </w:tcPr>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对数据的完整性、规范性、一致性、准确性、唯一性规则的新增、修改、删除</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问题统计：统计在数据处理过程中的规则校验出现的各种错误和问题</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质量报告：统计分析某个时间段内各种规则在数据处理过程中数据的质量情况</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任务管理：管理质量规则任务的新增、编辑、删除，查看任务的状态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jc w:val="center"/>
              <w:rPr>
                <w:rFonts w:ascii="宋体" w:hAnsi="宋体" w:eastAsia="宋体"/>
                <w:b/>
                <w:bCs/>
                <w:color w:val="auto"/>
                <w:sz w:val="24"/>
                <w:highlight w:val="none"/>
              </w:rPr>
            </w:pPr>
            <w:r>
              <w:rPr>
                <w:rFonts w:hint="eastAsia" w:ascii="宋体" w:hAnsi="宋体" w:eastAsia="宋体"/>
                <w:b/>
                <w:bCs/>
                <w:color w:val="auto"/>
                <w:sz w:val="24"/>
                <w:highlight w:val="none"/>
              </w:rPr>
              <w:t>任务调度管理</w:t>
            </w:r>
          </w:p>
        </w:tc>
        <w:tc>
          <w:tcPr>
            <w:tcW w:w="6622" w:type="dxa"/>
            <w:vAlign w:val="center"/>
          </w:tcPr>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统一管理大数据框架从数据采集到数据处理的所有任务的执行与调度，支持配置任务中的子任务、执行时间</w:t>
            </w:r>
          </w:p>
        </w:tc>
      </w:tr>
    </w:tbl>
    <w:p>
      <w:pPr>
        <w:rPr>
          <w:rFonts w:ascii="宋体" w:hAnsi="宋体"/>
          <w:color w:val="auto"/>
          <w:sz w:val="24"/>
          <w:highlight w:val="none"/>
        </w:rPr>
      </w:pPr>
    </w:p>
    <w:p>
      <w:pPr>
        <w:pStyle w:val="6"/>
        <w:numPr>
          <w:ilvl w:val="3"/>
          <w:numId w:val="8"/>
        </w:numPr>
        <w:tabs>
          <w:tab w:val="clear" w:pos="864"/>
        </w:tabs>
        <w:spacing w:before="280" w:after="290" w:line="376" w:lineRule="auto"/>
        <w:rPr>
          <w:rFonts w:ascii="宋体" w:hAnsi="宋体"/>
          <w:color w:val="auto"/>
          <w:sz w:val="24"/>
          <w:szCs w:val="24"/>
          <w:highlight w:val="none"/>
        </w:rPr>
      </w:pPr>
      <w:bookmarkStart w:id="739" w:name="_Toc1354"/>
      <w:bookmarkStart w:id="740" w:name="_Toc8784"/>
      <w:bookmarkStart w:id="741" w:name="_Toc16995"/>
      <w:bookmarkStart w:id="742" w:name="_Toc19077"/>
      <w:r>
        <w:rPr>
          <w:rFonts w:hint="eastAsia" w:ascii="宋体" w:hAnsi="宋体"/>
          <w:color w:val="auto"/>
          <w:sz w:val="24"/>
          <w:szCs w:val="24"/>
          <w:highlight w:val="none"/>
        </w:rPr>
        <w:t>数据服务</w:t>
      </w:r>
      <w:bookmarkEnd w:id="739"/>
      <w:bookmarkEnd w:id="740"/>
      <w:bookmarkEnd w:id="741"/>
    </w:p>
    <w:tbl>
      <w:tblPr>
        <w:tblStyle w:val="43"/>
        <w:tblW w:w="8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6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left="105" w:leftChars="50" w:right="105" w:rightChars="50"/>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1" w:leftChars="48" w:right="105" w:rightChars="50"/>
              <w:jc w:val="center"/>
              <w:rPr>
                <w:rFonts w:ascii="宋体" w:hAnsi="宋体" w:eastAsia="宋体"/>
                <w:b/>
                <w:color w:val="auto"/>
                <w:w w:val="105"/>
                <w:sz w:val="24"/>
                <w:highlight w:val="none"/>
              </w:rPr>
            </w:pPr>
            <w:r>
              <w:rPr>
                <w:rFonts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jc w:val="center"/>
              <w:rPr>
                <w:rFonts w:ascii="宋体" w:hAnsi="宋体" w:eastAsia="宋体"/>
                <w:b/>
                <w:bCs/>
                <w:color w:val="auto"/>
                <w:sz w:val="24"/>
                <w:highlight w:val="none"/>
              </w:rPr>
            </w:pPr>
            <w:r>
              <w:rPr>
                <w:rFonts w:hint="eastAsia" w:ascii="宋体" w:hAnsi="宋体" w:eastAsia="宋体"/>
                <w:b/>
                <w:bCs/>
                <w:color w:val="auto"/>
                <w:sz w:val="24"/>
                <w:highlight w:val="none"/>
              </w:rPr>
              <w:t>资源服务概览</w:t>
            </w:r>
          </w:p>
        </w:tc>
        <w:tc>
          <w:tcPr>
            <w:tcW w:w="6622" w:type="dxa"/>
            <w:vAlign w:val="center"/>
          </w:tcPr>
          <w:p>
            <w:pPr>
              <w:pStyle w:val="201"/>
              <w:numPr>
                <w:ilvl w:val="0"/>
                <w:numId w:val="35"/>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通过数据服务可视化功能，并可实时呈现总体数据概览（包含服务总数，今日请求数、请求总数、服务请求成功数，请求平均耗时等服务信息）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1" w:leftChars="48" w:right="105" w:rightChars="50"/>
              <w:jc w:val="center"/>
              <w:rPr>
                <w:rFonts w:ascii="宋体" w:hAnsi="宋体" w:eastAsia="宋体"/>
                <w:b/>
                <w:bCs/>
                <w:color w:val="auto"/>
                <w:sz w:val="24"/>
                <w:highlight w:val="none"/>
              </w:rPr>
            </w:pPr>
            <w:r>
              <w:rPr>
                <w:rFonts w:hint="eastAsia" w:ascii="宋体" w:hAnsi="宋体" w:eastAsia="宋体"/>
                <w:b/>
                <w:bCs/>
                <w:color w:val="auto"/>
                <w:sz w:val="24"/>
                <w:highlight w:val="none"/>
              </w:rPr>
              <w:t>服务目录</w:t>
            </w:r>
          </w:p>
        </w:tc>
        <w:tc>
          <w:tcPr>
            <w:tcW w:w="6622" w:type="dxa"/>
            <w:vAlign w:val="center"/>
          </w:tcPr>
          <w:p>
            <w:pPr>
              <w:pStyle w:val="201"/>
              <w:numPr>
                <w:ilvl w:val="0"/>
                <w:numId w:val="35"/>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呈现呈现数据治理全部数据资源服务信息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jc w:val="center"/>
              <w:rPr>
                <w:rFonts w:ascii="宋体" w:hAnsi="宋体" w:eastAsia="宋体"/>
                <w:b/>
                <w:bCs/>
                <w:color w:val="auto"/>
                <w:sz w:val="24"/>
                <w:highlight w:val="none"/>
              </w:rPr>
            </w:pPr>
            <w:r>
              <w:rPr>
                <w:rFonts w:hint="eastAsia" w:ascii="宋体" w:hAnsi="宋体" w:eastAsia="宋体"/>
                <w:b/>
                <w:bCs/>
                <w:color w:val="auto"/>
                <w:sz w:val="24"/>
                <w:highlight w:val="none"/>
              </w:rPr>
              <w:t>当前用户服务信息</w:t>
            </w:r>
          </w:p>
        </w:tc>
        <w:tc>
          <w:tcPr>
            <w:tcW w:w="6622" w:type="dxa"/>
            <w:vAlign w:val="center"/>
          </w:tcPr>
          <w:p>
            <w:pPr>
              <w:pStyle w:val="201"/>
              <w:numPr>
                <w:ilvl w:val="0"/>
                <w:numId w:val="35"/>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rPr>
              <w:t>标准服务及REST API服务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1" w:leftChars="48" w:right="105" w:rightChars="50"/>
              <w:jc w:val="center"/>
              <w:rPr>
                <w:rFonts w:ascii="宋体" w:hAnsi="宋体" w:eastAsia="宋体"/>
                <w:b/>
                <w:bCs/>
                <w:color w:val="auto"/>
                <w:sz w:val="24"/>
                <w:highlight w:val="none"/>
              </w:rPr>
            </w:pPr>
            <w:r>
              <w:rPr>
                <w:rFonts w:hint="eastAsia" w:ascii="宋体" w:hAnsi="宋体" w:eastAsia="宋体"/>
                <w:b/>
                <w:bCs/>
                <w:color w:val="auto"/>
                <w:sz w:val="24"/>
                <w:highlight w:val="none"/>
              </w:rPr>
              <w:t>统计报表</w:t>
            </w:r>
          </w:p>
        </w:tc>
        <w:tc>
          <w:tcPr>
            <w:tcW w:w="6622" w:type="dxa"/>
            <w:vAlign w:val="center"/>
          </w:tcPr>
          <w:p>
            <w:pPr>
              <w:pStyle w:val="201"/>
              <w:numPr>
                <w:ilvl w:val="0"/>
                <w:numId w:val="35"/>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根据服务获取的服务统计报表信息（包含当日请求统计报表、服务被调用统计报表、客户端调用统计报表、客户端服务统计报表、客户端申请服务统计报表）服务被申请统计报表及自动检测接口数据报表）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1" w:leftChars="48" w:right="105" w:rightChars="50"/>
              <w:jc w:val="center"/>
              <w:rPr>
                <w:rFonts w:ascii="宋体" w:hAnsi="宋体" w:eastAsia="宋体"/>
                <w:b/>
                <w:bCs/>
                <w:color w:val="auto"/>
                <w:sz w:val="24"/>
                <w:highlight w:val="none"/>
              </w:rPr>
            </w:pPr>
            <w:r>
              <w:rPr>
                <w:rFonts w:hint="eastAsia" w:ascii="宋体" w:hAnsi="宋体" w:eastAsia="宋体"/>
                <w:b/>
                <w:bCs/>
                <w:color w:val="auto"/>
                <w:sz w:val="24"/>
                <w:highlight w:val="none"/>
              </w:rPr>
              <w:t>监控中心</w:t>
            </w:r>
          </w:p>
        </w:tc>
        <w:tc>
          <w:tcPr>
            <w:tcW w:w="6622" w:type="dxa"/>
            <w:vAlign w:val="center"/>
          </w:tcPr>
          <w:p>
            <w:pPr>
              <w:pStyle w:val="201"/>
              <w:numPr>
                <w:ilvl w:val="0"/>
                <w:numId w:val="35"/>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平台调用服务的监控中心，包含访问统计、访问趋势、错误统计、节点监控客户端调用统计、服务警告。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1" w:leftChars="48" w:right="105" w:rightChars="50"/>
              <w:jc w:val="center"/>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接口日志</w:t>
            </w:r>
          </w:p>
        </w:tc>
        <w:tc>
          <w:tcPr>
            <w:tcW w:w="6622" w:type="dxa"/>
            <w:vAlign w:val="center"/>
          </w:tcPr>
          <w:p>
            <w:pPr>
              <w:pStyle w:val="201"/>
              <w:numPr>
                <w:ilvl w:val="0"/>
                <w:numId w:val="35"/>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外部系统获取专科数据时，记录为相关日志信息。支持查询接口日志信息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1" w:leftChars="48" w:right="105" w:rightChars="50"/>
              <w:jc w:val="center"/>
              <w:rPr>
                <w:rFonts w:ascii="宋体" w:hAnsi="宋体" w:eastAsia="宋体"/>
                <w:b/>
                <w:bCs/>
                <w:color w:val="auto"/>
                <w:sz w:val="24"/>
                <w:highlight w:val="none"/>
              </w:rPr>
            </w:pPr>
            <w:r>
              <w:rPr>
                <w:rFonts w:hint="eastAsia" w:ascii="宋体" w:hAnsi="宋体" w:eastAsia="宋体"/>
                <w:b/>
                <w:bCs/>
                <w:color w:val="auto"/>
                <w:sz w:val="24"/>
                <w:highlight w:val="none"/>
              </w:rPr>
              <w:t>服务管控</w:t>
            </w:r>
          </w:p>
        </w:tc>
        <w:tc>
          <w:tcPr>
            <w:tcW w:w="6622" w:type="dxa"/>
            <w:vAlign w:val="center"/>
          </w:tcPr>
          <w:p>
            <w:pPr>
              <w:pStyle w:val="201"/>
              <w:numPr>
                <w:ilvl w:val="0"/>
                <w:numId w:val="35"/>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包含服务请求控制、服务并发控制、服务流量控制及服务中断管理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jc w:val="center"/>
              <w:rPr>
                <w:rFonts w:ascii="宋体" w:hAnsi="宋体" w:eastAsia="宋体"/>
                <w:b/>
                <w:bCs/>
                <w:color w:val="auto"/>
                <w:sz w:val="24"/>
                <w:highlight w:val="none"/>
              </w:rPr>
            </w:pPr>
            <w:r>
              <w:rPr>
                <w:rFonts w:hint="eastAsia" w:ascii="宋体" w:hAnsi="宋体" w:eastAsia="宋体"/>
                <w:b/>
                <w:bCs/>
                <w:color w:val="auto"/>
                <w:sz w:val="24"/>
                <w:highlight w:val="none"/>
              </w:rPr>
              <w:t>服务安全防护</w:t>
            </w:r>
          </w:p>
        </w:tc>
        <w:tc>
          <w:tcPr>
            <w:tcW w:w="6622" w:type="dxa"/>
            <w:vAlign w:val="center"/>
          </w:tcPr>
          <w:p>
            <w:pPr>
              <w:pStyle w:val="201"/>
              <w:numPr>
                <w:ilvl w:val="0"/>
                <w:numId w:val="35"/>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提供IP白名单控制及IP黑名单控制功能</w:t>
            </w:r>
          </w:p>
        </w:tc>
      </w:tr>
    </w:tbl>
    <w:p>
      <w:pPr>
        <w:rPr>
          <w:rFonts w:ascii="宋体" w:hAnsi="宋体"/>
          <w:color w:val="auto"/>
          <w:sz w:val="24"/>
          <w:highlight w:val="none"/>
        </w:rPr>
      </w:pPr>
    </w:p>
    <w:p>
      <w:pPr>
        <w:pStyle w:val="6"/>
        <w:numPr>
          <w:ilvl w:val="3"/>
          <w:numId w:val="8"/>
        </w:numPr>
        <w:tabs>
          <w:tab w:val="clear" w:pos="864"/>
        </w:tabs>
        <w:spacing w:before="280" w:after="290" w:line="376" w:lineRule="auto"/>
        <w:rPr>
          <w:rFonts w:ascii="宋体" w:hAnsi="宋体"/>
          <w:color w:val="auto"/>
          <w:sz w:val="24"/>
          <w:szCs w:val="24"/>
          <w:highlight w:val="none"/>
        </w:rPr>
      </w:pPr>
      <w:bookmarkStart w:id="743" w:name="_Toc1802"/>
      <w:bookmarkStart w:id="744" w:name="_Toc21302"/>
      <w:bookmarkStart w:id="745" w:name="_Toc6437"/>
      <w:r>
        <w:rPr>
          <w:rFonts w:hint="eastAsia" w:ascii="宋体" w:hAnsi="宋体"/>
          <w:color w:val="auto"/>
          <w:sz w:val="24"/>
          <w:szCs w:val="24"/>
          <w:highlight w:val="none"/>
        </w:rPr>
        <w:t>数据安全</w:t>
      </w:r>
      <w:bookmarkEnd w:id="743"/>
      <w:bookmarkEnd w:id="744"/>
      <w:bookmarkEnd w:id="745"/>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left="105" w:leftChars="50" w:right="105" w:rightChars="50"/>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1" w:leftChars="48" w:right="105" w:rightChars="50"/>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1" w:leftChars="48" w:right="105" w:rightChars="50"/>
              <w:jc w:val="center"/>
              <w:rPr>
                <w:rFonts w:ascii="宋体" w:hAnsi="宋体" w:eastAsia="宋体"/>
                <w:b/>
                <w:bCs/>
                <w:color w:val="auto"/>
                <w:sz w:val="24"/>
                <w:highlight w:val="none"/>
                <w:lang w:eastAsia="zh-CN"/>
              </w:rPr>
            </w:pPr>
            <w:r>
              <w:rPr>
                <w:rFonts w:hint="eastAsia" w:ascii="宋体" w:hAnsi="宋体" w:eastAsia="宋体"/>
                <w:b/>
                <w:bCs/>
                <w:color w:val="auto"/>
                <w:sz w:val="24"/>
                <w:highlight w:val="none"/>
              </w:rPr>
              <w:t>数据</w:t>
            </w:r>
            <w:r>
              <w:rPr>
                <w:rFonts w:hint="eastAsia" w:ascii="宋体" w:hAnsi="宋体" w:eastAsia="宋体"/>
                <w:b/>
                <w:bCs/>
                <w:color w:val="auto"/>
                <w:sz w:val="24"/>
                <w:highlight w:val="none"/>
                <w:lang w:eastAsia="zh-CN"/>
              </w:rPr>
              <w:t>安全</w:t>
            </w:r>
          </w:p>
        </w:tc>
        <w:tc>
          <w:tcPr>
            <w:tcW w:w="6622" w:type="dxa"/>
            <w:vAlign w:val="center"/>
          </w:tcPr>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数据脱敏：</w:t>
            </w:r>
            <w:r>
              <w:rPr>
                <w:rFonts w:hint="eastAsia" w:ascii="宋体" w:hAnsi="宋体" w:eastAsia="宋体"/>
                <w:color w:val="auto"/>
                <w:sz w:val="24"/>
                <w:highlight w:val="none"/>
                <w:lang w:eastAsia="zh-CN"/>
              </w:rPr>
              <w:t>支持数据脱敏规则、脱敏算法及脱敏任务的管理及应用；提供动态脱敏和静态脱敏两种数据脱敏方式</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数据获取安全：</w:t>
            </w:r>
            <w:r>
              <w:rPr>
                <w:rFonts w:hint="eastAsia" w:ascii="宋体" w:hAnsi="宋体" w:eastAsia="宋体"/>
                <w:color w:val="auto"/>
                <w:sz w:val="24"/>
                <w:highlight w:val="none"/>
                <w:lang w:eastAsia="zh-CN"/>
              </w:rPr>
              <w:t>能够支特数据获取需要经过申请与审批流程，保障数据获取安全</w:t>
            </w:r>
          </w:p>
          <w:p>
            <w:pPr>
              <w:pStyle w:val="201"/>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统一认证：</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定义数据安全策略，定义用户组设立和密码标准等</w:t>
            </w:r>
          </w:p>
          <w:p>
            <w:pPr>
              <w:pStyle w:val="201"/>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租户隔腐：</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管理用户，密码，用户组和权限</w:t>
            </w:r>
          </w:p>
          <w:p>
            <w:pPr>
              <w:pStyle w:val="201"/>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角色授权：</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划分信息等级，使用密级分类模式，对医院数据和信息产品进行分类</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日志审计：</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审计数据安全，监控用户身份认证和访问行为，支持经常性分析</w:t>
            </w:r>
          </w:p>
        </w:tc>
      </w:tr>
    </w:tbl>
    <w:p>
      <w:pPr>
        <w:rPr>
          <w:rFonts w:ascii="宋体" w:hAnsi="宋体"/>
          <w:color w:val="auto"/>
          <w:sz w:val="24"/>
          <w:highlight w:val="none"/>
        </w:rPr>
      </w:pPr>
    </w:p>
    <w:p>
      <w:pPr>
        <w:pStyle w:val="6"/>
        <w:numPr>
          <w:ilvl w:val="3"/>
          <w:numId w:val="8"/>
        </w:numPr>
        <w:tabs>
          <w:tab w:val="clear" w:pos="864"/>
        </w:tabs>
        <w:spacing w:before="280" w:after="290" w:line="376" w:lineRule="auto"/>
        <w:rPr>
          <w:rFonts w:ascii="宋体" w:hAnsi="宋体"/>
          <w:color w:val="auto"/>
          <w:sz w:val="24"/>
          <w:szCs w:val="24"/>
          <w:highlight w:val="none"/>
        </w:rPr>
      </w:pPr>
      <w:bookmarkStart w:id="746" w:name="_Toc30019"/>
      <w:bookmarkStart w:id="747" w:name="_Toc14449"/>
      <w:bookmarkStart w:id="748" w:name="_Toc4983"/>
      <w:r>
        <w:rPr>
          <w:rFonts w:hint="eastAsia" w:ascii="宋体" w:hAnsi="宋体"/>
          <w:color w:val="auto"/>
          <w:sz w:val="24"/>
          <w:szCs w:val="24"/>
          <w:highlight w:val="none"/>
        </w:rPr>
        <w:t>平台管理</w:t>
      </w:r>
      <w:bookmarkEnd w:id="742"/>
      <w:bookmarkEnd w:id="746"/>
      <w:bookmarkEnd w:id="747"/>
      <w:bookmarkEnd w:id="748"/>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left="105" w:leftChars="50" w:right="105" w:rightChars="50"/>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1" w:leftChars="48" w:right="105" w:rightChars="50"/>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1" w:leftChars="48" w:right="105" w:rightChars="50"/>
              <w:jc w:val="center"/>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整体要求</w:t>
            </w:r>
          </w:p>
        </w:tc>
        <w:tc>
          <w:tcPr>
            <w:tcW w:w="6622" w:type="dxa"/>
            <w:vAlign w:val="center"/>
          </w:tcPr>
          <w:p>
            <w:pPr>
              <w:pStyle w:val="201"/>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color w:val="auto"/>
                <w:kern w:val="0"/>
                <w:sz w:val="24"/>
                <w:highlight w:val="none"/>
                <w:lang w:eastAsia="zh-CN"/>
              </w:rPr>
              <w:t>★大数据平台架构设计要求能够支撑大规模的数据量，基于Hadoop大数据的架构模型，支持B/S架构，包含Hive、HDFS、HBase、Zookeeper、Sqoop、Yarn、Oozie、Impala、Hue等多个大数据组件。须提供操作视频（视频内容包含功能点：1.展示大数据平台主机列表，显示内容包括主机名称、IP、内核数、磁盘使用情况、物理内存使用情况等，主机监控参数配置；2.展示HDFS组件运行状态图表，可切换不同的统计周期，配置HDFS的运行参数，展示近期执行的命令列表及详情；3.展示HIVE组件运行状态图表，可切换不同的统计周期，配置HIVE的运行参数，展示近期执行的命令列表及详情；4.集群组件列表，包括但不限于Hbase、Spark、Sqoop、Yarn、ZooKeeper。需按</w:t>
            </w:r>
            <w:r>
              <w:rPr>
                <w:rFonts w:hint="eastAsia" w:ascii="宋体" w:hAnsi="宋体" w:eastAsia="宋体"/>
                <w:color w:val="auto"/>
                <w:sz w:val="24"/>
                <w:highlight w:val="none"/>
                <w:lang w:eastAsia="zh-CN"/>
              </w:rPr>
              <w:t>以上功能点顺序录制操作视频及人工语音讲解</w:t>
            </w:r>
            <w:r>
              <w:rPr>
                <w:rFonts w:hint="eastAsia" w:ascii="宋体" w:hAnsi="宋体" w:eastAsia="宋体"/>
                <w:color w:val="auto"/>
                <w:kern w:val="0"/>
                <w:sz w:val="24"/>
                <w:highlight w:val="none"/>
                <w:lang w:eastAsia="zh-CN"/>
              </w:rPr>
              <w:t>）</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须提供大数据治理相关软件著作权登记证书扫描件并加盖公章</w:t>
            </w:r>
          </w:p>
          <w:p>
            <w:pPr>
              <w:pStyle w:val="201"/>
              <w:numPr>
                <w:ilvl w:val="0"/>
                <w:numId w:val="9"/>
              </w:numPr>
              <w:spacing w:before="6" w:line="360" w:lineRule="auto"/>
              <w:ind w:left="452" w:right="105" w:rightChars="50" w:firstLine="482"/>
              <w:rPr>
                <w:rFonts w:ascii="宋体" w:hAnsi="宋体" w:eastAsia="宋体"/>
                <w:b/>
                <w:bCs/>
                <w:color w:val="auto"/>
                <w:sz w:val="24"/>
                <w:highlight w:val="none"/>
              </w:rPr>
            </w:pPr>
            <w:r>
              <w:rPr>
                <w:rFonts w:hint="eastAsia" w:ascii="宋体" w:hAnsi="宋体" w:eastAsia="宋体"/>
                <w:color w:val="auto"/>
                <w:kern w:val="0"/>
                <w:sz w:val="24"/>
                <w:highlight w:val="none"/>
              </w:rPr>
              <w:t>离线计算支持Hadoop集群，HDFS</w:t>
            </w:r>
            <w:r>
              <w:rPr>
                <w:rFonts w:hint="eastAsia" w:ascii="宋体" w:hAnsi="宋体" w:eastAsia="宋体"/>
                <w:color w:val="auto"/>
                <w:kern w:val="0"/>
                <w:sz w:val="24"/>
                <w:highlight w:val="none"/>
                <w:lang w:eastAsia="zh-CN"/>
              </w:rPr>
              <w:t>、Hbase</w:t>
            </w:r>
            <w:r>
              <w:rPr>
                <w:rFonts w:hint="eastAsia" w:ascii="宋体" w:hAnsi="宋体" w:eastAsia="宋体"/>
                <w:color w:val="auto"/>
                <w:kern w:val="0"/>
                <w:sz w:val="24"/>
                <w:highlight w:val="none"/>
              </w:rPr>
              <w:t>数据存储，MapReduce和Spark</w:t>
            </w:r>
            <w:r>
              <w:rPr>
                <w:rFonts w:hint="eastAsia" w:ascii="宋体" w:hAnsi="宋体" w:eastAsia="宋体"/>
                <w:color w:val="auto"/>
                <w:kern w:val="0"/>
                <w:sz w:val="24"/>
                <w:highlight w:val="none"/>
                <w:lang w:eastAsia="zh-CN"/>
              </w:rPr>
              <w:t>SQL</w:t>
            </w:r>
            <w:r>
              <w:rPr>
                <w:rFonts w:hint="eastAsia" w:ascii="宋体" w:hAnsi="宋体" w:eastAsia="宋体"/>
                <w:color w:val="auto"/>
                <w:kern w:val="0"/>
                <w:sz w:val="24"/>
                <w:highlight w:val="none"/>
              </w:rPr>
              <w:t>计算等，对海量数据进行分析</w:t>
            </w:r>
          </w:p>
          <w:p>
            <w:pPr>
              <w:pStyle w:val="201"/>
              <w:numPr>
                <w:ilvl w:val="0"/>
                <w:numId w:val="9"/>
              </w:numPr>
              <w:spacing w:before="6" w:line="360" w:lineRule="auto"/>
              <w:ind w:left="452" w:right="105" w:rightChars="50" w:firstLine="482"/>
              <w:rPr>
                <w:rFonts w:ascii="宋体" w:hAnsi="宋体" w:eastAsia="宋体"/>
                <w:b/>
                <w:bCs/>
                <w:color w:val="auto"/>
                <w:sz w:val="24"/>
                <w:highlight w:val="none"/>
              </w:rPr>
            </w:pPr>
            <w:r>
              <w:rPr>
                <w:rFonts w:hint="eastAsia" w:ascii="宋体" w:hAnsi="宋体" w:eastAsia="宋体"/>
                <w:color w:val="auto"/>
                <w:kern w:val="0"/>
                <w:sz w:val="24"/>
                <w:highlight w:val="none"/>
                <w:lang w:eastAsia="zh-CN"/>
              </w:rPr>
              <w:t>支持</w:t>
            </w:r>
            <w:r>
              <w:rPr>
                <w:rFonts w:hint="eastAsia" w:ascii="宋体" w:hAnsi="宋体" w:eastAsia="宋体"/>
                <w:color w:val="auto"/>
                <w:kern w:val="0"/>
                <w:sz w:val="24"/>
                <w:highlight w:val="none"/>
              </w:rPr>
              <w:t>提供基于Lucene的ElasticSearch等分布式搜索引擎技术，实现数据的快速查询及调阅，并可支持不同平台的应用</w:t>
            </w:r>
          </w:p>
          <w:p>
            <w:pPr>
              <w:pStyle w:val="201"/>
              <w:numPr>
                <w:ilvl w:val="0"/>
                <w:numId w:val="9"/>
              </w:numPr>
              <w:spacing w:before="6" w:line="360" w:lineRule="auto"/>
              <w:ind w:left="452" w:right="105" w:rightChars="50" w:firstLine="482"/>
              <w:rPr>
                <w:rFonts w:ascii="宋体" w:hAnsi="宋体" w:eastAsia="宋体"/>
                <w:color w:val="auto"/>
                <w:kern w:val="0"/>
                <w:sz w:val="24"/>
                <w:highlight w:val="none"/>
                <w:lang w:eastAsia="zh-CN"/>
              </w:rPr>
            </w:pPr>
            <w:r>
              <w:rPr>
                <w:rFonts w:hint="eastAsia" w:ascii="宋体" w:hAnsi="宋体" w:eastAsia="宋体"/>
                <w:color w:val="auto"/>
                <w:kern w:val="0"/>
                <w:sz w:val="24"/>
                <w:highlight w:val="none"/>
                <w:lang w:eastAsia="zh-CN"/>
              </w:rPr>
              <w:t>支持统一访问UI，支持Web图形化集群管理和监控；支持可视化部署和可视化数据访问</w:t>
            </w:r>
          </w:p>
          <w:p>
            <w:pPr>
              <w:pStyle w:val="201"/>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color w:val="auto"/>
                <w:kern w:val="0"/>
                <w:sz w:val="24"/>
                <w:highlight w:val="none"/>
                <w:lang w:eastAsia="zh-CN"/>
              </w:rPr>
              <w:t>支持数据平台聚合异构数据源，内置HDFS、HBase、Hive、Oracle、国产主流数据库等连接器；</w:t>
            </w:r>
          </w:p>
          <w:p>
            <w:pPr>
              <w:pStyle w:val="201"/>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color w:val="auto"/>
                <w:kern w:val="0"/>
                <w:sz w:val="24"/>
                <w:highlight w:val="none"/>
                <w:lang w:eastAsia="zh-CN"/>
              </w:rPr>
              <w:t>支持数据抽取、数据处理等场景的任务调度;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1" w:leftChars="48" w:right="105" w:rightChars="50"/>
              <w:jc w:val="center"/>
              <w:rPr>
                <w:rFonts w:ascii="宋体" w:hAnsi="宋体" w:eastAsia="宋体"/>
                <w:b/>
                <w:bCs/>
                <w:color w:val="auto"/>
                <w:sz w:val="24"/>
                <w:highlight w:val="none"/>
                <w:lang w:eastAsia="zh-CN"/>
              </w:rPr>
            </w:pPr>
            <w:r>
              <w:rPr>
                <w:rFonts w:hint="eastAsia" w:ascii="宋体" w:hAnsi="宋体" w:eastAsia="宋体"/>
                <w:b/>
                <w:bCs/>
                <w:color w:val="auto"/>
                <w:sz w:val="24"/>
                <w:highlight w:val="none"/>
              </w:rPr>
              <w:t>权限</w:t>
            </w:r>
            <w:r>
              <w:rPr>
                <w:rFonts w:hint="eastAsia" w:ascii="宋体" w:hAnsi="宋体" w:eastAsia="宋体"/>
                <w:b/>
                <w:bCs/>
                <w:color w:val="auto"/>
                <w:sz w:val="24"/>
                <w:highlight w:val="none"/>
                <w:lang w:eastAsia="zh-CN"/>
              </w:rPr>
              <w:t>管理</w:t>
            </w:r>
          </w:p>
        </w:tc>
        <w:tc>
          <w:tcPr>
            <w:tcW w:w="6622" w:type="dxa"/>
            <w:vAlign w:val="center"/>
          </w:tcPr>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用户管理：</w:t>
            </w:r>
            <w:r>
              <w:rPr>
                <w:rFonts w:hint="eastAsia" w:ascii="宋体" w:hAnsi="宋体" w:eastAsia="宋体"/>
                <w:color w:val="auto"/>
                <w:sz w:val="24"/>
                <w:highlight w:val="none"/>
                <w:lang w:eastAsia="zh-CN"/>
              </w:rPr>
              <w:t>支持增加、编辑、删除、禁用操作系统登录用户</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角色管理：</w:t>
            </w:r>
            <w:r>
              <w:rPr>
                <w:rFonts w:hint="eastAsia" w:ascii="宋体" w:hAnsi="宋体" w:eastAsia="宋体"/>
                <w:color w:val="auto"/>
                <w:sz w:val="24"/>
                <w:highlight w:val="none"/>
                <w:lang w:eastAsia="zh-CN"/>
              </w:rPr>
              <w:t>支持对角色分配指定系统菜单权限，检索数据权限配置</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菜单管理：</w:t>
            </w:r>
            <w:r>
              <w:rPr>
                <w:rFonts w:hint="eastAsia" w:ascii="宋体" w:hAnsi="宋体" w:eastAsia="宋体"/>
                <w:color w:val="auto"/>
                <w:sz w:val="24"/>
                <w:highlight w:val="none"/>
                <w:lang w:eastAsia="zh-CN"/>
              </w:rPr>
              <w:t>支持对系统菜单新增、编辑、删除、禁用</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敏感数据权限：</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向全院医生提供非敏感数据、脱敏后的患者数据以及分析后的数据作为公共数据资源，即不分科室全院医生都可以在共享平台上脱敏后的所有数据</w:t>
            </w:r>
          </w:p>
          <w:p>
            <w:pPr>
              <w:pStyle w:val="201"/>
              <w:numPr>
                <w:ilvl w:val="0"/>
                <w:numId w:val="9"/>
              </w:numPr>
              <w:spacing w:before="6" w:line="360" w:lineRule="auto"/>
              <w:ind w:left="452" w:right="105" w:rightChars="50" w:firstLine="482"/>
              <w:rPr>
                <w:rFonts w:ascii="宋体" w:hAnsi="宋体" w:eastAsia="宋体"/>
                <w:color w:val="auto"/>
                <w:sz w:val="24"/>
                <w:highlight w:val="none"/>
              </w:rPr>
            </w:pPr>
            <w:r>
              <w:rPr>
                <w:rFonts w:hint="eastAsia" w:ascii="宋体" w:hAnsi="宋体" w:eastAsia="宋体"/>
                <w:b/>
                <w:bCs/>
                <w:color w:val="auto"/>
                <w:sz w:val="24"/>
                <w:highlight w:val="none"/>
                <w:lang w:eastAsia="zh-CN"/>
              </w:rPr>
              <w:t>科室权限：</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可查看和导出本科室患者的敏感数据的权限，以及本科室医生参与的科研项目的相关数据。科室拥有查看其他科室或医院的患者的非敏感信息，但是不能导出。</w:t>
            </w:r>
            <w:r>
              <w:rPr>
                <w:rFonts w:hint="eastAsia" w:ascii="宋体" w:hAnsi="宋体" w:eastAsia="宋体"/>
                <w:color w:val="auto"/>
                <w:sz w:val="24"/>
                <w:highlight w:val="none"/>
              </w:rPr>
              <w:t>科室可授权医生拥有本科室权限</w:t>
            </w:r>
          </w:p>
          <w:p>
            <w:pPr>
              <w:pStyle w:val="201"/>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医生权限：</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医生拥有查看其所负责本科室的患者的敏感数据的权限，以及参与管理的项目的数据，如科研随访数据。当医生获得科室授权的时候，也拥有该科室的其他数据，但需经过既定的流程进行审批。</w:t>
            </w:r>
          </w:p>
          <w:p>
            <w:pPr>
              <w:pStyle w:val="201"/>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大数据平台权限：</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提供集中式的权限管理框架，可以对Hadoop生态中的HDFS、Hive、YARN和Solr等组件进行细粒度的权限访问控制，并且提供Web UI方便管理员进行操作。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1" w:leftChars="48" w:right="105" w:rightChars="50"/>
              <w:jc w:val="center"/>
              <w:rPr>
                <w:rFonts w:ascii="宋体" w:hAnsi="宋体" w:eastAsia="宋体"/>
                <w:b/>
                <w:bCs/>
                <w:color w:val="auto"/>
                <w:sz w:val="24"/>
                <w:highlight w:val="none"/>
                <w:lang w:eastAsia="zh-CN"/>
              </w:rPr>
            </w:pPr>
            <w:r>
              <w:rPr>
                <w:rFonts w:hint="eastAsia" w:ascii="宋体" w:hAnsi="宋体" w:eastAsia="宋体"/>
                <w:b/>
                <w:bCs/>
                <w:color w:val="auto"/>
                <w:sz w:val="24"/>
                <w:highlight w:val="none"/>
              </w:rPr>
              <w:t>消息</w:t>
            </w:r>
            <w:r>
              <w:rPr>
                <w:rFonts w:hint="eastAsia" w:ascii="宋体" w:hAnsi="宋体" w:eastAsia="宋体"/>
                <w:b/>
                <w:bCs/>
                <w:color w:val="auto"/>
                <w:sz w:val="24"/>
                <w:highlight w:val="none"/>
                <w:lang w:eastAsia="zh-CN"/>
              </w:rPr>
              <w:t>中心</w:t>
            </w:r>
          </w:p>
        </w:tc>
        <w:tc>
          <w:tcPr>
            <w:tcW w:w="6622" w:type="dxa"/>
            <w:vAlign w:val="center"/>
          </w:tcPr>
          <w:p>
            <w:pPr>
              <w:pStyle w:val="201"/>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消息接收服务：</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消息接收服务主要提供其他业务系统在相应业务环境调用，消息接收成功通过消息推送接口将消息推送到用户客户端。</w:t>
            </w:r>
          </w:p>
          <w:p>
            <w:pPr>
              <w:pStyle w:val="201"/>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消息推送服务：</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向客户端应用系统消息推送、数据推送功能，为信息发布、应用集成提供支撑；消息推送方式分为系统自动推送和人工手动推送两种， 系统自动推送前需要先在流程操作节点进行消息发送配置</w:t>
            </w:r>
          </w:p>
          <w:p>
            <w:pPr>
              <w:pStyle w:val="201"/>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新消息提醒服务：</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监控其他业务系统，获取新产生的有必要提醒用户的消息，转发到消息服务系统，实现新消息提醒服务</w:t>
            </w:r>
          </w:p>
          <w:p>
            <w:pPr>
              <w:pStyle w:val="201"/>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个人消息中心：</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个人发送消息及消息查询管理</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消息检索</w:t>
            </w:r>
            <w:r>
              <w:rPr>
                <w:rFonts w:hint="eastAsia" w:ascii="宋体" w:hAnsi="宋体" w:eastAsia="宋体"/>
                <w:color w:val="auto"/>
                <w:sz w:val="24"/>
                <w:highlight w:val="none"/>
                <w:lang w:eastAsia="zh-CN"/>
              </w:rPr>
              <w:t>：</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提供当日消息时间流水、消息时间组合查询和归档消息查询，每条消息事件会对应多条消息任务</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消息管理：</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提供发送消息功能、web 消息管理和重复消息事件管理</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统计分析：</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对消息进行统计分析</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消息归档：</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对消息事件、消息任务进行归档管理</w:t>
            </w:r>
          </w:p>
          <w:p>
            <w:pPr>
              <w:pStyle w:val="201"/>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消息分发配置管理：</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配置消息类型、消息渠道、消息模板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1" w:leftChars="48" w:right="105" w:rightChars="50"/>
              <w:jc w:val="center"/>
              <w:rPr>
                <w:rFonts w:ascii="宋体" w:hAnsi="宋体" w:eastAsia="宋体"/>
                <w:b/>
                <w:bCs/>
                <w:color w:val="auto"/>
                <w:sz w:val="24"/>
                <w:highlight w:val="none"/>
                <w:lang w:eastAsia="zh-CN"/>
              </w:rPr>
            </w:pPr>
            <w:r>
              <w:rPr>
                <w:rFonts w:hint="eastAsia" w:ascii="宋体" w:hAnsi="宋体" w:eastAsia="宋体"/>
                <w:b/>
                <w:bCs/>
                <w:color w:val="auto"/>
                <w:sz w:val="24"/>
                <w:highlight w:val="none"/>
              </w:rPr>
              <w:t>日志</w:t>
            </w:r>
            <w:r>
              <w:rPr>
                <w:rFonts w:hint="eastAsia" w:ascii="宋体" w:hAnsi="宋体" w:eastAsia="宋体"/>
                <w:b/>
                <w:bCs/>
                <w:color w:val="auto"/>
                <w:sz w:val="24"/>
                <w:highlight w:val="none"/>
                <w:lang w:eastAsia="zh-CN"/>
              </w:rPr>
              <w:t>管理</w:t>
            </w:r>
          </w:p>
        </w:tc>
        <w:tc>
          <w:tcPr>
            <w:tcW w:w="6622" w:type="dxa"/>
            <w:vAlign w:val="center"/>
          </w:tcPr>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登录日志：</w:t>
            </w:r>
            <w:r>
              <w:rPr>
                <w:rFonts w:hint="eastAsia" w:ascii="宋体" w:hAnsi="宋体" w:eastAsia="宋体"/>
                <w:color w:val="auto"/>
                <w:sz w:val="24"/>
                <w:highlight w:val="none"/>
                <w:lang w:eastAsia="zh-CN"/>
              </w:rPr>
              <w:t>支持查看系统用户登录日志，列表显示登录用户、操作系统、浏览器类型、登录ip地址、登录时间、操作信息（登录成功或失败状态）</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操作日志：</w:t>
            </w:r>
            <w:r>
              <w:rPr>
                <w:rFonts w:hint="eastAsia" w:ascii="宋体" w:hAnsi="宋体" w:eastAsia="宋体"/>
                <w:color w:val="auto"/>
                <w:sz w:val="24"/>
                <w:highlight w:val="none"/>
                <w:lang w:eastAsia="zh-CN"/>
              </w:rPr>
              <w:t>支持查看系统用户操作节点日志，列表展示操作模块、操作类型（删除、新增、编辑）、请求方式（post、get、put、delete）、操作人员、ip地址、操作状态，操作日期等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1" w:leftChars="48" w:right="105" w:rightChars="50"/>
              <w:jc w:val="center"/>
              <w:rPr>
                <w:rFonts w:ascii="宋体" w:hAnsi="宋体" w:eastAsia="宋体"/>
                <w:b/>
                <w:bCs/>
                <w:color w:val="auto"/>
                <w:sz w:val="24"/>
                <w:highlight w:val="none"/>
              </w:rPr>
            </w:pPr>
            <w:r>
              <w:rPr>
                <w:rFonts w:hint="eastAsia" w:ascii="宋体" w:hAnsi="宋体" w:eastAsia="宋体"/>
                <w:b/>
                <w:bCs/>
                <w:color w:val="auto"/>
                <w:sz w:val="24"/>
                <w:highlight w:val="none"/>
              </w:rPr>
              <w:t>系统配置</w:t>
            </w:r>
          </w:p>
        </w:tc>
        <w:tc>
          <w:tcPr>
            <w:tcW w:w="6622" w:type="dxa"/>
            <w:vAlign w:val="center"/>
          </w:tcPr>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区域配置：增加、编辑、删除、禁用</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医疗机构配置，关联区域信息，可增加、编辑、删除、禁用</w:t>
            </w:r>
          </w:p>
          <w:p>
            <w:pPr>
              <w:pStyle w:val="201"/>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科室配置，关联医疗机构，可增加、编辑、删除、禁用</w:t>
            </w:r>
          </w:p>
          <w:p>
            <w:pPr>
              <w:pStyle w:val="201"/>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系统参数：可新增、编辑、删除、禁用系统参数</w:t>
            </w:r>
          </w:p>
          <w:p>
            <w:pPr>
              <w:pStyle w:val="201"/>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系统字典：支持对系统字典新增、编辑、删除、禁用</w:t>
            </w:r>
          </w:p>
        </w:tc>
      </w:tr>
    </w:tbl>
    <w:p>
      <w:pPr>
        <w:rPr>
          <w:rFonts w:ascii="宋体" w:hAnsi="宋体"/>
          <w:color w:val="auto"/>
          <w:sz w:val="24"/>
          <w:highlight w:val="none"/>
        </w:rPr>
      </w:pPr>
    </w:p>
    <w:p>
      <w:pPr>
        <w:pStyle w:val="5"/>
        <w:numPr>
          <w:ilvl w:val="2"/>
          <w:numId w:val="8"/>
        </w:numPr>
        <w:tabs>
          <w:tab w:val="clear" w:pos="720"/>
        </w:tabs>
        <w:autoSpaceDE/>
        <w:autoSpaceDN/>
        <w:adjustRightInd/>
        <w:spacing w:before="260" w:after="260" w:line="416" w:lineRule="auto"/>
        <w:jc w:val="both"/>
        <w:rPr>
          <w:rFonts w:hAnsi="宋体"/>
          <w:color w:val="auto"/>
          <w:szCs w:val="24"/>
          <w:highlight w:val="none"/>
        </w:rPr>
      </w:pPr>
      <w:bookmarkStart w:id="749" w:name="_Toc7547"/>
      <w:bookmarkStart w:id="750" w:name="_Toc19710"/>
      <w:bookmarkStart w:id="751" w:name="_Toc138439919"/>
      <w:bookmarkStart w:id="752" w:name="_Toc359794849"/>
      <w:bookmarkStart w:id="753" w:name="_Toc29124"/>
      <w:bookmarkStart w:id="754" w:name="_Toc30887"/>
      <w:bookmarkStart w:id="755" w:name="_Toc28933"/>
      <w:r>
        <w:rPr>
          <w:rFonts w:hint="eastAsia" w:hAnsi="宋体"/>
          <w:color w:val="auto"/>
          <w:szCs w:val="24"/>
          <w:highlight w:val="none"/>
        </w:rPr>
        <w:t>区域专科专病数据</w:t>
      </w:r>
      <w:bookmarkEnd w:id="749"/>
      <w:bookmarkEnd w:id="750"/>
      <w:r>
        <w:rPr>
          <w:rFonts w:hint="eastAsia" w:hAnsi="宋体"/>
          <w:color w:val="auto"/>
          <w:szCs w:val="24"/>
          <w:highlight w:val="none"/>
        </w:rPr>
        <w:t>平台</w:t>
      </w:r>
      <w:bookmarkEnd w:id="751"/>
      <w:bookmarkEnd w:id="752"/>
      <w:bookmarkEnd w:id="753"/>
    </w:p>
    <w:p>
      <w:pPr>
        <w:pStyle w:val="6"/>
        <w:numPr>
          <w:ilvl w:val="3"/>
          <w:numId w:val="8"/>
        </w:numPr>
        <w:tabs>
          <w:tab w:val="clear" w:pos="864"/>
        </w:tabs>
        <w:spacing w:before="280" w:after="290" w:line="376" w:lineRule="auto"/>
        <w:rPr>
          <w:rFonts w:ascii="宋体" w:hAnsi="宋体"/>
          <w:color w:val="auto"/>
          <w:sz w:val="24"/>
          <w:szCs w:val="24"/>
          <w:highlight w:val="none"/>
        </w:rPr>
      </w:pPr>
      <w:bookmarkStart w:id="756" w:name="_Toc27407"/>
      <w:bookmarkStart w:id="757" w:name="_Toc20436"/>
      <w:bookmarkStart w:id="758" w:name="_Toc29184"/>
      <w:bookmarkStart w:id="759" w:name="_Toc1000"/>
      <w:r>
        <w:rPr>
          <w:rFonts w:hint="eastAsia" w:ascii="宋体" w:hAnsi="宋体"/>
          <w:color w:val="auto"/>
          <w:sz w:val="24"/>
          <w:szCs w:val="24"/>
          <w:highlight w:val="none"/>
        </w:rPr>
        <w:t>专病数据加工平台</w:t>
      </w:r>
      <w:bookmarkEnd w:id="756"/>
      <w:bookmarkEnd w:id="757"/>
      <w:bookmarkEnd w:id="758"/>
      <w:bookmarkEnd w:id="759"/>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left="105" w:leftChars="50" w:right="105" w:rightChars="50"/>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1" w:leftChars="48" w:right="105" w:rightChars="50"/>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sz w:val="24"/>
                <w:highlight w:val="none"/>
              </w:rPr>
            </w:pPr>
            <w:r>
              <w:rPr>
                <w:rFonts w:hint="eastAsia" w:ascii="宋体" w:hAnsi="宋体" w:eastAsia="宋体"/>
                <w:b/>
                <w:bCs/>
                <w:color w:val="auto"/>
                <w:sz w:val="24"/>
                <w:highlight w:val="none"/>
              </w:rPr>
              <w:t>专病数据归集</w:t>
            </w:r>
          </w:p>
        </w:tc>
        <w:tc>
          <w:tcPr>
            <w:tcW w:w="6622" w:type="dxa"/>
            <w:vAlign w:val="center"/>
          </w:tcPr>
          <w:p>
            <w:pPr>
              <w:pStyle w:val="201"/>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采集病种相关疾病及患者数据，通过ETL抽取、数据清洗、处理等技术治理，形成完整、精准、可用的数据，用于科研分析、临床应用等</w:t>
            </w:r>
          </w:p>
          <w:p>
            <w:pPr>
              <w:pStyle w:val="201"/>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管理专病数据整合所需的数据来源信息ip、端口、数据库名称、账号、密码等连接信息。支持查询、新增、修改、删除、禁用（启用）等操作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sz w:val="24"/>
                <w:highlight w:val="none"/>
              </w:rPr>
            </w:pPr>
            <w:r>
              <w:rPr>
                <w:rFonts w:hint="eastAsia" w:ascii="宋体" w:hAnsi="宋体" w:eastAsia="宋体"/>
                <w:b/>
                <w:bCs/>
                <w:color w:val="auto"/>
                <w:sz w:val="24"/>
                <w:highlight w:val="none"/>
              </w:rPr>
              <w:t>专病标准数据集</w:t>
            </w:r>
          </w:p>
        </w:tc>
        <w:tc>
          <w:tcPr>
            <w:tcW w:w="6622" w:type="dxa"/>
            <w:vAlign w:val="center"/>
          </w:tcPr>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数据模型：管理数据模型的创建、查询、修改、删除</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支持对专病库的字段、采集路径、计算规则等进行管理，形成专病标准数据集，供系统其他模块调用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sz w:val="24"/>
                <w:highlight w:val="none"/>
              </w:rPr>
            </w:pPr>
            <w:r>
              <w:rPr>
                <w:rFonts w:hint="eastAsia" w:ascii="宋体" w:hAnsi="宋体" w:eastAsia="宋体"/>
                <w:b/>
                <w:bCs/>
                <w:color w:val="auto"/>
                <w:sz w:val="24"/>
                <w:highlight w:val="none"/>
              </w:rPr>
              <w:t>数据后结构化处理</w:t>
            </w:r>
          </w:p>
        </w:tc>
        <w:tc>
          <w:tcPr>
            <w:tcW w:w="6622" w:type="dxa"/>
            <w:vAlign w:val="center"/>
          </w:tcPr>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加工入院记录、出院记录等电子病历文本，形成结构化、标准化数据</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支持影像报告解析：能够支持对CT、MR、PET-CT等影像学检查报告进行信息的结构化表达</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支持心电报告解析：能够对重点疾病心电报告进行文本解析</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支持对重点疾病手术记录的文本解析和结构化提取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sz w:val="24"/>
                <w:highlight w:val="none"/>
              </w:rPr>
            </w:pPr>
            <w:r>
              <w:rPr>
                <w:rFonts w:hint="eastAsia" w:ascii="宋体" w:hAnsi="宋体" w:eastAsia="宋体"/>
                <w:b/>
                <w:bCs/>
                <w:color w:val="auto"/>
                <w:sz w:val="24"/>
                <w:highlight w:val="none"/>
              </w:rPr>
              <w:t>专病归一化处理</w:t>
            </w:r>
          </w:p>
        </w:tc>
        <w:tc>
          <w:tcPr>
            <w:tcW w:w="6622" w:type="dxa"/>
            <w:vAlign w:val="center"/>
          </w:tcPr>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针对诊断、药品、检验、检查等提供同义词转换、近义词转换及提供归一规则，并提交数据报告，以便院方优化原始数据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sz w:val="24"/>
                <w:highlight w:val="none"/>
              </w:rPr>
            </w:pPr>
            <w:r>
              <w:rPr>
                <w:rFonts w:hint="eastAsia" w:ascii="宋体" w:hAnsi="宋体" w:eastAsia="宋体"/>
                <w:b/>
                <w:bCs/>
                <w:color w:val="auto"/>
                <w:sz w:val="24"/>
                <w:highlight w:val="none"/>
              </w:rPr>
              <w:t>任务</w:t>
            </w:r>
            <w:r>
              <w:rPr>
                <w:rFonts w:hint="eastAsia" w:ascii="宋体" w:hAnsi="宋体" w:eastAsia="宋体"/>
                <w:b/>
                <w:bCs/>
                <w:color w:val="auto"/>
                <w:sz w:val="24"/>
                <w:highlight w:val="none"/>
                <w:lang w:eastAsia="zh-CN"/>
              </w:rPr>
              <w:t>调度</w:t>
            </w:r>
            <w:r>
              <w:rPr>
                <w:rFonts w:hint="eastAsia" w:ascii="宋体" w:hAnsi="宋体" w:eastAsia="宋体"/>
                <w:b/>
                <w:bCs/>
                <w:color w:val="auto"/>
                <w:sz w:val="24"/>
                <w:highlight w:val="none"/>
              </w:rPr>
              <w:t>管理</w:t>
            </w:r>
          </w:p>
        </w:tc>
        <w:tc>
          <w:tcPr>
            <w:tcW w:w="6622" w:type="dxa"/>
            <w:vAlign w:val="center"/>
          </w:tcPr>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管理专病数据整合和数据处理的所有任务的执行与调度，可配置任务中的子任务和执行时间</w:t>
            </w:r>
          </w:p>
        </w:tc>
      </w:tr>
    </w:tbl>
    <w:p>
      <w:pPr>
        <w:rPr>
          <w:rFonts w:ascii="宋体" w:hAnsi="宋体"/>
          <w:color w:val="auto"/>
          <w:sz w:val="24"/>
          <w:highlight w:val="none"/>
        </w:rPr>
      </w:pPr>
    </w:p>
    <w:p>
      <w:pPr>
        <w:pStyle w:val="6"/>
        <w:numPr>
          <w:ilvl w:val="3"/>
          <w:numId w:val="8"/>
        </w:numPr>
        <w:tabs>
          <w:tab w:val="clear" w:pos="864"/>
        </w:tabs>
        <w:spacing w:before="280" w:after="290" w:line="376" w:lineRule="auto"/>
        <w:rPr>
          <w:rFonts w:ascii="宋体" w:hAnsi="宋体"/>
          <w:color w:val="auto"/>
          <w:sz w:val="24"/>
          <w:szCs w:val="24"/>
          <w:highlight w:val="none"/>
        </w:rPr>
      </w:pPr>
      <w:bookmarkStart w:id="760" w:name="_Toc22289"/>
      <w:r>
        <w:rPr>
          <w:rFonts w:hint="eastAsia" w:ascii="宋体" w:hAnsi="宋体"/>
          <w:color w:val="auto"/>
          <w:sz w:val="24"/>
          <w:szCs w:val="24"/>
          <w:highlight w:val="none"/>
        </w:rPr>
        <w:t>智能化应用平台</w:t>
      </w:r>
      <w:bookmarkEnd w:id="760"/>
    </w:p>
    <w:p>
      <w:pPr>
        <w:pStyle w:val="7"/>
        <w:numPr>
          <w:ilvl w:val="4"/>
          <w:numId w:val="8"/>
        </w:numPr>
        <w:rPr>
          <w:color w:val="auto"/>
          <w:highlight w:val="none"/>
        </w:rPr>
      </w:pPr>
      <w:bookmarkStart w:id="761" w:name="_Toc4354"/>
      <w:bookmarkStart w:id="762" w:name="_Toc4844"/>
      <w:bookmarkStart w:id="763" w:name="_Toc23804"/>
      <w:r>
        <w:rPr>
          <w:rFonts w:hint="eastAsia" w:ascii="宋体" w:hAnsi="宋体"/>
          <w:color w:val="auto"/>
          <w:szCs w:val="24"/>
          <w:highlight w:val="none"/>
        </w:rPr>
        <w:t>数字化放疗系统</w:t>
      </w:r>
      <w:bookmarkEnd w:id="761"/>
      <w:bookmarkEnd w:id="762"/>
      <w:bookmarkEnd w:id="763"/>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left="105" w:leftChars="50" w:right="105" w:rightChars="50"/>
              <w:jc w:val="center"/>
              <w:rPr>
                <w:rFonts w:ascii="宋体" w:hAnsi="宋体" w:eastAsia="宋体" w:cs="宋体"/>
                <w:b/>
                <w:color w:val="auto"/>
                <w:w w:val="105"/>
                <w:kern w:val="0"/>
                <w:highlight w:val="none"/>
              </w:rPr>
            </w:pPr>
            <w:r>
              <w:rPr>
                <w:rFonts w:hint="eastAsia" w:ascii="宋体" w:hAnsi="宋体" w:eastAsia="宋体" w:cs="宋体"/>
                <w:b/>
                <w:color w:val="auto"/>
                <w:w w:val="105"/>
                <w:kern w:val="0"/>
                <w:highlight w:val="none"/>
              </w:rPr>
              <w:t>功能模块</w:t>
            </w:r>
          </w:p>
        </w:tc>
        <w:tc>
          <w:tcPr>
            <w:tcW w:w="6622" w:type="dxa"/>
            <w:shd w:val="clear" w:color="auto" w:fill="4472C4"/>
            <w:vAlign w:val="center"/>
          </w:tcPr>
          <w:p>
            <w:pPr>
              <w:pStyle w:val="201"/>
              <w:spacing w:before="13" w:line="360" w:lineRule="auto"/>
              <w:ind w:left="105" w:leftChars="50" w:right="105" w:rightChars="50"/>
              <w:jc w:val="center"/>
              <w:rPr>
                <w:rFonts w:ascii="宋体" w:hAnsi="宋体" w:eastAsia="宋体" w:cs="宋体"/>
                <w:b/>
                <w:color w:val="auto"/>
                <w:w w:val="105"/>
                <w:kern w:val="0"/>
                <w:highlight w:val="none"/>
              </w:rPr>
            </w:pPr>
            <w:r>
              <w:rPr>
                <w:rFonts w:hint="eastAsia" w:ascii="宋体" w:hAnsi="宋体" w:eastAsia="宋体" w:cs="宋体"/>
                <w:b/>
                <w:color w:val="auto"/>
                <w:w w:val="105"/>
                <w:kern w:val="0"/>
                <w:highlight w:val="none"/>
              </w:rPr>
              <w:t>功能描述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jc w:val="center"/>
              <w:rPr>
                <w:rFonts w:ascii="宋体" w:hAnsi="宋体" w:eastAsia="宋体" w:cs="宋体"/>
                <w:b/>
                <w:bCs/>
                <w:color w:val="auto"/>
                <w:kern w:val="0"/>
                <w:highlight w:val="none"/>
              </w:rPr>
            </w:pPr>
            <w:r>
              <w:rPr>
                <w:rFonts w:hint="eastAsia" w:ascii="宋体" w:hAnsi="宋体" w:eastAsia="宋体" w:cs="宋体"/>
                <w:b/>
                <w:bCs/>
                <w:color w:val="auto"/>
                <w:kern w:val="0"/>
                <w:sz w:val="24"/>
                <w:szCs w:val="28"/>
                <w:highlight w:val="none"/>
              </w:rPr>
              <w:t>整体要求</w:t>
            </w:r>
          </w:p>
        </w:tc>
        <w:tc>
          <w:tcPr>
            <w:tcW w:w="6622" w:type="dxa"/>
            <w:vAlign w:val="center"/>
          </w:tcPr>
          <w:p>
            <w:pPr>
              <w:pStyle w:val="201"/>
              <w:numPr>
                <w:ilvl w:val="0"/>
                <w:numId w:val="9"/>
              </w:numPr>
              <w:spacing w:before="6" w:line="360" w:lineRule="auto"/>
              <w:ind w:left="452" w:right="105" w:rightChars="50" w:hanging="332"/>
              <w:rPr>
                <w:rFonts w:ascii="宋体" w:hAnsi="宋体" w:eastAsia="宋体"/>
                <w:color w:val="auto"/>
                <w:kern w:val="0"/>
                <w:sz w:val="24"/>
                <w:highlight w:val="none"/>
                <w:lang w:eastAsia="zh-Hans"/>
              </w:rPr>
            </w:pPr>
            <w:r>
              <w:rPr>
                <w:rFonts w:hint="eastAsia" w:ascii="宋体" w:hAnsi="宋体" w:eastAsia="宋体"/>
                <w:color w:val="auto"/>
                <w:kern w:val="0"/>
                <w:sz w:val="24"/>
                <w:highlight w:val="none"/>
                <w:lang w:eastAsia="zh-Hans"/>
              </w:rPr>
              <w:t>系统基于无插件的浏览器访问业务数据和影像</w:t>
            </w:r>
          </w:p>
          <w:p>
            <w:pPr>
              <w:pStyle w:val="201"/>
              <w:numPr>
                <w:ilvl w:val="0"/>
                <w:numId w:val="9"/>
              </w:numPr>
              <w:spacing w:before="6" w:line="360" w:lineRule="auto"/>
              <w:ind w:left="452" w:right="105" w:rightChars="50" w:hanging="332"/>
              <w:rPr>
                <w:rFonts w:ascii="宋体" w:hAnsi="宋体" w:eastAsia="宋体"/>
                <w:color w:val="auto"/>
                <w:kern w:val="0"/>
                <w:sz w:val="24"/>
                <w:highlight w:val="none"/>
                <w:lang w:eastAsia="zh-Hans"/>
              </w:rPr>
            </w:pPr>
            <w:r>
              <w:rPr>
                <w:rFonts w:hint="eastAsia" w:ascii="宋体" w:hAnsi="宋体" w:eastAsia="宋体"/>
                <w:color w:val="auto"/>
                <w:kern w:val="0"/>
                <w:sz w:val="24"/>
                <w:highlight w:val="none"/>
                <w:lang w:eastAsia="zh-Hans"/>
              </w:rPr>
              <w:t>系统访问不受物理工作站数量限制</w:t>
            </w:r>
          </w:p>
          <w:p>
            <w:pPr>
              <w:pStyle w:val="201"/>
              <w:numPr>
                <w:ilvl w:val="0"/>
                <w:numId w:val="9"/>
              </w:numPr>
              <w:spacing w:before="6" w:line="360" w:lineRule="auto"/>
              <w:ind w:left="452" w:right="105" w:rightChars="50" w:hanging="332"/>
              <w:rPr>
                <w:rFonts w:ascii="宋体" w:hAnsi="宋体" w:eastAsia="宋体"/>
                <w:color w:val="auto"/>
                <w:kern w:val="0"/>
                <w:sz w:val="24"/>
                <w:highlight w:val="none"/>
                <w:lang w:eastAsia="zh-Hans"/>
              </w:rPr>
            </w:pPr>
            <w:r>
              <w:rPr>
                <w:rFonts w:hint="eastAsia" w:ascii="宋体" w:hAnsi="宋体" w:eastAsia="宋体"/>
                <w:color w:val="auto"/>
                <w:kern w:val="0"/>
                <w:sz w:val="24"/>
                <w:highlight w:val="none"/>
                <w:lang w:eastAsia="zh-Hans"/>
              </w:rPr>
              <w:t>支持多平台登录，支持Windows、Linux、Mac OS等主流操作系统</w:t>
            </w:r>
          </w:p>
          <w:p>
            <w:pPr>
              <w:pStyle w:val="201"/>
              <w:numPr>
                <w:ilvl w:val="0"/>
                <w:numId w:val="9"/>
              </w:numPr>
              <w:spacing w:before="6" w:line="360" w:lineRule="auto"/>
              <w:ind w:left="452" w:right="105" w:rightChars="50" w:hanging="332"/>
              <w:rPr>
                <w:rFonts w:ascii="宋体" w:hAnsi="宋体" w:eastAsia="宋体"/>
                <w:color w:val="auto"/>
                <w:kern w:val="0"/>
                <w:sz w:val="24"/>
                <w:highlight w:val="none"/>
                <w:lang w:eastAsia="zh-Hans"/>
              </w:rPr>
            </w:pPr>
            <w:r>
              <w:rPr>
                <w:rFonts w:hint="eastAsia" w:ascii="宋体" w:hAnsi="宋体" w:eastAsia="宋体"/>
                <w:color w:val="auto"/>
                <w:kern w:val="0"/>
                <w:sz w:val="24"/>
                <w:highlight w:val="none"/>
                <w:lang w:eastAsia="zh-Hans"/>
              </w:rPr>
              <w:t>具备产品后续可升级支持医院临床科研、信息整合的需求</w:t>
            </w:r>
          </w:p>
          <w:p>
            <w:pPr>
              <w:pStyle w:val="201"/>
              <w:numPr>
                <w:ilvl w:val="0"/>
                <w:numId w:val="9"/>
              </w:numPr>
              <w:spacing w:before="6" w:line="360" w:lineRule="auto"/>
              <w:ind w:left="452" w:right="105" w:rightChars="50" w:hanging="332"/>
              <w:rPr>
                <w:rFonts w:ascii="宋体" w:hAnsi="宋体" w:eastAsia="宋体"/>
                <w:color w:val="auto"/>
                <w:kern w:val="0"/>
                <w:sz w:val="24"/>
                <w:highlight w:val="none"/>
                <w:lang w:eastAsia="zh-Hans"/>
              </w:rPr>
            </w:pPr>
            <w:r>
              <w:rPr>
                <w:rFonts w:hint="eastAsia" w:ascii="宋体" w:hAnsi="宋体" w:eastAsia="宋体"/>
                <w:color w:val="auto"/>
                <w:kern w:val="0"/>
                <w:sz w:val="24"/>
                <w:highlight w:val="none"/>
                <w:lang w:eastAsia="zh-Hans"/>
              </w:rPr>
              <w:t>开放和预留必要的接口，供第三方产品开发联调</w:t>
            </w:r>
          </w:p>
          <w:p>
            <w:pPr>
              <w:pStyle w:val="201"/>
              <w:numPr>
                <w:ilvl w:val="0"/>
                <w:numId w:val="9"/>
              </w:numPr>
              <w:spacing w:before="6" w:line="360" w:lineRule="auto"/>
              <w:ind w:left="452" w:right="105" w:rightChars="50" w:hanging="332"/>
              <w:rPr>
                <w:rFonts w:ascii="宋体" w:hAnsi="宋体" w:eastAsia="宋体"/>
                <w:color w:val="auto"/>
                <w:kern w:val="0"/>
                <w:sz w:val="24"/>
                <w:highlight w:val="none"/>
                <w:lang w:eastAsia="zh-Hans"/>
              </w:rPr>
            </w:pPr>
            <w:r>
              <w:rPr>
                <w:rFonts w:hint="eastAsia" w:ascii="宋体" w:hAnsi="宋体" w:eastAsia="宋体"/>
                <w:color w:val="auto"/>
                <w:kern w:val="0"/>
                <w:sz w:val="24"/>
                <w:highlight w:val="none"/>
                <w:lang w:eastAsia="zh-Hans"/>
              </w:rPr>
              <w:t>具备容错能力，具备数据备份和</w:t>
            </w:r>
            <w:r>
              <w:rPr>
                <w:rFonts w:ascii="宋体" w:hAnsi="宋体" w:eastAsia="宋体"/>
                <w:color w:val="auto"/>
                <w:kern w:val="0"/>
                <w:sz w:val="24"/>
                <w:highlight w:val="none"/>
                <w:lang w:eastAsia="zh-Hans"/>
              </w:rPr>
              <w:t>恢复</w:t>
            </w:r>
            <w:r>
              <w:rPr>
                <w:rFonts w:hint="eastAsia" w:ascii="宋体" w:hAnsi="宋体" w:eastAsia="宋体"/>
                <w:color w:val="auto"/>
                <w:kern w:val="0"/>
                <w:sz w:val="24"/>
                <w:highlight w:val="none"/>
                <w:lang w:eastAsia="zh-Hans"/>
              </w:rPr>
              <w:t>机制</w:t>
            </w:r>
          </w:p>
          <w:p>
            <w:pPr>
              <w:pStyle w:val="201"/>
              <w:numPr>
                <w:ilvl w:val="0"/>
                <w:numId w:val="9"/>
              </w:numPr>
              <w:spacing w:before="6" w:line="360" w:lineRule="auto"/>
              <w:ind w:left="452" w:right="105" w:rightChars="50" w:hanging="332"/>
              <w:rPr>
                <w:rFonts w:ascii="宋体" w:hAnsi="宋体" w:eastAsia="宋体"/>
                <w:color w:val="auto"/>
                <w:kern w:val="0"/>
                <w:sz w:val="24"/>
                <w:highlight w:val="none"/>
                <w:lang w:eastAsia="zh-Hans"/>
              </w:rPr>
            </w:pPr>
            <w:r>
              <w:rPr>
                <w:rFonts w:hint="eastAsia" w:ascii="宋体" w:hAnsi="宋体" w:eastAsia="宋体"/>
                <w:color w:val="auto"/>
                <w:kern w:val="0"/>
                <w:sz w:val="24"/>
                <w:highlight w:val="none"/>
                <w:lang w:eastAsia="zh-Hans"/>
              </w:rPr>
              <w:t>完整的分级权限管理，管理员可以对不同角色授予不同的权限</w:t>
            </w:r>
          </w:p>
          <w:p>
            <w:pPr>
              <w:pStyle w:val="201"/>
              <w:numPr>
                <w:ilvl w:val="0"/>
                <w:numId w:val="9"/>
              </w:numPr>
              <w:spacing w:before="6" w:line="360" w:lineRule="auto"/>
              <w:ind w:left="452" w:right="105" w:rightChars="50" w:hanging="332"/>
              <w:rPr>
                <w:rFonts w:ascii="宋体" w:hAnsi="宋体" w:eastAsia="宋体"/>
                <w:color w:val="auto"/>
                <w:kern w:val="0"/>
                <w:sz w:val="24"/>
                <w:highlight w:val="none"/>
                <w:lang w:eastAsia="zh-Hans"/>
              </w:rPr>
            </w:pPr>
            <w:r>
              <w:rPr>
                <w:rFonts w:hint="eastAsia" w:ascii="宋体" w:hAnsi="宋体" w:eastAsia="宋体"/>
                <w:color w:val="auto"/>
                <w:kern w:val="0"/>
                <w:sz w:val="24"/>
                <w:highlight w:val="none"/>
                <w:lang w:eastAsia="zh-Hans"/>
              </w:rPr>
              <w:t>采用</w:t>
            </w:r>
            <w:r>
              <w:rPr>
                <w:rFonts w:ascii="宋体" w:hAnsi="宋体" w:eastAsia="宋体"/>
                <w:color w:val="auto"/>
                <w:kern w:val="0"/>
                <w:sz w:val="24"/>
                <w:highlight w:val="none"/>
                <w:lang w:eastAsia="zh-Hans"/>
              </w:rPr>
              <w:t>多级</w:t>
            </w:r>
            <w:r>
              <w:rPr>
                <w:rFonts w:hint="eastAsia" w:ascii="宋体" w:hAnsi="宋体" w:eastAsia="宋体"/>
                <w:color w:val="auto"/>
                <w:kern w:val="0"/>
                <w:sz w:val="24"/>
                <w:highlight w:val="none"/>
                <w:lang w:eastAsia="zh-Hans"/>
              </w:rPr>
              <w:t>保护方式，满足医疗信息系统所必须的法律和保护隐私的要求</w:t>
            </w:r>
          </w:p>
          <w:p>
            <w:pPr>
              <w:pStyle w:val="201"/>
              <w:numPr>
                <w:ilvl w:val="0"/>
                <w:numId w:val="9"/>
              </w:numPr>
              <w:spacing w:before="6" w:line="360" w:lineRule="auto"/>
              <w:ind w:left="452" w:right="105" w:rightChars="50" w:hanging="332"/>
              <w:rPr>
                <w:rFonts w:ascii="宋体" w:hAnsi="宋体" w:eastAsia="宋体"/>
                <w:color w:val="auto"/>
                <w:kern w:val="0"/>
                <w:sz w:val="24"/>
                <w:highlight w:val="none"/>
                <w:lang w:eastAsia="zh-Hans"/>
              </w:rPr>
            </w:pPr>
            <w:r>
              <w:rPr>
                <w:rFonts w:hint="eastAsia" w:ascii="宋体" w:hAnsi="宋体" w:eastAsia="宋体"/>
                <w:color w:val="auto"/>
                <w:kern w:val="0"/>
                <w:sz w:val="24"/>
                <w:highlight w:val="none"/>
                <w:lang w:eastAsia="zh-Hans"/>
              </w:rPr>
              <w:t>提供肿瘤治疗专业临床数据的定制化服务</w:t>
            </w:r>
          </w:p>
          <w:p>
            <w:pPr>
              <w:pStyle w:val="201"/>
              <w:numPr>
                <w:ilvl w:val="0"/>
                <w:numId w:val="9"/>
              </w:numPr>
              <w:spacing w:before="6" w:line="360" w:lineRule="auto"/>
              <w:ind w:left="452" w:right="105" w:rightChars="50" w:hanging="332"/>
              <w:rPr>
                <w:rFonts w:ascii="宋体" w:hAnsi="宋体" w:eastAsia="宋体"/>
                <w:color w:val="auto"/>
                <w:kern w:val="0"/>
                <w:sz w:val="24"/>
                <w:highlight w:val="none"/>
                <w:lang w:eastAsia="zh-Hans"/>
              </w:rPr>
            </w:pPr>
            <w:r>
              <w:rPr>
                <w:rFonts w:hint="eastAsia" w:ascii="宋体" w:hAnsi="宋体" w:eastAsia="宋体"/>
                <w:color w:val="auto"/>
                <w:kern w:val="0"/>
                <w:sz w:val="24"/>
                <w:highlight w:val="none"/>
                <w:lang w:eastAsia="zh-Hans"/>
              </w:rPr>
              <w:t>提供放射物理专业的可定制化服务</w:t>
            </w:r>
          </w:p>
          <w:p>
            <w:pPr>
              <w:pStyle w:val="201"/>
              <w:numPr>
                <w:ilvl w:val="0"/>
                <w:numId w:val="9"/>
              </w:numPr>
              <w:spacing w:before="6" w:line="360" w:lineRule="auto"/>
              <w:ind w:left="452" w:right="105" w:rightChars="50" w:hanging="332"/>
              <w:rPr>
                <w:rFonts w:ascii="宋体" w:hAnsi="宋体" w:eastAsia="宋体"/>
                <w:color w:val="auto"/>
                <w:kern w:val="0"/>
                <w:sz w:val="24"/>
                <w:highlight w:val="none"/>
                <w:lang w:eastAsia="zh-Hans"/>
              </w:rPr>
            </w:pPr>
            <w:r>
              <w:rPr>
                <w:rFonts w:hint="eastAsia" w:ascii="宋体" w:hAnsi="宋体" w:eastAsia="宋体"/>
                <w:color w:val="auto"/>
                <w:kern w:val="0"/>
                <w:sz w:val="24"/>
                <w:highlight w:val="none"/>
                <w:lang w:eastAsia="zh-Hans"/>
              </w:rPr>
              <w:t>提供业务表单的定制化服务</w:t>
            </w:r>
          </w:p>
          <w:p>
            <w:pPr>
              <w:pStyle w:val="201"/>
              <w:numPr>
                <w:ilvl w:val="0"/>
                <w:numId w:val="9"/>
              </w:numPr>
              <w:spacing w:before="6" w:line="360" w:lineRule="auto"/>
              <w:ind w:left="452" w:right="105" w:rightChars="50" w:hanging="332"/>
              <w:rPr>
                <w:rFonts w:ascii="宋体" w:hAnsi="宋体" w:eastAsia="宋体"/>
                <w:color w:val="auto"/>
                <w:kern w:val="0"/>
                <w:sz w:val="24"/>
                <w:highlight w:val="none"/>
                <w:lang w:eastAsia="zh-Hans"/>
              </w:rPr>
            </w:pPr>
            <w:r>
              <w:rPr>
                <w:rFonts w:hint="eastAsia" w:ascii="宋体" w:hAnsi="宋体" w:eastAsia="宋体"/>
                <w:color w:val="auto"/>
                <w:kern w:val="0"/>
                <w:sz w:val="24"/>
                <w:highlight w:val="none"/>
                <w:lang w:eastAsia="zh-Hans"/>
              </w:rPr>
              <w:t>支持影像设备DICOM标准（DICOM 3.0），确保与支持DICOM标准的设备正常通讯</w:t>
            </w:r>
          </w:p>
          <w:p>
            <w:pPr>
              <w:pStyle w:val="201"/>
              <w:numPr>
                <w:ilvl w:val="0"/>
                <w:numId w:val="9"/>
              </w:numPr>
              <w:spacing w:before="6" w:line="360" w:lineRule="auto"/>
              <w:ind w:left="452" w:right="105" w:rightChars="50" w:hanging="332"/>
              <w:rPr>
                <w:rFonts w:ascii="宋体" w:hAnsi="宋体" w:eastAsia="宋体"/>
                <w:color w:val="auto"/>
                <w:kern w:val="0"/>
                <w:sz w:val="24"/>
                <w:highlight w:val="none"/>
                <w:lang w:eastAsia="zh-Hans"/>
              </w:rPr>
            </w:pPr>
            <w:r>
              <w:rPr>
                <w:rFonts w:hint="eastAsia" w:ascii="宋体" w:hAnsi="宋体" w:eastAsia="宋体"/>
                <w:color w:val="auto"/>
                <w:kern w:val="0"/>
                <w:sz w:val="24"/>
                <w:highlight w:val="none"/>
                <w:lang w:eastAsia="zh-Hans"/>
              </w:rPr>
              <w:t>确保与第三方TPS的连接</w:t>
            </w:r>
            <w:r>
              <w:rPr>
                <w:rFonts w:ascii="宋体" w:hAnsi="宋体" w:eastAsia="宋体"/>
                <w:color w:val="auto"/>
                <w:kern w:val="0"/>
                <w:sz w:val="24"/>
                <w:highlight w:val="none"/>
                <w:lang w:eastAsia="zh-Hans"/>
              </w:rPr>
              <w:t>，</w:t>
            </w:r>
            <w:r>
              <w:rPr>
                <w:rFonts w:hint="eastAsia" w:ascii="宋体" w:hAnsi="宋体" w:eastAsia="宋体"/>
                <w:color w:val="auto"/>
                <w:kern w:val="0"/>
                <w:sz w:val="24"/>
                <w:highlight w:val="none"/>
                <w:lang w:eastAsia="zh-Hans"/>
              </w:rPr>
              <w:t>全面支持DICOM-RT标准</w:t>
            </w:r>
          </w:p>
          <w:p>
            <w:pPr>
              <w:pStyle w:val="201"/>
              <w:numPr>
                <w:ilvl w:val="0"/>
                <w:numId w:val="9"/>
              </w:numPr>
              <w:spacing w:before="6" w:line="360" w:lineRule="auto"/>
              <w:ind w:left="452" w:right="105" w:rightChars="50" w:hanging="332"/>
              <w:rPr>
                <w:rFonts w:ascii="宋体" w:hAnsi="宋体" w:eastAsia="宋体"/>
                <w:color w:val="auto"/>
                <w:kern w:val="0"/>
                <w:sz w:val="24"/>
                <w:highlight w:val="none"/>
                <w:lang w:eastAsia="zh-Hans"/>
              </w:rPr>
            </w:pPr>
            <w:r>
              <w:rPr>
                <w:rFonts w:hint="eastAsia" w:ascii="宋体" w:hAnsi="宋体" w:eastAsia="宋体"/>
                <w:color w:val="auto"/>
                <w:kern w:val="0"/>
                <w:sz w:val="24"/>
                <w:highlight w:val="none"/>
                <w:lang w:eastAsia="zh-Hans"/>
              </w:rPr>
              <w:t>须提供放疗相关软件著作权登记证书扫描件并加盖公章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jc w:val="center"/>
              <w:rPr>
                <w:rFonts w:ascii="宋体" w:hAnsi="宋体" w:eastAsia="宋体" w:cs="宋体"/>
                <w:b/>
                <w:bCs/>
                <w:color w:val="auto"/>
                <w:kern w:val="0"/>
                <w:highlight w:val="none"/>
              </w:rPr>
            </w:pPr>
            <w:r>
              <w:rPr>
                <w:rFonts w:hint="eastAsia" w:ascii="宋体" w:hAnsi="宋体" w:eastAsia="宋体" w:cs="宋体"/>
                <w:b/>
                <w:bCs/>
                <w:color w:val="auto"/>
                <w:kern w:val="0"/>
                <w:sz w:val="24"/>
                <w:szCs w:val="28"/>
                <w:highlight w:val="none"/>
              </w:rPr>
              <w:t>系统集成</w:t>
            </w:r>
          </w:p>
        </w:tc>
        <w:tc>
          <w:tcPr>
            <w:tcW w:w="6622" w:type="dxa"/>
            <w:vAlign w:val="center"/>
          </w:tcPr>
          <w:p>
            <w:pPr>
              <w:pStyle w:val="201"/>
              <w:numPr>
                <w:ilvl w:val="0"/>
                <w:numId w:val="9"/>
              </w:numPr>
              <w:spacing w:before="6" w:line="360" w:lineRule="auto"/>
              <w:ind w:left="452" w:right="105" w:rightChars="50" w:hanging="332"/>
              <w:rPr>
                <w:rFonts w:ascii="宋体" w:hAnsi="宋体" w:eastAsia="宋体"/>
                <w:color w:val="auto"/>
                <w:kern w:val="0"/>
                <w:sz w:val="24"/>
                <w:highlight w:val="none"/>
                <w:lang w:eastAsia="zh-Hans"/>
              </w:rPr>
            </w:pPr>
            <w:r>
              <w:rPr>
                <w:rFonts w:hint="eastAsia" w:ascii="宋体" w:hAnsi="宋体" w:eastAsia="宋体"/>
                <w:color w:val="auto"/>
                <w:kern w:val="0"/>
                <w:sz w:val="24"/>
                <w:highlight w:val="none"/>
                <w:lang w:eastAsia="zh-Hans"/>
              </w:rPr>
              <w:t>支持通过接口，获取HIS系统门诊/住院病人的基本信息，实现录入与关联；同步病例等</w:t>
            </w:r>
          </w:p>
          <w:p>
            <w:pPr>
              <w:pStyle w:val="201"/>
              <w:numPr>
                <w:ilvl w:val="0"/>
                <w:numId w:val="9"/>
              </w:numPr>
              <w:spacing w:before="6" w:line="360" w:lineRule="auto"/>
              <w:ind w:left="452" w:right="105" w:rightChars="50" w:hanging="332"/>
              <w:rPr>
                <w:rFonts w:ascii="宋体" w:hAnsi="宋体" w:eastAsia="宋体"/>
                <w:color w:val="auto"/>
                <w:kern w:val="0"/>
                <w:sz w:val="24"/>
                <w:highlight w:val="none"/>
                <w:lang w:eastAsia="zh-Hans"/>
              </w:rPr>
            </w:pPr>
            <w:r>
              <w:rPr>
                <w:rFonts w:hint="eastAsia" w:ascii="宋体" w:hAnsi="宋体" w:eastAsia="宋体"/>
                <w:color w:val="auto"/>
                <w:kern w:val="0"/>
                <w:sz w:val="24"/>
                <w:highlight w:val="none"/>
                <w:lang w:eastAsia="zh-Hans"/>
              </w:rPr>
              <w:t>支持</w:t>
            </w:r>
            <w:r>
              <w:rPr>
                <w:rFonts w:hint="eastAsia" w:ascii="宋体" w:hAnsi="宋体" w:eastAsia="宋体"/>
                <w:color w:val="auto"/>
                <w:kern w:val="0"/>
                <w:sz w:val="24"/>
                <w:highlight w:val="none"/>
                <w:lang w:eastAsia="zh-CN"/>
              </w:rPr>
              <w:t>对接HIS，做HIS费用确费</w:t>
            </w:r>
          </w:p>
          <w:p>
            <w:pPr>
              <w:pStyle w:val="201"/>
              <w:numPr>
                <w:ilvl w:val="0"/>
                <w:numId w:val="9"/>
              </w:numPr>
              <w:spacing w:before="6" w:line="360" w:lineRule="auto"/>
              <w:ind w:left="452" w:right="105" w:rightChars="50" w:hanging="332"/>
              <w:rPr>
                <w:rFonts w:ascii="宋体" w:hAnsi="宋体" w:eastAsia="宋体"/>
                <w:color w:val="auto"/>
                <w:kern w:val="0"/>
                <w:sz w:val="24"/>
                <w:highlight w:val="none"/>
                <w:lang w:eastAsia="zh-Hans"/>
              </w:rPr>
            </w:pPr>
            <w:r>
              <w:rPr>
                <w:rFonts w:hint="eastAsia" w:ascii="宋体" w:hAnsi="宋体" w:eastAsia="宋体"/>
                <w:color w:val="auto"/>
                <w:kern w:val="0"/>
                <w:sz w:val="24"/>
                <w:highlight w:val="none"/>
                <w:lang w:eastAsia="zh-CN"/>
              </w:rPr>
              <w:t>支持对接EMR,将业务表单数据以PDF格式发送给EMR系统</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olor w:val="auto"/>
                <w:kern w:val="0"/>
                <w:sz w:val="24"/>
                <w:highlight w:val="none"/>
                <w:lang w:eastAsia="zh-Hans"/>
              </w:rPr>
              <w:t>支持与全院PACS系统的数据对接，基于DICOM3.0协议，实现影像数据的传输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jc w:val="center"/>
              <w:rPr>
                <w:rFonts w:ascii="宋体" w:hAnsi="宋体" w:eastAsia="宋体" w:cs="宋体"/>
                <w:b/>
                <w:bCs/>
                <w:color w:val="auto"/>
                <w:kern w:val="0"/>
                <w:highlight w:val="none"/>
              </w:rPr>
            </w:pPr>
            <w:r>
              <w:rPr>
                <w:rFonts w:hint="eastAsia" w:ascii="宋体" w:hAnsi="宋体" w:eastAsia="宋体" w:cs="宋体"/>
                <w:b/>
                <w:bCs/>
                <w:color w:val="auto"/>
                <w:kern w:val="0"/>
                <w:sz w:val="24"/>
                <w:szCs w:val="28"/>
                <w:highlight w:val="none"/>
              </w:rPr>
              <w:t>患者管理</w:t>
            </w:r>
          </w:p>
        </w:tc>
        <w:tc>
          <w:tcPr>
            <w:tcW w:w="6622" w:type="dxa"/>
            <w:vAlign w:val="center"/>
          </w:tcPr>
          <w:p>
            <w:pPr>
              <w:pStyle w:val="201"/>
              <w:numPr>
                <w:ilvl w:val="0"/>
                <w:numId w:val="9"/>
              </w:numPr>
              <w:spacing w:before="6" w:line="360" w:lineRule="auto"/>
              <w:ind w:left="452" w:right="105" w:rightChars="50" w:hanging="332"/>
              <w:rPr>
                <w:rFonts w:ascii="宋体" w:hAnsi="宋体" w:eastAsia="宋体"/>
                <w:color w:val="auto"/>
                <w:kern w:val="0"/>
                <w:sz w:val="24"/>
                <w:highlight w:val="none"/>
                <w:lang w:eastAsia="zh-Hans"/>
              </w:rPr>
            </w:pPr>
            <w:r>
              <w:rPr>
                <w:rFonts w:hint="eastAsia" w:ascii="宋体" w:hAnsi="宋体" w:eastAsia="宋体"/>
                <w:color w:val="auto"/>
                <w:kern w:val="0"/>
                <w:sz w:val="24"/>
                <w:highlight w:val="none"/>
                <w:lang w:eastAsia="zh-Hans"/>
              </w:rPr>
              <w:t>在系统中创建患者，增加针对该患者的诊断信息，并为患者确定治疗部位、技术和对应的流程</w:t>
            </w:r>
          </w:p>
          <w:p>
            <w:pPr>
              <w:pStyle w:val="201"/>
              <w:numPr>
                <w:ilvl w:val="0"/>
                <w:numId w:val="9"/>
              </w:numPr>
              <w:spacing w:before="6" w:line="360" w:lineRule="auto"/>
              <w:ind w:left="452" w:right="105" w:rightChars="50" w:hanging="332"/>
              <w:rPr>
                <w:rFonts w:ascii="宋体" w:hAnsi="宋体" w:eastAsia="宋体"/>
                <w:color w:val="auto"/>
                <w:kern w:val="0"/>
                <w:sz w:val="24"/>
                <w:highlight w:val="none"/>
                <w:lang w:eastAsia="zh-Hans"/>
              </w:rPr>
            </w:pPr>
            <w:r>
              <w:rPr>
                <w:rFonts w:hint="eastAsia" w:ascii="宋体" w:hAnsi="宋体" w:eastAsia="宋体"/>
                <w:color w:val="auto"/>
                <w:kern w:val="0"/>
                <w:sz w:val="24"/>
                <w:highlight w:val="none"/>
                <w:lang w:eastAsia="zh-Hans"/>
              </w:rPr>
              <w:t>对系统中的患者，进行多维度的查询，以达到快速定位患者，或者快速查找一批有共同特征的患者</w:t>
            </w:r>
          </w:p>
          <w:p>
            <w:pPr>
              <w:pStyle w:val="201"/>
              <w:numPr>
                <w:ilvl w:val="0"/>
                <w:numId w:val="9"/>
              </w:numPr>
              <w:spacing w:before="6" w:line="360" w:lineRule="auto"/>
              <w:ind w:left="452" w:right="105" w:rightChars="50" w:hanging="332"/>
              <w:rPr>
                <w:rFonts w:ascii="宋体" w:hAnsi="宋体" w:eastAsia="宋体"/>
                <w:color w:val="auto"/>
                <w:kern w:val="0"/>
                <w:sz w:val="24"/>
                <w:highlight w:val="none"/>
                <w:lang w:eastAsia="zh-Hans"/>
              </w:rPr>
            </w:pPr>
            <w:r>
              <w:rPr>
                <w:rFonts w:hint="eastAsia" w:ascii="宋体" w:hAnsi="宋体" w:eastAsia="宋体"/>
                <w:color w:val="auto"/>
                <w:kern w:val="0"/>
                <w:sz w:val="24"/>
                <w:highlight w:val="none"/>
                <w:lang w:eastAsia="zh-Hans"/>
              </w:rPr>
              <w:t>对患者基本信息和诊疗信息，按照不同的治疗部位和技术，分别进行展示</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olor w:val="auto"/>
                <w:kern w:val="0"/>
                <w:sz w:val="24"/>
                <w:highlight w:val="none"/>
                <w:lang w:eastAsia="zh-Hans"/>
              </w:rPr>
              <w:t>每个患者，通过患者详情页，能够全面的浏览历史治疗流程信息。包括患者基本信息、诊断信息，治疗历程，预约记录，相关文档管理，操作记录和治疗小结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jc w:val="center"/>
              <w:rPr>
                <w:rFonts w:ascii="宋体" w:hAnsi="宋体" w:eastAsia="宋体" w:cs="宋体"/>
                <w:b/>
                <w:bCs/>
                <w:color w:val="auto"/>
                <w:kern w:val="0"/>
                <w:highlight w:val="none"/>
              </w:rPr>
            </w:pPr>
            <w:r>
              <w:rPr>
                <w:rFonts w:hint="eastAsia" w:ascii="宋体" w:hAnsi="宋体" w:eastAsia="宋体" w:cs="宋体"/>
                <w:b/>
                <w:bCs/>
                <w:color w:val="auto"/>
                <w:kern w:val="0"/>
                <w:sz w:val="24"/>
                <w:szCs w:val="28"/>
                <w:highlight w:val="none"/>
              </w:rPr>
              <w:t>任务管理</w:t>
            </w:r>
          </w:p>
        </w:tc>
        <w:tc>
          <w:tcPr>
            <w:tcW w:w="6622" w:type="dxa"/>
            <w:vAlign w:val="center"/>
          </w:tcPr>
          <w:p>
            <w:pPr>
              <w:pStyle w:val="201"/>
              <w:numPr>
                <w:ilvl w:val="0"/>
                <w:numId w:val="9"/>
              </w:numPr>
              <w:spacing w:before="6" w:line="360" w:lineRule="auto"/>
              <w:ind w:left="452" w:right="105" w:rightChars="50" w:hanging="332"/>
              <w:rPr>
                <w:rFonts w:ascii="宋体" w:hAnsi="宋体" w:eastAsia="宋体"/>
                <w:color w:val="auto"/>
                <w:kern w:val="0"/>
                <w:sz w:val="24"/>
                <w:highlight w:val="none"/>
                <w:lang w:eastAsia="zh-Hans"/>
              </w:rPr>
            </w:pPr>
            <w:r>
              <w:rPr>
                <w:rFonts w:hint="eastAsia" w:ascii="宋体" w:hAnsi="宋体" w:eastAsia="宋体"/>
                <w:color w:val="auto"/>
                <w:kern w:val="0"/>
                <w:sz w:val="24"/>
                <w:highlight w:val="none"/>
                <w:lang w:eastAsia="zh-Hans"/>
              </w:rPr>
              <w:t>根据不同的治疗技术制定治疗流程，并支持按照临床流程自动推进</w:t>
            </w:r>
          </w:p>
          <w:p>
            <w:pPr>
              <w:pStyle w:val="201"/>
              <w:numPr>
                <w:ilvl w:val="0"/>
                <w:numId w:val="9"/>
              </w:numPr>
              <w:spacing w:before="6" w:line="360" w:lineRule="auto"/>
              <w:ind w:left="452" w:right="105" w:rightChars="50" w:hanging="332"/>
              <w:rPr>
                <w:rFonts w:ascii="宋体" w:hAnsi="宋体" w:eastAsia="宋体"/>
                <w:color w:val="auto"/>
                <w:kern w:val="0"/>
                <w:sz w:val="24"/>
                <w:highlight w:val="none"/>
                <w:lang w:eastAsia="zh-Hans"/>
              </w:rPr>
            </w:pPr>
            <w:r>
              <w:rPr>
                <w:rFonts w:hint="eastAsia" w:ascii="宋体" w:hAnsi="宋体" w:eastAsia="宋体"/>
                <w:color w:val="auto"/>
                <w:kern w:val="0"/>
                <w:sz w:val="24"/>
                <w:highlight w:val="none"/>
                <w:lang w:eastAsia="zh-Hans"/>
              </w:rPr>
              <w:t>按照预先配置的治疗流程，系统自动推进各治疗节点任务，及时且不会遗漏</w:t>
            </w:r>
          </w:p>
          <w:p>
            <w:pPr>
              <w:pStyle w:val="201"/>
              <w:numPr>
                <w:ilvl w:val="0"/>
                <w:numId w:val="9"/>
              </w:numPr>
              <w:spacing w:before="6" w:line="360" w:lineRule="auto"/>
              <w:ind w:left="452" w:right="105" w:rightChars="50" w:hanging="332"/>
              <w:rPr>
                <w:rFonts w:ascii="宋体" w:hAnsi="宋体" w:eastAsia="宋体"/>
                <w:color w:val="auto"/>
                <w:kern w:val="0"/>
                <w:sz w:val="24"/>
                <w:highlight w:val="none"/>
                <w:lang w:eastAsia="zh-Hans"/>
              </w:rPr>
            </w:pPr>
            <w:r>
              <w:rPr>
                <w:rFonts w:hint="eastAsia" w:ascii="宋体" w:hAnsi="宋体" w:eastAsia="宋体"/>
                <w:color w:val="auto"/>
                <w:kern w:val="0"/>
                <w:sz w:val="24"/>
                <w:highlight w:val="none"/>
                <w:lang w:eastAsia="zh-Hans"/>
              </w:rPr>
              <w:t>根据用户选择的治疗流程，系统自动管理和推进每个治疗节点的状态变化，用户只需要关注系统提示需要处理的任务即可</w:t>
            </w:r>
          </w:p>
          <w:p>
            <w:pPr>
              <w:pStyle w:val="201"/>
              <w:numPr>
                <w:ilvl w:val="0"/>
                <w:numId w:val="9"/>
              </w:numPr>
              <w:spacing w:before="6" w:line="360" w:lineRule="auto"/>
              <w:ind w:left="452" w:right="105" w:rightChars="50" w:hanging="332"/>
              <w:rPr>
                <w:rFonts w:ascii="宋体" w:hAnsi="宋体" w:eastAsia="宋体"/>
                <w:color w:val="auto"/>
                <w:kern w:val="0"/>
                <w:sz w:val="24"/>
                <w:highlight w:val="none"/>
                <w:lang w:eastAsia="zh-Hans"/>
              </w:rPr>
            </w:pPr>
            <w:r>
              <w:rPr>
                <w:rFonts w:hint="eastAsia" w:ascii="宋体" w:hAnsi="宋体" w:eastAsia="宋体"/>
                <w:color w:val="auto"/>
                <w:kern w:val="0"/>
                <w:sz w:val="24"/>
                <w:highlight w:val="none"/>
                <w:lang w:eastAsia="zh-Hans"/>
              </w:rPr>
              <w:t>用户在专注于自身任务时，可以通过一系列条件快速定位到某个或者某一批任务</w:t>
            </w:r>
          </w:p>
          <w:p>
            <w:pPr>
              <w:pStyle w:val="201"/>
              <w:numPr>
                <w:ilvl w:val="0"/>
                <w:numId w:val="9"/>
              </w:numPr>
              <w:spacing w:before="6" w:line="360" w:lineRule="auto"/>
              <w:ind w:left="452" w:right="105" w:rightChars="50" w:hanging="332"/>
              <w:rPr>
                <w:rFonts w:ascii="宋体" w:hAnsi="宋体" w:eastAsia="宋体"/>
                <w:color w:val="auto"/>
                <w:kern w:val="0"/>
                <w:sz w:val="24"/>
                <w:highlight w:val="none"/>
                <w:lang w:eastAsia="zh-Hans"/>
              </w:rPr>
            </w:pPr>
            <w:r>
              <w:rPr>
                <w:rFonts w:hint="eastAsia" w:ascii="宋体" w:hAnsi="宋体" w:eastAsia="宋体"/>
                <w:color w:val="auto"/>
                <w:kern w:val="0"/>
                <w:sz w:val="24"/>
                <w:highlight w:val="none"/>
                <w:lang w:eastAsia="zh-Hans"/>
              </w:rPr>
              <w:t>系统按照治疗流程，将治疗流程中的治疗节点逐一显示，并能够由用户快速切换</w:t>
            </w:r>
          </w:p>
          <w:p>
            <w:pPr>
              <w:pStyle w:val="201"/>
              <w:numPr>
                <w:ilvl w:val="0"/>
                <w:numId w:val="9"/>
              </w:numPr>
              <w:spacing w:before="6" w:line="360" w:lineRule="auto"/>
              <w:ind w:left="452" w:right="105" w:rightChars="50" w:hanging="332"/>
              <w:rPr>
                <w:rFonts w:ascii="宋体" w:hAnsi="宋体" w:eastAsia="宋体"/>
                <w:color w:val="auto"/>
                <w:kern w:val="0"/>
                <w:sz w:val="24"/>
                <w:highlight w:val="none"/>
                <w:lang w:eastAsia="zh-Hans"/>
              </w:rPr>
            </w:pPr>
            <w:r>
              <w:rPr>
                <w:rFonts w:hint="eastAsia" w:ascii="宋体" w:hAnsi="宋体" w:eastAsia="宋体"/>
                <w:color w:val="auto"/>
                <w:kern w:val="0"/>
                <w:sz w:val="24"/>
                <w:highlight w:val="none"/>
                <w:lang w:eastAsia="zh-Hans"/>
              </w:rPr>
              <w:t>系统按照治疗流程，在一项任务完成之后，自动流转到下一治疗节点</w:t>
            </w:r>
          </w:p>
          <w:p>
            <w:pPr>
              <w:pStyle w:val="201"/>
              <w:numPr>
                <w:ilvl w:val="0"/>
                <w:numId w:val="9"/>
              </w:numPr>
              <w:spacing w:before="6" w:line="360" w:lineRule="auto"/>
              <w:ind w:left="452" w:right="105" w:rightChars="50" w:hanging="332"/>
              <w:rPr>
                <w:rFonts w:ascii="宋体" w:hAnsi="宋体" w:eastAsia="宋体"/>
                <w:color w:val="auto"/>
                <w:kern w:val="0"/>
                <w:sz w:val="24"/>
                <w:highlight w:val="none"/>
                <w:lang w:eastAsia="zh-Hans"/>
              </w:rPr>
            </w:pPr>
            <w:r>
              <w:rPr>
                <w:rFonts w:hint="eastAsia" w:ascii="宋体" w:hAnsi="宋体" w:eastAsia="宋体"/>
                <w:color w:val="auto"/>
                <w:kern w:val="0"/>
                <w:sz w:val="24"/>
                <w:highlight w:val="none"/>
                <w:lang w:eastAsia="zh-Hans"/>
              </w:rPr>
              <w:t>提供任务自动分配机制，将一些治疗节点的任务由系统自动分配给对应的用户</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★由于有些任务的处理时间较长，在实际工作中，需要用户先认领（受理）此任务，再执行实际的任务，从而避免多人处理同一任务的冲突出现</w:t>
            </w:r>
            <w:r>
              <w:rPr>
                <w:rFonts w:hint="eastAsia" w:ascii="宋体" w:hAnsi="宋体" w:eastAsia="宋体" w:cs="宋体"/>
                <w:color w:val="auto"/>
                <w:kern w:val="0"/>
                <w:sz w:val="24"/>
                <w:highlight w:val="none"/>
                <w:lang w:eastAsia="zh-CN"/>
              </w:rPr>
              <w:t>。须</w:t>
            </w:r>
            <w:r>
              <w:rPr>
                <w:rFonts w:hint="eastAsia" w:ascii="宋体" w:hAnsi="宋体" w:eastAsia="宋体" w:cs="宋体"/>
                <w:color w:val="auto"/>
                <w:sz w:val="24"/>
                <w:highlight w:val="none"/>
                <w:lang w:eastAsia="zh-CN"/>
              </w:rPr>
              <w:t>提供操作视频（视频内容包含功能点：1.先选择受理人认领此任务方能执行实际的任务；2.受理人未受理此任务时须有对应的提示信息。</w:t>
            </w:r>
            <w:r>
              <w:rPr>
                <w:rFonts w:hint="eastAsia" w:ascii="宋体" w:hAnsi="宋体" w:eastAsia="宋体"/>
                <w:color w:val="auto"/>
                <w:kern w:val="0"/>
                <w:sz w:val="24"/>
                <w:highlight w:val="none"/>
                <w:lang w:eastAsia="zh-CN"/>
              </w:rPr>
              <w:t>需按</w:t>
            </w:r>
            <w:r>
              <w:rPr>
                <w:rFonts w:hint="eastAsia" w:ascii="宋体" w:hAnsi="宋体" w:eastAsia="宋体"/>
                <w:color w:val="auto"/>
                <w:sz w:val="24"/>
                <w:highlight w:val="none"/>
                <w:lang w:eastAsia="zh-CN"/>
              </w:rPr>
              <w:t>以上功能点顺序录制操作视频及人工语音讲解</w:t>
            </w:r>
            <w:r>
              <w:rPr>
                <w:rFonts w:hint="eastAsia" w:ascii="宋体" w:hAnsi="宋体" w:eastAsia="宋体" w:cs="宋体"/>
                <w:color w:val="auto"/>
                <w:sz w:val="24"/>
                <w:highlight w:val="none"/>
                <w:lang w:eastAsia="zh-CN"/>
              </w:rPr>
              <w:t>）</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对于远程靶区勾画的质量和计划制作的质量，高一级的角色有权利审批或拒绝（需填写备注）并要求当前角色重新制作并提交的流程控制权利</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★在流程中的规定有控制点的操作，均能够退回到前一节点，并可自动或者手动选择相应角色进行重新制作并提交</w:t>
            </w:r>
            <w:r>
              <w:rPr>
                <w:rFonts w:hint="eastAsia" w:ascii="宋体" w:hAnsi="宋体" w:eastAsia="宋体" w:cs="宋体"/>
                <w:color w:val="auto"/>
                <w:kern w:val="0"/>
                <w:sz w:val="24"/>
                <w:highlight w:val="none"/>
                <w:lang w:eastAsia="zh-CN"/>
              </w:rPr>
              <w:t>。须</w:t>
            </w:r>
            <w:r>
              <w:rPr>
                <w:rFonts w:hint="eastAsia" w:ascii="宋体" w:hAnsi="宋体" w:eastAsia="宋体" w:cs="宋体"/>
                <w:color w:val="auto"/>
                <w:sz w:val="24"/>
                <w:highlight w:val="none"/>
                <w:lang w:eastAsia="zh-CN"/>
              </w:rPr>
              <w:t>提供操作视频（视频内容包含功能点：1.提交退回功能后填写任务退回原因；2.任务退回后在前一节点可看到已退回任务信息，信息内容应包括退回原因、发起人等等信息。</w:t>
            </w:r>
            <w:r>
              <w:rPr>
                <w:rFonts w:hint="eastAsia" w:ascii="宋体" w:hAnsi="宋体" w:eastAsia="宋体"/>
                <w:color w:val="auto"/>
                <w:kern w:val="0"/>
                <w:sz w:val="24"/>
                <w:highlight w:val="none"/>
                <w:lang w:eastAsia="zh-CN"/>
              </w:rPr>
              <w:t>需按</w:t>
            </w:r>
            <w:r>
              <w:rPr>
                <w:rFonts w:hint="eastAsia" w:ascii="宋体" w:hAnsi="宋体" w:eastAsia="宋体"/>
                <w:color w:val="auto"/>
                <w:sz w:val="24"/>
                <w:highlight w:val="none"/>
                <w:lang w:eastAsia="zh-CN"/>
              </w:rPr>
              <w:t>以上功能点顺序录制操作视频及人工语音讲解）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jc w:val="center"/>
              <w:rPr>
                <w:rFonts w:ascii="宋体" w:hAnsi="宋体" w:eastAsia="宋体" w:cs="宋体"/>
                <w:b/>
                <w:bCs/>
                <w:color w:val="auto"/>
                <w:kern w:val="0"/>
                <w:highlight w:val="none"/>
              </w:rPr>
            </w:pPr>
            <w:r>
              <w:rPr>
                <w:rFonts w:hint="eastAsia" w:ascii="宋体" w:hAnsi="宋体" w:eastAsia="宋体" w:cs="宋体"/>
                <w:b/>
                <w:bCs/>
                <w:color w:val="auto"/>
                <w:kern w:val="0"/>
                <w:sz w:val="24"/>
                <w:szCs w:val="28"/>
                <w:highlight w:val="none"/>
              </w:rPr>
              <w:t>流程管理</w:t>
            </w:r>
          </w:p>
        </w:tc>
        <w:tc>
          <w:tcPr>
            <w:tcW w:w="6622" w:type="dxa"/>
            <w:vAlign w:val="center"/>
          </w:tcPr>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★提供科室工作流实时定制化，使得系统适合放疗业务特点和科室使用习惯</w:t>
            </w:r>
            <w:r>
              <w:rPr>
                <w:rFonts w:hint="eastAsia" w:ascii="宋体" w:hAnsi="宋体" w:eastAsia="宋体" w:cs="宋体"/>
                <w:color w:val="auto"/>
                <w:kern w:val="0"/>
                <w:sz w:val="24"/>
                <w:highlight w:val="none"/>
                <w:lang w:eastAsia="zh-CN"/>
              </w:rPr>
              <w:t>。</w:t>
            </w:r>
            <w:r>
              <w:rPr>
                <w:rFonts w:hint="eastAsia" w:ascii="宋体" w:hAnsi="宋体" w:eastAsia="宋体" w:cs="宋体"/>
                <w:color w:val="auto"/>
                <w:sz w:val="24"/>
                <w:highlight w:val="none"/>
                <w:lang w:eastAsia="zh-CN"/>
              </w:rPr>
              <w:t>须提供操作视频（视频内容包含功能点：可根据可视化图形拖拽的形式实时定制化工作流。</w:t>
            </w:r>
            <w:r>
              <w:rPr>
                <w:rFonts w:hint="eastAsia" w:ascii="宋体" w:hAnsi="宋体" w:eastAsia="宋体"/>
                <w:color w:val="auto"/>
                <w:kern w:val="0"/>
                <w:sz w:val="24"/>
                <w:highlight w:val="none"/>
                <w:lang w:eastAsia="zh-CN"/>
              </w:rPr>
              <w:t>需按</w:t>
            </w:r>
            <w:r>
              <w:rPr>
                <w:rFonts w:hint="eastAsia" w:ascii="宋体" w:hAnsi="宋体" w:eastAsia="宋体"/>
                <w:color w:val="auto"/>
                <w:sz w:val="24"/>
                <w:highlight w:val="none"/>
                <w:lang w:eastAsia="zh-CN"/>
              </w:rPr>
              <w:t>以上功能点录制操作视频及人工语音讲解</w:t>
            </w:r>
            <w:r>
              <w:rPr>
                <w:rFonts w:hint="eastAsia" w:ascii="宋体" w:hAnsi="宋体" w:eastAsia="宋体" w:cs="宋体"/>
                <w:color w:val="auto"/>
                <w:sz w:val="24"/>
                <w:highlight w:val="none"/>
                <w:lang w:eastAsia="zh-CN"/>
              </w:rPr>
              <w:t>）</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★支持放疗业务流程的实时自编排</w:t>
            </w:r>
            <w:r>
              <w:rPr>
                <w:rFonts w:hint="eastAsia" w:ascii="宋体" w:hAnsi="宋体" w:eastAsia="宋体" w:cs="宋体"/>
                <w:color w:val="auto"/>
                <w:kern w:val="0"/>
                <w:sz w:val="24"/>
                <w:highlight w:val="none"/>
                <w:lang w:eastAsia="zh-CN"/>
              </w:rPr>
              <w:t>。须</w:t>
            </w:r>
            <w:r>
              <w:rPr>
                <w:rFonts w:hint="eastAsia" w:ascii="宋体" w:hAnsi="宋体" w:eastAsia="宋体" w:cs="宋体"/>
                <w:color w:val="auto"/>
                <w:sz w:val="24"/>
                <w:highlight w:val="none"/>
                <w:lang w:eastAsia="zh-CN"/>
              </w:rPr>
              <w:t>提供操作视频（视频内容包含功能点：可根据可视化图形拖拽的形式实时自编排放疗业务流程。</w:t>
            </w:r>
            <w:r>
              <w:rPr>
                <w:rFonts w:hint="eastAsia" w:ascii="宋体" w:hAnsi="宋体" w:eastAsia="宋体"/>
                <w:color w:val="auto"/>
                <w:kern w:val="0"/>
                <w:sz w:val="24"/>
                <w:highlight w:val="none"/>
                <w:lang w:eastAsia="zh-CN"/>
              </w:rPr>
              <w:t>需按</w:t>
            </w:r>
            <w:r>
              <w:rPr>
                <w:rFonts w:hint="eastAsia" w:ascii="宋体" w:hAnsi="宋体" w:eastAsia="宋体"/>
                <w:color w:val="auto"/>
                <w:sz w:val="24"/>
                <w:highlight w:val="none"/>
                <w:lang w:eastAsia="zh-CN"/>
              </w:rPr>
              <w:t>以上功能点顺序录制操作视频及人工语音讲解)</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Hans"/>
              </w:rPr>
              <w:t>★支持同意、拒绝、受理等业务流转和完备的流转日志。</w:t>
            </w:r>
            <w:r>
              <w:rPr>
                <w:rFonts w:hint="eastAsia" w:ascii="宋体" w:hAnsi="宋体" w:eastAsia="宋体" w:cs="宋体"/>
                <w:color w:val="auto"/>
                <w:kern w:val="0"/>
                <w:sz w:val="24"/>
                <w:highlight w:val="none"/>
                <w:lang w:eastAsia="zh-CN"/>
              </w:rPr>
              <w:t>须</w:t>
            </w:r>
            <w:r>
              <w:rPr>
                <w:rFonts w:hint="eastAsia" w:ascii="宋体" w:hAnsi="宋体" w:eastAsia="宋体" w:cs="宋体"/>
                <w:color w:val="auto"/>
                <w:sz w:val="24"/>
                <w:highlight w:val="none"/>
                <w:lang w:eastAsia="zh-CN"/>
              </w:rPr>
              <w:t>提供操作视频（视频内容包含功能点：1.提交退回功能后填写任务退回原因；2.任务退回后在前一节点可看到已退回任务日志，日志内容应包括退回原因、发起人、任务退回流程等信息。</w:t>
            </w:r>
            <w:r>
              <w:rPr>
                <w:rFonts w:hint="eastAsia" w:ascii="宋体" w:hAnsi="宋体" w:eastAsia="宋体"/>
                <w:color w:val="auto"/>
                <w:kern w:val="0"/>
                <w:sz w:val="24"/>
                <w:highlight w:val="none"/>
                <w:lang w:eastAsia="zh-CN"/>
              </w:rPr>
              <w:t>需按</w:t>
            </w:r>
            <w:r>
              <w:rPr>
                <w:rFonts w:hint="eastAsia" w:ascii="宋体" w:hAnsi="宋体" w:eastAsia="宋体"/>
                <w:color w:val="auto"/>
                <w:sz w:val="24"/>
                <w:highlight w:val="none"/>
                <w:lang w:eastAsia="zh-CN"/>
              </w:rPr>
              <w:t>以上功能点顺序录制操作视频及人工语音讲解</w:t>
            </w:r>
            <w:r>
              <w:rPr>
                <w:rFonts w:hint="eastAsia" w:ascii="宋体" w:hAnsi="宋体" w:eastAsia="宋体" w:cs="宋体"/>
                <w:color w:val="auto"/>
                <w:sz w:val="24"/>
                <w:highlight w:val="none"/>
                <w:lang w:eastAsia="zh-CN"/>
              </w:rPr>
              <w:t>）</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支持与业务数据在同一事务中处理，避免数据冲突问题</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支持与医技单、消息提醒、待办工作、已办工作等相关流程功能高度融合</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★提供所见即所得的医技单编辑器，按照用户需求，定制放疗流程管理中所涉及的制模CT定位</w:t>
            </w:r>
            <w:r>
              <w:rPr>
                <w:rFonts w:hint="eastAsia" w:ascii="宋体" w:hAnsi="宋体" w:eastAsia="宋体" w:cs="宋体"/>
                <w:color w:val="auto"/>
                <w:kern w:val="0"/>
                <w:sz w:val="24"/>
                <w:highlight w:val="none"/>
                <w:lang w:eastAsia="zh-CN"/>
              </w:rPr>
              <w:t>申请单</w:t>
            </w:r>
            <w:r>
              <w:rPr>
                <w:rFonts w:hint="eastAsia" w:ascii="宋体" w:hAnsi="宋体" w:eastAsia="宋体" w:cs="宋体"/>
                <w:color w:val="auto"/>
                <w:kern w:val="0"/>
                <w:sz w:val="24"/>
                <w:highlight w:val="none"/>
                <w:lang w:eastAsia="zh-Hans"/>
              </w:rPr>
              <w:t>、计划申请单、治疗单等。</w:t>
            </w:r>
            <w:r>
              <w:rPr>
                <w:rFonts w:hint="eastAsia" w:ascii="宋体" w:hAnsi="宋体" w:eastAsia="宋体" w:cs="宋体"/>
                <w:color w:val="auto"/>
                <w:sz w:val="24"/>
                <w:highlight w:val="none"/>
                <w:lang w:eastAsia="zh-CN"/>
              </w:rPr>
              <w:t>须提供操作视频（视频内容包含功能点：1.提供可视化的医技单编辑器； 2.可根据对可视化的组件进行自由拖拽定制化各种放疗流程管理中所涉及的表单。</w:t>
            </w:r>
            <w:r>
              <w:rPr>
                <w:rFonts w:hint="eastAsia" w:ascii="宋体" w:hAnsi="宋体" w:eastAsia="宋体"/>
                <w:color w:val="auto"/>
                <w:kern w:val="0"/>
                <w:sz w:val="24"/>
                <w:highlight w:val="none"/>
                <w:lang w:eastAsia="zh-CN"/>
              </w:rPr>
              <w:t>需按</w:t>
            </w:r>
            <w:r>
              <w:rPr>
                <w:rFonts w:hint="eastAsia" w:ascii="宋体" w:hAnsi="宋体" w:eastAsia="宋体"/>
                <w:color w:val="auto"/>
                <w:sz w:val="24"/>
                <w:highlight w:val="none"/>
                <w:lang w:eastAsia="zh-CN"/>
              </w:rPr>
              <w:t>以上功能点顺序录制操作视频及人工语音讲解</w:t>
            </w:r>
            <w:r>
              <w:rPr>
                <w:rFonts w:hint="eastAsia" w:ascii="宋体" w:hAnsi="宋体" w:eastAsia="宋体" w:cs="宋体"/>
                <w:color w:val="auto"/>
                <w:sz w:val="24"/>
                <w:highlight w:val="none"/>
                <w:lang w:eastAsia="zh-CN"/>
              </w:rPr>
              <w:t>）</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按照中华人民共和国卫生行业标准结构化，方便后续的统计分析</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支持业务过程中设定事件的消息提醒</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支持设置消息优先权，避免消息风暴和遗漏重要消息</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支持任务消息推送</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提供业务过程中待处理工作任务的主动提醒和快捷处理</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支持按照业务环节聚合分类</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提供已处理工作任务的回顾</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在放疗流程的各个环节，引进审核机制，确保每个环节的信息输入与输出得到有效的保障</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支持基于统一、规范的权限管理控制，明确、合理的工作分工，使工作人员的工作流程更清晰</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为制模CT定位提供规范化、标准化、统一化的临床路径管理和数据管理</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配置和维护医生、技师在制模CT定位的临床路径中数据、电子签名授权等</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定位数据表单，头颈托架等不同品类、摆位记录单等数据表单的定制化修改</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定位流程中的电子表单设计及研发</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定位</w:t>
            </w:r>
            <w:r>
              <w:rPr>
                <w:rFonts w:hint="eastAsia" w:ascii="宋体" w:hAnsi="宋体" w:eastAsia="宋体" w:cs="宋体"/>
                <w:color w:val="auto"/>
                <w:kern w:val="0"/>
                <w:sz w:val="24"/>
                <w:highlight w:val="none"/>
                <w:lang w:eastAsia="zh-CN"/>
              </w:rPr>
              <w:t>申请单</w:t>
            </w:r>
            <w:r>
              <w:rPr>
                <w:rFonts w:hint="eastAsia" w:ascii="宋体" w:hAnsi="宋体" w:eastAsia="宋体" w:cs="宋体"/>
                <w:color w:val="auto"/>
                <w:kern w:val="0"/>
                <w:sz w:val="24"/>
                <w:highlight w:val="none"/>
                <w:lang w:eastAsia="zh-Hans"/>
              </w:rPr>
              <w:t>的PDF导出和打印功能</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为外照射计划治疗提供基于工作流的规范化、标准化、统一化的临床路径管理和数据管理</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提供外照射治疗由医生申请，物理师、技师参与完成，基于工作流技术，临床路径等协同工作</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配置和维护医生、物理师、技师在外照射计划治疗的临床路径以及在临床路径中数据、电子签名授权</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定位工作流程编排，记录处理人及处理时间</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提供计划治疗登记表单的打印预览、打印和PDF导出功能</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治疗单中提供每次治疗确认记录</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提供外照射计划治疗流程的本地化定制</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为外照射简易治疗提供基于工作流的规范化、标准化、统一化的临床路径管理和数据管理</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提供外照射简易治疗由医生、技师参与完成，基于工作流技术，临床路径等协同工作</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配置和维护医生、物理师、技师在外照射简易治疗的临床路径以及在临床路径中数据、电子签名授权</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外照射工作流程编排，记录处理人及处理时间</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提供外照射简易治疗流程的本地化定制</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提供近距离治疗中医生、物理师、技师、定位扫描、计划批准、治疗中的工作流程管理和电子签名授权</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提供定位信息、肿瘤剂量、治疗记录等数据的填写和保存功能</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近距离工作流程编排，记录处理人及处理时间</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提供植入、取出等操作记录数据的保存和授权签名</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提供近距离治疗单的PDF导出和打印功能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jc w:val="center"/>
              <w:rPr>
                <w:rFonts w:ascii="宋体" w:hAnsi="宋体" w:eastAsia="宋体" w:cs="宋体"/>
                <w:b/>
                <w:bCs/>
                <w:color w:val="auto"/>
                <w:kern w:val="0"/>
                <w:highlight w:val="none"/>
              </w:rPr>
            </w:pPr>
            <w:r>
              <w:rPr>
                <w:rFonts w:hint="eastAsia" w:ascii="宋体" w:hAnsi="宋体" w:eastAsia="宋体" w:cs="宋体"/>
                <w:b/>
                <w:bCs/>
                <w:color w:val="auto"/>
                <w:kern w:val="0"/>
                <w:sz w:val="24"/>
                <w:szCs w:val="28"/>
                <w:highlight w:val="none"/>
              </w:rPr>
              <w:t>排程管理</w:t>
            </w:r>
          </w:p>
        </w:tc>
        <w:tc>
          <w:tcPr>
            <w:tcW w:w="6622" w:type="dxa"/>
            <w:vAlign w:val="center"/>
          </w:tcPr>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支持以周视图、天视图或其它视图展现定位预约情况</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定位预约安排业务授权操作（允许、禁止等）</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实时展示定位预约信息</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支持定位设备故障通知</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支持根据定位预约信息生成DICOM工作清单</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★根据放射治疗特点和科室的使用习惯，提供独有的治疗预约算法。</w:t>
            </w:r>
            <w:r>
              <w:rPr>
                <w:rFonts w:hint="eastAsia" w:ascii="宋体" w:hAnsi="宋体" w:eastAsia="宋体" w:cs="宋体"/>
                <w:color w:val="auto"/>
                <w:kern w:val="0"/>
                <w:sz w:val="24"/>
                <w:highlight w:val="none"/>
                <w:lang w:eastAsia="zh-CN"/>
              </w:rPr>
              <w:t>须</w:t>
            </w:r>
            <w:r>
              <w:rPr>
                <w:rFonts w:hint="eastAsia" w:ascii="宋体" w:hAnsi="宋体" w:eastAsia="宋体" w:cs="宋体"/>
                <w:color w:val="auto"/>
                <w:sz w:val="24"/>
                <w:highlight w:val="none"/>
                <w:lang w:eastAsia="zh-CN"/>
              </w:rPr>
              <w:t>提供操作视频（视频内容包含功能点：可在配置界面根据科室的实际情况设置预约班次时间段。</w:t>
            </w:r>
            <w:r>
              <w:rPr>
                <w:rFonts w:hint="eastAsia" w:ascii="宋体" w:hAnsi="宋体" w:eastAsia="宋体"/>
                <w:color w:val="auto"/>
                <w:kern w:val="0"/>
                <w:sz w:val="24"/>
                <w:highlight w:val="none"/>
                <w:lang w:eastAsia="zh-CN"/>
              </w:rPr>
              <w:t>需按</w:t>
            </w:r>
            <w:r>
              <w:rPr>
                <w:rFonts w:hint="eastAsia" w:ascii="宋体" w:hAnsi="宋体" w:eastAsia="宋体"/>
                <w:color w:val="auto"/>
                <w:sz w:val="24"/>
                <w:highlight w:val="none"/>
                <w:lang w:eastAsia="zh-CN"/>
              </w:rPr>
              <w:t>以上功能点录制操作视频及人工语音讲解）</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支持以周视图、天视图或其它视图展现治疗预约情况</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实时展示当前待治疗预约的患者</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治疗设备当前空位实时展示及快速预约</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治疗设备故障通知</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治疗日程自动顺延</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预约单元格提醒（患者、病案号、主管医生、特殊疾病等）</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治疗机预约安排业务授权操作（允许、禁止等）</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治疗机预约安排打印</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支持节假日设置</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支持工作时间的设置</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支持临时性工作时间段的禁止和恢复</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支持主管医生指定设备预约时间段</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支持可预约人数上限设置</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支持根据治疗方式设置单次治疗时长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jc w:val="center"/>
              <w:rPr>
                <w:rFonts w:ascii="宋体" w:hAnsi="宋体" w:eastAsia="宋体" w:cs="宋体"/>
                <w:b/>
                <w:bCs/>
                <w:color w:val="auto"/>
                <w:kern w:val="0"/>
                <w:highlight w:val="none"/>
              </w:rPr>
            </w:pPr>
            <w:r>
              <w:rPr>
                <w:rFonts w:hint="eastAsia" w:ascii="宋体" w:hAnsi="宋体" w:eastAsia="宋体" w:cs="宋体"/>
                <w:b/>
                <w:bCs/>
                <w:color w:val="auto"/>
                <w:kern w:val="0"/>
                <w:sz w:val="24"/>
                <w:szCs w:val="28"/>
                <w:highlight w:val="none"/>
              </w:rPr>
              <w:t>配置管理</w:t>
            </w:r>
          </w:p>
        </w:tc>
        <w:tc>
          <w:tcPr>
            <w:tcW w:w="6622" w:type="dxa"/>
            <w:vAlign w:val="center"/>
          </w:tcPr>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对于科室人员（用户）进行管理（新建，修改或者删除）；科室新入职人员、离职人员用户信息的创建和变更对应的权限管理</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为系统使用定义对应的角色；系统支持创建、修改和停用角色</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对于系统的功能，能够按照角色进行配置和管理；支持为每个角色配置不同的权限</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机构即医院，系统支持创建多个机构，并对机构信息维护和管理</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为系统定义患者标签；为不同的医院、院区和科室，创建和管理不同患者的标签集合</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对需要配合系统进行工作的设备（定位、复位和治疗）进行管理；</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系统支持设备的工作日、可用工作时间段、单次工作时长、最大可预约数量的配置管理</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对科室的工作日、设备工作日进行配置和管理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jc w:val="center"/>
              <w:rPr>
                <w:rFonts w:ascii="宋体" w:hAnsi="宋体" w:eastAsia="宋体" w:cs="宋体"/>
                <w:b/>
                <w:bCs/>
                <w:color w:val="auto"/>
                <w:kern w:val="0"/>
                <w:highlight w:val="none"/>
              </w:rPr>
            </w:pPr>
            <w:r>
              <w:rPr>
                <w:rFonts w:hint="eastAsia" w:ascii="宋体" w:hAnsi="宋体" w:eastAsia="宋体" w:cs="宋体"/>
                <w:b/>
                <w:bCs/>
                <w:color w:val="auto"/>
                <w:kern w:val="0"/>
                <w:sz w:val="24"/>
                <w:szCs w:val="28"/>
                <w:highlight w:val="none"/>
              </w:rPr>
              <w:t>质控管理</w:t>
            </w:r>
          </w:p>
        </w:tc>
        <w:tc>
          <w:tcPr>
            <w:tcW w:w="6622" w:type="dxa"/>
            <w:vAlign w:val="center"/>
          </w:tcPr>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系统提供设备质控管理，面向质控设备，能够接收和管理质控数据</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以项目维度，统计参与医院设备日检、周检、月检和年检正常和异常的质控数据</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以日检、周检、月检、年检视图方式，展示参与医院每台设备的质控结果</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医院的参与人员可以记录每个周期检测的质控数据，并支持一个周期上传多份检查报告</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★支持用户查看每个质控指标的教学步骤、图片以及视频</w:t>
            </w:r>
            <w:r>
              <w:rPr>
                <w:rFonts w:hint="eastAsia" w:ascii="宋体" w:hAnsi="宋体" w:eastAsia="宋体" w:cs="宋体"/>
                <w:color w:val="auto"/>
                <w:kern w:val="0"/>
                <w:sz w:val="24"/>
                <w:highlight w:val="none"/>
                <w:lang w:eastAsia="zh-CN"/>
              </w:rPr>
              <w:t>。须</w:t>
            </w:r>
            <w:r>
              <w:rPr>
                <w:rFonts w:hint="eastAsia" w:ascii="宋体" w:hAnsi="宋体" w:eastAsia="宋体" w:cs="宋体"/>
                <w:color w:val="auto"/>
                <w:sz w:val="24"/>
                <w:highlight w:val="none"/>
                <w:lang w:eastAsia="zh-CN"/>
              </w:rPr>
              <w:t>提供操作视频（视频内容包含功能点：1.质控指标教学示例文字描述；2.质控指标教学示例图片教学；3.质控指标视频教学。</w:t>
            </w:r>
            <w:r>
              <w:rPr>
                <w:rFonts w:hint="eastAsia" w:ascii="宋体" w:hAnsi="宋体" w:eastAsia="宋体"/>
                <w:color w:val="auto"/>
                <w:kern w:val="0"/>
                <w:sz w:val="24"/>
                <w:highlight w:val="none"/>
                <w:lang w:eastAsia="zh-CN"/>
              </w:rPr>
              <w:t>需按</w:t>
            </w:r>
            <w:r>
              <w:rPr>
                <w:rFonts w:hint="eastAsia" w:ascii="宋体" w:hAnsi="宋体" w:eastAsia="宋体"/>
                <w:color w:val="auto"/>
                <w:sz w:val="24"/>
                <w:highlight w:val="none"/>
                <w:lang w:eastAsia="zh-CN"/>
              </w:rPr>
              <w:t>以上功能点顺序录制操作视频及人工语音讲解</w:t>
            </w:r>
            <w:r>
              <w:rPr>
                <w:rFonts w:hint="eastAsia" w:ascii="宋体" w:hAnsi="宋体" w:eastAsia="宋体" w:cs="宋体"/>
                <w:color w:val="auto"/>
                <w:sz w:val="24"/>
                <w:highlight w:val="none"/>
                <w:lang w:eastAsia="zh-CN"/>
              </w:rPr>
              <w:t>）</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Hans"/>
              </w:rPr>
              <w:t>★系统根据指标的参考值、允许误差和测量值等参数，自动计算结果；并对异常指标项特别提示给用户</w:t>
            </w:r>
            <w:r>
              <w:rPr>
                <w:rFonts w:hint="eastAsia" w:ascii="宋体" w:hAnsi="宋体" w:eastAsia="宋体" w:cs="宋体"/>
                <w:color w:val="auto"/>
                <w:kern w:val="0"/>
                <w:sz w:val="24"/>
                <w:highlight w:val="none"/>
                <w:lang w:eastAsia="zh-CN"/>
              </w:rPr>
              <w:t>。须</w:t>
            </w:r>
            <w:r>
              <w:rPr>
                <w:rFonts w:hint="eastAsia" w:ascii="宋体" w:hAnsi="宋体" w:eastAsia="宋体" w:cs="宋体"/>
                <w:color w:val="auto"/>
                <w:sz w:val="24"/>
                <w:highlight w:val="none"/>
                <w:lang w:eastAsia="zh-CN"/>
              </w:rPr>
              <w:t>提供操作视频（视频内容包含功能点：1.质控报告输入异常值时应有相应提示；2.当输入值有异常时，提交报告时应有异常值提示信息；3.提交了有异常值的质控报告后视图里应有异常标志信息。</w:t>
            </w:r>
            <w:r>
              <w:rPr>
                <w:rFonts w:hint="eastAsia" w:ascii="宋体" w:hAnsi="宋体" w:eastAsia="宋体"/>
                <w:color w:val="auto"/>
                <w:kern w:val="0"/>
                <w:sz w:val="24"/>
                <w:highlight w:val="none"/>
                <w:lang w:eastAsia="zh-CN"/>
              </w:rPr>
              <w:t>需按</w:t>
            </w:r>
            <w:r>
              <w:rPr>
                <w:rFonts w:hint="eastAsia" w:ascii="宋体" w:hAnsi="宋体" w:eastAsia="宋体"/>
                <w:color w:val="auto"/>
                <w:sz w:val="24"/>
                <w:highlight w:val="none"/>
                <w:lang w:eastAsia="zh-CN"/>
              </w:rPr>
              <w:t>以上功能点顺序录制操作视频及人工语音讲解）</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系统记录用户所有的行为日志，例如:填写报告、修改报告、上传文档、数据解析、删除文档、打印报告、导出报告等</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Hans"/>
              </w:rPr>
              <w:t>★系统支持维护国际标准指标库TG-142、NCC，并支持医院根据设备的使用程度维护符合自身情况的指标库标准</w:t>
            </w:r>
            <w:r>
              <w:rPr>
                <w:rFonts w:hint="eastAsia" w:ascii="宋体" w:hAnsi="宋体" w:eastAsia="宋体" w:cs="宋体"/>
                <w:color w:val="auto"/>
                <w:kern w:val="0"/>
                <w:sz w:val="24"/>
                <w:highlight w:val="none"/>
                <w:lang w:eastAsia="zh-CN"/>
              </w:rPr>
              <w:t>。须</w:t>
            </w:r>
            <w:r>
              <w:rPr>
                <w:rFonts w:hint="eastAsia" w:ascii="宋体" w:hAnsi="宋体" w:eastAsia="宋体" w:cs="宋体"/>
                <w:color w:val="auto"/>
                <w:sz w:val="24"/>
                <w:highlight w:val="none"/>
                <w:lang w:eastAsia="zh-CN"/>
              </w:rPr>
              <w:t>提供操作视频（视频内容包含功能点：1.提供TG-142国际标准指标库功能；2.提供NCC国际标准指标库功能。</w:t>
            </w:r>
            <w:r>
              <w:rPr>
                <w:rFonts w:hint="eastAsia" w:ascii="宋体" w:hAnsi="宋体" w:eastAsia="宋体"/>
                <w:color w:val="auto"/>
                <w:kern w:val="0"/>
                <w:sz w:val="24"/>
                <w:highlight w:val="none"/>
                <w:lang w:eastAsia="zh-CN"/>
              </w:rPr>
              <w:t>需按</w:t>
            </w:r>
            <w:r>
              <w:rPr>
                <w:rFonts w:hint="eastAsia" w:ascii="宋体" w:hAnsi="宋体" w:eastAsia="宋体"/>
                <w:color w:val="auto"/>
                <w:sz w:val="24"/>
                <w:highlight w:val="none"/>
                <w:lang w:eastAsia="zh-CN"/>
              </w:rPr>
              <w:t>以上功能点顺序录制操作视频及人工语音讲解）</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Hans"/>
              </w:rPr>
              <w:t>★在质控指标库中，可对一些专业的数据进行公式化设置，减少线下的计算量</w:t>
            </w:r>
            <w:r>
              <w:rPr>
                <w:rFonts w:hint="eastAsia" w:ascii="宋体" w:hAnsi="宋体" w:eastAsia="宋体" w:cs="宋体"/>
                <w:color w:val="auto"/>
                <w:kern w:val="0"/>
                <w:sz w:val="24"/>
                <w:highlight w:val="none"/>
                <w:lang w:eastAsia="zh-CN"/>
              </w:rPr>
              <w:t>。</w:t>
            </w:r>
            <w:r>
              <w:rPr>
                <w:rFonts w:hint="eastAsia" w:ascii="宋体" w:hAnsi="宋体" w:eastAsia="宋体" w:cs="宋体"/>
                <w:color w:val="auto"/>
                <w:sz w:val="24"/>
                <w:highlight w:val="none"/>
                <w:lang w:eastAsia="zh-CN"/>
              </w:rPr>
              <w:t>须提供操作视频（视频内容包含功能点：参考值、参考值型别、验证条件、允许误差等。</w:t>
            </w:r>
            <w:r>
              <w:rPr>
                <w:rFonts w:hint="eastAsia" w:ascii="宋体" w:hAnsi="宋体" w:eastAsia="宋体"/>
                <w:color w:val="auto"/>
                <w:kern w:val="0"/>
                <w:sz w:val="24"/>
                <w:highlight w:val="none"/>
                <w:lang w:eastAsia="zh-CN"/>
              </w:rPr>
              <w:t>需按</w:t>
            </w:r>
            <w:r>
              <w:rPr>
                <w:rFonts w:hint="eastAsia" w:ascii="宋体" w:hAnsi="宋体" w:eastAsia="宋体"/>
                <w:color w:val="auto"/>
                <w:sz w:val="24"/>
                <w:highlight w:val="none"/>
                <w:lang w:eastAsia="zh-CN"/>
              </w:rPr>
              <w:t>以上功能点顺序录制操作视频及人工语音讲解）</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表单中内置常用的表单组件（text、input、Textarea、button以及form等）和多种业务组件（签名、上传文件等），用户可以随意调整各组件的位置并绑定数据字典，制作出满足每个业务的个性化表单；表单内容结构化存储，支持搜索、统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jc w:val="center"/>
              <w:rPr>
                <w:rFonts w:ascii="宋体" w:hAnsi="宋体" w:eastAsia="宋体" w:cs="宋体"/>
                <w:b/>
                <w:bCs/>
                <w:color w:val="auto"/>
                <w:kern w:val="0"/>
                <w:highlight w:val="none"/>
              </w:rPr>
            </w:pPr>
            <w:r>
              <w:rPr>
                <w:rFonts w:hint="eastAsia" w:ascii="宋体" w:hAnsi="宋体" w:eastAsia="宋体" w:cs="宋体"/>
                <w:b/>
                <w:bCs/>
                <w:color w:val="auto"/>
                <w:kern w:val="0"/>
                <w:sz w:val="24"/>
                <w:szCs w:val="28"/>
                <w:highlight w:val="none"/>
              </w:rPr>
              <w:t>随访管理</w:t>
            </w:r>
          </w:p>
        </w:tc>
        <w:tc>
          <w:tcPr>
            <w:tcW w:w="6622" w:type="dxa"/>
            <w:vAlign w:val="center"/>
          </w:tcPr>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随访方案与随访问卷，支持创建、编辑随访自定义表单，题型包括填空、单选、多选、日期、逻辑跳题等，必填项设置等</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随访项目</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支持随访项目查询、统计、列表展示、项目进度信息展示等</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支持创建新的随访项目</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支持项目随访方案设计，包括随访方式、随访频次、随访表单、微信模板、短信模板等设置</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支持入组患者搜索，根据病案号、纳入病种、排除病种、首次确诊入院科室、首次确诊出院时间、自动入组等</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随访项自审批，支持科室主任/管理员审核审批项</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执行随访任务</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支持生成随访计划，支持专题负责人/专题参与人完成随访工作任务，支持电话、微信、短信随访，支持填写随访表单等</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通过电话录音盒，支持无需摘机拔打患者电话，通话过程录音，以及随访完成后再次回放录音文件</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智能随访，支持传统人工随访与网络随访相结合的智能随访方式，网络髓访支持微信公众号和短信。</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随访统计</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支持按随访人员统计工作量</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支持按病种统计</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支持按随访方式统计工作量，包括电话随访、微信随访</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支持按日期查询随访有效率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jc w:val="center"/>
              <w:rPr>
                <w:rFonts w:ascii="宋体" w:hAnsi="宋体" w:eastAsia="宋体" w:cs="宋体"/>
                <w:b/>
                <w:bCs/>
                <w:color w:val="auto"/>
                <w:kern w:val="0"/>
                <w:highlight w:val="none"/>
                <w:lang w:eastAsia="zh-CN"/>
              </w:rPr>
            </w:pPr>
            <w:r>
              <w:rPr>
                <w:rFonts w:hint="eastAsia" w:ascii="宋体" w:hAnsi="宋体" w:eastAsia="宋体" w:cs="宋体"/>
                <w:b/>
                <w:bCs/>
                <w:color w:val="auto"/>
                <w:kern w:val="0"/>
                <w:sz w:val="24"/>
                <w:szCs w:val="28"/>
                <w:highlight w:val="none"/>
                <w:lang w:eastAsia="zh-CN"/>
              </w:rPr>
              <w:t>放疗科专病数据库建设（食管癌、胃癌）</w:t>
            </w:r>
          </w:p>
        </w:tc>
        <w:tc>
          <w:tcPr>
            <w:tcW w:w="6622" w:type="dxa"/>
            <w:vAlign w:val="center"/>
          </w:tcPr>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放疗专病研究平台总体要求：</w:t>
            </w:r>
          </w:p>
          <w:p>
            <w:pPr>
              <w:pStyle w:val="201"/>
              <w:widowControl/>
              <w:numPr>
                <w:ilvl w:val="0"/>
                <w:numId w:val="9"/>
              </w:numPr>
              <w:spacing w:before="6" w:line="360" w:lineRule="auto"/>
              <w:ind w:left="452" w:right="105" w:rightChars="50" w:hanging="332"/>
              <w:jc w:val="left"/>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支持医院内食管癌、胃癌2个放疗专病数据库建设。</w:t>
            </w:r>
          </w:p>
          <w:p>
            <w:pPr>
              <w:pStyle w:val="201"/>
              <w:widowControl/>
              <w:numPr>
                <w:ilvl w:val="0"/>
                <w:numId w:val="9"/>
              </w:numPr>
              <w:spacing w:before="6" w:line="360" w:lineRule="auto"/>
              <w:ind w:left="452" w:right="105" w:rightChars="50" w:hanging="332"/>
              <w:jc w:val="left"/>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提供2个专病数据采集、数据治理以及数据质控服务。</w:t>
            </w:r>
          </w:p>
          <w:p>
            <w:pPr>
              <w:pStyle w:val="201"/>
              <w:widowControl/>
              <w:numPr>
                <w:ilvl w:val="0"/>
                <w:numId w:val="9"/>
              </w:numPr>
              <w:spacing w:before="6" w:line="360" w:lineRule="auto"/>
              <w:ind w:left="452" w:right="105" w:rightChars="50" w:hanging="332"/>
              <w:jc w:val="left"/>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支持基于专病的自然语言处理技术。</w:t>
            </w:r>
          </w:p>
          <w:p>
            <w:pPr>
              <w:pStyle w:val="201"/>
              <w:widowControl/>
              <w:numPr>
                <w:ilvl w:val="0"/>
                <w:numId w:val="9"/>
              </w:numPr>
              <w:spacing w:before="6" w:line="360" w:lineRule="auto"/>
              <w:ind w:left="452" w:right="105" w:rightChars="50" w:hanging="332"/>
              <w:jc w:val="left"/>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支持基于专病的术语标化，范围包括5大类结构化数据（诊断、手术、检查、检验和药品）。投标人需要具有术语技术能力：如SNOMED CT、ICD-10、ICD-9、LOINC等。支持SNOMED CT术语应用培训；</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放疗科研OMOP库：</w:t>
            </w:r>
          </w:p>
          <w:p>
            <w:pPr>
              <w:pStyle w:val="201"/>
              <w:widowControl/>
              <w:numPr>
                <w:ilvl w:val="0"/>
                <w:numId w:val="9"/>
              </w:numPr>
              <w:spacing w:before="6" w:line="360" w:lineRule="auto"/>
              <w:ind w:left="452" w:right="105" w:rightChars="50" w:hanging="332"/>
              <w:jc w:val="left"/>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本项目要求建立基于OHDSI （Observational Health Data Sciences and Informatics，观察性健康医疗数据科学与信息学） OMOP模型的通用模型数据库；</w:t>
            </w:r>
          </w:p>
          <w:p>
            <w:pPr>
              <w:pStyle w:val="201"/>
              <w:widowControl/>
              <w:numPr>
                <w:ilvl w:val="0"/>
                <w:numId w:val="9"/>
              </w:numPr>
              <w:spacing w:before="6" w:line="360" w:lineRule="auto"/>
              <w:ind w:left="452" w:right="105" w:rightChars="50" w:hanging="332"/>
              <w:jc w:val="left"/>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支持1个OMOP（通用数据模型）数据库的构建，可以扩展用于多中心研究的参与。</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放疗研究平台首页：</w:t>
            </w:r>
          </w:p>
          <w:p>
            <w:pPr>
              <w:pStyle w:val="201"/>
              <w:widowControl/>
              <w:numPr>
                <w:ilvl w:val="0"/>
                <w:numId w:val="9"/>
              </w:numPr>
              <w:spacing w:before="6" w:line="360" w:lineRule="auto"/>
              <w:ind w:left="452" w:right="105" w:rightChars="50" w:hanging="332"/>
              <w:jc w:val="left"/>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支持查看专病库内整体患者概要信。</w:t>
            </w:r>
          </w:p>
          <w:p>
            <w:pPr>
              <w:pStyle w:val="201"/>
              <w:widowControl/>
              <w:numPr>
                <w:ilvl w:val="0"/>
                <w:numId w:val="9"/>
              </w:numPr>
              <w:spacing w:before="6" w:line="360" w:lineRule="auto"/>
              <w:ind w:left="452" w:right="105" w:rightChars="50" w:hanging="332"/>
              <w:jc w:val="left"/>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支持查看用药排名，手术排名，诊断排名，检查检验排名，合并症统计，治疗方式统计等。</w:t>
            </w:r>
          </w:p>
          <w:p>
            <w:pPr>
              <w:pStyle w:val="201"/>
              <w:widowControl/>
              <w:numPr>
                <w:ilvl w:val="0"/>
                <w:numId w:val="9"/>
              </w:numPr>
              <w:spacing w:before="6" w:line="360" w:lineRule="auto"/>
              <w:ind w:left="452" w:right="105" w:rightChars="50" w:hanging="332"/>
              <w:jc w:val="left"/>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支持统计以多种形式展现。</w:t>
            </w:r>
          </w:p>
          <w:p>
            <w:pPr>
              <w:pStyle w:val="201"/>
              <w:widowControl/>
              <w:numPr>
                <w:ilvl w:val="0"/>
                <w:numId w:val="9"/>
              </w:numPr>
              <w:spacing w:before="6" w:line="360" w:lineRule="auto"/>
              <w:ind w:left="452" w:right="105" w:rightChars="50" w:hanging="332"/>
              <w:jc w:val="left"/>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支持专病特有统计的定制化开发。</w:t>
            </w:r>
          </w:p>
          <w:p>
            <w:pPr>
              <w:pStyle w:val="201"/>
              <w:widowControl/>
              <w:numPr>
                <w:ilvl w:val="0"/>
                <w:numId w:val="9"/>
              </w:numPr>
              <w:spacing w:before="6" w:line="360" w:lineRule="auto"/>
              <w:ind w:left="452" w:right="105" w:rightChars="50" w:hanging="332"/>
              <w:jc w:val="left"/>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支持用户根据自己喜好，自定义首页内容，各个数据项的位置。</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智能放疗数据检索：</w:t>
            </w:r>
          </w:p>
          <w:p>
            <w:pPr>
              <w:pStyle w:val="201"/>
              <w:widowControl/>
              <w:numPr>
                <w:ilvl w:val="0"/>
                <w:numId w:val="9"/>
              </w:numPr>
              <w:spacing w:before="6" w:line="360" w:lineRule="auto"/>
              <w:ind w:left="452" w:right="105" w:rightChars="50" w:hanging="332"/>
              <w:jc w:val="left"/>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支持高级检索，支持事件搜索，支持快速搜索，支持搜索结果查看。</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放疗科研患者队列管理：</w:t>
            </w:r>
          </w:p>
          <w:p>
            <w:pPr>
              <w:pStyle w:val="201"/>
              <w:widowControl/>
              <w:numPr>
                <w:ilvl w:val="0"/>
                <w:numId w:val="9"/>
              </w:numPr>
              <w:spacing w:before="6" w:line="360" w:lineRule="auto"/>
              <w:ind w:left="452" w:right="105" w:rightChars="50" w:hanging="332"/>
              <w:jc w:val="left"/>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支持患者360全景视图。</w:t>
            </w:r>
          </w:p>
          <w:p>
            <w:pPr>
              <w:pStyle w:val="201"/>
              <w:widowControl/>
              <w:numPr>
                <w:ilvl w:val="0"/>
                <w:numId w:val="9"/>
              </w:numPr>
              <w:spacing w:before="6" w:line="360" w:lineRule="auto"/>
              <w:ind w:left="452" w:right="105" w:rightChars="50" w:hanging="332"/>
              <w:jc w:val="left"/>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支持队列中的患者加入到科研项目。</w:t>
            </w:r>
          </w:p>
          <w:p>
            <w:pPr>
              <w:pStyle w:val="201"/>
              <w:widowControl/>
              <w:numPr>
                <w:ilvl w:val="0"/>
                <w:numId w:val="9"/>
              </w:numPr>
              <w:spacing w:before="6" w:line="360" w:lineRule="auto"/>
              <w:ind w:left="452" w:right="105" w:rightChars="50" w:hanging="332"/>
              <w:jc w:val="left"/>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符合筛选条件的患者自动更新到队列。</w:t>
            </w:r>
          </w:p>
          <w:p>
            <w:pPr>
              <w:pStyle w:val="201"/>
              <w:widowControl/>
              <w:numPr>
                <w:ilvl w:val="0"/>
                <w:numId w:val="9"/>
              </w:numPr>
              <w:spacing w:before="6" w:line="360" w:lineRule="auto"/>
              <w:ind w:left="452" w:right="105" w:rightChars="50" w:hanging="332"/>
              <w:jc w:val="left"/>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支持在队列中进行二次筛选，可对筛选出的患者另存为队列。</w:t>
            </w:r>
          </w:p>
          <w:p>
            <w:pPr>
              <w:pStyle w:val="201"/>
              <w:widowControl/>
              <w:numPr>
                <w:ilvl w:val="0"/>
                <w:numId w:val="9"/>
              </w:numPr>
              <w:spacing w:before="6" w:line="360" w:lineRule="auto"/>
              <w:ind w:left="452" w:right="105" w:rightChars="50" w:hanging="332"/>
              <w:jc w:val="left"/>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支持患者列表字段自定义显示配置。</w:t>
            </w:r>
          </w:p>
          <w:p>
            <w:pPr>
              <w:pStyle w:val="201"/>
              <w:widowControl/>
              <w:numPr>
                <w:ilvl w:val="0"/>
                <w:numId w:val="9"/>
              </w:numPr>
              <w:spacing w:before="6" w:line="360" w:lineRule="auto"/>
              <w:ind w:left="452" w:right="105" w:rightChars="50" w:hanging="332"/>
              <w:jc w:val="left"/>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队列内患者的可视化管理。</w:t>
            </w:r>
          </w:p>
          <w:p>
            <w:pPr>
              <w:pStyle w:val="201"/>
              <w:widowControl/>
              <w:numPr>
                <w:ilvl w:val="0"/>
                <w:numId w:val="9"/>
              </w:numPr>
              <w:spacing w:before="6" w:line="360" w:lineRule="auto"/>
              <w:ind w:left="452" w:right="105" w:rightChars="50" w:hanging="332"/>
              <w:jc w:val="left"/>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支持数据导出。</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放疗科研数据统计分析：</w:t>
            </w:r>
          </w:p>
          <w:p>
            <w:pPr>
              <w:pStyle w:val="201"/>
              <w:widowControl/>
              <w:numPr>
                <w:ilvl w:val="0"/>
                <w:numId w:val="9"/>
              </w:numPr>
              <w:spacing w:before="6" w:line="360" w:lineRule="auto"/>
              <w:ind w:left="452" w:right="105" w:rightChars="50" w:hanging="332"/>
              <w:jc w:val="left"/>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创建科研项目：支持研究者根据课题需要创建回顾性科研项目和前瞻性科研项目，管理自己参与的科研项目，同时支持项目参与成员管理、项目相关参考文献附件管理；项目内支持搜索研究对象。</w:t>
            </w:r>
          </w:p>
          <w:p>
            <w:pPr>
              <w:pStyle w:val="201"/>
              <w:widowControl/>
              <w:numPr>
                <w:ilvl w:val="0"/>
                <w:numId w:val="9"/>
              </w:numPr>
              <w:spacing w:before="6" w:line="360" w:lineRule="auto"/>
              <w:ind w:left="452" w:right="105" w:rightChars="50" w:hanging="332"/>
              <w:jc w:val="left"/>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研究对象：支持数据检索出来的患者直接添加到项目中作为研究对象，支持已有队列的患者添加到项目中作为研究对象；研究对象支持剔除和增量加入。</w:t>
            </w:r>
          </w:p>
          <w:p>
            <w:pPr>
              <w:pStyle w:val="201"/>
              <w:widowControl/>
              <w:numPr>
                <w:ilvl w:val="0"/>
                <w:numId w:val="9"/>
              </w:numPr>
              <w:spacing w:before="6" w:line="360" w:lineRule="auto"/>
              <w:ind w:left="452" w:right="105" w:rightChars="50" w:hanging="332"/>
              <w:jc w:val="left"/>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研究指标选取：1.支持根据课题需要，提取不同观测指标，且可以设置观测指标的基线时间，支持首次末次。2.支持观测指标的数据预览。3.支持观测指标的数据质量检查，可选择全部指标进行检查。4.观测指标支持实时自动保存。5.支持对研究对象某些观测指标的缺失值进行均数/中位数/随机数/删除替换。</w:t>
            </w:r>
          </w:p>
          <w:p>
            <w:pPr>
              <w:pStyle w:val="201"/>
              <w:widowControl/>
              <w:numPr>
                <w:ilvl w:val="0"/>
                <w:numId w:val="9"/>
              </w:numPr>
              <w:spacing w:before="6" w:line="360" w:lineRule="auto"/>
              <w:ind w:left="452" w:right="105" w:rightChars="50" w:hanging="332"/>
              <w:jc w:val="left"/>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统计分析方法选取：1.支持用户在创建项目，数据收集后，直接在平台上进行数据统计。目前版本支持相关分析、单因素分析、描述性分析、多因素分析、生存分析统计。统计分析结果可保存、方便管理科研成果。2.描述性统计。为科研项目中的变量进行基本统计量的计算，如构成比、均数、标准差、中心位、方差、极值、正态性检验等。3.单因素分析，支持单变量的单因素组间比较，目前支持t检验、卡方检验、秩和检验、单因素方差分析。4.相关性分析支持两变量间的相关性分析，目前支持线性相关、秩相关。5.多因素分析支持逻辑回归、线性回归。6.生存分析支持Cox回归。</w:t>
            </w:r>
          </w:p>
          <w:p>
            <w:pPr>
              <w:pStyle w:val="201"/>
              <w:widowControl/>
              <w:numPr>
                <w:ilvl w:val="0"/>
                <w:numId w:val="9"/>
              </w:numPr>
              <w:spacing w:before="6" w:line="360" w:lineRule="auto"/>
              <w:ind w:left="452" w:right="105" w:rightChars="50" w:hanging="332"/>
              <w:jc w:val="left"/>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分析结果：支持分析结果在线展示；支持分析结果采用三线表进行基线信息展示；支持倾向评分匹配。</w:t>
            </w:r>
          </w:p>
          <w:p>
            <w:pPr>
              <w:pStyle w:val="201"/>
              <w:numPr>
                <w:ilvl w:val="0"/>
                <w:numId w:val="9"/>
              </w:numPr>
              <w:spacing w:before="6" w:line="360" w:lineRule="auto"/>
              <w:ind w:left="452" w:right="105" w:rightChars="50" w:hanging="332"/>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放疗CRF管理：</w:t>
            </w:r>
          </w:p>
          <w:p>
            <w:pPr>
              <w:pStyle w:val="201"/>
              <w:widowControl/>
              <w:numPr>
                <w:ilvl w:val="0"/>
                <w:numId w:val="9"/>
              </w:numPr>
              <w:spacing w:before="6" w:line="360" w:lineRule="auto"/>
              <w:ind w:left="452" w:right="105" w:rightChars="50" w:hanging="332"/>
              <w:jc w:val="left"/>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支持点选方式建题。</w:t>
            </w:r>
          </w:p>
          <w:p>
            <w:pPr>
              <w:pStyle w:val="201"/>
              <w:widowControl/>
              <w:numPr>
                <w:ilvl w:val="0"/>
                <w:numId w:val="9"/>
              </w:numPr>
              <w:spacing w:before="6" w:line="360" w:lineRule="auto"/>
              <w:ind w:left="452" w:right="105" w:rightChars="50" w:hanging="332"/>
              <w:jc w:val="left"/>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自定义建题，题型支持。</w:t>
            </w:r>
          </w:p>
          <w:p>
            <w:pPr>
              <w:pStyle w:val="201"/>
              <w:widowControl/>
              <w:numPr>
                <w:ilvl w:val="0"/>
                <w:numId w:val="9"/>
              </w:numPr>
              <w:spacing w:before="6" w:line="360" w:lineRule="auto"/>
              <w:ind w:left="452" w:right="105" w:rightChars="50" w:hanging="332"/>
              <w:jc w:val="left"/>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支持CRF内多题目间显示与隐藏的逻辑关系以及自动计算量表等。</w:t>
            </w:r>
          </w:p>
          <w:p>
            <w:pPr>
              <w:pStyle w:val="201"/>
              <w:widowControl/>
              <w:numPr>
                <w:ilvl w:val="0"/>
                <w:numId w:val="9"/>
              </w:numPr>
              <w:spacing w:before="6" w:line="360" w:lineRule="auto"/>
              <w:ind w:left="452" w:right="105" w:rightChars="50" w:hanging="332"/>
              <w:jc w:val="left"/>
              <w:rPr>
                <w:rFonts w:ascii="宋体" w:hAnsi="宋体" w:eastAsia="宋体" w:cs="宋体"/>
                <w:color w:val="auto"/>
                <w:kern w:val="0"/>
                <w:sz w:val="24"/>
                <w:highlight w:val="none"/>
                <w:lang w:eastAsia="zh-Hans"/>
              </w:rPr>
            </w:pPr>
            <w:r>
              <w:rPr>
                <w:rFonts w:hint="eastAsia" w:ascii="宋体" w:hAnsi="宋体" w:eastAsia="宋体" w:cs="宋体"/>
                <w:color w:val="auto"/>
                <w:kern w:val="0"/>
                <w:sz w:val="24"/>
                <w:highlight w:val="none"/>
                <w:lang w:eastAsia="zh-Hans"/>
              </w:rPr>
              <w:t>支持题目自由排序。</w:t>
            </w:r>
          </w:p>
        </w:tc>
      </w:tr>
    </w:tbl>
    <w:p>
      <w:pPr>
        <w:rPr>
          <w:rFonts w:ascii="宋体" w:hAnsi="宋体"/>
          <w:color w:val="auto"/>
          <w:sz w:val="24"/>
          <w:highlight w:val="none"/>
        </w:rPr>
      </w:pPr>
    </w:p>
    <w:p>
      <w:pPr>
        <w:pStyle w:val="7"/>
        <w:numPr>
          <w:ilvl w:val="4"/>
          <w:numId w:val="8"/>
        </w:numPr>
        <w:rPr>
          <w:rFonts w:ascii="宋体" w:hAnsi="宋体"/>
          <w:color w:val="auto"/>
          <w:szCs w:val="24"/>
          <w:highlight w:val="none"/>
        </w:rPr>
      </w:pPr>
      <w:bookmarkStart w:id="764" w:name="_Toc5495"/>
      <w:bookmarkStart w:id="765" w:name="_Toc5945"/>
      <w:bookmarkStart w:id="766" w:name="_Toc6259"/>
      <w:r>
        <w:rPr>
          <w:rFonts w:hint="eastAsia" w:ascii="宋体" w:hAnsi="宋体"/>
          <w:color w:val="auto"/>
          <w:szCs w:val="24"/>
          <w:highlight w:val="none"/>
        </w:rPr>
        <w:t>5G+“数字肺”肺疾病精准诊疗系统</w:t>
      </w:r>
      <w:bookmarkEnd w:id="764"/>
      <w:bookmarkEnd w:id="765"/>
      <w:bookmarkEnd w:id="766"/>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left="105" w:leftChars="50" w:right="105" w:rightChars="50"/>
              <w:jc w:val="center"/>
              <w:rPr>
                <w:rFonts w:ascii="宋体" w:hAnsi="宋体" w:eastAsia="宋体"/>
                <w:b/>
                <w:color w:val="auto"/>
                <w:w w:val="105"/>
                <w:kern w:val="0"/>
                <w:sz w:val="24"/>
                <w:highlight w:val="none"/>
              </w:rPr>
            </w:pPr>
            <w:r>
              <w:rPr>
                <w:rFonts w:hint="eastAsia" w:ascii="宋体" w:hAnsi="宋体" w:eastAsia="宋体"/>
                <w:b/>
                <w:color w:val="auto"/>
                <w:w w:val="105"/>
                <w:kern w:val="0"/>
                <w:sz w:val="24"/>
                <w:highlight w:val="none"/>
              </w:rPr>
              <w:t>功能模块</w:t>
            </w:r>
          </w:p>
        </w:tc>
        <w:tc>
          <w:tcPr>
            <w:tcW w:w="6622" w:type="dxa"/>
            <w:shd w:val="clear" w:color="auto" w:fill="4472C4"/>
            <w:vAlign w:val="center"/>
          </w:tcPr>
          <w:p>
            <w:pPr>
              <w:pStyle w:val="201"/>
              <w:spacing w:before="13" w:line="360" w:lineRule="auto"/>
              <w:ind w:left="101" w:leftChars="48" w:right="105" w:rightChars="50"/>
              <w:jc w:val="center"/>
              <w:rPr>
                <w:rFonts w:ascii="宋体" w:hAnsi="宋体" w:eastAsia="宋体"/>
                <w:b/>
                <w:color w:val="auto"/>
                <w:w w:val="105"/>
                <w:kern w:val="0"/>
                <w:sz w:val="24"/>
                <w:highlight w:val="none"/>
              </w:rPr>
            </w:pPr>
            <w:r>
              <w:rPr>
                <w:rFonts w:ascii="宋体" w:hAnsi="宋体" w:eastAsia="宋体"/>
                <w:b/>
                <w:color w:val="auto"/>
                <w:w w:val="105"/>
                <w:kern w:val="0"/>
                <w:sz w:val="24"/>
                <w:highlight w:val="none"/>
              </w:rPr>
              <w:t>功能</w:t>
            </w:r>
            <w:r>
              <w:rPr>
                <w:rFonts w:hint="eastAsia" w:ascii="宋体" w:hAnsi="宋体" w:eastAsia="宋体"/>
                <w:b/>
                <w:color w:val="auto"/>
                <w:w w:val="105"/>
                <w:kern w:val="0"/>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kern w:val="0"/>
                <w:sz w:val="24"/>
                <w:highlight w:val="none"/>
              </w:rPr>
            </w:pPr>
            <w:r>
              <w:rPr>
                <w:rFonts w:hint="eastAsia" w:ascii="宋体" w:hAnsi="宋体" w:eastAsia="宋体" w:cs="华文仿宋"/>
                <w:b/>
                <w:color w:val="auto"/>
                <w:kern w:val="0"/>
                <w:sz w:val="24"/>
                <w:highlight w:val="none"/>
                <w:lang w:bidi="ar"/>
              </w:rPr>
              <w:t>数字肺数据中心软件</w:t>
            </w:r>
          </w:p>
        </w:tc>
        <w:tc>
          <w:tcPr>
            <w:tcW w:w="6622" w:type="dxa"/>
            <w:vAlign w:val="center"/>
          </w:tcPr>
          <w:p>
            <w:pPr>
              <w:pStyle w:val="201"/>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b/>
                <w:bCs/>
                <w:color w:val="auto"/>
                <w:kern w:val="0"/>
                <w:sz w:val="24"/>
                <w:highlight w:val="none"/>
                <w:lang w:eastAsia="zh-CN"/>
              </w:rPr>
              <w:t>数据运维平台：</w:t>
            </w:r>
            <w:r>
              <w:rPr>
                <w:rFonts w:hint="eastAsia" w:ascii="宋体" w:hAnsi="宋体" w:eastAsia="宋体"/>
                <w:color w:val="auto"/>
                <w:kern w:val="0"/>
                <w:sz w:val="24"/>
                <w:highlight w:val="none"/>
                <w:lang w:eastAsia="zh-CN"/>
              </w:rPr>
              <w:t>提供全平台数据管理，文件管理，人员管理，病人管理等</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b/>
                <w:bCs/>
                <w:color w:val="auto"/>
                <w:kern w:val="0"/>
                <w:sz w:val="24"/>
                <w:highlight w:val="none"/>
                <w:lang w:eastAsia="zh-CN"/>
              </w:rPr>
              <w:t>业务管理平台：</w:t>
            </w:r>
            <w:r>
              <w:rPr>
                <w:rFonts w:hint="eastAsia" w:ascii="宋体" w:hAnsi="宋体" w:eastAsia="宋体"/>
                <w:color w:val="auto"/>
                <w:kern w:val="0"/>
                <w:sz w:val="24"/>
                <w:highlight w:val="none"/>
                <w:lang w:eastAsia="zh-CN"/>
              </w:rPr>
              <w:t>提供工作列表，阅片管理，终端服务支撑</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b/>
                <w:bCs/>
                <w:color w:val="auto"/>
                <w:kern w:val="0"/>
                <w:sz w:val="24"/>
                <w:highlight w:val="none"/>
                <w:lang w:eastAsia="zh-CN"/>
              </w:rPr>
              <w:t>任务调度平台：</w:t>
            </w:r>
            <w:r>
              <w:rPr>
                <w:rFonts w:hint="eastAsia" w:ascii="宋体" w:hAnsi="宋体" w:eastAsia="宋体"/>
                <w:color w:val="auto"/>
                <w:kern w:val="0"/>
                <w:sz w:val="24"/>
                <w:highlight w:val="none"/>
                <w:lang w:eastAsia="zh-CN"/>
              </w:rPr>
              <w:t>提供定时类任务执行，解析类任务执行，</w:t>
            </w:r>
            <w:r>
              <w:rPr>
                <w:rFonts w:ascii="宋体" w:hAnsi="宋体" w:eastAsia="宋体"/>
                <w:color w:val="auto"/>
                <w:kern w:val="0"/>
                <w:sz w:val="24"/>
                <w:highlight w:val="none"/>
                <w:lang w:eastAsia="zh-CN"/>
              </w:rPr>
              <w:t>AI处理调度，处理状态感知</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w:t>
            </w:r>
            <w:r>
              <w:rPr>
                <w:rFonts w:ascii="宋体" w:hAnsi="宋体" w:eastAsia="宋体"/>
                <w:b/>
                <w:bCs/>
                <w:color w:val="auto"/>
                <w:kern w:val="0"/>
                <w:sz w:val="24"/>
                <w:highlight w:val="none"/>
                <w:lang w:eastAsia="zh-CN"/>
              </w:rPr>
              <w:t>AI处理引擎</w:t>
            </w:r>
            <w:r>
              <w:rPr>
                <w:rFonts w:hint="eastAsia" w:ascii="宋体" w:hAnsi="宋体" w:eastAsia="宋体"/>
                <w:b/>
                <w:bCs/>
                <w:color w:val="auto"/>
                <w:kern w:val="0"/>
                <w:sz w:val="24"/>
                <w:highlight w:val="none"/>
                <w:lang w:eastAsia="zh-CN"/>
              </w:rPr>
              <w:t>：</w:t>
            </w:r>
            <w:r>
              <w:rPr>
                <w:rFonts w:hint="eastAsia" w:ascii="宋体" w:hAnsi="宋体" w:eastAsia="宋体"/>
                <w:color w:val="auto"/>
                <w:kern w:val="0"/>
                <w:sz w:val="24"/>
                <w:highlight w:val="none"/>
                <w:lang w:eastAsia="zh-CN"/>
              </w:rPr>
              <w:t>提供肺部常见肺部</w:t>
            </w:r>
            <w:r>
              <w:rPr>
                <w:rFonts w:ascii="宋体" w:hAnsi="宋体" w:eastAsia="宋体"/>
                <w:color w:val="auto"/>
                <w:kern w:val="0"/>
                <w:sz w:val="24"/>
                <w:highlight w:val="none"/>
                <w:lang w:eastAsia="zh-CN"/>
              </w:rPr>
              <w:t>AI处理，结果记录。</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b/>
                <w:bCs/>
                <w:color w:val="auto"/>
                <w:kern w:val="0"/>
                <w:sz w:val="24"/>
                <w:highlight w:val="none"/>
                <w:lang w:eastAsia="zh-CN"/>
              </w:rPr>
              <w:t>数据对接平台：</w:t>
            </w:r>
            <w:r>
              <w:rPr>
                <w:rFonts w:hint="eastAsia" w:ascii="宋体" w:hAnsi="宋体" w:eastAsia="宋体"/>
                <w:color w:val="auto"/>
                <w:kern w:val="0"/>
                <w:sz w:val="24"/>
                <w:highlight w:val="none"/>
                <w:lang w:eastAsia="zh-CN"/>
              </w:rPr>
              <w:t>提供影像数据获取，病人信息获取，专病接口数据回推等</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Hans"/>
              </w:rPr>
              <w:t>须</w:t>
            </w:r>
            <w:r>
              <w:rPr>
                <w:rFonts w:hint="eastAsia" w:ascii="宋体" w:hAnsi="宋体" w:eastAsia="宋体"/>
                <w:color w:val="auto"/>
                <w:kern w:val="0"/>
                <w:sz w:val="24"/>
                <w:highlight w:val="none"/>
                <w:lang w:eastAsia="zh-CN"/>
              </w:rPr>
              <w:t>提供医疗器械注册证（产品名称需含有“医学影像”相关内容），</w:t>
            </w:r>
            <w:r>
              <w:rPr>
                <w:rFonts w:hint="eastAsia" w:ascii="宋体" w:hAnsi="宋体" w:eastAsia="宋体"/>
                <w:color w:val="auto"/>
                <w:kern w:val="0"/>
                <w:sz w:val="24"/>
                <w:highlight w:val="none"/>
                <w:lang w:eastAsia="zh-Hans"/>
              </w:rPr>
              <w:t>须</w:t>
            </w:r>
            <w:r>
              <w:rPr>
                <w:rFonts w:hint="eastAsia" w:ascii="宋体" w:hAnsi="宋体" w:eastAsia="宋体"/>
                <w:color w:val="auto"/>
                <w:kern w:val="0"/>
                <w:sz w:val="24"/>
                <w:highlight w:val="none"/>
                <w:lang w:eastAsia="zh-CN"/>
              </w:rPr>
              <w:t>提供N</w:t>
            </w:r>
            <w:r>
              <w:rPr>
                <w:rFonts w:ascii="宋体" w:hAnsi="宋体" w:eastAsia="宋体"/>
                <w:color w:val="auto"/>
                <w:kern w:val="0"/>
                <w:sz w:val="24"/>
                <w:highlight w:val="none"/>
                <w:lang w:eastAsia="zh-CN"/>
              </w:rPr>
              <w:t>MPA</w:t>
            </w:r>
            <w:r>
              <w:rPr>
                <w:rFonts w:hint="eastAsia" w:ascii="宋体" w:hAnsi="宋体" w:eastAsia="宋体"/>
                <w:color w:val="auto"/>
                <w:kern w:val="0"/>
                <w:sz w:val="24"/>
                <w:highlight w:val="none"/>
                <w:lang w:eastAsia="zh-CN"/>
              </w:rPr>
              <w:t>官网（</w:t>
            </w:r>
            <w:r>
              <w:rPr>
                <w:rFonts w:ascii="宋体" w:hAnsi="宋体" w:eastAsia="宋体"/>
                <w:color w:val="auto"/>
                <w:kern w:val="0"/>
                <w:sz w:val="24"/>
                <w:highlight w:val="none"/>
                <w:lang w:eastAsia="zh-CN"/>
              </w:rPr>
              <w:t>www.nmpa.gov.cn</w:t>
            </w:r>
            <w:r>
              <w:rPr>
                <w:rFonts w:hint="eastAsia" w:ascii="宋体" w:hAnsi="宋体" w:eastAsia="宋体"/>
                <w:color w:val="auto"/>
                <w:kern w:val="0"/>
                <w:sz w:val="24"/>
                <w:highlight w:val="none"/>
                <w:lang w:eastAsia="zh-CN"/>
              </w:rPr>
              <w:t>）查询结果截图及查询链接</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Hans"/>
              </w:rPr>
              <w:t>须提供影像量化相关软件著作权登记证书扫描件并加盖公章</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Hans"/>
              </w:rPr>
              <w:t>须</w:t>
            </w:r>
            <w:r>
              <w:rPr>
                <w:rFonts w:hint="eastAsia" w:ascii="宋体" w:hAnsi="宋体" w:eastAsia="宋体"/>
                <w:color w:val="auto"/>
                <w:kern w:val="0"/>
                <w:sz w:val="24"/>
                <w:highlight w:val="none"/>
                <w:lang w:eastAsia="zh-CN"/>
              </w:rPr>
              <w:t>提供产品彩页并加盖公章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kern w:val="0"/>
                <w:sz w:val="24"/>
                <w:highlight w:val="none"/>
              </w:rPr>
            </w:pPr>
            <w:r>
              <w:rPr>
                <w:rFonts w:hint="eastAsia" w:ascii="宋体" w:hAnsi="宋体" w:eastAsia="宋体"/>
                <w:b/>
                <w:bCs/>
                <w:color w:val="auto"/>
                <w:kern w:val="0"/>
                <w:sz w:val="24"/>
                <w:highlight w:val="none"/>
              </w:rPr>
              <w:t>呼吸科应用</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kern w:val="0"/>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b/>
                <w:bCs/>
                <w:color w:val="auto"/>
                <w:kern w:val="0"/>
                <w:sz w:val="24"/>
                <w:highlight w:val="none"/>
                <w:lang w:eastAsia="zh-CN"/>
              </w:rPr>
              <w:t>呼吸科应用功能：</w:t>
            </w:r>
            <w:r>
              <w:rPr>
                <w:rFonts w:hint="eastAsia" w:ascii="宋体" w:hAnsi="宋体" w:eastAsia="宋体"/>
                <w:color w:val="auto"/>
                <w:kern w:val="0"/>
                <w:sz w:val="24"/>
                <w:highlight w:val="none"/>
                <w:lang w:eastAsia="zh-CN"/>
              </w:rPr>
              <w:t>基于患者C</w:t>
            </w:r>
            <w:r>
              <w:rPr>
                <w:rFonts w:ascii="宋体" w:hAnsi="宋体" w:eastAsia="宋体"/>
                <w:color w:val="auto"/>
                <w:kern w:val="0"/>
                <w:sz w:val="24"/>
                <w:highlight w:val="none"/>
                <w:lang w:eastAsia="zh-CN"/>
              </w:rPr>
              <w:t>T</w:t>
            </w:r>
            <w:r>
              <w:rPr>
                <w:rFonts w:hint="eastAsia" w:ascii="宋体" w:hAnsi="宋体" w:eastAsia="宋体"/>
                <w:color w:val="auto"/>
                <w:kern w:val="0"/>
                <w:sz w:val="24"/>
                <w:highlight w:val="none"/>
                <w:lang w:eastAsia="zh-CN"/>
              </w:rPr>
              <w:t>数据，对患者左右肺、支气管、肺段、肺叶、肺裂、小气道进行数据重建、分割、量化分析，辅助医生对肺癌、C</w:t>
            </w:r>
            <w:r>
              <w:rPr>
                <w:rFonts w:ascii="宋体" w:hAnsi="宋体" w:eastAsia="宋体"/>
                <w:color w:val="auto"/>
                <w:kern w:val="0"/>
                <w:sz w:val="24"/>
                <w:highlight w:val="none"/>
                <w:lang w:eastAsia="zh-CN"/>
              </w:rPr>
              <w:t>OPD</w:t>
            </w:r>
            <w:r>
              <w:rPr>
                <w:rFonts w:hint="eastAsia" w:ascii="宋体" w:hAnsi="宋体" w:eastAsia="宋体"/>
                <w:color w:val="auto"/>
                <w:kern w:val="0"/>
                <w:sz w:val="24"/>
                <w:highlight w:val="none"/>
                <w:lang w:eastAsia="zh-CN"/>
              </w:rPr>
              <w:t>、肺动脉栓塞、支气管扩张等疾病进行辅助诊断。应用虚拟支气管内窥镜功能，进行结节路径规划，进行支气管镜手术术前规划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kern w:val="0"/>
                <w:sz w:val="24"/>
                <w:highlight w:val="none"/>
              </w:rPr>
            </w:pPr>
            <w:r>
              <w:rPr>
                <w:rFonts w:hint="eastAsia" w:ascii="宋体" w:hAnsi="宋体" w:eastAsia="宋体"/>
                <w:b/>
                <w:bCs/>
                <w:color w:val="auto"/>
                <w:kern w:val="0"/>
                <w:sz w:val="24"/>
                <w:highlight w:val="none"/>
              </w:rPr>
              <w:t>胸外/肿瘤科应用</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kern w:val="0"/>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b/>
                <w:bCs/>
                <w:color w:val="auto"/>
                <w:kern w:val="0"/>
                <w:sz w:val="24"/>
                <w:highlight w:val="none"/>
                <w:lang w:eastAsia="zh-CN"/>
              </w:rPr>
              <w:t>胸外/肿瘤科应用：</w:t>
            </w:r>
            <w:r>
              <w:rPr>
                <w:rFonts w:hint="eastAsia" w:ascii="宋体" w:hAnsi="宋体" w:eastAsia="宋体"/>
                <w:color w:val="auto"/>
                <w:kern w:val="0"/>
                <w:sz w:val="24"/>
                <w:highlight w:val="none"/>
                <w:lang w:eastAsia="zh-CN"/>
              </w:rPr>
              <w:t>基于患者C</w:t>
            </w:r>
            <w:r>
              <w:rPr>
                <w:rFonts w:ascii="宋体" w:hAnsi="宋体" w:eastAsia="宋体"/>
                <w:color w:val="auto"/>
                <w:kern w:val="0"/>
                <w:sz w:val="24"/>
                <w:highlight w:val="none"/>
                <w:lang w:eastAsia="zh-CN"/>
              </w:rPr>
              <w:t>T</w:t>
            </w:r>
            <w:r>
              <w:rPr>
                <w:rFonts w:hint="eastAsia" w:ascii="宋体" w:hAnsi="宋体" w:eastAsia="宋体"/>
                <w:color w:val="auto"/>
                <w:kern w:val="0"/>
                <w:sz w:val="24"/>
                <w:highlight w:val="none"/>
                <w:lang w:eastAsia="zh-CN"/>
              </w:rPr>
              <w:t>数据，对患者左右肺、支气管、肺段、肺叶、肺裂、小气道、血管进行数据重建、分割、量化分析，定位病灶，制定外科手术规划，评估手术效果。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kern w:val="0"/>
                <w:sz w:val="24"/>
                <w:highlight w:val="none"/>
              </w:rPr>
            </w:pPr>
            <w:r>
              <w:rPr>
                <w:rFonts w:hint="eastAsia" w:ascii="宋体" w:hAnsi="宋体" w:eastAsia="宋体"/>
                <w:b/>
                <w:bCs/>
                <w:color w:val="auto"/>
                <w:kern w:val="0"/>
                <w:sz w:val="24"/>
                <w:highlight w:val="none"/>
                <w:lang w:eastAsia="zh-CN"/>
              </w:rPr>
              <w:t>交互式肺结节分割</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kern w:val="0"/>
                <w:sz w:val="24"/>
                <w:highlight w:val="none"/>
                <w:lang w:eastAsia="zh-CN"/>
              </w:rPr>
            </w:pPr>
            <w:r>
              <w:rPr>
                <w:rFonts w:hint="eastAsia" w:ascii="宋体" w:hAnsi="宋体" w:eastAsia="宋体"/>
                <w:color w:val="auto"/>
                <w:kern w:val="0"/>
                <w:sz w:val="24"/>
                <w:highlight w:val="none"/>
                <w:lang w:eastAsia="zh-CN"/>
              </w:rPr>
              <w:t>支持对肺结节进行自动检出并列表展示。</w:t>
            </w:r>
          </w:p>
          <w:p>
            <w:pPr>
              <w:pStyle w:val="201"/>
              <w:widowControl/>
              <w:numPr>
                <w:ilvl w:val="0"/>
                <w:numId w:val="9"/>
              </w:numPr>
              <w:spacing w:before="6" w:line="360" w:lineRule="auto"/>
              <w:ind w:left="452" w:right="105" w:rightChars="50" w:firstLine="482"/>
              <w:rPr>
                <w:rFonts w:ascii="宋体" w:hAnsi="宋体" w:eastAsia="宋体"/>
                <w:color w:val="auto"/>
                <w:kern w:val="0"/>
                <w:sz w:val="24"/>
                <w:highlight w:val="none"/>
                <w:lang w:eastAsia="zh-CN"/>
              </w:rPr>
            </w:pPr>
            <w:r>
              <w:rPr>
                <w:rFonts w:hint="eastAsia" w:ascii="宋体" w:hAnsi="宋体" w:eastAsia="宋体"/>
                <w:color w:val="auto"/>
                <w:kern w:val="0"/>
                <w:sz w:val="24"/>
                <w:highlight w:val="none"/>
                <w:lang w:eastAsia="zh-CN"/>
              </w:rPr>
              <w:t>支持实性结节、部分实性结节、磨玻璃结节的自动检测、分割、边界勾勒</w:t>
            </w:r>
          </w:p>
          <w:p>
            <w:pPr>
              <w:pStyle w:val="201"/>
              <w:widowControl/>
              <w:numPr>
                <w:ilvl w:val="0"/>
                <w:numId w:val="9"/>
              </w:numPr>
              <w:spacing w:before="6" w:line="360" w:lineRule="auto"/>
              <w:ind w:left="452" w:right="105" w:rightChars="50" w:firstLine="482"/>
              <w:rPr>
                <w:rFonts w:ascii="宋体" w:hAnsi="宋体" w:eastAsia="宋体"/>
                <w:color w:val="auto"/>
                <w:kern w:val="0"/>
                <w:sz w:val="24"/>
                <w:highlight w:val="none"/>
                <w:lang w:eastAsia="zh-CN"/>
              </w:rPr>
            </w:pPr>
            <w:r>
              <w:rPr>
                <w:rFonts w:hint="eastAsia" w:ascii="宋体" w:hAnsi="宋体" w:eastAsia="宋体"/>
                <w:color w:val="auto"/>
                <w:kern w:val="0"/>
                <w:sz w:val="24"/>
                <w:highlight w:val="none"/>
                <w:lang w:eastAsia="zh-CN"/>
              </w:rPr>
              <w:t>支持结节恶性概率评估</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★支持交互式肺结节分割结节得分、体积、表面积、最大直径、平均直径、非实质性占比、平均密度、不规则性、结节质量、胸膜贴合面积、胸膜占比、SA/V</w:t>
            </w:r>
            <w:r>
              <w:rPr>
                <w:rFonts w:ascii="宋体" w:hAnsi="宋体" w:eastAsia="宋体"/>
                <w:color w:val="auto"/>
                <w:kern w:val="0"/>
                <w:sz w:val="24"/>
                <w:highlight w:val="none"/>
                <w:lang w:eastAsia="zh-CN"/>
              </w:rPr>
              <w:t xml:space="preserve"> (表面积与体积比值)</w:t>
            </w:r>
            <w:r>
              <w:rPr>
                <w:rFonts w:hint="eastAsia" w:ascii="宋体" w:hAnsi="宋体" w:eastAsia="宋体"/>
                <w:color w:val="auto"/>
                <w:kern w:val="0"/>
                <w:sz w:val="24"/>
                <w:highlight w:val="none"/>
                <w:lang w:eastAsia="zh-CN"/>
              </w:rPr>
              <w:t>、针对有钙化的结节进行钙化体积、结节周边血管数量、结节周边血管体积、结节周边血管平均密度等指标进行自动计算。须提供操作视频（视频内容包含功能点：1.选中目标病灶；2</w:t>
            </w:r>
            <w:r>
              <w:rPr>
                <w:rFonts w:ascii="宋体" w:hAnsi="宋体" w:eastAsia="宋体"/>
                <w:color w:val="auto"/>
                <w:kern w:val="0"/>
                <w:sz w:val="24"/>
                <w:highlight w:val="none"/>
                <w:lang w:eastAsia="zh-CN"/>
              </w:rPr>
              <w:t>.</w:t>
            </w:r>
            <w:r>
              <w:rPr>
                <w:rFonts w:hint="eastAsia" w:ascii="宋体" w:hAnsi="宋体" w:eastAsia="宋体"/>
                <w:color w:val="auto"/>
                <w:kern w:val="0"/>
                <w:sz w:val="24"/>
                <w:highlight w:val="none"/>
                <w:lang w:eastAsia="zh-CN"/>
              </w:rPr>
              <w:t>在左侧列表中查看病灶量化参数：结节得分、体积、表面积、最大直径、平均直径、非实质性占比、平均密度、不规则性、结节质量、胸膜贴合面积、胸膜占比、SA/V</w:t>
            </w:r>
            <w:r>
              <w:rPr>
                <w:rFonts w:ascii="宋体" w:hAnsi="宋体" w:eastAsia="宋体"/>
                <w:color w:val="auto"/>
                <w:kern w:val="0"/>
                <w:sz w:val="24"/>
                <w:highlight w:val="none"/>
                <w:lang w:eastAsia="zh-CN"/>
              </w:rPr>
              <w:t xml:space="preserve"> (表面积与体积比值)</w:t>
            </w:r>
            <w:r>
              <w:rPr>
                <w:rFonts w:hint="eastAsia" w:ascii="宋体" w:hAnsi="宋体" w:eastAsia="宋体"/>
                <w:color w:val="auto"/>
                <w:kern w:val="0"/>
                <w:sz w:val="24"/>
                <w:highlight w:val="none"/>
                <w:lang w:eastAsia="zh-CN"/>
              </w:rPr>
              <w:t>、针对有钙化的结节进行钙化体积、结节周边血管数量、结节周边血管体积、结节周边血管平均密度。需按</w:t>
            </w:r>
            <w:r>
              <w:rPr>
                <w:rFonts w:hint="eastAsia" w:ascii="宋体" w:hAnsi="宋体" w:eastAsia="宋体"/>
                <w:color w:val="auto"/>
                <w:sz w:val="24"/>
                <w:highlight w:val="none"/>
                <w:lang w:eastAsia="zh-CN"/>
              </w:rPr>
              <w:t>以上功能点顺序录制操作视频及人工语音讲解</w:t>
            </w:r>
            <w:r>
              <w:rPr>
                <w:rFonts w:hint="eastAsia" w:ascii="宋体" w:hAnsi="宋体" w:eastAsia="宋体"/>
                <w:color w:val="auto"/>
                <w:kern w:val="0"/>
                <w:sz w:val="24"/>
                <w:highlight w:val="none"/>
                <w:lang w:eastAsia="zh-CN"/>
              </w:rPr>
              <w:t>）</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支持自动结节配准功能，结节跟踪的对比量化功能，计算期望倍增天数、体积变化百分比，支持多平面联动定位肺结节</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rPr>
            </w:pPr>
            <w:r>
              <w:rPr>
                <w:rFonts w:hint="eastAsia" w:ascii="宋体" w:hAnsi="宋体" w:eastAsia="宋体"/>
                <w:color w:val="auto"/>
                <w:kern w:val="0"/>
                <w:sz w:val="24"/>
                <w:highlight w:val="none"/>
                <w:lang w:eastAsia="zh-CN"/>
              </w:rPr>
              <w:t>支持</w:t>
            </w:r>
            <w:r>
              <w:rPr>
                <w:rFonts w:hint="eastAsia" w:ascii="宋体" w:hAnsi="宋体" w:eastAsia="宋体"/>
                <w:color w:val="auto"/>
                <w:kern w:val="0"/>
                <w:sz w:val="24"/>
                <w:highlight w:val="none"/>
              </w:rPr>
              <w:t>自动生成基于 Lung-Rads 等评估标准的诊断结果</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支持结节跟踪柱状图：自动生成肺结节跟踪柱状图</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支持结节密度直方图：自动生成肺结节密度直方图。</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支持结构化量化报告：自动生成结构化量化报告</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支持人机交互添加、删除、修正肺结节</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支持3</w:t>
            </w:r>
            <w:r>
              <w:rPr>
                <w:rFonts w:ascii="宋体" w:hAnsi="宋体" w:eastAsia="宋体"/>
                <w:color w:val="auto"/>
                <w:kern w:val="0"/>
                <w:sz w:val="24"/>
                <w:highlight w:val="none"/>
                <w:lang w:eastAsia="zh-CN"/>
              </w:rPr>
              <w:t>D</w:t>
            </w:r>
            <w:r>
              <w:rPr>
                <w:rFonts w:hint="eastAsia" w:ascii="宋体" w:hAnsi="宋体" w:eastAsia="宋体"/>
                <w:color w:val="auto"/>
                <w:kern w:val="0"/>
                <w:sz w:val="24"/>
                <w:highlight w:val="none"/>
                <w:lang w:eastAsia="zh-CN"/>
              </w:rPr>
              <w:t>预览：支持结节局部</w:t>
            </w:r>
            <w:r>
              <w:rPr>
                <w:rFonts w:ascii="宋体" w:hAnsi="宋体" w:eastAsia="宋体"/>
                <w:color w:val="auto"/>
                <w:kern w:val="0"/>
                <w:sz w:val="24"/>
                <w:highlight w:val="none"/>
                <w:lang w:eastAsia="zh-CN"/>
              </w:rPr>
              <w:t>3D预览</w:t>
            </w:r>
            <w:r>
              <w:rPr>
                <w:rFonts w:hint="eastAsia" w:ascii="宋体" w:hAnsi="宋体" w:eastAsia="宋体"/>
                <w:color w:val="auto"/>
                <w:kern w:val="0"/>
                <w:sz w:val="24"/>
                <w:highlight w:val="none"/>
                <w:lang w:eastAsia="zh-CN"/>
              </w:rPr>
              <w:t>，支持生成结节边缘球并在</w:t>
            </w:r>
            <w:r>
              <w:rPr>
                <w:rFonts w:ascii="宋体" w:hAnsi="宋体" w:eastAsia="宋体"/>
                <w:color w:val="auto"/>
                <w:kern w:val="0"/>
                <w:sz w:val="24"/>
                <w:highlight w:val="none"/>
                <w:lang w:eastAsia="zh-CN"/>
              </w:rPr>
              <w:t>3D视图中展示</w:t>
            </w:r>
            <w:r>
              <w:rPr>
                <w:rFonts w:hint="eastAsia" w:ascii="宋体" w:hAnsi="宋体" w:eastAsia="宋体"/>
                <w:color w:val="auto"/>
                <w:kern w:val="0"/>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kern w:val="0"/>
                <w:sz w:val="24"/>
                <w:highlight w:val="none"/>
              </w:rPr>
            </w:pPr>
            <w:r>
              <w:rPr>
                <w:rFonts w:hint="eastAsia" w:ascii="宋体" w:hAnsi="宋体" w:eastAsia="宋体"/>
                <w:b/>
                <w:bCs/>
                <w:color w:val="auto"/>
                <w:kern w:val="0"/>
                <w:sz w:val="24"/>
                <w:highlight w:val="none"/>
              </w:rPr>
              <w:t>肺密度量化分析</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支持自动识别分割每个肺叶内的肺气肿</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支持自动量化肺气肿或者空气潴留区域</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肺气肿的三维可视化，支持肺气肿与肺叶的参照显示，肺气肿与支气管结构的参照显示、支持各种量化指标，包括肺气肿体积、百分比、平均密度、异质性。须提供操作视频（视频内容包含功能点：1.显示肺气肿的三维可视化，支持肺气肿与肺叶的参照显示功能；2</w:t>
            </w:r>
            <w:r>
              <w:rPr>
                <w:rFonts w:ascii="宋体" w:hAnsi="宋体" w:eastAsia="宋体"/>
                <w:color w:val="auto"/>
                <w:kern w:val="0"/>
                <w:sz w:val="24"/>
                <w:highlight w:val="none"/>
                <w:lang w:eastAsia="zh-CN"/>
              </w:rPr>
              <w:t>.</w:t>
            </w:r>
            <w:r>
              <w:rPr>
                <w:rFonts w:hint="eastAsia" w:ascii="宋体" w:hAnsi="宋体" w:eastAsia="宋体"/>
                <w:color w:val="auto"/>
                <w:kern w:val="0"/>
                <w:sz w:val="24"/>
                <w:highlight w:val="none"/>
                <w:lang w:eastAsia="zh-CN"/>
              </w:rPr>
              <w:t>显示肺气肿与支气管结构的参照显示功能；3</w:t>
            </w:r>
            <w:r>
              <w:rPr>
                <w:rFonts w:ascii="宋体" w:hAnsi="宋体" w:eastAsia="宋体"/>
                <w:color w:val="auto"/>
                <w:kern w:val="0"/>
                <w:sz w:val="24"/>
                <w:highlight w:val="none"/>
                <w:lang w:eastAsia="zh-CN"/>
              </w:rPr>
              <w:t>.</w:t>
            </w:r>
            <w:r>
              <w:rPr>
                <w:rFonts w:hint="eastAsia" w:ascii="宋体" w:hAnsi="宋体" w:eastAsia="宋体"/>
                <w:color w:val="auto"/>
                <w:kern w:val="0"/>
                <w:sz w:val="24"/>
                <w:highlight w:val="none"/>
                <w:lang w:eastAsia="zh-CN"/>
              </w:rPr>
              <w:t>显示支持各种量化指标功能。需按</w:t>
            </w:r>
            <w:r>
              <w:rPr>
                <w:rFonts w:hint="eastAsia" w:ascii="宋体" w:hAnsi="宋体" w:eastAsia="宋体"/>
                <w:color w:val="auto"/>
                <w:sz w:val="24"/>
                <w:highlight w:val="none"/>
                <w:lang w:eastAsia="zh-CN"/>
              </w:rPr>
              <w:t>以上功能点顺序录制操作视频及人工语音讲解</w:t>
            </w:r>
            <w:r>
              <w:rPr>
                <w:rFonts w:hint="eastAsia" w:ascii="宋体" w:hAnsi="宋体" w:eastAsia="宋体"/>
                <w:color w:val="auto"/>
                <w:kern w:val="0"/>
                <w:sz w:val="24"/>
                <w:highlight w:val="none"/>
                <w:lang w:eastAsia="zh-CN"/>
              </w:rPr>
              <w:t>）</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支持PD15、肺大泡体积、肺大泡百分比、肺大泡平均密度。</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支持肺气肿体积基于区域的分布柱状图；支持肺气肿体积基于密度以及肺部结构的密度直方图</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rPr>
            </w:pPr>
            <w:r>
              <w:rPr>
                <w:rFonts w:hint="eastAsia" w:ascii="宋体" w:hAnsi="宋体" w:eastAsia="宋体"/>
                <w:color w:val="auto"/>
                <w:kern w:val="0"/>
                <w:sz w:val="24"/>
                <w:highlight w:val="none"/>
              </w:rPr>
              <w:t>支持慢阻肺的辅助诊断</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支持人机交互添加、删除、修正肺气肿</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支持肺气肿与MPR三视图的同步定位</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★支持肺大泡的识别及分割。须提供系统截图</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支持一键生成肺减容术前评估报告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kern w:val="0"/>
                <w:sz w:val="24"/>
                <w:highlight w:val="none"/>
              </w:rPr>
            </w:pPr>
            <w:r>
              <w:rPr>
                <w:rFonts w:hint="eastAsia" w:ascii="宋体" w:hAnsi="宋体" w:eastAsia="宋体"/>
                <w:b/>
                <w:bCs/>
                <w:color w:val="auto"/>
                <w:kern w:val="0"/>
                <w:sz w:val="24"/>
                <w:highlight w:val="none"/>
              </w:rPr>
              <w:t>支气管扩张分析</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支持支气管扩张的自动识别、标注及三维可视化</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支持显示参照结构：肺叶及肺血管</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支持调整视区范围：4</w:t>
            </w:r>
            <w:r>
              <w:rPr>
                <w:rFonts w:ascii="宋体" w:hAnsi="宋体" w:eastAsia="宋体"/>
                <w:color w:val="auto"/>
                <w:kern w:val="0"/>
                <w:sz w:val="24"/>
                <w:highlight w:val="none"/>
                <w:lang w:eastAsia="zh-CN"/>
              </w:rPr>
              <w:t>0</w:t>
            </w:r>
            <w:r>
              <w:rPr>
                <w:rFonts w:hint="eastAsia" w:ascii="宋体" w:hAnsi="宋体" w:eastAsia="宋体"/>
                <w:color w:val="auto"/>
                <w:kern w:val="0"/>
                <w:sz w:val="24"/>
                <w:highlight w:val="none"/>
                <w:lang w:eastAsia="zh-CN"/>
              </w:rPr>
              <w:t>mm、6</w:t>
            </w:r>
            <w:r>
              <w:rPr>
                <w:rFonts w:ascii="宋体" w:hAnsi="宋体" w:eastAsia="宋体"/>
                <w:color w:val="auto"/>
                <w:kern w:val="0"/>
                <w:sz w:val="24"/>
                <w:highlight w:val="none"/>
                <w:lang w:eastAsia="zh-CN"/>
              </w:rPr>
              <w:t>0</w:t>
            </w:r>
            <w:r>
              <w:rPr>
                <w:rFonts w:hint="eastAsia" w:ascii="宋体" w:hAnsi="宋体" w:eastAsia="宋体"/>
                <w:color w:val="auto"/>
                <w:kern w:val="0"/>
                <w:sz w:val="24"/>
                <w:highlight w:val="none"/>
                <w:lang w:eastAsia="zh-CN"/>
              </w:rPr>
              <w:t>mm、8</w:t>
            </w:r>
            <w:r>
              <w:rPr>
                <w:rFonts w:ascii="宋体" w:hAnsi="宋体" w:eastAsia="宋体"/>
                <w:color w:val="auto"/>
                <w:kern w:val="0"/>
                <w:sz w:val="24"/>
                <w:highlight w:val="none"/>
                <w:lang w:eastAsia="zh-CN"/>
              </w:rPr>
              <w:t>0</w:t>
            </w:r>
            <w:r>
              <w:rPr>
                <w:rFonts w:hint="eastAsia" w:ascii="宋体" w:hAnsi="宋体" w:eastAsia="宋体"/>
                <w:color w:val="auto"/>
                <w:kern w:val="0"/>
                <w:sz w:val="24"/>
                <w:highlight w:val="none"/>
                <w:lang w:eastAsia="zh-CN"/>
              </w:rPr>
              <w:t>mm</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支持多平面联动精确定位支气管扩张位置</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支持支气管各种量化指标，包括当前视点所在肺、所在肺叶、所在代、气管隆突距离、内腔横截面积、内直径、扩张程度、视区血管总数量、视区血管总面积。</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支持生成统计表格，计算各级支气管数量、扩张数量、最大扩张得分</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支持支气管半径变化跟踪图。</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支持支气管横截面显示图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kern w:val="0"/>
                <w:sz w:val="24"/>
                <w:highlight w:val="none"/>
              </w:rPr>
            </w:pPr>
            <w:r>
              <w:rPr>
                <w:rFonts w:hint="eastAsia" w:ascii="宋体" w:hAnsi="宋体" w:eastAsia="宋体"/>
                <w:b/>
                <w:bCs/>
                <w:color w:val="auto"/>
                <w:kern w:val="0"/>
                <w:sz w:val="24"/>
                <w:highlight w:val="none"/>
              </w:rPr>
              <w:t>虚拟支气管内窥镜</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支持虚拟支气管漫游，支持面绘制、体绘制两种绘制方式</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支持三维全自动分割、量化支气管壁厚，支持支气管内壁、外壁的标注以及显示。</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支持支气管横截面显示图；</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支持虚拟支气管漫游路径的选择</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支持漫游时跳转到上个分叉、下个分叉</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支持在漫游的同时，多平面联动精确定位当前视点位置</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支持支气管漫游中对肺结节取样的路径规划</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漫游当前视点支气管的各种量化指标，包括当前视点所在肺、所在肺叶、所在代、内腔横截面积、管壁横截面积、内/外直径、内/外周长、最大壁厚、平均壁厚、最大密度、平均密度。须提供操作视频（视频内容包含功能点：1.支气管三维重建功能；2</w:t>
            </w:r>
            <w:r>
              <w:rPr>
                <w:rFonts w:ascii="宋体" w:hAnsi="宋体" w:eastAsia="宋体"/>
                <w:color w:val="auto"/>
                <w:kern w:val="0"/>
                <w:sz w:val="24"/>
                <w:highlight w:val="none"/>
                <w:lang w:eastAsia="zh-CN"/>
              </w:rPr>
              <w:t>.</w:t>
            </w:r>
            <w:r>
              <w:rPr>
                <w:rFonts w:hint="eastAsia" w:ascii="宋体" w:hAnsi="宋体" w:eastAsia="宋体"/>
                <w:color w:val="auto"/>
                <w:kern w:val="0"/>
                <w:sz w:val="24"/>
                <w:highlight w:val="none"/>
                <w:lang w:eastAsia="zh-CN"/>
              </w:rPr>
              <w:t>显示选中当前视点支气管的各种量化指标，包括当前视点所在肺、所在肺叶、所在代、内腔横截面积、管壁横截面积、内/外直径、内/外周长、最大壁厚、平均壁厚、最大密度、平均密度。需按</w:t>
            </w:r>
            <w:r>
              <w:rPr>
                <w:rFonts w:hint="eastAsia" w:ascii="宋体" w:hAnsi="宋体" w:eastAsia="宋体"/>
                <w:color w:val="auto"/>
                <w:sz w:val="24"/>
                <w:highlight w:val="none"/>
                <w:lang w:eastAsia="zh-CN"/>
              </w:rPr>
              <w:t>以上功能点顺序录制操作视频及人工语音讲解</w:t>
            </w:r>
            <w:r>
              <w:rPr>
                <w:rFonts w:hint="eastAsia" w:ascii="宋体" w:hAnsi="宋体" w:eastAsia="宋体"/>
                <w:color w:val="auto"/>
                <w:kern w:val="0"/>
                <w:sz w:val="24"/>
                <w:highlight w:val="none"/>
                <w:lang w:eastAsia="zh-CN"/>
              </w:rPr>
              <w:t>）</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支持生成3个统计表格，根据不同分类统计量化参数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kern w:val="0"/>
                <w:sz w:val="24"/>
                <w:highlight w:val="none"/>
              </w:rPr>
            </w:pPr>
            <w:r>
              <w:rPr>
                <w:rFonts w:hint="eastAsia" w:ascii="宋体" w:hAnsi="宋体" w:eastAsia="宋体"/>
                <w:b/>
                <w:bCs/>
                <w:color w:val="auto"/>
                <w:kern w:val="0"/>
                <w:sz w:val="24"/>
                <w:highlight w:val="none"/>
              </w:rPr>
              <w:t>结节路径规划</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支持经支气管镜针吸活检术路径规划的模拟操作</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支持肺结节路径规划的播放、停止、暂停</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rPr>
            </w:pPr>
            <w:r>
              <w:rPr>
                <w:rFonts w:hint="eastAsia" w:ascii="宋体" w:hAnsi="宋体" w:eastAsia="宋体"/>
                <w:color w:val="auto"/>
                <w:kern w:val="0"/>
                <w:sz w:val="24"/>
                <w:highlight w:val="none"/>
              </w:rPr>
              <w:t>支持漫游速度的调节</w:t>
            </w:r>
          </w:p>
          <w:p>
            <w:pPr>
              <w:pStyle w:val="201"/>
              <w:widowControl/>
              <w:numPr>
                <w:ilvl w:val="0"/>
                <w:numId w:val="9"/>
              </w:numPr>
              <w:spacing w:before="6" w:line="360" w:lineRule="auto"/>
              <w:ind w:left="452" w:right="105" w:rightChars="50" w:firstLine="482"/>
              <w:rPr>
                <w:rFonts w:ascii="宋体" w:hAnsi="宋体" w:eastAsia="宋体"/>
                <w:color w:val="auto"/>
                <w:kern w:val="0"/>
                <w:sz w:val="24"/>
                <w:highlight w:val="none"/>
                <w:lang w:eastAsia="zh-CN"/>
              </w:rPr>
            </w:pPr>
            <w:r>
              <w:rPr>
                <w:rFonts w:hint="eastAsia" w:ascii="宋体" w:hAnsi="宋体" w:eastAsia="宋体"/>
                <w:color w:val="auto"/>
                <w:kern w:val="0"/>
                <w:sz w:val="24"/>
                <w:highlight w:val="none"/>
                <w:lang w:eastAsia="zh-CN"/>
              </w:rPr>
              <w:t>支持主视图切换：定位图或内窥镜</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支持路径选择，可选择十字交叉、右上肺叶、右中肺叶、右下肺叶、左上肺叶、左下肺叶</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支持漫游时跳转到上个分叉、下个分叉</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支持显示参照结构：肺叶及肺血管</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★支持可切换路径选择条件，包括最短路径、出针角度3</w:t>
            </w:r>
            <w:r>
              <w:rPr>
                <w:rFonts w:ascii="宋体" w:hAnsi="宋体" w:eastAsia="宋体"/>
                <w:color w:val="auto"/>
                <w:kern w:val="0"/>
                <w:sz w:val="24"/>
                <w:highlight w:val="none"/>
                <w:lang w:eastAsia="zh-CN"/>
              </w:rPr>
              <w:t>0</w:t>
            </w:r>
            <w:r>
              <w:rPr>
                <w:rFonts w:hint="eastAsia" w:ascii="宋体" w:hAnsi="宋体" w:eastAsia="宋体"/>
                <w:color w:val="auto"/>
                <w:kern w:val="0"/>
                <w:sz w:val="24"/>
                <w:highlight w:val="none"/>
                <w:lang w:eastAsia="zh-CN"/>
              </w:rPr>
              <w:t>、出针角度4</w:t>
            </w:r>
            <w:r>
              <w:rPr>
                <w:rFonts w:ascii="宋体" w:hAnsi="宋体" w:eastAsia="宋体"/>
                <w:color w:val="auto"/>
                <w:kern w:val="0"/>
                <w:sz w:val="24"/>
                <w:highlight w:val="none"/>
                <w:lang w:eastAsia="zh-CN"/>
              </w:rPr>
              <w:t>0</w:t>
            </w:r>
            <w:r>
              <w:rPr>
                <w:rFonts w:hint="eastAsia" w:ascii="宋体" w:hAnsi="宋体" w:eastAsia="宋体"/>
                <w:color w:val="auto"/>
                <w:kern w:val="0"/>
                <w:sz w:val="24"/>
                <w:highlight w:val="none"/>
                <w:lang w:eastAsia="zh-CN"/>
              </w:rPr>
              <w:t>、出针角度4</w:t>
            </w:r>
            <w:r>
              <w:rPr>
                <w:rFonts w:ascii="宋体" w:hAnsi="宋体" w:eastAsia="宋体"/>
                <w:color w:val="auto"/>
                <w:kern w:val="0"/>
                <w:sz w:val="24"/>
                <w:highlight w:val="none"/>
                <w:lang w:eastAsia="zh-CN"/>
              </w:rPr>
              <w:t>5</w:t>
            </w:r>
            <w:r>
              <w:rPr>
                <w:rFonts w:hint="eastAsia" w:ascii="宋体" w:hAnsi="宋体" w:eastAsia="宋体"/>
                <w:color w:val="auto"/>
                <w:kern w:val="0"/>
                <w:sz w:val="24"/>
                <w:highlight w:val="none"/>
                <w:lang w:eastAsia="zh-CN"/>
              </w:rPr>
              <w:t>、出针角度5</w:t>
            </w:r>
            <w:r>
              <w:rPr>
                <w:rFonts w:ascii="宋体" w:hAnsi="宋体" w:eastAsia="宋体"/>
                <w:color w:val="auto"/>
                <w:kern w:val="0"/>
                <w:sz w:val="24"/>
                <w:highlight w:val="none"/>
                <w:lang w:eastAsia="zh-CN"/>
              </w:rPr>
              <w:t>0</w:t>
            </w:r>
            <w:r>
              <w:rPr>
                <w:rFonts w:hint="eastAsia" w:ascii="宋体" w:hAnsi="宋体" w:eastAsia="宋体"/>
                <w:color w:val="auto"/>
                <w:kern w:val="0"/>
                <w:sz w:val="24"/>
                <w:highlight w:val="none"/>
                <w:lang w:eastAsia="zh-CN"/>
              </w:rPr>
              <w:t>。须提供系统截图</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支持可计算不同路径下气管到下针点长度。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kern w:val="0"/>
                <w:sz w:val="24"/>
                <w:highlight w:val="none"/>
              </w:rPr>
            </w:pPr>
            <w:r>
              <w:rPr>
                <w:rFonts w:hint="eastAsia" w:ascii="宋体" w:hAnsi="宋体" w:eastAsia="宋体"/>
                <w:b/>
                <w:bCs/>
                <w:color w:val="auto"/>
                <w:kern w:val="0"/>
                <w:sz w:val="24"/>
                <w:highlight w:val="none"/>
              </w:rPr>
              <w:t>左右肺量化分析</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支持自动识别、标注左、右肺，支持左、右肺的三维可视化</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支持三维视图与MPR三维视图同步定位</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支持全肺各种量化指标，包括容积、L</w:t>
            </w:r>
            <w:r>
              <w:rPr>
                <w:rFonts w:ascii="宋体" w:hAnsi="宋体" w:eastAsia="宋体"/>
                <w:color w:val="auto"/>
                <w:kern w:val="0"/>
                <w:sz w:val="24"/>
                <w:highlight w:val="none"/>
                <w:lang w:eastAsia="zh-CN"/>
              </w:rPr>
              <w:t>AA910</w:t>
            </w:r>
            <w:r>
              <w:rPr>
                <w:rFonts w:hint="eastAsia" w:ascii="宋体" w:hAnsi="宋体" w:eastAsia="宋体"/>
                <w:color w:val="auto"/>
                <w:kern w:val="0"/>
                <w:sz w:val="24"/>
                <w:highlight w:val="none"/>
                <w:lang w:eastAsia="zh-CN"/>
              </w:rPr>
              <w:t>体积、L</w:t>
            </w:r>
            <w:r>
              <w:rPr>
                <w:rFonts w:ascii="宋体" w:hAnsi="宋体" w:eastAsia="宋体"/>
                <w:color w:val="auto"/>
                <w:kern w:val="0"/>
                <w:sz w:val="24"/>
                <w:highlight w:val="none"/>
                <w:lang w:eastAsia="zh-CN"/>
              </w:rPr>
              <w:t>AA910</w:t>
            </w:r>
            <w:r>
              <w:rPr>
                <w:rFonts w:hint="eastAsia" w:ascii="宋体" w:hAnsi="宋体" w:eastAsia="宋体"/>
                <w:color w:val="auto"/>
                <w:kern w:val="0"/>
                <w:sz w:val="24"/>
                <w:highlight w:val="none"/>
                <w:lang w:eastAsia="zh-CN"/>
              </w:rPr>
              <w:t>占比、L</w:t>
            </w:r>
            <w:r>
              <w:rPr>
                <w:rFonts w:ascii="宋体" w:hAnsi="宋体" w:eastAsia="宋体"/>
                <w:color w:val="auto"/>
                <w:kern w:val="0"/>
                <w:sz w:val="24"/>
                <w:highlight w:val="none"/>
                <w:lang w:eastAsia="zh-CN"/>
              </w:rPr>
              <w:t>AA950</w:t>
            </w:r>
            <w:r>
              <w:rPr>
                <w:rFonts w:hint="eastAsia" w:ascii="宋体" w:hAnsi="宋体" w:eastAsia="宋体"/>
                <w:color w:val="auto"/>
                <w:kern w:val="0"/>
                <w:sz w:val="24"/>
                <w:highlight w:val="none"/>
                <w:lang w:eastAsia="zh-CN"/>
              </w:rPr>
              <w:t>体积、L</w:t>
            </w:r>
            <w:r>
              <w:rPr>
                <w:rFonts w:ascii="宋体" w:hAnsi="宋体" w:eastAsia="宋体"/>
                <w:color w:val="auto"/>
                <w:kern w:val="0"/>
                <w:sz w:val="24"/>
                <w:highlight w:val="none"/>
                <w:lang w:eastAsia="zh-CN"/>
              </w:rPr>
              <w:t>AA950</w:t>
            </w:r>
            <w:r>
              <w:rPr>
                <w:rFonts w:hint="eastAsia" w:ascii="宋体" w:hAnsi="宋体" w:eastAsia="宋体"/>
                <w:color w:val="auto"/>
                <w:kern w:val="0"/>
                <w:sz w:val="24"/>
                <w:highlight w:val="none"/>
                <w:lang w:eastAsia="zh-CN"/>
              </w:rPr>
              <w:t>占比、平均密度、异质性、支气管数量、支气管长度、支气管体积、Agatston钙化、体积钙化、血管体积、肺组织体积、空气体积、密度标准差、质量、宽度、高度、深度。</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★支持左肺、右肺各种量化指标，包括容积、L</w:t>
            </w:r>
            <w:r>
              <w:rPr>
                <w:rFonts w:ascii="宋体" w:hAnsi="宋体" w:eastAsia="宋体"/>
                <w:color w:val="auto"/>
                <w:kern w:val="0"/>
                <w:sz w:val="24"/>
                <w:highlight w:val="none"/>
                <w:lang w:eastAsia="zh-CN"/>
              </w:rPr>
              <w:t>AA910</w:t>
            </w:r>
            <w:r>
              <w:rPr>
                <w:rFonts w:hint="eastAsia" w:ascii="宋体" w:hAnsi="宋体" w:eastAsia="宋体"/>
                <w:color w:val="auto"/>
                <w:kern w:val="0"/>
                <w:sz w:val="24"/>
                <w:highlight w:val="none"/>
                <w:lang w:eastAsia="zh-CN"/>
              </w:rPr>
              <w:t>体积、L</w:t>
            </w:r>
            <w:r>
              <w:rPr>
                <w:rFonts w:ascii="宋体" w:hAnsi="宋体" w:eastAsia="宋体"/>
                <w:color w:val="auto"/>
                <w:kern w:val="0"/>
                <w:sz w:val="24"/>
                <w:highlight w:val="none"/>
                <w:lang w:eastAsia="zh-CN"/>
              </w:rPr>
              <w:t>AA910</w:t>
            </w:r>
            <w:r>
              <w:rPr>
                <w:rFonts w:hint="eastAsia" w:ascii="宋体" w:hAnsi="宋体" w:eastAsia="宋体"/>
                <w:color w:val="auto"/>
                <w:kern w:val="0"/>
                <w:sz w:val="24"/>
                <w:highlight w:val="none"/>
                <w:lang w:eastAsia="zh-CN"/>
              </w:rPr>
              <w:t>占比、L</w:t>
            </w:r>
            <w:r>
              <w:rPr>
                <w:rFonts w:ascii="宋体" w:hAnsi="宋体" w:eastAsia="宋体"/>
                <w:color w:val="auto"/>
                <w:kern w:val="0"/>
                <w:sz w:val="24"/>
                <w:highlight w:val="none"/>
                <w:lang w:eastAsia="zh-CN"/>
              </w:rPr>
              <w:t>AA950</w:t>
            </w:r>
            <w:r>
              <w:rPr>
                <w:rFonts w:hint="eastAsia" w:ascii="宋体" w:hAnsi="宋体" w:eastAsia="宋体"/>
                <w:color w:val="auto"/>
                <w:kern w:val="0"/>
                <w:sz w:val="24"/>
                <w:highlight w:val="none"/>
                <w:lang w:eastAsia="zh-CN"/>
              </w:rPr>
              <w:t>体积、L</w:t>
            </w:r>
            <w:r>
              <w:rPr>
                <w:rFonts w:ascii="宋体" w:hAnsi="宋体" w:eastAsia="宋体"/>
                <w:color w:val="auto"/>
                <w:kern w:val="0"/>
                <w:sz w:val="24"/>
                <w:highlight w:val="none"/>
                <w:lang w:eastAsia="zh-CN"/>
              </w:rPr>
              <w:t>AA950</w:t>
            </w:r>
            <w:r>
              <w:rPr>
                <w:rFonts w:hint="eastAsia" w:ascii="宋体" w:hAnsi="宋体" w:eastAsia="宋体"/>
                <w:color w:val="auto"/>
                <w:kern w:val="0"/>
                <w:sz w:val="24"/>
                <w:highlight w:val="none"/>
                <w:lang w:eastAsia="zh-CN"/>
              </w:rPr>
              <w:t>占比、平均密度、异质性、支气管数量、支气管长度、支气管体积、Agatston钙化、体积钙化、血管体积、肺组织体积、空气体积、密度标准差、质量、宽度、高度、深度。须提供系统截图</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支持人机交互对自动分割的左、右肺的修正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kern w:val="0"/>
                <w:sz w:val="24"/>
                <w:highlight w:val="none"/>
              </w:rPr>
            </w:pPr>
            <w:r>
              <w:rPr>
                <w:rFonts w:hint="eastAsia" w:ascii="宋体" w:hAnsi="宋体" w:eastAsia="宋体"/>
                <w:b/>
                <w:bCs/>
                <w:color w:val="auto"/>
                <w:kern w:val="0"/>
                <w:sz w:val="24"/>
                <w:highlight w:val="none"/>
              </w:rPr>
              <w:t>肺裂/肺叶量化分析</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支持自动识别、标注肺裂（包括其完整度）</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支持肺裂的MPR三视图同步定位</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支持肺裂各种量化指标，包括平均密度、表面积、完整度、最大曲度、平均曲度、Agatston钙化、体积钙化；</w:t>
            </w:r>
          </w:p>
          <w:p>
            <w:pPr>
              <w:pStyle w:val="201"/>
              <w:widowControl/>
              <w:numPr>
                <w:ilvl w:val="0"/>
                <w:numId w:val="9"/>
              </w:numPr>
              <w:spacing w:before="6" w:line="360" w:lineRule="auto"/>
              <w:ind w:left="452" w:right="105" w:rightChars="50" w:firstLine="482"/>
              <w:rPr>
                <w:rFonts w:ascii="宋体" w:hAnsi="宋体" w:eastAsia="宋体"/>
                <w:color w:val="auto"/>
                <w:kern w:val="0"/>
                <w:sz w:val="24"/>
                <w:highlight w:val="none"/>
                <w:lang w:eastAsia="zh-CN"/>
              </w:rPr>
            </w:pPr>
            <w:r>
              <w:rPr>
                <w:rFonts w:hint="eastAsia" w:ascii="宋体" w:hAnsi="宋体" w:eastAsia="宋体"/>
                <w:color w:val="auto"/>
                <w:kern w:val="0"/>
                <w:sz w:val="24"/>
                <w:highlight w:val="none"/>
                <w:lang w:eastAsia="zh-CN"/>
              </w:rPr>
              <w:t>支持人机交互对肺裂进行分割。</w:t>
            </w:r>
          </w:p>
          <w:p>
            <w:pPr>
              <w:pStyle w:val="201"/>
              <w:widowControl/>
              <w:numPr>
                <w:ilvl w:val="0"/>
                <w:numId w:val="9"/>
              </w:numPr>
              <w:spacing w:before="6" w:line="360" w:lineRule="auto"/>
              <w:ind w:left="452" w:right="105" w:rightChars="50" w:firstLine="482"/>
              <w:rPr>
                <w:rFonts w:ascii="宋体" w:hAnsi="宋体" w:eastAsia="宋体"/>
                <w:color w:val="auto"/>
                <w:kern w:val="0"/>
                <w:sz w:val="24"/>
                <w:highlight w:val="none"/>
                <w:lang w:eastAsia="zh-CN"/>
              </w:rPr>
            </w:pPr>
            <w:r>
              <w:rPr>
                <w:rFonts w:hint="eastAsia" w:ascii="宋体" w:hAnsi="宋体" w:eastAsia="宋体"/>
                <w:color w:val="auto"/>
                <w:kern w:val="0"/>
                <w:sz w:val="24"/>
                <w:highlight w:val="none"/>
                <w:lang w:eastAsia="zh-CN"/>
              </w:rPr>
              <w:t>支持人机交互对自动分割肺裂的修正</w:t>
            </w:r>
          </w:p>
          <w:p>
            <w:pPr>
              <w:pStyle w:val="201"/>
              <w:widowControl/>
              <w:numPr>
                <w:ilvl w:val="0"/>
                <w:numId w:val="9"/>
              </w:numPr>
              <w:spacing w:before="6" w:line="360" w:lineRule="auto"/>
              <w:ind w:left="452" w:right="105" w:rightChars="50" w:firstLine="482"/>
              <w:rPr>
                <w:rFonts w:ascii="宋体" w:hAnsi="宋体" w:eastAsia="宋体"/>
                <w:color w:val="auto"/>
                <w:kern w:val="0"/>
                <w:sz w:val="24"/>
                <w:highlight w:val="none"/>
                <w:lang w:eastAsia="zh-CN"/>
              </w:rPr>
            </w:pPr>
            <w:r>
              <w:rPr>
                <w:rFonts w:hint="eastAsia" w:ascii="宋体" w:hAnsi="宋体" w:eastAsia="宋体"/>
                <w:color w:val="auto"/>
                <w:kern w:val="0"/>
                <w:sz w:val="24"/>
                <w:highlight w:val="none"/>
                <w:lang w:eastAsia="zh-CN"/>
              </w:rPr>
              <w:t>支持肺裂种类的重新分类</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支持肺叶的自动分割及三维可视化</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支持自动识别、标注肺叶</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支持肺叶的MPR三视图同步定位</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肺叶各种量化指标，包括容积、LAA910体积、LAA910占比、LAA950体积、LAA950占比、平均密度、支气管数量、支气管长度、支气管体积、Agatston钙化、体积钙化、血管体积、肺组织体积、空气体积、密度标准差、质量</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支持肺裂与肺叶相互切换显示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kern w:val="0"/>
                <w:sz w:val="24"/>
                <w:highlight w:val="none"/>
                <w:lang w:eastAsia="zh-CN"/>
              </w:rPr>
            </w:pPr>
            <w:r>
              <w:rPr>
                <w:rFonts w:hint="eastAsia" w:ascii="宋体" w:hAnsi="宋体" w:eastAsia="宋体"/>
                <w:b/>
                <w:bCs/>
                <w:color w:val="auto"/>
                <w:kern w:val="0"/>
                <w:sz w:val="24"/>
                <w:highlight w:val="none"/>
                <w:lang w:eastAsia="zh-CN"/>
              </w:rPr>
              <w:t>支气管标注及肺段量化分析</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支持自动识别、分割支气管树</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支持支气管树的三维可视化</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支持三维支气管与MPR平面图的同步定位</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支持标注支气管树，并分割肺段</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rPr>
            </w:pPr>
            <w:r>
              <w:rPr>
                <w:rFonts w:hint="eastAsia" w:ascii="宋体" w:hAnsi="宋体" w:eastAsia="宋体"/>
                <w:color w:val="auto"/>
                <w:kern w:val="0"/>
                <w:sz w:val="24"/>
                <w:highlight w:val="none"/>
              </w:rPr>
              <w:t>支持肺段的三维可视化</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★支持肺段各种量化指标，包括容积、血管体积、肺组织体积、空气体积、LAA950占比、平均密度、密度标准差、质量。须提供系统截图</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支持标注支气管树，并分割肺亚段</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支持肺亚段的三维可视化</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支持肺亚段各种量化指标，包括容积、血管体积、肺组织体积、空气体积、LAA950占比、平均密度、密度标准差。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kern w:val="0"/>
                <w:sz w:val="24"/>
                <w:highlight w:val="none"/>
              </w:rPr>
            </w:pPr>
            <w:r>
              <w:rPr>
                <w:rFonts w:hint="eastAsia" w:ascii="宋体" w:hAnsi="宋体" w:eastAsia="宋体"/>
                <w:b/>
                <w:bCs/>
                <w:color w:val="auto"/>
                <w:kern w:val="0"/>
                <w:sz w:val="24"/>
                <w:highlight w:val="none"/>
              </w:rPr>
              <w:t>小气道量化分析</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kern w:val="0"/>
                <w:sz w:val="24"/>
                <w:highlight w:val="none"/>
                <w:lang w:eastAsia="zh-CN"/>
              </w:rPr>
            </w:pPr>
            <w:r>
              <w:rPr>
                <w:rFonts w:hint="eastAsia" w:ascii="宋体" w:hAnsi="宋体" w:eastAsia="宋体"/>
                <w:color w:val="auto"/>
                <w:kern w:val="0"/>
                <w:sz w:val="24"/>
                <w:highlight w:val="none"/>
                <w:lang w:eastAsia="zh-CN"/>
              </w:rPr>
              <w:t>支持自动配准对比呼气相和吸气相两个序列的数据，自动识别小气道病变。</w:t>
            </w:r>
          </w:p>
          <w:p>
            <w:pPr>
              <w:pStyle w:val="201"/>
              <w:widowControl/>
              <w:numPr>
                <w:ilvl w:val="0"/>
                <w:numId w:val="9"/>
              </w:numPr>
              <w:spacing w:before="6" w:line="360" w:lineRule="auto"/>
              <w:ind w:left="452" w:right="105" w:rightChars="50" w:firstLine="482"/>
              <w:rPr>
                <w:rFonts w:ascii="宋体" w:hAnsi="宋体" w:eastAsia="宋体"/>
                <w:color w:val="auto"/>
                <w:kern w:val="0"/>
                <w:sz w:val="24"/>
                <w:highlight w:val="none"/>
                <w:lang w:eastAsia="zh-CN"/>
              </w:rPr>
            </w:pPr>
            <w:r>
              <w:rPr>
                <w:rFonts w:hint="eastAsia" w:ascii="宋体" w:hAnsi="宋体" w:eastAsia="宋体"/>
                <w:color w:val="auto"/>
                <w:kern w:val="0"/>
                <w:sz w:val="24"/>
                <w:highlight w:val="none"/>
                <w:lang w:eastAsia="zh-CN"/>
              </w:rPr>
              <w:t>★支持量化小气道病变参数，包括：容积、百分比、平均密度、肺气肿体积、肺气肿百分比、小气道体积、小气道百分比、正常组织体积、正常组织百分比、呼气吸气百分比、呼气项平均密度</w:t>
            </w:r>
            <w:r>
              <w:rPr>
                <w:rFonts w:ascii="宋体" w:hAnsi="宋体" w:eastAsia="宋体"/>
                <w:color w:val="auto"/>
                <w:kern w:val="0"/>
                <w:sz w:val="24"/>
                <w:highlight w:val="none"/>
                <w:lang w:eastAsia="zh-CN"/>
              </w:rPr>
              <w:t>/吸气项平均密度</w:t>
            </w:r>
            <w:r>
              <w:rPr>
                <w:rFonts w:hint="eastAsia" w:ascii="宋体" w:hAnsi="宋体" w:eastAsia="宋体"/>
                <w:color w:val="auto"/>
                <w:kern w:val="0"/>
                <w:sz w:val="24"/>
                <w:highlight w:val="none"/>
                <w:lang w:eastAsia="zh-CN"/>
              </w:rPr>
              <w:t>、相对体积变化、空气滞留指数。须提供操作视频（视频内容包含功能点：1.小气道病变呼气相和吸气相两个序列的CT数据自动配准功能；2.小气道病变各项参数量化。需按</w:t>
            </w:r>
            <w:r>
              <w:rPr>
                <w:rFonts w:hint="eastAsia" w:ascii="宋体" w:hAnsi="宋体" w:eastAsia="宋体"/>
                <w:color w:val="auto"/>
                <w:sz w:val="24"/>
                <w:highlight w:val="none"/>
                <w:lang w:eastAsia="zh-CN"/>
              </w:rPr>
              <w:t>以上功能点顺序录制操作视频及人工语音讲解</w:t>
            </w:r>
            <w:r>
              <w:rPr>
                <w:rFonts w:hint="eastAsia" w:ascii="宋体" w:hAnsi="宋体" w:eastAsia="宋体"/>
                <w:color w:val="auto"/>
                <w:kern w:val="0"/>
                <w:sz w:val="24"/>
                <w:highlight w:val="none"/>
                <w:lang w:eastAsia="zh-CN"/>
              </w:rPr>
              <w:t>）</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支持生成肺功能报告。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kern w:val="0"/>
                <w:sz w:val="24"/>
                <w:highlight w:val="none"/>
              </w:rPr>
            </w:pPr>
            <w:r>
              <w:rPr>
                <w:rFonts w:hint="eastAsia" w:ascii="宋体" w:hAnsi="宋体" w:eastAsia="宋体"/>
                <w:b/>
                <w:bCs/>
                <w:color w:val="auto"/>
                <w:kern w:val="0"/>
                <w:sz w:val="24"/>
                <w:highlight w:val="none"/>
              </w:rPr>
              <w:t>肺部组织可视化</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支持三维可视化如下肺部组织结构：肺叶、肺裂、支气管、肺结节、肺血管、肺段、肺亚段、肺动静脉、肺密度</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★支持量化分析如下肺部组织结构：肺叶、肺裂、支气管、肺结节、肺血管、肺段、肺亚段。须提供系统截图</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支持对自动分割部分的手动删除及修正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kern w:val="0"/>
                <w:sz w:val="24"/>
                <w:highlight w:val="none"/>
              </w:rPr>
            </w:pPr>
            <w:r>
              <w:rPr>
                <w:rFonts w:hint="eastAsia" w:ascii="宋体" w:hAnsi="宋体" w:eastAsia="宋体"/>
                <w:b/>
                <w:bCs/>
                <w:color w:val="auto"/>
                <w:kern w:val="0"/>
                <w:sz w:val="24"/>
                <w:highlight w:val="none"/>
              </w:rPr>
              <w:t>肺动脉栓塞量化分析</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kern w:val="0"/>
                <w:sz w:val="24"/>
                <w:highlight w:val="none"/>
                <w:lang w:eastAsia="zh-CN"/>
              </w:rPr>
            </w:pPr>
            <w:r>
              <w:rPr>
                <w:rFonts w:hint="eastAsia" w:ascii="宋体" w:hAnsi="宋体" w:eastAsia="宋体"/>
                <w:color w:val="auto"/>
                <w:kern w:val="0"/>
                <w:sz w:val="24"/>
                <w:highlight w:val="none"/>
                <w:lang w:eastAsia="zh-CN"/>
              </w:rPr>
              <w:t>支持自动检测、标注肺动脉栓塞位置</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支持肺动脉血管以及栓塞的三维可视化</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支持肺动脉栓塞与MPR三视图的同步定位</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★支持肺动脉栓塞的各种量化指标，包括最小密度、最大密度、平均密度、容积、血栓面积/官腔面积、最大附壁长度。须提供操作视频（视频内容包含功能点：1.肺动脉栓塞自三维重建功能；2</w:t>
            </w:r>
            <w:r>
              <w:rPr>
                <w:rFonts w:ascii="宋体" w:hAnsi="宋体" w:eastAsia="宋体"/>
                <w:color w:val="auto"/>
                <w:kern w:val="0"/>
                <w:sz w:val="24"/>
                <w:highlight w:val="none"/>
                <w:lang w:eastAsia="zh-CN"/>
              </w:rPr>
              <w:t>.</w:t>
            </w:r>
            <w:r>
              <w:rPr>
                <w:rFonts w:hint="eastAsia" w:ascii="宋体" w:hAnsi="宋体" w:eastAsia="宋体"/>
                <w:color w:val="auto"/>
                <w:kern w:val="0"/>
                <w:sz w:val="24"/>
                <w:highlight w:val="none"/>
                <w:lang w:eastAsia="zh-CN"/>
              </w:rPr>
              <w:t>显示肺动脉栓塞的各种量化指标，包括最小密度、最大密度、平均密度、容积、血栓面积/官腔面积、最大附壁长度。需按</w:t>
            </w:r>
            <w:r>
              <w:rPr>
                <w:rFonts w:hint="eastAsia" w:ascii="宋体" w:hAnsi="宋体" w:eastAsia="宋体"/>
                <w:color w:val="auto"/>
                <w:sz w:val="24"/>
                <w:highlight w:val="none"/>
                <w:lang w:eastAsia="zh-CN"/>
              </w:rPr>
              <w:t>以上功能点顺序录制操作视频及人工语音讲解</w:t>
            </w:r>
            <w:r>
              <w:rPr>
                <w:rFonts w:hint="eastAsia" w:ascii="宋体" w:hAnsi="宋体" w:eastAsia="宋体"/>
                <w:color w:val="auto"/>
                <w:kern w:val="0"/>
                <w:sz w:val="24"/>
                <w:highlight w:val="none"/>
                <w:lang w:eastAsia="zh-CN"/>
              </w:rPr>
              <w:t>）</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支持肺动脉栓塞的统计报告；支持统计报告导出</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支持人机交互对肺动脉栓塞属性的修改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kern w:val="0"/>
                <w:sz w:val="24"/>
                <w:highlight w:val="none"/>
              </w:rPr>
            </w:pPr>
            <w:r>
              <w:rPr>
                <w:rFonts w:hint="eastAsia" w:ascii="宋体" w:hAnsi="宋体" w:eastAsia="宋体"/>
                <w:b/>
                <w:bCs/>
                <w:color w:val="auto"/>
                <w:kern w:val="0"/>
                <w:sz w:val="24"/>
                <w:highlight w:val="none"/>
              </w:rPr>
              <w:t>动静脉标注</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kern w:val="0"/>
                <w:sz w:val="24"/>
                <w:highlight w:val="none"/>
                <w:lang w:eastAsia="zh-CN"/>
              </w:rPr>
            </w:pPr>
            <w:r>
              <w:rPr>
                <w:rFonts w:hint="eastAsia" w:ascii="宋体" w:hAnsi="宋体" w:eastAsia="宋体"/>
                <w:color w:val="auto"/>
                <w:kern w:val="0"/>
                <w:sz w:val="24"/>
                <w:highlight w:val="none"/>
                <w:lang w:eastAsia="zh-CN"/>
              </w:rPr>
              <w:t>支持自动识别、分割肺动静脉。</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支持肺动静脉的交互式编辑，包括图层编辑、局部3D预览、曲面切割、曲面修改。</w:t>
            </w:r>
          </w:p>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支持查看肺结节/支气管与肺动脉、肺静脉的参照关系</w:t>
            </w:r>
          </w:p>
        </w:tc>
      </w:tr>
    </w:tbl>
    <w:p>
      <w:pPr>
        <w:rPr>
          <w:rFonts w:ascii="宋体" w:hAnsi="宋体"/>
          <w:color w:val="auto"/>
          <w:sz w:val="24"/>
          <w:highlight w:val="none"/>
        </w:rPr>
      </w:pPr>
    </w:p>
    <w:p>
      <w:pPr>
        <w:pStyle w:val="7"/>
        <w:numPr>
          <w:ilvl w:val="4"/>
          <w:numId w:val="8"/>
        </w:numPr>
        <w:rPr>
          <w:rFonts w:ascii="宋体" w:hAnsi="宋体"/>
          <w:color w:val="auto"/>
          <w:szCs w:val="24"/>
          <w:highlight w:val="none"/>
        </w:rPr>
      </w:pPr>
      <w:bookmarkStart w:id="767" w:name="_Toc20552"/>
      <w:bookmarkStart w:id="768" w:name="_Toc23457"/>
      <w:bookmarkStart w:id="769" w:name="_Toc6994"/>
      <w:r>
        <w:rPr>
          <w:rFonts w:hint="eastAsia" w:ascii="宋体" w:hAnsi="宋体"/>
          <w:color w:val="auto"/>
          <w:szCs w:val="24"/>
          <w:highlight w:val="none"/>
        </w:rPr>
        <w:t>眼健康眼智能管理系统</w:t>
      </w:r>
      <w:bookmarkEnd w:id="767"/>
      <w:bookmarkEnd w:id="768"/>
      <w:bookmarkEnd w:id="769"/>
    </w:p>
    <w:p>
      <w:pPr>
        <w:pStyle w:val="8"/>
        <w:ind w:firstLine="480"/>
        <w:rPr>
          <w:color w:val="auto"/>
          <w:highlight w:val="none"/>
        </w:rPr>
      </w:pPr>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left="105" w:leftChars="50" w:right="105" w:rightChars="50"/>
              <w:jc w:val="center"/>
              <w:rPr>
                <w:rFonts w:ascii="宋体" w:hAnsi="宋体" w:eastAsia="宋体"/>
                <w:b/>
                <w:color w:val="auto"/>
                <w:w w:val="105"/>
                <w:kern w:val="0"/>
                <w:sz w:val="24"/>
                <w:highlight w:val="none"/>
              </w:rPr>
            </w:pPr>
            <w:r>
              <w:rPr>
                <w:rFonts w:hint="eastAsia" w:ascii="宋体" w:hAnsi="宋体" w:eastAsia="宋体"/>
                <w:b/>
                <w:color w:val="auto"/>
                <w:w w:val="105"/>
                <w:kern w:val="0"/>
                <w:sz w:val="24"/>
                <w:highlight w:val="none"/>
              </w:rPr>
              <w:t>功能模块</w:t>
            </w:r>
          </w:p>
        </w:tc>
        <w:tc>
          <w:tcPr>
            <w:tcW w:w="6622" w:type="dxa"/>
            <w:shd w:val="clear" w:color="auto" w:fill="4472C4"/>
            <w:vAlign w:val="center"/>
          </w:tcPr>
          <w:p>
            <w:pPr>
              <w:pStyle w:val="201"/>
              <w:spacing w:before="13" w:line="360" w:lineRule="auto"/>
              <w:ind w:left="101" w:leftChars="48" w:right="105" w:rightChars="50"/>
              <w:jc w:val="center"/>
              <w:rPr>
                <w:rFonts w:ascii="宋体" w:hAnsi="宋体" w:eastAsia="宋体"/>
                <w:b/>
                <w:color w:val="auto"/>
                <w:w w:val="105"/>
                <w:kern w:val="0"/>
                <w:sz w:val="24"/>
                <w:highlight w:val="none"/>
              </w:rPr>
            </w:pPr>
            <w:r>
              <w:rPr>
                <w:rFonts w:ascii="宋体" w:hAnsi="宋体" w:eastAsia="宋体"/>
                <w:b/>
                <w:color w:val="auto"/>
                <w:w w:val="105"/>
                <w:kern w:val="0"/>
                <w:sz w:val="24"/>
                <w:highlight w:val="none"/>
              </w:rPr>
              <w:t>功能</w:t>
            </w:r>
            <w:r>
              <w:rPr>
                <w:rFonts w:hint="eastAsia" w:ascii="宋体" w:hAnsi="宋体" w:eastAsia="宋体"/>
                <w:b/>
                <w:color w:val="auto"/>
                <w:w w:val="105"/>
                <w:kern w:val="0"/>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kern w:val="0"/>
                <w:sz w:val="24"/>
                <w:highlight w:val="none"/>
              </w:rPr>
            </w:pPr>
            <w:r>
              <w:rPr>
                <w:rFonts w:hint="eastAsia" w:ascii="宋体" w:hAnsi="宋体" w:eastAsia="宋体"/>
                <w:b/>
                <w:bCs/>
                <w:color w:val="auto"/>
                <w:kern w:val="0"/>
                <w:sz w:val="24"/>
                <w:highlight w:val="none"/>
                <w:lang w:eastAsia="zh-CN"/>
              </w:rPr>
              <w:t>总体要求</w:t>
            </w:r>
          </w:p>
        </w:tc>
        <w:tc>
          <w:tcPr>
            <w:tcW w:w="6622" w:type="dxa"/>
            <w:vAlign w:val="center"/>
          </w:tcPr>
          <w:p>
            <w:pPr>
              <w:pStyle w:val="201"/>
              <w:widowControl/>
              <w:numPr>
                <w:ilvl w:val="0"/>
                <w:numId w:val="9"/>
              </w:numPr>
              <w:spacing w:before="6" w:line="360" w:lineRule="auto"/>
              <w:ind w:left="452" w:right="105" w:rightChars="50" w:firstLine="480"/>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Hans"/>
              </w:rPr>
              <w:t>须</w:t>
            </w:r>
            <w:r>
              <w:rPr>
                <w:rFonts w:hint="eastAsia" w:ascii="宋体" w:hAnsi="宋体" w:eastAsia="宋体"/>
                <w:color w:val="auto"/>
                <w:kern w:val="0"/>
                <w:sz w:val="24"/>
                <w:highlight w:val="none"/>
                <w:lang w:eastAsia="zh-CN"/>
              </w:rPr>
              <w:t>提供医疗器械注册证（产品名称需含有“眼科影像”相关内容），</w:t>
            </w:r>
            <w:r>
              <w:rPr>
                <w:rFonts w:hint="eastAsia" w:ascii="宋体" w:hAnsi="宋体" w:eastAsia="宋体"/>
                <w:color w:val="auto"/>
                <w:kern w:val="0"/>
                <w:sz w:val="24"/>
                <w:highlight w:val="none"/>
                <w:lang w:eastAsia="zh-Hans"/>
              </w:rPr>
              <w:t>须</w:t>
            </w:r>
            <w:r>
              <w:rPr>
                <w:rFonts w:hint="eastAsia" w:ascii="宋体" w:hAnsi="宋体" w:eastAsia="宋体"/>
                <w:color w:val="auto"/>
                <w:kern w:val="0"/>
                <w:sz w:val="24"/>
                <w:highlight w:val="none"/>
                <w:lang w:eastAsia="zh-CN"/>
              </w:rPr>
              <w:t>提供N</w:t>
            </w:r>
            <w:r>
              <w:rPr>
                <w:rFonts w:ascii="宋体" w:hAnsi="宋体" w:eastAsia="宋体"/>
                <w:color w:val="auto"/>
                <w:kern w:val="0"/>
                <w:sz w:val="24"/>
                <w:highlight w:val="none"/>
                <w:lang w:eastAsia="zh-CN"/>
              </w:rPr>
              <w:t>MPA</w:t>
            </w:r>
            <w:r>
              <w:rPr>
                <w:rFonts w:hint="eastAsia" w:ascii="宋体" w:hAnsi="宋体" w:eastAsia="宋体"/>
                <w:color w:val="auto"/>
                <w:kern w:val="0"/>
                <w:sz w:val="24"/>
                <w:highlight w:val="none"/>
                <w:lang w:eastAsia="zh-CN"/>
              </w:rPr>
              <w:t>官网（</w:t>
            </w:r>
            <w:r>
              <w:rPr>
                <w:rFonts w:ascii="宋体" w:hAnsi="宋体" w:eastAsia="宋体"/>
                <w:color w:val="auto"/>
                <w:kern w:val="0"/>
                <w:sz w:val="24"/>
                <w:highlight w:val="none"/>
                <w:lang w:eastAsia="zh-CN"/>
              </w:rPr>
              <w:t>www.nmpa.gov.cn</w:t>
            </w:r>
            <w:r>
              <w:rPr>
                <w:rFonts w:hint="eastAsia" w:ascii="宋体" w:hAnsi="宋体" w:eastAsia="宋体"/>
                <w:color w:val="auto"/>
                <w:kern w:val="0"/>
                <w:sz w:val="24"/>
                <w:highlight w:val="none"/>
                <w:lang w:eastAsia="zh-CN"/>
              </w:rPr>
              <w:t>）查询结果截图及查询链接</w:t>
            </w:r>
          </w:p>
          <w:p>
            <w:pPr>
              <w:pStyle w:val="201"/>
              <w:widowControl/>
              <w:numPr>
                <w:ilvl w:val="0"/>
                <w:numId w:val="9"/>
              </w:numPr>
              <w:spacing w:before="6" w:line="360" w:lineRule="auto"/>
              <w:ind w:left="452" w:right="105" w:rightChars="50" w:firstLine="480"/>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Hans"/>
              </w:rPr>
              <w:t>须提供眼科图像相关软件著作权登记证书扫描件并加盖公章</w:t>
            </w:r>
          </w:p>
          <w:p>
            <w:pPr>
              <w:pStyle w:val="201"/>
              <w:widowControl/>
              <w:numPr>
                <w:ilvl w:val="0"/>
                <w:numId w:val="9"/>
              </w:numPr>
              <w:spacing w:before="6" w:line="360" w:lineRule="auto"/>
              <w:ind w:left="452" w:right="105" w:rightChars="50" w:firstLine="480"/>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须提供产品彩页并加盖单位公章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kern w:val="0"/>
                <w:sz w:val="24"/>
                <w:highlight w:val="none"/>
              </w:rPr>
            </w:pPr>
            <w:r>
              <w:rPr>
                <w:rFonts w:hint="eastAsia" w:ascii="宋体" w:hAnsi="宋体" w:eastAsia="宋体"/>
                <w:b/>
                <w:color w:val="auto"/>
                <w:kern w:val="0"/>
                <w:sz w:val="24"/>
                <w:highlight w:val="none"/>
                <w:lang w:bidi="ar"/>
              </w:rPr>
              <w:t>检查数据归集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支持检查数据归集：对患者检查数据进行自动采集接入，检查报告的自动采集接入，标准检查设备及无接口设备的数据录入，验光/复光数据输入，电脑验光仪的自动采集接入，视力训练数据输入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kern w:val="0"/>
                <w:sz w:val="24"/>
                <w:highlight w:val="none"/>
                <w:lang w:eastAsia="zh-CN"/>
              </w:rPr>
            </w:pPr>
            <w:r>
              <w:rPr>
                <w:rFonts w:hint="eastAsia" w:ascii="宋体" w:hAnsi="宋体" w:eastAsia="宋体"/>
                <w:b/>
                <w:color w:val="auto"/>
                <w:kern w:val="0"/>
                <w:sz w:val="24"/>
                <w:highlight w:val="none"/>
                <w:lang w:eastAsia="zh-CN" w:bidi="ar"/>
              </w:rPr>
              <w:t>青光眼眼压数据自动评估</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b/>
                <w:color w:val="auto"/>
                <w:kern w:val="0"/>
                <w:sz w:val="24"/>
                <w:highlight w:val="none"/>
                <w:lang w:eastAsia="zh-CN" w:bidi="ar"/>
              </w:rPr>
              <w:t>青光眼眼压数据自动评估：</w:t>
            </w:r>
            <w:r>
              <w:rPr>
                <w:rFonts w:hint="eastAsia" w:ascii="宋体" w:hAnsi="宋体" w:eastAsia="宋体"/>
                <w:color w:val="auto"/>
                <w:kern w:val="0"/>
                <w:sz w:val="24"/>
                <w:highlight w:val="none"/>
                <w:lang w:eastAsia="zh-CN"/>
              </w:rPr>
              <w:t>对患者24小时眼压监测登记及自动评估，饮水实验登记及自动评估，散瞳实验登记及自动评估，眼压检测登记。须提供操作视频（视频内容包含功能点：1.对患者24小时眼压监测登记及自动评估功能；2</w:t>
            </w:r>
            <w:r>
              <w:rPr>
                <w:rFonts w:ascii="宋体" w:hAnsi="宋体" w:eastAsia="宋体"/>
                <w:color w:val="auto"/>
                <w:kern w:val="0"/>
                <w:sz w:val="24"/>
                <w:highlight w:val="none"/>
                <w:lang w:eastAsia="zh-CN"/>
              </w:rPr>
              <w:t>.</w:t>
            </w:r>
            <w:r>
              <w:rPr>
                <w:rFonts w:hint="eastAsia" w:ascii="宋体" w:hAnsi="宋体" w:eastAsia="宋体"/>
                <w:color w:val="auto"/>
                <w:kern w:val="0"/>
                <w:sz w:val="24"/>
                <w:highlight w:val="none"/>
                <w:lang w:eastAsia="zh-CN"/>
              </w:rPr>
              <w:t>饮水实验登记及自动评估功能；3</w:t>
            </w:r>
            <w:r>
              <w:rPr>
                <w:rFonts w:ascii="宋体" w:hAnsi="宋体" w:eastAsia="宋体"/>
                <w:color w:val="auto"/>
                <w:kern w:val="0"/>
                <w:sz w:val="24"/>
                <w:highlight w:val="none"/>
                <w:lang w:eastAsia="zh-CN"/>
              </w:rPr>
              <w:t>.</w:t>
            </w:r>
            <w:r>
              <w:rPr>
                <w:rFonts w:hint="eastAsia" w:ascii="宋体" w:hAnsi="宋体" w:eastAsia="宋体"/>
                <w:color w:val="auto"/>
                <w:kern w:val="0"/>
                <w:sz w:val="24"/>
                <w:highlight w:val="none"/>
                <w:lang w:eastAsia="zh-CN"/>
              </w:rPr>
              <w:t>散瞳实验登记及自动评估功能；4</w:t>
            </w:r>
            <w:r>
              <w:rPr>
                <w:rFonts w:ascii="宋体" w:hAnsi="宋体" w:eastAsia="宋体"/>
                <w:color w:val="auto"/>
                <w:kern w:val="0"/>
                <w:sz w:val="24"/>
                <w:highlight w:val="none"/>
                <w:lang w:eastAsia="zh-CN"/>
              </w:rPr>
              <w:t>.</w:t>
            </w:r>
            <w:r>
              <w:rPr>
                <w:rFonts w:hint="eastAsia" w:ascii="宋体" w:hAnsi="宋体" w:eastAsia="宋体"/>
                <w:color w:val="auto"/>
                <w:kern w:val="0"/>
                <w:sz w:val="24"/>
                <w:highlight w:val="none"/>
                <w:lang w:eastAsia="zh-CN"/>
              </w:rPr>
              <w:t>眼压检测登记。需按</w:t>
            </w:r>
            <w:r>
              <w:rPr>
                <w:rFonts w:hint="eastAsia" w:ascii="宋体" w:hAnsi="宋体" w:eastAsia="宋体"/>
                <w:color w:val="auto"/>
                <w:sz w:val="24"/>
                <w:highlight w:val="none"/>
                <w:lang w:eastAsia="zh-CN"/>
              </w:rPr>
              <w:t>以上功能点顺序录制操作视频及人工语音讲解</w:t>
            </w:r>
            <w:r>
              <w:rPr>
                <w:rFonts w:hint="eastAsia" w:ascii="宋体" w:hAnsi="宋体" w:eastAsia="宋体"/>
                <w:color w:val="auto"/>
                <w:kern w:val="0"/>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kern w:val="0"/>
                <w:sz w:val="24"/>
                <w:highlight w:val="none"/>
              </w:rPr>
            </w:pPr>
            <w:r>
              <w:rPr>
                <w:rFonts w:hint="eastAsia" w:ascii="宋体" w:hAnsi="宋体" w:eastAsia="宋体"/>
                <w:b/>
                <w:color w:val="auto"/>
                <w:kern w:val="0"/>
                <w:sz w:val="24"/>
                <w:highlight w:val="none"/>
                <w:lang w:bidi="ar"/>
              </w:rPr>
              <w:t>最新检查快捷访问</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b/>
                <w:color w:val="auto"/>
                <w:kern w:val="0"/>
                <w:sz w:val="24"/>
                <w:highlight w:val="none"/>
                <w:lang w:eastAsia="zh-CN" w:bidi="ar"/>
              </w:rPr>
              <w:t>最新检查快捷访问：</w:t>
            </w:r>
            <w:r>
              <w:rPr>
                <w:rFonts w:hint="eastAsia" w:ascii="宋体" w:hAnsi="宋体" w:eastAsia="宋体"/>
                <w:color w:val="auto"/>
                <w:kern w:val="0"/>
                <w:sz w:val="24"/>
                <w:highlight w:val="none"/>
                <w:lang w:eastAsia="zh-CN" w:bidi="ar"/>
              </w:rPr>
              <w:t>支持最近查看病患列表功能</w:t>
            </w:r>
            <w:r>
              <w:rPr>
                <w:rFonts w:hint="eastAsia" w:ascii="宋体" w:hAnsi="宋体" w:eastAsia="宋体"/>
                <w:b/>
                <w:bCs/>
                <w:color w:val="auto"/>
                <w:kern w:val="0"/>
                <w:sz w:val="24"/>
                <w:highlight w:val="none"/>
                <w:lang w:eastAsia="zh-CN"/>
              </w:rPr>
              <w:t>，</w:t>
            </w:r>
            <w:r>
              <w:rPr>
                <w:rFonts w:hint="eastAsia" w:ascii="宋体" w:hAnsi="宋体" w:eastAsia="宋体"/>
                <w:color w:val="auto"/>
                <w:kern w:val="0"/>
                <w:sz w:val="24"/>
                <w:highlight w:val="none"/>
                <w:lang w:eastAsia="zh-CN" w:bidi="ar"/>
              </w:rPr>
              <w:t>支持最新检查的住院病患列表功能</w:t>
            </w:r>
            <w:r>
              <w:rPr>
                <w:rFonts w:hint="eastAsia" w:ascii="宋体" w:hAnsi="宋体" w:eastAsia="宋体"/>
                <w:b/>
                <w:bCs/>
                <w:color w:val="auto"/>
                <w:kern w:val="0"/>
                <w:sz w:val="24"/>
                <w:highlight w:val="none"/>
                <w:lang w:eastAsia="zh-CN"/>
              </w:rPr>
              <w:t>，</w:t>
            </w:r>
            <w:r>
              <w:rPr>
                <w:rFonts w:hint="eastAsia" w:ascii="宋体" w:hAnsi="宋体" w:eastAsia="宋体"/>
                <w:color w:val="auto"/>
                <w:kern w:val="0"/>
                <w:sz w:val="24"/>
                <w:highlight w:val="none"/>
                <w:lang w:eastAsia="zh-CN" w:bidi="ar"/>
              </w:rPr>
              <w:t>支持最新检查的会诊病患列表功能</w:t>
            </w:r>
            <w:r>
              <w:rPr>
                <w:rFonts w:hint="eastAsia" w:ascii="宋体" w:hAnsi="宋体" w:eastAsia="宋体"/>
                <w:b/>
                <w:bCs/>
                <w:color w:val="auto"/>
                <w:kern w:val="0"/>
                <w:sz w:val="24"/>
                <w:highlight w:val="none"/>
                <w:lang w:eastAsia="zh-CN"/>
              </w:rPr>
              <w:t>，</w:t>
            </w:r>
            <w:r>
              <w:rPr>
                <w:rFonts w:hint="eastAsia" w:ascii="宋体" w:hAnsi="宋体" w:eastAsia="宋体"/>
                <w:color w:val="auto"/>
                <w:kern w:val="0"/>
                <w:sz w:val="24"/>
                <w:highlight w:val="none"/>
                <w:lang w:eastAsia="zh-CN" w:bidi="ar"/>
              </w:rPr>
              <w:t>支持最新检查的门诊病患列表功能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kern w:val="0"/>
                <w:sz w:val="24"/>
                <w:highlight w:val="none"/>
              </w:rPr>
            </w:pPr>
            <w:r>
              <w:rPr>
                <w:rFonts w:hint="eastAsia" w:ascii="宋体" w:hAnsi="宋体" w:eastAsia="宋体"/>
                <w:b/>
                <w:color w:val="auto"/>
                <w:kern w:val="0"/>
                <w:sz w:val="24"/>
                <w:highlight w:val="none"/>
                <w:lang w:bidi="ar"/>
              </w:rPr>
              <w:t>病患检查数据跟踪</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w:t>
            </w:r>
            <w:r>
              <w:rPr>
                <w:rFonts w:hint="eastAsia" w:ascii="宋体" w:hAnsi="宋体" w:eastAsia="宋体"/>
                <w:b/>
                <w:color w:val="auto"/>
                <w:kern w:val="0"/>
                <w:sz w:val="24"/>
                <w:highlight w:val="none"/>
                <w:lang w:eastAsia="zh-CN" w:bidi="ar"/>
              </w:rPr>
              <w:t>病患检查数据跟踪：</w:t>
            </w:r>
            <w:r>
              <w:rPr>
                <w:rFonts w:hint="eastAsia" w:ascii="宋体" w:hAnsi="宋体" w:eastAsia="宋体"/>
                <w:color w:val="auto"/>
                <w:kern w:val="0"/>
                <w:sz w:val="24"/>
                <w:highlight w:val="none"/>
                <w:lang w:eastAsia="zh-CN" w:bidi="ar"/>
              </w:rPr>
              <w:t>支持患者的终身唯一编码功能</w:t>
            </w:r>
            <w:r>
              <w:rPr>
                <w:rFonts w:hint="eastAsia" w:ascii="宋体" w:hAnsi="宋体" w:eastAsia="宋体"/>
                <w:b/>
                <w:bCs/>
                <w:color w:val="auto"/>
                <w:kern w:val="0"/>
                <w:sz w:val="24"/>
                <w:highlight w:val="none"/>
                <w:lang w:eastAsia="zh-CN"/>
              </w:rPr>
              <w:t>，</w:t>
            </w:r>
            <w:r>
              <w:rPr>
                <w:rFonts w:hint="eastAsia" w:ascii="宋体" w:hAnsi="宋体" w:eastAsia="宋体"/>
                <w:color w:val="auto"/>
                <w:kern w:val="0"/>
                <w:sz w:val="24"/>
                <w:highlight w:val="none"/>
                <w:lang w:eastAsia="zh-CN" w:bidi="ar"/>
              </w:rPr>
              <w:t>支持患者检查的终身跟踪功能</w:t>
            </w:r>
            <w:r>
              <w:rPr>
                <w:rFonts w:hint="eastAsia" w:ascii="宋体" w:hAnsi="宋体" w:eastAsia="宋体"/>
                <w:b/>
                <w:bCs/>
                <w:color w:val="auto"/>
                <w:kern w:val="0"/>
                <w:sz w:val="24"/>
                <w:highlight w:val="none"/>
                <w:lang w:eastAsia="zh-CN"/>
              </w:rPr>
              <w:t>，</w:t>
            </w:r>
            <w:r>
              <w:rPr>
                <w:rFonts w:hint="eastAsia" w:ascii="宋体" w:hAnsi="宋体" w:eastAsia="宋体"/>
                <w:color w:val="auto"/>
                <w:kern w:val="0"/>
                <w:sz w:val="24"/>
                <w:highlight w:val="none"/>
                <w:lang w:eastAsia="zh-CN" w:bidi="ar"/>
              </w:rPr>
              <w:t>支持患者检查的对比功能</w:t>
            </w:r>
            <w:r>
              <w:rPr>
                <w:rFonts w:hint="eastAsia" w:ascii="宋体" w:hAnsi="宋体" w:eastAsia="宋体"/>
                <w:b/>
                <w:bCs/>
                <w:color w:val="auto"/>
                <w:kern w:val="0"/>
                <w:sz w:val="24"/>
                <w:highlight w:val="none"/>
                <w:lang w:eastAsia="zh-CN"/>
              </w:rPr>
              <w:t>，</w:t>
            </w:r>
            <w:r>
              <w:rPr>
                <w:rFonts w:hint="eastAsia" w:ascii="宋体" w:hAnsi="宋体" w:eastAsia="宋体"/>
                <w:color w:val="auto"/>
                <w:kern w:val="0"/>
                <w:sz w:val="24"/>
                <w:highlight w:val="none"/>
                <w:lang w:eastAsia="zh-CN" w:bidi="ar"/>
              </w:rPr>
              <w:t>支持患者检查的合并功能。</w:t>
            </w:r>
            <w:r>
              <w:rPr>
                <w:rFonts w:hint="eastAsia" w:ascii="宋体" w:hAnsi="宋体" w:eastAsia="宋体"/>
                <w:color w:val="auto"/>
                <w:kern w:val="0"/>
                <w:sz w:val="24"/>
                <w:highlight w:val="none"/>
                <w:lang w:eastAsia="zh-CN"/>
              </w:rPr>
              <w:t>须提供系统截图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kern w:val="0"/>
                <w:sz w:val="24"/>
                <w:highlight w:val="none"/>
                <w:lang w:eastAsia="zh-CN"/>
              </w:rPr>
            </w:pPr>
            <w:r>
              <w:rPr>
                <w:rFonts w:hint="eastAsia" w:ascii="宋体" w:hAnsi="宋体" w:eastAsia="宋体"/>
                <w:b/>
                <w:color w:val="auto"/>
                <w:kern w:val="0"/>
                <w:sz w:val="24"/>
                <w:highlight w:val="none"/>
                <w:lang w:eastAsia="zh-CN" w:bidi="ar"/>
              </w:rPr>
              <w:t>自动生成结构化格式报告</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b/>
                <w:color w:val="auto"/>
                <w:kern w:val="0"/>
                <w:sz w:val="24"/>
                <w:highlight w:val="none"/>
                <w:lang w:eastAsia="zh-CN" w:bidi="ar"/>
              </w:rPr>
              <w:t>自动生成结构化格式报告：</w:t>
            </w:r>
            <w:r>
              <w:rPr>
                <w:rFonts w:hint="eastAsia" w:ascii="宋体" w:hAnsi="宋体" w:eastAsia="宋体"/>
                <w:color w:val="auto"/>
                <w:kern w:val="0"/>
                <w:sz w:val="24"/>
                <w:highlight w:val="none"/>
                <w:lang w:eastAsia="zh-CN"/>
              </w:rPr>
              <w:t>支持报告格式的定制化，统一化，格式化功能</w:t>
            </w:r>
            <w:r>
              <w:rPr>
                <w:rFonts w:hint="eastAsia" w:ascii="宋体" w:hAnsi="宋体" w:eastAsia="宋体"/>
                <w:b/>
                <w:bCs/>
                <w:color w:val="auto"/>
                <w:kern w:val="0"/>
                <w:sz w:val="24"/>
                <w:highlight w:val="none"/>
                <w:lang w:eastAsia="zh-CN"/>
              </w:rPr>
              <w:t>，</w:t>
            </w:r>
            <w:r>
              <w:rPr>
                <w:rFonts w:hint="eastAsia" w:ascii="宋体" w:hAnsi="宋体" w:eastAsia="宋体"/>
                <w:color w:val="auto"/>
                <w:kern w:val="0"/>
                <w:sz w:val="24"/>
                <w:highlight w:val="none"/>
                <w:lang w:eastAsia="zh-CN" w:bidi="ar"/>
              </w:rPr>
              <w:t>支持报告内容的模板化功能</w:t>
            </w:r>
            <w:r>
              <w:rPr>
                <w:rFonts w:hint="eastAsia" w:ascii="宋体" w:hAnsi="宋体" w:eastAsia="宋体"/>
                <w:b/>
                <w:bCs/>
                <w:color w:val="auto"/>
                <w:kern w:val="0"/>
                <w:sz w:val="24"/>
                <w:highlight w:val="none"/>
                <w:lang w:eastAsia="zh-CN"/>
              </w:rPr>
              <w:t>，</w:t>
            </w:r>
            <w:r>
              <w:rPr>
                <w:rFonts w:hint="eastAsia" w:ascii="宋体" w:hAnsi="宋体" w:eastAsia="宋体"/>
                <w:color w:val="auto"/>
                <w:kern w:val="0"/>
                <w:sz w:val="24"/>
                <w:highlight w:val="none"/>
                <w:lang w:eastAsia="zh-CN" w:bidi="ar"/>
              </w:rPr>
              <w:t>24小时眼压监测，饮水实验，散瞳实验等图文格式化报告</w:t>
            </w:r>
            <w:r>
              <w:rPr>
                <w:rFonts w:hint="eastAsia" w:ascii="宋体" w:hAnsi="宋体" w:eastAsia="宋体"/>
                <w:b/>
                <w:bCs/>
                <w:color w:val="auto"/>
                <w:kern w:val="0"/>
                <w:sz w:val="24"/>
                <w:highlight w:val="none"/>
                <w:lang w:eastAsia="zh-CN"/>
              </w:rPr>
              <w:t>，</w:t>
            </w:r>
            <w:r>
              <w:rPr>
                <w:rFonts w:hint="eastAsia" w:ascii="宋体" w:hAnsi="宋体" w:eastAsia="宋体"/>
                <w:color w:val="auto"/>
                <w:kern w:val="0"/>
                <w:sz w:val="24"/>
                <w:highlight w:val="none"/>
                <w:lang w:eastAsia="zh-CN" w:bidi="ar"/>
              </w:rPr>
              <w:t>验光/复光报告打印</w:t>
            </w:r>
            <w:r>
              <w:rPr>
                <w:rFonts w:hint="eastAsia" w:ascii="宋体" w:hAnsi="宋体" w:eastAsia="宋体"/>
                <w:b/>
                <w:bCs/>
                <w:color w:val="auto"/>
                <w:kern w:val="0"/>
                <w:sz w:val="24"/>
                <w:highlight w:val="none"/>
                <w:lang w:eastAsia="zh-CN"/>
              </w:rPr>
              <w:t>，</w:t>
            </w:r>
            <w:r>
              <w:rPr>
                <w:rFonts w:hint="eastAsia" w:ascii="宋体" w:hAnsi="宋体" w:eastAsia="宋体"/>
                <w:color w:val="auto"/>
                <w:kern w:val="0"/>
                <w:sz w:val="24"/>
                <w:highlight w:val="none"/>
                <w:lang w:eastAsia="zh-CN" w:bidi="ar"/>
              </w:rPr>
              <w:t>训练数据查询和打印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kern w:val="0"/>
                <w:sz w:val="24"/>
                <w:highlight w:val="none"/>
              </w:rPr>
            </w:pPr>
            <w:r>
              <w:rPr>
                <w:rFonts w:hint="eastAsia" w:ascii="宋体" w:hAnsi="宋体" w:eastAsia="宋体"/>
                <w:b/>
                <w:color w:val="auto"/>
                <w:kern w:val="0"/>
                <w:sz w:val="24"/>
                <w:highlight w:val="none"/>
                <w:lang w:bidi="ar"/>
              </w:rPr>
              <w:t>典型病例收藏</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b/>
                <w:color w:val="auto"/>
                <w:kern w:val="0"/>
                <w:sz w:val="24"/>
                <w:highlight w:val="none"/>
                <w:lang w:eastAsia="zh-CN" w:bidi="ar"/>
              </w:rPr>
              <w:t>典型病例收藏：</w:t>
            </w:r>
            <w:r>
              <w:rPr>
                <w:rFonts w:hint="eastAsia" w:ascii="宋体" w:hAnsi="宋体" w:eastAsia="宋体"/>
                <w:color w:val="auto"/>
                <w:kern w:val="0"/>
                <w:sz w:val="24"/>
                <w:highlight w:val="none"/>
                <w:lang w:eastAsia="zh-CN" w:bidi="ar"/>
              </w:rPr>
              <w:t>支持典型病例的快捷栏收藏功能</w:t>
            </w:r>
            <w:r>
              <w:rPr>
                <w:rFonts w:hint="eastAsia" w:ascii="宋体" w:hAnsi="宋体" w:eastAsia="宋体"/>
                <w:b/>
                <w:bCs/>
                <w:color w:val="auto"/>
                <w:kern w:val="0"/>
                <w:sz w:val="24"/>
                <w:highlight w:val="none"/>
                <w:lang w:eastAsia="zh-CN"/>
              </w:rPr>
              <w:t>，</w:t>
            </w:r>
            <w:r>
              <w:rPr>
                <w:rFonts w:hint="eastAsia" w:ascii="宋体" w:hAnsi="宋体" w:eastAsia="宋体"/>
                <w:color w:val="auto"/>
                <w:kern w:val="0"/>
                <w:sz w:val="24"/>
                <w:highlight w:val="none"/>
                <w:lang w:eastAsia="zh-CN" w:bidi="ar"/>
              </w:rPr>
              <w:t>支持典型病例的收藏夹收藏功能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kern w:val="0"/>
                <w:sz w:val="24"/>
                <w:highlight w:val="none"/>
              </w:rPr>
            </w:pPr>
            <w:r>
              <w:rPr>
                <w:rFonts w:hint="eastAsia" w:ascii="宋体" w:hAnsi="宋体" w:eastAsia="宋体"/>
                <w:b/>
                <w:color w:val="auto"/>
                <w:kern w:val="0"/>
                <w:sz w:val="24"/>
                <w:highlight w:val="none"/>
                <w:lang w:bidi="ar"/>
              </w:rPr>
              <w:t>多终端跨平台</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b/>
                <w:color w:val="auto"/>
                <w:kern w:val="0"/>
                <w:sz w:val="24"/>
                <w:highlight w:val="none"/>
                <w:lang w:eastAsia="zh-CN" w:bidi="ar"/>
              </w:rPr>
              <w:t>多终端跨平台：</w:t>
            </w:r>
            <w:r>
              <w:rPr>
                <w:rFonts w:hint="eastAsia" w:ascii="宋体" w:hAnsi="宋体" w:eastAsia="宋体"/>
                <w:color w:val="auto"/>
                <w:kern w:val="0"/>
                <w:sz w:val="24"/>
                <w:highlight w:val="none"/>
                <w:lang w:eastAsia="zh-CN" w:bidi="ar"/>
              </w:rPr>
              <w:t>支持PC、iPAD等跨平台操作系统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kern w:val="0"/>
                <w:sz w:val="24"/>
                <w:highlight w:val="none"/>
              </w:rPr>
            </w:pPr>
            <w:r>
              <w:rPr>
                <w:rFonts w:hint="eastAsia" w:ascii="宋体" w:hAnsi="宋体" w:eastAsia="宋体"/>
                <w:b/>
                <w:color w:val="auto"/>
                <w:kern w:val="0"/>
                <w:sz w:val="24"/>
                <w:highlight w:val="none"/>
                <w:lang w:bidi="ar"/>
              </w:rPr>
              <w:t>病人登记</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b/>
                <w:bCs/>
                <w:color w:val="auto"/>
                <w:kern w:val="0"/>
                <w:sz w:val="24"/>
                <w:highlight w:val="none"/>
                <w:lang w:eastAsia="zh-CN" w:bidi="ar"/>
              </w:rPr>
              <w:t>病人登记：</w:t>
            </w:r>
            <w:r>
              <w:rPr>
                <w:rFonts w:hint="eastAsia" w:ascii="宋体" w:hAnsi="宋体" w:eastAsia="宋体"/>
                <w:color w:val="auto"/>
                <w:kern w:val="0"/>
                <w:sz w:val="24"/>
                <w:highlight w:val="none"/>
                <w:lang w:eastAsia="zh-CN" w:bidi="ar"/>
              </w:rPr>
              <w:t>支持患者预约登记、支持扫码器，扫描一维码，二维码（门诊号，住院号等）登记</w:t>
            </w:r>
            <w:r>
              <w:rPr>
                <w:rFonts w:hint="eastAsia" w:ascii="宋体" w:hAnsi="宋体" w:eastAsia="宋体"/>
                <w:b/>
                <w:bCs/>
                <w:color w:val="auto"/>
                <w:kern w:val="0"/>
                <w:sz w:val="24"/>
                <w:highlight w:val="none"/>
                <w:lang w:eastAsia="zh-CN"/>
              </w:rPr>
              <w:t>、</w:t>
            </w:r>
            <w:r>
              <w:rPr>
                <w:rFonts w:hint="eastAsia" w:ascii="宋体" w:hAnsi="宋体" w:eastAsia="宋体"/>
                <w:color w:val="auto"/>
                <w:kern w:val="0"/>
                <w:sz w:val="24"/>
                <w:highlight w:val="none"/>
                <w:lang w:eastAsia="zh-CN" w:bidi="ar"/>
              </w:rPr>
              <w:t>支持读卡器读取就诊卡登记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kern w:val="0"/>
                <w:sz w:val="24"/>
                <w:highlight w:val="none"/>
              </w:rPr>
            </w:pPr>
            <w:r>
              <w:rPr>
                <w:rFonts w:hint="eastAsia" w:ascii="宋体" w:hAnsi="宋体" w:eastAsia="宋体"/>
                <w:b/>
                <w:color w:val="auto"/>
                <w:kern w:val="0"/>
                <w:sz w:val="24"/>
                <w:highlight w:val="none"/>
                <w:lang w:bidi="ar"/>
              </w:rPr>
              <w:t>统计功能</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b/>
                <w:bCs/>
                <w:color w:val="auto"/>
                <w:kern w:val="0"/>
                <w:sz w:val="24"/>
                <w:highlight w:val="none"/>
                <w:lang w:eastAsia="zh-CN" w:bidi="ar"/>
              </w:rPr>
              <w:t>统计功能：</w:t>
            </w:r>
            <w:r>
              <w:rPr>
                <w:rFonts w:hint="eastAsia" w:ascii="宋体" w:hAnsi="宋体" w:eastAsia="宋体"/>
                <w:color w:val="auto"/>
                <w:kern w:val="0"/>
                <w:sz w:val="24"/>
                <w:highlight w:val="none"/>
                <w:lang w:eastAsia="zh-CN"/>
              </w:rPr>
              <w:t>支持</w:t>
            </w:r>
            <w:r>
              <w:rPr>
                <w:rFonts w:hint="eastAsia" w:ascii="宋体" w:hAnsi="宋体" w:eastAsia="宋体"/>
                <w:color w:val="auto"/>
                <w:kern w:val="0"/>
                <w:sz w:val="24"/>
                <w:highlight w:val="none"/>
                <w:lang w:eastAsia="zh-CN" w:bidi="ar"/>
              </w:rPr>
              <w:t>对医师报告、技师工作等业务节点进行统计，并生成报表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kern w:val="0"/>
                <w:sz w:val="24"/>
                <w:highlight w:val="none"/>
              </w:rPr>
            </w:pPr>
            <w:r>
              <w:rPr>
                <w:rFonts w:hint="eastAsia" w:ascii="宋体" w:hAnsi="宋体" w:eastAsia="宋体"/>
                <w:b/>
                <w:color w:val="auto"/>
                <w:kern w:val="0"/>
                <w:sz w:val="24"/>
                <w:highlight w:val="none"/>
                <w:lang w:bidi="ar"/>
              </w:rPr>
              <w:t>系统设置</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b/>
                <w:color w:val="auto"/>
                <w:kern w:val="0"/>
                <w:sz w:val="24"/>
                <w:highlight w:val="none"/>
                <w:lang w:eastAsia="zh-CN" w:bidi="ar"/>
              </w:rPr>
              <w:t>系统设置功能：</w:t>
            </w:r>
            <w:r>
              <w:rPr>
                <w:rFonts w:hint="eastAsia" w:ascii="宋体" w:hAnsi="宋体" w:eastAsia="宋体"/>
                <w:color w:val="auto"/>
                <w:kern w:val="0"/>
                <w:sz w:val="24"/>
                <w:highlight w:val="none"/>
                <w:lang w:eastAsia="zh-CN"/>
              </w:rPr>
              <w:t>支持</w:t>
            </w:r>
            <w:r>
              <w:rPr>
                <w:rFonts w:hint="eastAsia" w:ascii="宋体" w:hAnsi="宋体" w:eastAsia="宋体"/>
                <w:color w:val="auto"/>
                <w:kern w:val="0"/>
                <w:sz w:val="24"/>
                <w:highlight w:val="none"/>
                <w:lang w:eastAsia="zh-CN" w:bidi="ar"/>
              </w:rPr>
              <w:t>可进行用户管理、用户扫码登录、电子签名、业务流程设置、工作量统计设置、AI结果展示效果设等业务进行设置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kern w:val="0"/>
                <w:sz w:val="24"/>
                <w:highlight w:val="none"/>
              </w:rPr>
            </w:pPr>
            <w:r>
              <w:rPr>
                <w:rFonts w:hint="eastAsia" w:ascii="宋体" w:hAnsi="宋体" w:eastAsia="宋体"/>
                <w:b/>
                <w:color w:val="auto"/>
                <w:kern w:val="0"/>
                <w:sz w:val="24"/>
                <w:highlight w:val="none"/>
                <w:lang w:bidi="ar"/>
              </w:rPr>
              <w:t>眼视光数据录入</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b/>
                <w:color w:val="auto"/>
                <w:kern w:val="0"/>
                <w:sz w:val="24"/>
                <w:highlight w:val="none"/>
                <w:lang w:eastAsia="zh-CN" w:bidi="ar"/>
              </w:rPr>
              <w:t>眼视光数据录入：</w:t>
            </w:r>
            <w:r>
              <w:rPr>
                <w:rFonts w:hint="eastAsia" w:ascii="宋体" w:hAnsi="宋体" w:eastAsia="宋体"/>
                <w:color w:val="auto"/>
                <w:kern w:val="0"/>
                <w:sz w:val="24"/>
                <w:highlight w:val="none"/>
                <w:lang w:eastAsia="zh-CN"/>
              </w:rPr>
              <w:t>支持</w:t>
            </w:r>
            <w:r>
              <w:rPr>
                <w:rFonts w:hint="eastAsia" w:ascii="宋体" w:hAnsi="宋体" w:eastAsia="宋体"/>
                <w:color w:val="auto"/>
                <w:kern w:val="0"/>
                <w:sz w:val="24"/>
                <w:highlight w:val="none"/>
                <w:lang w:eastAsia="zh-CN" w:bidi="ar"/>
              </w:rPr>
              <w:t>对患者眼视光诊疗数据、检查设备数据进行自动采集及录入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kern w:val="0"/>
                <w:sz w:val="24"/>
                <w:highlight w:val="none"/>
              </w:rPr>
            </w:pPr>
            <w:r>
              <w:rPr>
                <w:rFonts w:hint="eastAsia" w:ascii="宋体" w:hAnsi="宋体" w:eastAsia="宋体"/>
                <w:b/>
                <w:bCs/>
                <w:color w:val="auto"/>
                <w:kern w:val="0"/>
                <w:sz w:val="24"/>
                <w:highlight w:val="none"/>
              </w:rPr>
              <w:t>视光数据查询</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Cs/>
                <w:color w:val="auto"/>
                <w:kern w:val="0"/>
                <w:sz w:val="24"/>
                <w:highlight w:val="none"/>
                <w:lang w:eastAsia="zh-CN"/>
              </w:rPr>
            </w:pPr>
            <w:r>
              <w:rPr>
                <w:rFonts w:hint="eastAsia" w:ascii="宋体" w:hAnsi="宋体" w:eastAsia="宋体"/>
                <w:b/>
                <w:bCs/>
                <w:color w:val="auto"/>
                <w:kern w:val="0"/>
                <w:sz w:val="24"/>
                <w:highlight w:val="none"/>
                <w:lang w:eastAsia="zh-CN"/>
              </w:rPr>
              <w:t>视光数据查询：</w:t>
            </w:r>
            <w:r>
              <w:rPr>
                <w:rFonts w:hint="eastAsia" w:ascii="宋体" w:hAnsi="宋体" w:eastAsia="宋体"/>
                <w:color w:val="auto"/>
                <w:kern w:val="0"/>
                <w:sz w:val="24"/>
                <w:highlight w:val="none"/>
                <w:lang w:eastAsia="zh-CN"/>
              </w:rPr>
              <w:t>支持</w:t>
            </w:r>
            <w:r>
              <w:rPr>
                <w:rFonts w:hint="eastAsia" w:ascii="宋体" w:hAnsi="宋体" w:eastAsia="宋体"/>
                <w:bCs/>
                <w:color w:val="auto"/>
                <w:kern w:val="0"/>
                <w:sz w:val="24"/>
                <w:highlight w:val="none"/>
                <w:lang w:eastAsia="zh-CN" w:bidi="ar"/>
              </w:rPr>
              <w:t>患者眼视光评估数据查询功能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kern w:val="0"/>
                <w:sz w:val="24"/>
                <w:highlight w:val="none"/>
              </w:rPr>
            </w:pPr>
            <w:r>
              <w:rPr>
                <w:rFonts w:hint="eastAsia" w:ascii="宋体" w:hAnsi="宋体" w:eastAsia="宋体"/>
                <w:b/>
                <w:bCs/>
                <w:color w:val="auto"/>
                <w:kern w:val="0"/>
                <w:sz w:val="24"/>
                <w:highlight w:val="none"/>
              </w:rPr>
              <w:t>视光评估</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Cs/>
                <w:color w:val="auto"/>
                <w:kern w:val="0"/>
                <w:sz w:val="24"/>
                <w:highlight w:val="none"/>
                <w:lang w:eastAsia="zh-CN"/>
              </w:rPr>
            </w:pPr>
            <w:r>
              <w:rPr>
                <w:rFonts w:hint="eastAsia" w:ascii="宋体" w:hAnsi="宋体" w:eastAsia="宋体"/>
                <w:b/>
                <w:bCs/>
                <w:color w:val="auto"/>
                <w:kern w:val="0"/>
                <w:sz w:val="24"/>
                <w:highlight w:val="none"/>
                <w:lang w:eastAsia="zh-CN"/>
              </w:rPr>
              <w:t>视光评估：</w:t>
            </w:r>
            <w:r>
              <w:rPr>
                <w:rFonts w:hint="eastAsia" w:ascii="宋体" w:hAnsi="宋体" w:eastAsia="宋体"/>
                <w:color w:val="auto"/>
                <w:kern w:val="0"/>
                <w:sz w:val="24"/>
                <w:highlight w:val="none"/>
                <w:lang w:eastAsia="zh-CN"/>
              </w:rPr>
              <w:t>支持</w:t>
            </w:r>
            <w:r>
              <w:rPr>
                <w:rFonts w:hint="eastAsia" w:ascii="宋体" w:hAnsi="宋体" w:eastAsia="宋体"/>
                <w:bCs/>
                <w:color w:val="auto"/>
                <w:kern w:val="0"/>
                <w:sz w:val="24"/>
                <w:highlight w:val="none"/>
                <w:lang w:eastAsia="zh-CN" w:bidi="ar"/>
              </w:rPr>
              <w:t>患者眼视光评估参数订正功能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kern w:val="0"/>
                <w:sz w:val="24"/>
                <w:highlight w:val="none"/>
              </w:rPr>
            </w:pPr>
            <w:r>
              <w:rPr>
                <w:rFonts w:hint="eastAsia" w:ascii="宋体" w:hAnsi="宋体" w:eastAsia="宋体"/>
                <w:b/>
                <w:color w:val="auto"/>
                <w:kern w:val="0"/>
                <w:sz w:val="24"/>
                <w:highlight w:val="none"/>
              </w:rPr>
              <w:t>眼视光自动智能评估</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color w:val="auto"/>
                <w:kern w:val="0"/>
                <w:sz w:val="24"/>
                <w:highlight w:val="none"/>
                <w:lang w:eastAsia="zh-CN"/>
              </w:rPr>
              <w:t>★</w:t>
            </w:r>
            <w:r>
              <w:rPr>
                <w:rFonts w:hint="eastAsia" w:ascii="宋体" w:hAnsi="宋体" w:eastAsia="宋体"/>
                <w:b/>
                <w:color w:val="auto"/>
                <w:kern w:val="0"/>
                <w:sz w:val="24"/>
                <w:highlight w:val="none"/>
                <w:lang w:eastAsia="zh-CN"/>
              </w:rPr>
              <w:t>眼视光自动智能评估：</w:t>
            </w:r>
            <w:r>
              <w:rPr>
                <w:rFonts w:hint="eastAsia" w:ascii="宋体" w:hAnsi="宋体" w:eastAsia="宋体"/>
                <w:color w:val="auto"/>
                <w:kern w:val="0"/>
                <w:sz w:val="24"/>
                <w:highlight w:val="none"/>
                <w:lang w:eastAsia="zh-CN"/>
              </w:rPr>
              <w:t>支持</w:t>
            </w:r>
            <w:r>
              <w:rPr>
                <w:rFonts w:hint="eastAsia" w:ascii="宋体" w:hAnsi="宋体" w:eastAsia="宋体"/>
                <w:color w:val="auto"/>
                <w:kern w:val="0"/>
                <w:sz w:val="24"/>
                <w:highlight w:val="none"/>
                <w:lang w:eastAsia="zh-CN" w:bidi="ar"/>
              </w:rPr>
              <w:t>眼视光疾病自动评估功能</w:t>
            </w:r>
            <w:r>
              <w:rPr>
                <w:rFonts w:hint="eastAsia" w:ascii="宋体" w:hAnsi="宋体" w:eastAsia="宋体"/>
                <w:b/>
                <w:bCs/>
                <w:color w:val="auto"/>
                <w:kern w:val="0"/>
                <w:sz w:val="24"/>
                <w:highlight w:val="none"/>
                <w:lang w:eastAsia="zh-CN"/>
              </w:rPr>
              <w:t>，</w:t>
            </w:r>
            <w:r>
              <w:rPr>
                <w:rFonts w:hint="eastAsia" w:ascii="宋体" w:hAnsi="宋体" w:eastAsia="宋体"/>
                <w:color w:val="auto"/>
                <w:kern w:val="0"/>
                <w:sz w:val="24"/>
                <w:highlight w:val="none"/>
                <w:lang w:eastAsia="zh-CN" w:bidi="ar"/>
              </w:rPr>
              <w:t>眼视光干预首选方案自动评估功能</w:t>
            </w:r>
            <w:r>
              <w:rPr>
                <w:rFonts w:hint="eastAsia" w:ascii="宋体" w:hAnsi="宋体" w:eastAsia="宋体"/>
                <w:b/>
                <w:bCs/>
                <w:color w:val="auto"/>
                <w:kern w:val="0"/>
                <w:sz w:val="24"/>
                <w:highlight w:val="none"/>
                <w:lang w:eastAsia="zh-CN"/>
              </w:rPr>
              <w:t>，</w:t>
            </w:r>
            <w:r>
              <w:rPr>
                <w:rFonts w:hint="eastAsia" w:ascii="宋体" w:hAnsi="宋体" w:eastAsia="宋体"/>
                <w:color w:val="auto"/>
                <w:kern w:val="0"/>
                <w:sz w:val="24"/>
                <w:highlight w:val="none"/>
                <w:lang w:eastAsia="zh-CN" w:bidi="ar"/>
              </w:rPr>
              <w:t>眼视光干预备选方案自动评估功能</w:t>
            </w:r>
            <w:r>
              <w:rPr>
                <w:rFonts w:hint="eastAsia" w:ascii="宋体" w:hAnsi="宋体" w:eastAsia="宋体"/>
                <w:b/>
                <w:bCs/>
                <w:color w:val="auto"/>
                <w:kern w:val="0"/>
                <w:sz w:val="24"/>
                <w:highlight w:val="none"/>
                <w:lang w:eastAsia="zh-CN"/>
              </w:rPr>
              <w:t>，</w:t>
            </w:r>
            <w:r>
              <w:rPr>
                <w:rFonts w:hint="eastAsia" w:ascii="宋体" w:hAnsi="宋体" w:eastAsia="宋体"/>
                <w:color w:val="auto"/>
                <w:kern w:val="0"/>
                <w:sz w:val="24"/>
                <w:highlight w:val="none"/>
                <w:lang w:eastAsia="zh-CN" w:bidi="ar"/>
              </w:rPr>
              <w:t>眼视光诊疗自动评估功能。</w:t>
            </w:r>
            <w:r>
              <w:rPr>
                <w:rFonts w:hint="eastAsia" w:ascii="宋体" w:hAnsi="宋体" w:eastAsia="宋体"/>
                <w:color w:val="auto"/>
                <w:kern w:val="0"/>
                <w:sz w:val="24"/>
                <w:highlight w:val="none"/>
                <w:lang w:eastAsia="zh-CN"/>
              </w:rPr>
              <w:t>须提供操作视频（视频内容包含功能点：1.眼视光疾病自动评估功能；2</w:t>
            </w:r>
            <w:r>
              <w:rPr>
                <w:rFonts w:ascii="宋体" w:hAnsi="宋体" w:eastAsia="宋体"/>
                <w:color w:val="auto"/>
                <w:kern w:val="0"/>
                <w:sz w:val="24"/>
                <w:highlight w:val="none"/>
                <w:lang w:eastAsia="zh-CN"/>
              </w:rPr>
              <w:t>.</w:t>
            </w:r>
            <w:r>
              <w:rPr>
                <w:rFonts w:hint="eastAsia" w:ascii="宋体" w:hAnsi="宋体" w:eastAsia="宋体"/>
                <w:color w:val="auto"/>
                <w:kern w:val="0"/>
                <w:sz w:val="24"/>
                <w:highlight w:val="none"/>
                <w:lang w:eastAsia="zh-CN"/>
              </w:rPr>
              <w:t>眼视光干预首选方案自动评估功能；3</w:t>
            </w:r>
            <w:r>
              <w:rPr>
                <w:rFonts w:ascii="宋体" w:hAnsi="宋体" w:eastAsia="宋体"/>
                <w:color w:val="auto"/>
                <w:kern w:val="0"/>
                <w:sz w:val="24"/>
                <w:highlight w:val="none"/>
                <w:lang w:eastAsia="zh-CN"/>
              </w:rPr>
              <w:t>.</w:t>
            </w:r>
            <w:r>
              <w:rPr>
                <w:rFonts w:hint="eastAsia" w:ascii="宋体" w:hAnsi="宋体" w:eastAsia="宋体"/>
                <w:color w:val="auto"/>
                <w:kern w:val="0"/>
                <w:sz w:val="24"/>
                <w:highlight w:val="none"/>
                <w:lang w:eastAsia="zh-CN"/>
              </w:rPr>
              <w:t>眼视光干预备选方案自动评估功能；4</w:t>
            </w:r>
            <w:r>
              <w:rPr>
                <w:rFonts w:ascii="宋体" w:hAnsi="宋体" w:eastAsia="宋体"/>
                <w:color w:val="auto"/>
                <w:kern w:val="0"/>
                <w:sz w:val="24"/>
                <w:highlight w:val="none"/>
                <w:lang w:eastAsia="zh-CN"/>
              </w:rPr>
              <w:t>.</w:t>
            </w:r>
            <w:r>
              <w:rPr>
                <w:rFonts w:hint="eastAsia" w:ascii="宋体" w:hAnsi="宋体" w:eastAsia="宋体"/>
                <w:color w:val="auto"/>
                <w:kern w:val="0"/>
                <w:sz w:val="24"/>
                <w:highlight w:val="none"/>
                <w:lang w:eastAsia="zh-CN"/>
              </w:rPr>
              <w:t>眼视光诊疗自动评估。需按</w:t>
            </w:r>
            <w:r>
              <w:rPr>
                <w:rFonts w:hint="eastAsia" w:ascii="宋体" w:hAnsi="宋体" w:eastAsia="宋体"/>
                <w:color w:val="auto"/>
                <w:sz w:val="24"/>
                <w:highlight w:val="none"/>
                <w:lang w:eastAsia="zh-CN"/>
              </w:rPr>
              <w:t>以上功能点顺序录制操作视频及人工语音讲解</w:t>
            </w:r>
            <w:r>
              <w:rPr>
                <w:rFonts w:hint="eastAsia" w:ascii="宋体" w:hAnsi="宋体" w:eastAsia="宋体"/>
                <w:color w:val="auto"/>
                <w:kern w:val="0"/>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kern w:val="0"/>
                <w:sz w:val="24"/>
                <w:highlight w:val="none"/>
              </w:rPr>
            </w:pPr>
            <w:r>
              <w:rPr>
                <w:rFonts w:hint="eastAsia" w:ascii="宋体" w:hAnsi="宋体" w:eastAsia="宋体"/>
                <w:b/>
                <w:color w:val="auto"/>
                <w:kern w:val="0"/>
                <w:sz w:val="24"/>
                <w:highlight w:val="none"/>
              </w:rPr>
              <w:t>眼视光报告打印</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b/>
                <w:color w:val="auto"/>
                <w:kern w:val="0"/>
                <w:sz w:val="24"/>
                <w:highlight w:val="none"/>
                <w:lang w:eastAsia="zh-CN"/>
              </w:rPr>
              <w:t>眼视光报告打印：</w:t>
            </w:r>
            <w:r>
              <w:rPr>
                <w:rFonts w:hint="eastAsia" w:ascii="宋体" w:hAnsi="宋体" w:eastAsia="宋体"/>
                <w:color w:val="auto"/>
                <w:kern w:val="0"/>
                <w:sz w:val="24"/>
                <w:highlight w:val="none"/>
                <w:lang w:eastAsia="zh-CN"/>
              </w:rPr>
              <w:t>支持报告格式化</w:t>
            </w:r>
            <w:r>
              <w:rPr>
                <w:rFonts w:hint="eastAsia" w:ascii="宋体" w:hAnsi="宋体" w:eastAsia="宋体"/>
                <w:b/>
                <w:bCs/>
                <w:color w:val="auto"/>
                <w:kern w:val="0"/>
                <w:sz w:val="24"/>
                <w:highlight w:val="none"/>
                <w:lang w:eastAsia="zh-CN"/>
              </w:rPr>
              <w:t>，</w:t>
            </w:r>
            <w:r>
              <w:rPr>
                <w:rFonts w:hint="eastAsia" w:ascii="宋体" w:hAnsi="宋体" w:eastAsia="宋体"/>
                <w:color w:val="auto"/>
                <w:kern w:val="0"/>
                <w:sz w:val="24"/>
                <w:highlight w:val="none"/>
                <w:lang w:eastAsia="zh-CN"/>
              </w:rPr>
              <w:t>眼视光报告打印功能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kern w:val="0"/>
                <w:sz w:val="24"/>
                <w:highlight w:val="none"/>
              </w:rPr>
            </w:pPr>
            <w:r>
              <w:rPr>
                <w:rFonts w:hint="eastAsia" w:ascii="宋体" w:hAnsi="宋体" w:eastAsia="宋体"/>
                <w:b/>
                <w:color w:val="auto"/>
                <w:kern w:val="0"/>
                <w:sz w:val="24"/>
                <w:highlight w:val="none"/>
              </w:rPr>
              <w:t>眼视光统计导出</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kern w:val="0"/>
                <w:sz w:val="24"/>
                <w:highlight w:val="none"/>
                <w:lang w:eastAsia="zh-CN"/>
              </w:rPr>
            </w:pPr>
            <w:r>
              <w:rPr>
                <w:rFonts w:hint="eastAsia" w:ascii="宋体" w:hAnsi="宋体" w:eastAsia="宋体"/>
                <w:b/>
                <w:color w:val="auto"/>
                <w:kern w:val="0"/>
                <w:sz w:val="24"/>
                <w:highlight w:val="none"/>
                <w:lang w:eastAsia="zh-CN"/>
              </w:rPr>
              <w:t>眼视光统计导出：</w:t>
            </w:r>
            <w:r>
              <w:rPr>
                <w:rFonts w:hint="eastAsia" w:ascii="宋体" w:hAnsi="宋体" w:eastAsia="宋体"/>
                <w:color w:val="auto"/>
                <w:kern w:val="0"/>
                <w:sz w:val="24"/>
                <w:highlight w:val="none"/>
                <w:lang w:eastAsia="zh-CN"/>
              </w:rPr>
              <w:t>眼视光检查各业务数据进行统计功能</w:t>
            </w:r>
          </w:p>
        </w:tc>
      </w:tr>
    </w:tbl>
    <w:p>
      <w:pPr>
        <w:pStyle w:val="6"/>
        <w:numPr>
          <w:ilvl w:val="3"/>
          <w:numId w:val="8"/>
        </w:numPr>
        <w:tabs>
          <w:tab w:val="clear" w:pos="864"/>
        </w:tabs>
        <w:spacing w:before="280" w:after="290" w:line="376" w:lineRule="auto"/>
        <w:rPr>
          <w:rFonts w:ascii="宋体" w:hAnsi="宋体"/>
          <w:color w:val="auto"/>
          <w:sz w:val="24"/>
          <w:szCs w:val="24"/>
          <w:highlight w:val="none"/>
        </w:rPr>
      </w:pPr>
      <w:bookmarkStart w:id="770" w:name="_Toc6319"/>
      <w:bookmarkStart w:id="771" w:name="_Toc22963"/>
      <w:bookmarkStart w:id="772" w:name="_Toc1068"/>
      <w:bookmarkStart w:id="773" w:name="_Toc13441"/>
      <w:r>
        <w:rPr>
          <w:rFonts w:hint="eastAsia" w:ascii="宋体" w:hAnsi="宋体"/>
          <w:color w:val="auto"/>
          <w:sz w:val="24"/>
          <w:szCs w:val="24"/>
          <w:highlight w:val="none"/>
        </w:rPr>
        <w:t>特色专科专病</w:t>
      </w:r>
      <w:bookmarkEnd w:id="770"/>
      <w:bookmarkEnd w:id="771"/>
      <w:bookmarkEnd w:id="772"/>
      <w:r>
        <w:rPr>
          <w:rFonts w:hint="eastAsia" w:ascii="宋体" w:hAnsi="宋体"/>
          <w:color w:val="auto"/>
          <w:sz w:val="24"/>
          <w:szCs w:val="24"/>
          <w:highlight w:val="none"/>
        </w:rPr>
        <w:t>中心</w:t>
      </w:r>
      <w:bookmarkEnd w:id="773"/>
    </w:p>
    <w:p>
      <w:pPr>
        <w:pStyle w:val="7"/>
        <w:numPr>
          <w:ilvl w:val="4"/>
          <w:numId w:val="8"/>
        </w:numPr>
        <w:rPr>
          <w:rFonts w:ascii="宋体" w:hAnsi="宋体"/>
          <w:color w:val="auto"/>
          <w:szCs w:val="24"/>
          <w:highlight w:val="none"/>
        </w:rPr>
      </w:pPr>
      <w:bookmarkStart w:id="774" w:name="_Toc16923"/>
      <w:r>
        <w:rPr>
          <w:rFonts w:hint="eastAsia" w:ascii="宋体" w:hAnsi="宋体"/>
          <w:color w:val="auto"/>
          <w:szCs w:val="24"/>
          <w:highlight w:val="none"/>
        </w:rPr>
        <w:t>呼吸科专科数据中心</w:t>
      </w:r>
      <w:bookmarkEnd w:id="774"/>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left="105" w:leftChars="50" w:right="105" w:rightChars="50"/>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1" w:leftChars="48" w:right="105" w:rightChars="50"/>
              <w:jc w:val="center"/>
              <w:rPr>
                <w:rFonts w:ascii="宋体" w:hAnsi="宋体" w:eastAsia="宋体"/>
                <w:b/>
                <w:color w:val="auto"/>
                <w:w w:val="105"/>
                <w:sz w:val="24"/>
                <w:highlight w:val="none"/>
              </w:rPr>
            </w:pPr>
            <w:r>
              <w:rPr>
                <w:rFonts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sz w:val="24"/>
                <w:highlight w:val="none"/>
              </w:rPr>
            </w:pPr>
            <w:r>
              <w:rPr>
                <w:rFonts w:hint="eastAsia" w:ascii="宋体" w:hAnsi="宋体" w:eastAsia="宋体" w:cs="华文仿宋"/>
                <w:b/>
                <w:color w:val="auto"/>
                <w:sz w:val="24"/>
                <w:highlight w:val="none"/>
                <w:lang w:eastAsia="zh-CN" w:bidi="ar"/>
              </w:rPr>
              <w:t>呼吸专科</w:t>
            </w:r>
            <w:r>
              <w:rPr>
                <w:rFonts w:hint="eastAsia" w:ascii="宋体" w:hAnsi="宋体" w:eastAsia="宋体" w:cs="华文仿宋"/>
                <w:b/>
                <w:color w:val="auto"/>
                <w:sz w:val="24"/>
                <w:highlight w:val="none"/>
                <w:lang w:bidi="ar"/>
              </w:rPr>
              <w:t>数据整合</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数据源配置：</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配置数据来源，可选择不同区域、医疗机构的呼吸科诊疗数据作为数据来源</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采集管理</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可新增、编辑、删除采集规则</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可自定义规则对数据进行脱敏处理</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3.</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可设置采集频率</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数据权限：</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配置本科室数据访问权限，可指定角色访问</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数据日志：</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采集数据执行结果日志列表，显示采集规则、采集时间、采集频率、采集状态等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b/>
                <w:bCs/>
                <w:color w:val="auto"/>
                <w:sz w:val="24"/>
                <w:highlight w:val="none"/>
                <w:lang w:eastAsia="zh-CN"/>
              </w:rPr>
            </w:pPr>
            <w:r>
              <w:rPr>
                <w:rFonts w:hint="eastAsia" w:ascii="宋体" w:hAnsi="宋体" w:eastAsia="宋体" w:cs="华文仿宋"/>
                <w:b/>
                <w:color w:val="auto"/>
                <w:sz w:val="24"/>
                <w:highlight w:val="none"/>
                <w:lang w:eastAsia="zh-CN" w:bidi="ar"/>
              </w:rPr>
              <w:t>呼吸专病数据库</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数据治理：</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采集呼吸科相关疾病或患者数据、通过ETL抽取，并进行数据清洗、处理等技术治理，形成完整、可用且精准的呼吸专病数据库，系统支持快速扩展多个专病数据库。</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数据标准：</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可查看同义词库和标准术语库标准，可自定义本科室使用的术语库</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数据展示：</w:t>
            </w:r>
            <w:r>
              <w:rPr>
                <w:rFonts w:hint="eastAsia" w:ascii="宋体" w:hAnsi="宋体" w:eastAsia="宋体"/>
                <w:color w:val="auto"/>
                <w:kern w:val="0"/>
                <w:sz w:val="24"/>
                <w:highlight w:val="none"/>
                <w:lang w:eastAsia="zh-CN"/>
              </w:rPr>
              <w:t>支持可</w:t>
            </w:r>
            <w:r>
              <w:rPr>
                <w:rFonts w:hint="eastAsia" w:ascii="宋体" w:hAnsi="宋体" w:eastAsia="宋体"/>
                <w:color w:val="auto"/>
                <w:sz w:val="24"/>
                <w:highlight w:val="none"/>
                <w:lang w:eastAsia="zh-CN"/>
              </w:rPr>
              <w:t>展示各呼吸专病数据库数据概况、数据趋势概况等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可视化管理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图表配置：</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可新增图表名称、配置图表维度和指标、指定查询数据脚本、上传缩略图、定义图表类型</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看板配置：</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可新增看板名称、配置看板数据、指定查询数据脚本、上传缩略图等</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结果展示：</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查看已配置的图表或看板数据展示结果详情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呼吸专病数据检索</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模糊检索</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1.支持通过关键字（患者姓名、住院号、ICD编码等）进行模糊检索，系统可从呼吸专病数据可提取相关病历信息并进行列表展示</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2.支持对检索结果中的关键词进行标红高亮显示</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3.支持对检索条件保存为指定名称的数据集</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高级检索：</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可选择配置多个查询条件进行（and/or/not，关键词包含或不包含，精确数值类型条件大于/等于/小于）组合查询</w:t>
            </w:r>
            <w:r>
              <w:rPr>
                <w:rFonts w:hint="eastAsia" w:ascii="宋体" w:hAnsi="宋体" w:eastAsia="宋体" w:cs="华文仿宋"/>
                <w:color w:val="auto"/>
                <w:sz w:val="24"/>
                <w:highlight w:val="none"/>
                <w:lang w:eastAsia="zh-CN" w:bidi="ar"/>
              </w:rPr>
              <w:t>。</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结果展示：</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根据标签或关键字进入下级页面浏览相关信息，可查看结果详情，患者基本信息、检查报告、诊断结果等</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数据导出：</w:t>
            </w:r>
            <w:r>
              <w:rPr>
                <w:rFonts w:hint="eastAsia" w:ascii="宋体" w:hAnsi="宋体" w:eastAsia="宋体"/>
                <w:color w:val="auto"/>
                <w:sz w:val="24"/>
                <w:highlight w:val="none"/>
                <w:lang w:eastAsia="zh-CN"/>
              </w:rPr>
              <w:t>支持将通过检索的数据结果按照自定义模板配置导出患者信息以csv格式进行保存。数据导出之前必须在系统中按流程进行审批，审批通过后，按权限获取数据，系统在导出数据之前自动进行脱敏处理。</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数据集：</w:t>
            </w:r>
            <w:r>
              <w:rPr>
                <w:rFonts w:hint="eastAsia" w:ascii="宋体" w:hAnsi="宋体" w:eastAsia="宋体"/>
                <w:color w:val="auto"/>
                <w:sz w:val="24"/>
                <w:highlight w:val="none"/>
                <w:lang w:eastAsia="zh-CN"/>
              </w:rPr>
              <w:t>支持列表展示历史检索并保存的自定义条件数据集，可直达检索数据结果详情列表页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任务管理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任务列表：</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可添加、编辑、停止任务</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执行日志：</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查看任务执行日志列表，包括任务执行状态、执行时间、执行规则。</w:t>
            </w:r>
          </w:p>
        </w:tc>
      </w:tr>
    </w:tbl>
    <w:p>
      <w:pPr>
        <w:pStyle w:val="8"/>
        <w:ind w:firstLine="480"/>
        <w:rPr>
          <w:color w:val="auto"/>
          <w:highlight w:val="none"/>
        </w:rPr>
      </w:pPr>
    </w:p>
    <w:p>
      <w:pPr>
        <w:pStyle w:val="7"/>
        <w:numPr>
          <w:ilvl w:val="4"/>
          <w:numId w:val="8"/>
        </w:numPr>
        <w:rPr>
          <w:rFonts w:ascii="宋体" w:hAnsi="宋体"/>
          <w:color w:val="auto"/>
          <w:szCs w:val="24"/>
          <w:highlight w:val="none"/>
        </w:rPr>
      </w:pPr>
      <w:bookmarkStart w:id="775" w:name="_Toc4652"/>
      <w:r>
        <w:rPr>
          <w:rFonts w:hint="eastAsia" w:ascii="宋体" w:hAnsi="宋体"/>
          <w:color w:val="auto"/>
          <w:szCs w:val="24"/>
          <w:highlight w:val="none"/>
        </w:rPr>
        <w:t>肿瘤科专科数据中心</w:t>
      </w:r>
      <w:bookmarkEnd w:id="775"/>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left="105" w:leftChars="50" w:right="105" w:rightChars="50"/>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1" w:leftChars="48" w:right="105" w:rightChars="50"/>
              <w:jc w:val="center"/>
              <w:rPr>
                <w:rFonts w:ascii="宋体" w:hAnsi="宋体" w:eastAsia="宋体"/>
                <w:b/>
                <w:color w:val="auto"/>
                <w:w w:val="105"/>
                <w:sz w:val="24"/>
                <w:highlight w:val="none"/>
              </w:rPr>
            </w:pPr>
            <w:r>
              <w:rPr>
                <w:rFonts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sz w:val="24"/>
                <w:highlight w:val="none"/>
              </w:rPr>
            </w:pPr>
            <w:r>
              <w:rPr>
                <w:rFonts w:hint="eastAsia" w:ascii="宋体" w:hAnsi="宋体" w:eastAsia="宋体" w:cs="华文仿宋"/>
                <w:b/>
                <w:color w:val="auto"/>
                <w:sz w:val="24"/>
                <w:highlight w:val="none"/>
                <w:lang w:eastAsia="zh-CN" w:bidi="ar"/>
              </w:rPr>
              <w:t>肿瘤专科</w:t>
            </w:r>
            <w:r>
              <w:rPr>
                <w:rFonts w:hint="eastAsia" w:ascii="宋体" w:hAnsi="宋体" w:eastAsia="宋体" w:cs="华文仿宋"/>
                <w:b/>
                <w:color w:val="auto"/>
                <w:sz w:val="24"/>
                <w:highlight w:val="none"/>
                <w:lang w:bidi="ar"/>
              </w:rPr>
              <w:t>数据整合</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数据源配置：</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配置数据来源，可选择不同区域、医疗机构的肿瘤科诊疗数据作为数据来源</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采集管理</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可新增、编辑、删除采集规则</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可自定义规则对数据进行脱敏处理</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3.</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可设置采集频率</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数据权限：</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配置本科室数据访问权限，可指定角色访问</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数据日志：</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采集数据执行结果日志列表，显示采集规则、采集时间、采集频率、采集状态等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b/>
                <w:bCs/>
                <w:color w:val="auto"/>
                <w:sz w:val="24"/>
                <w:highlight w:val="none"/>
                <w:lang w:eastAsia="zh-CN"/>
              </w:rPr>
            </w:pPr>
            <w:r>
              <w:rPr>
                <w:rFonts w:hint="eastAsia" w:ascii="宋体" w:hAnsi="宋体" w:eastAsia="宋体" w:cs="华文仿宋"/>
                <w:b/>
                <w:color w:val="auto"/>
                <w:sz w:val="24"/>
                <w:highlight w:val="none"/>
                <w:lang w:eastAsia="zh-CN" w:bidi="ar"/>
              </w:rPr>
              <w:t>肿瘤专病数据库</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数据治理：</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采集肿瘤科相关疾病或患者数据、通过ETL抽取，并进行数据清洗、处理等技术治理，形成完整、可用且精准的肿瘤专病数据库，系统支持快速扩展多个专病数据库。</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数据标准：</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可查看同义词库和标准术语库标准，可自定义本科室使用的术语库</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数据展示：</w:t>
            </w:r>
            <w:r>
              <w:rPr>
                <w:rFonts w:hint="eastAsia" w:ascii="宋体" w:hAnsi="宋体" w:eastAsia="宋体"/>
                <w:color w:val="auto"/>
                <w:kern w:val="0"/>
                <w:sz w:val="24"/>
                <w:highlight w:val="none"/>
                <w:lang w:eastAsia="zh-CN"/>
              </w:rPr>
              <w:t>支持可</w:t>
            </w:r>
            <w:r>
              <w:rPr>
                <w:rFonts w:hint="eastAsia" w:ascii="宋体" w:hAnsi="宋体" w:eastAsia="宋体"/>
                <w:color w:val="auto"/>
                <w:sz w:val="24"/>
                <w:highlight w:val="none"/>
                <w:lang w:eastAsia="zh-CN"/>
              </w:rPr>
              <w:t>展示各肿瘤专病数据库数据概况、数据趋势概况等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可视化管理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图表配置：</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可新增图表名称、配置图表维度和指标、指定查询数据脚本、上传缩略图、定义图表类型</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看板配置：</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可新增看板名称、配置看板数据、指定查询数据脚本、上传缩略图等</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结果展示：</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查看已配置的图表或看板数据展示结果详情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肿瘤专病数据检索</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模糊检索</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1.支持通过关键字（患者姓名、住院号、ICD编码等）进行模糊检索，系统可从肿瘤专病数据可提取相关病历信息并进行列表展示</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2.支持对检索结果中的关键词进行标红高亮显示</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3.支持对检索条件保存为指定名称的数据集</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高级检索：</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可选择配置多个查询条件进行（and/or/not，关键词包含或不包含，精确数值类型条件大于/等于/小于）组合查询</w:t>
            </w:r>
            <w:r>
              <w:rPr>
                <w:rFonts w:hint="eastAsia" w:ascii="宋体" w:hAnsi="宋体" w:eastAsia="宋体" w:cs="华文仿宋"/>
                <w:color w:val="auto"/>
                <w:sz w:val="24"/>
                <w:highlight w:val="none"/>
                <w:lang w:eastAsia="zh-CN" w:bidi="ar"/>
              </w:rPr>
              <w:t>。</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结果展示：</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根据标签或关键字进入下级页面浏览相关信息，可查看结果详情，患者基本信息、检查报告、诊断结果等</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数据导出：</w:t>
            </w:r>
            <w:r>
              <w:rPr>
                <w:rFonts w:hint="eastAsia" w:ascii="宋体" w:hAnsi="宋体" w:eastAsia="宋体"/>
                <w:color w:val="auto"/>
                <w:sz w:val="24"/>
                <w:highlight w:val="none"/>
                <w:lang w:eastAsia="zh-CN"/>
              </w:rPr>
              <w:t>支持将通过检索的数据结果按照自定义模板配置导出患者信息以csv格式进行保存。数据导出之前必须在系统中按流程进行审批，审批通过后，按权限获取数据，系统在导出数据之前自动进行脱敏处理。</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数据集：</w:t>
            </w:r>
            <w:r>
              <w:rPr>
                <w:rFonts w:hint="eastAsia" w:ascii="宋体" w:hAnsi="宋体" w:eastAsia="宋体"/>
                <w:color w:val="auto"/>
                <w:sz w:val="24"/>
                <w:highlight w:val="none"/>
                <w:lang w:eastAsia="zh-CN"/>
              </w:rPr>
              <w:t>支持列表展示历史检索并保存的自定义条件数据集，可直达检索数据结果详情列表页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任务管理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任务列表：</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可添加、编辑、停止任务</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执行日志：</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查看任务执行日志列表，包括任务执行状态、执行时间、执行规则。</w:t>
            </w:r>
          </w:p>
        </w:tc>
      </w:tr>
    </w:tbl>
    <w:p>
      <w:pPr>
        <w:pStyle w:val="8"/>
        <w:ind w:firstLine="480"/>
        <w:rPr>
          <w:color w:val="auto"/>
          <w:highlight w:val="none"/>
        </w:rPr>
      </w:pPr>
    </w:p>
    <w:p>
      <w:pPr>
        <w:pStyle w:val="7"/>
        <w:numPr>
          <w:ilvl w:val="4"/>
          <w:numId w:val="8"/>
        </w:numPr>
        <w:rPr>
          <w:rFonts w:ascii="宋体" w:hAnsi="宋体"/>
          <w:color w:val="auto"/>
          <w:szCs w:val="24"/>
          <w:highlight w:val="none"/>
        </w:rPr>
      </w:pPr>
      <w:bookmarkStart w:id="776" w:name="_Toc79"/>
      <w:r>
        <w:rPr>
          <w:rFonts w:hint="eastAsia" w:ascii="宋体" w:hAnsi="宋体"/>
          <w:color w:val="auto"/>
          <w:szCs w:val="24"/>
          <w:highlight w:val="none"/>
        </w:rPr>
        <w:t>心内科专科数据中心</w:t>
      </w:r>
      <w:bookmarkEnd w:id="776"/>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left="105" w:leftChars="50" w:right="105" w:rightChars="50"/>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1" w:leftChars="48" w:right="105" w:rightChars="50"/>
              <w:jc w:val="center"/>
              <w:rPr>
                <w:rFonts w:ascii="宋体" w:hAnsi="宋体" w:eastAsia="宋体"/>
                <w:b/>
                <w:color w:val="auto"/>
                <w:w w:val="105"/>
                <w:sz w:val="24"/>
                <w:highlight w:val="none"/>
              </w:rPr>
            </w:pPr>
            <w:r>
              <w:rPr>
                <w:rFonts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sz w:val="24"/>
                <w:highlight w:val="none"/>
              </w:rPr>
            </w:pPr>
            <w:r>
              <w:rPr>
                <w:rFonts w:hint="eastAsia" w:ascii="宋体" w:hAnsi="宋体" w:eastAsia="宋体" w:cs="华文仿宋"/>
                <w:b/>
                <w:color w:val="auto"/>
                <w:sz w:val="24"/>
                <w:highlight w:val="none"/>
                <w:lang w:eastAsia="zh-CN" w:bidi="ar"/>
              </w:rPr>
              <w:t>心内专科</w:t>
            </w:r>
            <w:r>
              <w:rPr>
                <w:rFonts w:hint="eastAsia" w:ascii="宋体" w:hAnsi="宋体" w:eastAsia="宋体" w:cs="华文仿宋"/>
                <w:b/>
                <w:color w:val="auto"/>
                <w:sz w:val="24"/>
                <w:highlight w:val="none"/>
                <w:lang w:bidi="ar"/>
              </w:rPr>
              <w:t>数据整合</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数据源配置：</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配置数据来源，可选择不同区域、医疗机构的心内科诊疗数据作为数据来源</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采集管理</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可新增、编辑、删除采集规则</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可自定义规则对数据进行脱敏处理</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3.</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可设置采集频率</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数据权限：</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配置本科室数据访问权限，可指定角色访问</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数据日志：</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采集数据执行结果日志列表，显示采集规则、采集时间、采集频率、采集状态等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b/>
                <w:bCs/>
                <w:color w:val="auto"/>
                <w:sz w:val="24"/>
                <w:highlight w:val="none"/>
                <w:lang w:eastAsia="zh-CN"/>
              </w:rPr>
            </w:pPr>
            <w:r>
              <w:rPr>
                <w:rFonts w:hint="eastAsia" w:ascii="宋体" w:hAnsi="宋体" w:eastAsia="宋体" w:cs="华文仿宋"/>
                <w:b/>
                <w:color w:val="auto"/>
                <w:sz w:val="24"/>
                <w:highlight w:val="none"/>
                <w:lang w:eastAsia="zh-CN" w:bidi="ar"/>
              </w:rPr>
              <w:t>心内专病数据库</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数据治理：</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采集心内科相关疾病或患者数据、通过ETL抽取，并进行数据清洗、处理等技术治理，形成完整、可用且精准的心内专病数据库，系统支持快速扩展多个专病数据库。</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数据标准：</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可查看同义词库和标准术语库标准，可自定义本科室使用的术语库</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数据展示：</w:t>
            </w:r>
            <w:r>
              <w:rPr>
                <w:rFonts w:hint="eastAsia" w:ascii="宋体" w:hAnsi="宋体" w:eastAsia="宋体"/>
                <w:color w:val="auto"/>
                <w:kern w:val="0"/>
                <w:sz w:val="24"/>
                <w:highlight w:val="none"/>
                <w:lang w:eastAsia="zh-CN"/>
              </w:rPr>
              <w:t>支持可</w:t>
            </w:r>
            <w:r>
              <w:rPr>
                <w:rFonts w:hint="eastAsia" w:ascii="宋体" w:hAnsi="宋体" w:eastAsia="宋体"/>
                <w:color w:val="auto"/>
                <w:sz w:val="24"/>
                <w:highlight w:val="none"/>
                <w:lang w:eastAsia="zh-CN"/>
              </w:rPr>
              <w:t>展示各心内专病数据库数据概况、数据趋势概况等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可视化管理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图表配置：</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可新增图表名称、配置图表维度和指标、指定查询数据脚本、上传缩略图、定义图表类型</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看板配置：</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可新增看板名称、配置看板数据、指定查询数据脚本、上传缩略图等</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结果展示：</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查看已配置的图表或看板数据展示结果详情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心内专病数据检索</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模糊检索</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1.支持通过关键字（患者姓名、住院号、ICD编码等）进行模糊检索，系统可从心内专病数据可提取相关病历信息并进行列表展示</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2.支持对检索结果中的关键词进行标红高亮显示</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3.支持对检索条件保存为指定名称的数据集</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高级检索：</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可选择配置多个查询条件进行（and/or/not，关键词包含或不包含，精确数值类型条件大于/等于/小于）组合查询</w:t>
            </w:r>
            <w:r>
              <w:rPr>
                <w:rFonts w:hint="eastAsia" w:ascii="宋体" w:hAnsi="宋体" w:eastAsia="宋体" w:cs="华文仿宋"/>
                <w:color w:val="auto"/>
                <w:sz w:val="24"/>
                <w:highlight w:val="none"/>
                <w:lang w:eastAsia="zh-CN" w:bidi="ar"/>
              </w:rPr>
              <w:t>。</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结果展示：</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根据标签或关键字进入下级页面浏览相关信息，可查看结果详情，患者基本信息、检查报告、诊断结果等</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数据导出：</w:t>
            </w:r>
            <w:r>
              <w:rPr>
                <w:rFonts w:hint="eastAsia" w:ascii="宋体" w:hAnsi="宋体" w:eastAsia="宋体"/>
                <w:color w:val="auto"/>
                <w:sz w:val="24"/>
                <w:highlight w:val="none"/>
                <w:lang w:eastAsia="zh-CN"/>
              </w:rPr>
              <w:t>支持将通过检索的数据结果按照自定义模板配置导出患者信息以csv格式进行保存。数据导出之前必须在系统中按流程进行审批，审批通过后，按权限获取数据，系统在导出数据之前自动进行脱敏处理。</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数据集：</w:t>
            </w:r>
            <w:r>
              <w:rPr>
                <w:rFonts w:hint="eastAsia" w:ascii="宋体" w:hAnsi="宋体" w:eastAsia="宋体"/>
                <w:color w:val="auto"/>
                <w:sz w:val="24"/>
                <w:highlight w:val="none"/>
                <w:lang w:eastAsia="zh-CN"/>
              </w:rPr>
              <w:t>支持列表展示历史检索并保存的自定义条件数据集，可直达检索数据结果详情列表页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任务管理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任务列表：</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可添加、编辑、停止任务</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执行日志：</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查看任务执行日志列表，包括任务执行状态、执行时间、执行规则。</w:t>
            </w:r>
          </w:p>
        </w:tc>
      </w:tr>
    </w:tbl>
    <w:p>
      <w:pPr>
        <w:pStyle w:val="8"/>
        <w:ind w:firstLine="480"/>
        <w:rPr>
          <w:color w:val="auto"/>
          <w:highlight w:val="none"/>
        </w:rPr>
      </w:pPr>
    </w:p>
    <w:p>
      <w:pPr>
        <w:pStyle w:val="7"/>
        <w:numPr>
          <w:ilvl w:val="4"/>
          <w:numId w:val="8"/>
        </w:numPr>
        <w:rPr>
          <w:rFonts w:ascii="宋体" w:hAnsi="宋体"/>
          <w:color w:val="auto"/>
          <w:szCs w:val="24"/>
          <w:highlight w:val="none"/>
        </w:rPr>
      </w:pPr>
      <w:bookmarkStart w:id="777" w:name="_Toc17"/>
      <w:r>
        <w:rPr>
          <w:rFonts w:hint="eastAsia" w:ascii="宋体" w:hAnsi="宋体"/>
          <w:color w:val="auto"/>
          <w:szCs w:val="24"/>
          <w:highlight w:val="none"/>
        </w:rPr>
        <w:t>感染科专科数据中心</w:t>
      </w:r>
      <w:bookmarkEnd w:id="777"/>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right="105" w:rightChars="50"/>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1" w:leftChars="48" w:right="105" w:rightChars="50"/>
              <w:jc w:val="center"/>
              <w:rPr>
                <w:rFonts w:ascii="宋体" w:hAnsi="宋体" w:eastAsia="宋体"/>
                <w:b/>
                <w:color w:val="auto"/>
                <w:w w:val="105"/>
                <w:sz w:val="24"/>
                <w:highlight w:val="none"/>
              </w:rPr>
            </w:pPr>
            <w:r>
              <w:rPr>
                <w:rFonts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sz w:val="24"/>
                <w:highlight w:val="none"/>
              </w:rPr>
            </w:pPr>
            <w:r>
              <w:rPr>
                <w:rFonts w:hint="eastAsia" w:ascii="宋体" w:hAnsi="宋体" w:eastAsia="宋体" w:cs="华文仿宋"/>
                <w:b/>
                <w:color w:val="auto"/>
                <w:sz w:val="24"/>
                <w:highlight w:val="none"/>
                <w:lang w:eastAsia="zh-CN" w:bidi="ar"/>
              </w:rPr>
              <w:t>感染专科</w:t>
            </w:r>
            <w:r>
              <w:rPr>
                <w:rFonts w:hint="eastAsia" w:ascii="宋体" w:hAnsi="宋体" w:eastAsia="宋体" w:cs="华文仿宋"/>
                <w:b/>
                <w:color w:val="auto"/>
                <w:sz w:val="24"/>
                <w:highlight w:val="none"/>
                <w:lang w:bidi="ar"/>
              </w:rPr>
              <w:t>数据整合</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数据源配置：</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配置数据来源，可选择不同区域、医疗机构的感染科诊疗数据作为数据来源</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采集管理</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可新增、编辑、删除采集规则</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可自定义规则对数据进行脱敏处理</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3.</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可设置采集频率</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数据权限：</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配置本科室数据访问权限，可指定角色访问</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数据日志：</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采集数据执行结果日志列表，显示采集规则、采集时间、采集频率、采集状态等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b/>
                <w:bCs/>
                <w:color w:val="auto"/>
                <w:sz w:val="24"/>
                <w:highlight w:val="none"/>
                <w:lang w:eastAsia="zh-CN"/>
              </w:rPr>
            </w:pPr>
            <w:r>
              <w:rPr>
                <w:rFonts w:hint="eastAsia" w:ascii="宋体" w:hAnsi="宋体" w:eastAsia="宋体" w:cs="华文仿宋"/>
                <w:b/>
                <w:color w:val="auto"/>
                <w:sz w:val="24"/>
                <w:highlight w:val="none"/>
                <w:lang w:eastAsia="zh-CN" w:bidi="ar"/>
              </w:rPr>
              <w:t>感染专病数据库</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数据治理：</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采集感染科相关疾病或患者数据、通过ETL抽取，并进行数据清洗、处理等技术治理，形成完整、可用且精准的感染专病数据库，系统支持快速扩展多个专病数据库。</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数据标准：</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可查看同义词库和标准术语库标准，可自定义本科室使用的术语库</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数据展示：</w:t>
            </w:r>
            <w:r>
              <w:rPr>
                <w:rFonts w:hint="eastAsia" w:ascii="宋体" w:hAnsi="宋体" w:eastAsia="宋体"/>
                <w:color w:val="auto"/>
                <w:kern w:val="0"/>
                <w:sz w:val="24"/>
                <w:highlight w:val="none"/>
                <w:lang w:eastAsia="zh-CN"/>
              </w:rPr>
              <w:t>支持可</w:t>
            </w:r>
            <w:r>
              <w:rPr>
                <w:rFonts w:hint="eastAsia" w:ascii="宋体" w:hAnsi="宋体" w:eastAsia="宋体"/>
                <w:color w:val="auto"/>
                <w:sz w:val="24"/>
                <w:highlight w:val="none"/>
                <w:lang w:eastAsia="zh-CN"/>
              </w:rPr>
              <w:t>展示各感染专病数据库数据概况、数据趋势概况等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可视化管理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图表配置：</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可新增图表名称、配置图表维度和指标、指定查询数据脚本、上传缩略图、定义图表类型</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看板配置：</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可新增看板名称、配置看板数据、指定查询数据脚本、上传缩略图等</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结果展示：</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查看已配置的图表或看板数据展示结果详情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感染专病数据检索</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模糊检索</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1.支持通过关键字（患者姓名、住院号、ICD编码等）进行模糊检索，系统可从</w:t>
            </w:r>
            <w:r>
              <w:rPr>
                <w:rFonts w:hint="eastAsia" w:ascii="宋体" w:hAnsi="宋体" w:eastAsia="宋体"/>
                <w:color w:val="auto"/>
                <w:sz w:val="24"/>
                <w:highlight w:val="none"/>
                <w:lang w:val="en-US" w:eastAsia="zh-Hans"/>
              </w:rPr>
              <w:t>感染</w:t>
            </w:r>
            <w:r>
              <w:rPr>
                <w:rFonts w:hint="eastAsia" w:ascii="宋体" w:hAnsi="宋体" w:eastAsia="宋体"/>
                <w:color w:val="auto"/>
                <w:sz w:val="24"/>
                <w:highlight w:val="none"/>
                <w:lang w:eastAsia="zh-CN"/>
              </w:rPr>
              <w:t>专病数据可提取相关病历信息并进行列表展示</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2.支持对检索结果中的关键词进行标红高亮显示</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3.支持对检索条件保存为指定名称的数据集</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高级检索：</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可选择配置多个查询条件进行（and/or/not，关键词包含或不包含，精确数值类型条件大于/等于/小于）组合查询</w:t>
            </w:r>
            <w:r>
              <w:rPr>
                <w:rFonts w:hint="eastAsia" w:ascii="宋体" w:hAnsi="宋体" w:eastAsia="宋体" w:cs="华文仿宋"/>
                <w:color w:val="auto"/>
                <w:sz w:val="24"/>
                <w:highlight w:val="none"/>
                <w:lang w:eastAsia="zh-CN" w:bidi="ar"/>
              </w:rPr>
              <w:t>。</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结果展示：</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根据标签或关键字进入下级页面浏览相关信息，可查看结果详情，患者基本信息、检查报告、诊断结果等</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数据导出：</w:t>
            </w:r>
            <w:r>
              <w:rPr>
                <w:rFonts w:hint="eastAsia" w:ascii="宋体" w:hAnsi="宋体" w:eastAsia="宋体"/>
                <w:color w:val="auto"/>
                <w:sz w:val="24"/>
                <w:highlight w:val="none"/>
                <w:lang w:eastAsia="zh-CN"/>
              </w:rPr>
              <w:t>支持将通过检索的数据结果按照自定义模板配置导出患者信息以csv格式进行保存。数据导出之前必须在系统中按流程进行审批，审批通过后，按权限获取数据，系统在导出数据之前自动进行脱敏处理。</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数据集：</w:t>
            </w:r>
            <w:r>
              <w:rPr>
                <w:rFonts w:hint="eastAsia" w:ascii="宋体" w:hAnsi="宋体" w:eastAsia="宋体"/>
                <w:color w:val="auto"/>
                <w:sz w:val="24"/>
                <w:highlight w:val="none"/>
                <w:lang w:eastAsia="zh-CN"/>
              </w:rPr>
              <w:t>支持列表展示历史检索并保存的自定义条件数据集，可直达检索数据结果详情列表页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任务管理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任务列表：</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可添加、编辑、停止任务</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执行日志：</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查看任务执行日志列表，包括任务执行状态、执行时间、执行规则。</w:t>
            </w:r>
          </w:p>
        </w:tc>
      </w:tr>
    </w:tbl>
    <w:p>
      <w:pPr>
        <w:pStyle w:val="8"/>
        <w:ind w:firstLine="480"/>
        <w:rPr>
          <w:color w:val="auto"/>
          <w:highlight w:val="none"/>
        </w:rPr>
      </w:pPr>
    </w:p>
    <w:p>
      <w:pPr>
        <w:pStyle w:val="7"/>
        <w:numPr>
          <w:ilvl w:val="4"/>
          <w:numId w:val="8"/>
        </w:numPr>
        <w:rPr>
          <w:rFonts w:ascii="宋体" w:hAnsi="宋体"/>
          <w:color w:val="auto"/>
          <w:szCs w:val="24"/>
          <w:highlight w:val="none"/>
        </w:rPr>
      </w:pPr>
      <w:bookmarkStart w:id="778" w:name="_Toc12990"/>
      <w:r>
        <w:rPr>
          <w:rFonts w:hint="eastAsia" w:ascii="宋体" w:hAnsi="宋体"/>
          <w:color w:val="auto"/>
          <w:szCs w:val="24"/>
          <w:highlight w:val="none"/>
        </w:rPr>
        <w:t>骨科专科数据中心</w:t>
      </w:r>
      <w:bookmarkEnd w:id="778"/>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3" w:hRule="atLeast"/>
          <w:tblHeader/>
          <w:jc w:val="center"/>
        </w:trPr>
        <w:tc>
          <w:tcPr>
            <w:tcW w:w="1696" w:type="dxa"/>
            <w:shd w:val="clear" w:color="auto" w:fill="4472C4"/>
            <w:vAlign w:val="center"/>
          </w:tcPr>
          <w:p>
            <w:pPr>
              <w:pStyle w:val="201"/>
              <w:spacing w:before="13" w:line="360" w:lineRule="auto"/>
              <w:ind w:left="105" w:leftChars="50" w:right="105" w:rightChars="50"/>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1" w:leftChars="48" w:right="105" w:rightChars="50"/>
              <w:jc w:val="center"/>
              <w:rPr>
                <w:rFonts w:ascii="宋体" w:hAnsi="宋体" w:eastAsia="宋体"/>
                <w:b/>
                <w:color w:val="auto"/>
                <w:w w:val="105"/>
                <w:sz w:val="24"/>
                <w:highlight w:val="none"/>
              </w:rPr>
            </w:pPr>
            <w:r>
              <w:rPr>
                <w:rFonts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sz w:val="24"/>
                <w:highlight w:val="none"/>
              </w:rPr>
            </w:pPr>
            <w:r>
              <w:rPr>
                <w:rFonts w:hint="eastAsia" w:ascii="宋体" w:hAnsi="宋体" w:eastAsia="宋体" w:cs="华文仿宋"/>
                <w:b/>
                <w:color w:val="auto"/>
                <w:sz w:val="24"/>
                <w:highlight w:val="none"/>
                <w:lang w:eastAsia="zh-CN" w:bidi="ar"/>
              </w:rPr>
              <w:t>骨科专科</w:t>
            </w:r>
            <w:r>
              <w:rPr>
                <w:rFonts w:hint="eastAsia" w:ascii="宋体" w:hAnsi="宋体" w:eastAsia="宋体" w:cs="华文仿宋"/>
                <w:b/>
                <w:color w:val="auto"/>
                <w:sz w:val="24"/>
                <w:highlight w:val="none"/>
                <w:lang w:bidi="ar"/>
              </w:rPr>
              <w:t>数据整合</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数据源配置：</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配置数据来源，可选择不同区域、医疗机构的骨科诊疗数据作为数据来源</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采集管理</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可新增、编辑、删除采集规则</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可自定义规则对数据进行脱敏处理</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3.</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可设置采集频率</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数据权限：</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配置本科室数据访问权限，可指定角色访问</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数据日志：</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采集数据执行结果日志列表，显示采集规则、采集时间、采集频率、采集状态等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b/>
                <w:bCs/>
                <w:color w:val="auto"/>
                <w:sz w:val="24"/>
                <w:highlight w:val="none"/>
                <w:lang w:eastAsia="zh-CN"/>
              </w:rPr>
            </w:pPr>
            <w:r>
              <w:rPr>
                <w:rFonts w:hint="eastAsia" w:ascii="宋体" w:hAnsi="宋体" w:eastAsia="宋体" w:cs="华文仿宋"/>
                <w:b/>
                <w:color w:val="auto"/>
                <w:sz w:val="24"/>
                <w:highlight w:val="none"/>
                <w:lang w:eastAsia="zh-CN" w:bidi="ar"/>
              </w:rPr>
              <w:t>骨科专病数据库</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数据治理：</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采集骨科相关疾病或患者数据、通过ETL抽取，并进行数据清洗、处理等技术治理，形成完整、可用且精准的骨科专病数据库，系统支持快速扩展多个专病数据库。</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数据标准：</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可查看同义词库和标准术语库标准，可自定义本科室使用的术语库</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数据展示：</w:t>
            </w:r>
            <w:r>
              <w:rPr>
                <w:rFonts w:hint="eastAsia" w:ascii="宋体" w:hAnsi="宋体" w:eastAsia="宋体"/>
                <w:color w:val="auto"/>
                <w:kern w:val="0"/>
                <w:sz w:val="24"/>
                <w:highlight w:val="none"/>
                <w:lang w:eastAsia="zh-CN"/>
              </w:rPr>
              <w:t>支持可</w:t>
            </w:r>
            <w:r>
              <w:rPr>
                <w:rFonts w:hint="eastAsia" w:ascii="宋体" w:hAnsi="宋体" w:eastAsia="宋体"/>
                <w:color w:val="auto"/>
                <w:sz w:val="24"/>
                <w:highlight w:val="none"/>
                <w:lang w:eastAsia="zh-CN"/>
              </w:rPr>
              <w:t>展示各骨科专病数据库数据概况、数据趋势概况等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可视化管理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图表配置：</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可新增图表名称、配置图表维度和指标、指定查询数据脚本、上传缩略图、定义图表类型</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看板配置：</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可新增看板名称、配置看板数据、指定查询数据脚本、上传缩略图等</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结果展示：</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查看已配置的图表或看板数据展示结果详情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骨科专病数据检索</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模糊检索</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1.支持通过关键字（患者姓名、住院号、ICD编码等）进行模糊检索，系统可从骨科专病数据可提取相关病历信息并进行列表展示</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2.支持对检索结果中的关键词进行标红高亮显示</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3.支持对检索条件保存为指定名称的数据集</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高级检索：</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可选择配置多个查询条件进行（and/or/not，关键词包含或不包含，精确数值类型条件大于/等于/小于）组合查询</w:t>
            </w:r>
            <w:r>
              <w:rPr>
                <w:rFonts w:hint="eastAsia" w:ascii="宋体" w:hAnsi="宋体" w:eastAsia="宋体" w:cs="华文仿宋"/>
                <w:color w:val="auto"/>
                <w:sz w:val="24"/>
                <w:highlight w:val="none"/>
                <w:lang w:eastAsia="zh-CN" w:bidi="ar"/>
              </w:rPr>
              <w:t>。</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结果展示：</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根据标签或关键字进入下级页面浏览相关信息，可查看结果详情，患者基本信息、检查报告、诊断结果等</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数据导出：</w:t>
            </w:r>
            <w:r>
              <w:rPr>
                <w:rFonts w:hint="eastAsia" w:ascii="宋体" w:hAnsi="宋体" w:eastAsia="宋体"/>
                <w:color w:val="auto"/>
                <w:sz w:val="24"/>
                <w:highlight w:val="none"/>
                <w:lang w:eastAsia="zh-CN"/>
              </w:rPr>
              <w:t>支持将通过检索的数据结果按照自定义模板配置导出患者信息以csv格式进行保存。数据导出之前必须在系统中按流程进行审批，审批通过后，按权限获取数据，系统在导出数据之前自动进行脱敏处理。</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数据集：</w:t>
            </w:r>
            <w:r>
              <w:rPr>
                <w:rFonts w:hint="eastAsia" w:ascii="宋体" w:hAnsi="宋体" w:eastAsia="宋体"/>
                <w:color w:val="auto"/>
                <w:sz w:val="24"/>
                <w:highlight w:val="none"/>
                <w:lang w:eastAsia="zh-CN"/>
              </w:rPr>
              <w:t>支持列表展示历史检索并保存的自定义条件数据集，可直达检索数据结果详情列表页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任务管理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任务列表：</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可添加、编辑、停止任务</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执行日志：</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查看任务执行日志列表，包括任务执行状态、执行时间、执行规则。</w:t>
            </w:r>
          </w:p>
        </w:tc>
      </w:tr>
    </w:tbl>
    <w:p>
      <w:pPr>
        <w:pStyle w:val="8"/>
        <w:ind w:firstLine="480"/>
        <w:rPr>
          <w:color w:val="auto"/>
          <w:highlight w:val="none"/>
        </w:rPr>
      </w:pPr>
    </w:p>
    <w:p>
      <w:pPr>
        <w:pStyle w:val="7"/>
        <w:numPr>
          <w:ilvl w:val="4"/>
          <w:numId w:val="8"/>
        </w:numPr>
        <w:rPr>
          <w:rFonts w:ascii="宋体" w:hAnsi="宋体"/>
          <w:color w:val="auto"/>
          <w:szCs w:val="24"/>
          <w:highlight w:val="none"/>
        </w:rPr>
      </w:pPr>
      <w:bookmarkStart w:id="779" w:name="_Toc5002"/>
      <w:r>
        <w:rPr>
          <w:rFonts w:hint="eastAsia" w:ascii="宋体" w:hAnsi="宋体"/>
          <w:color w:val="auto"/>
          <w:szCs w:val="24"/>
          <w:highlight w:val="none"/>
        </w:rPr>
        <w:t>眼科专科数据中心</w:t>
      </w:r>
      <w:bookmarkEnd w:id="779"/>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left="101" w:leftChars="48" w:right="105" w:rightChars="50"/>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1" w:leftChars="48" w:right="105" w:rightChars="50"/>
              <w:jc w:val="center"/>
              <w:rPr>
                <w:rFonts w:ascii="宋体" w:hAnsi="宋体" w:eastAsia="宋体"/>
                <w:b/>
                <w:color w:val="auto"/>
                <w:w w:val="105"/>
                <w:sz w:val="24"/>
                <w:highlight w:val="none"/>
              </w:rPr>
            </w:pPr>
            <w:r>
              <w:rPr>
                <w:rFonts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sz w:val="24"/>
                <w:highlight w:val="none"/>
              </w:rPr>
            </w:pPr>
            <w:r>
              <w:rPr>
                <w:rFonts w:hint="eastAsia" w:ascii="宋体" w:hAnsi="宋体" w:eastAsia="宋体" w:cs="华文仿宋"/>
                <w:b/>
                <w:color w:val="auto"/>
                <w:sz w:val="24"/>
                <w:highlight w:val="none"/>
                <w:lang w:eastAsia="zh-CN" w:bidi="ar"/>
              </w:rPr>
              <w:t>眼科专科</w:t>
            </w:r>
            <w:r>
              <w:rPr>
                <w:rFonts w:hint="eastAsia" w:ascii="宋体" w:hAnsi="宋体" w:eastAsia="宋体" w:cs="华文仿宋"/>
                <w:b/>
                <w:color w:val="auto"/>
                <w:sz w:val="24"/>
                <w:highlight w:val="none"/>
                <w:lang w:bidi="ar"/>
              </w:rPr>
              <w:t>数据整合</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数据源配置：</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配置数据来源，可选择不同区域、医疗机构的眼科诊疗数据作为数据来源</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采集管理</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可新增、编辑、删除采集规则</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可自定义规则对数据进行脱敏处理</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3.</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可设置采集频率</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数据权限：</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配置本科室数据访问权限，可指定角色访问</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数据日志：</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采集数据执行结果日志列表，显示采集规则、采集时间、采集频率、采集状态等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b/>
                <w:bCs/>
                <w:color w:val="auto"/>
                <w:sz w:val="24"/>
                <w:highlight w:val="none"/>
                <w:lang w:eastAsia="zh-CN"/>
              </w:rPr>
            </w:pPr>
            <w:r>
              <w:rPr>
                <w:rFonts w:hint="eastAsia" w:ascii="宋体" w:hAnsi="宋体" w:eastAsia="宋体" w:cs="华文仿宋"/>
                <w:b/>
                <w:color w:val="auto"/>
                <w:sz w:val="24"/>
                <w:highlight w:val="none"/>
                <w:lang w:eastAsia="zh-CN" w:bidi="ar"/>
              </w:rPr>
              <w:t>眼科专病数据库</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数据治理：</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采集眼科相关疾病或患者数据、通过ETL抽取，并进行数据清洗、处理等技术治理，形成完整、可用且精准的眼科专病数据库，系统支持快速扩展多个专病数据库。</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数据标准：</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可查看同义词库和标准术语库标准，可自定义本科室使用的术语库</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数据展示：</w:t>
            </w:r>
            <w:r>
              <w:rPr>
                <w:rFonts w:hint="eastAsia" w:ascii="宋体" w:hAnsi="宋体" w:eastAsia="宋体"/>
                <w:color w:val="auto"/>
                <w:kern w:val="0"/>
                <w:sz w:val="24"/>
                <w:highlight w:val="none"/>
                <w:lang w:eastAsia="zh-CN"/>
              </w:rPr>
              <w:t>支持可</w:t>
            </w:r>
            <w:r>
              <w:rPr>
                <w:rFonts w:hint="eastAsia" w:ascii="宋体" w:hAnsi="宋体" w:eastAsia="宋体"/>
                <w:color w:val="auto"/>
                <w:sz w:val="24"/>
                <w:highlight w:val="none"/>
                <w:lang w:eastAsia="zh-CN"/>
              </w:rPr>
              <w:t>展示各眼科专病数据库数据概况、数据趋势概况等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可视化管理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图表配置：</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可新增图表名称、配置图表维度和指标、指定查询数据脚本、上传缩略图、定义图表类型</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看板配置：</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可新增看板名称、配置看板数据、指定查询数据脚本、上传缩略图等</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结果展示：</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查看已配置的图表或看板数据展示结果详情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眼科专病数据检索</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模糊检索</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1.支持通过关键字（患者姓名、住院号、ICD编码等）进行模糊检索，系统可从眼科专病数据可提取相关病历信息并进行列表展示</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2.支持对检索结果中的关键词进行标红高亮显示</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3.支持对检索条件保存为指定名称的数据集</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高级检索：</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可选择配置多个查询条件进行（and/or/not，关键词包含或不包含，精确数值类型条件大于/等于/小于）组合查询</w:t>
            </w:r>
            <w:r>
              <w:rPr>
                <w:rFonts w:hint="eastAsia" w:ascii="宋体" w:hAnsi="宋体" w:eastAsia="宋体" w:cs="华文仿宋"/>
                <w:color w:val="auto"/>
                <w:sz w:val="24"/>
                <w:highlight w:val="none"/>
                <w:lang w:eastAsia="zh-CN" w:bidi="ar"/>
              </w:rPr>
              <w:t>。</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结果展示：</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根据标签或关键字进入下级页面浏览相关信息，可查看结果详情，患者基本信息、检查报告、诊断结果等</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数据导出：</w:t>
            </w:r>
            <w:r>
              <w:rPr>
                <w:rFonts w:hint="eastAsia" w:ascii="宋体" w:hAnsi="宋体" w:eastAsia="宋体"/>
                <w:color w:val="auto"/>
                <w:sz w:val="24"/>
                <w:highlight w:val="none"/>
                <w:lang w:eastAsia="zh-CN"/>
              </w:rPr>
              <w:t>支持将通过检索的数据结果按照自定义模板配置导出患者信息以csv格式进行保存。数据导出之前必须在系统中按流程进行审批，审批通过后，按权限获取数据，系统在导出数据之前自动进行脱敏处理。</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数据集：</w:t>
            </w:r>
            <w:r>
              <w:rPr>
                <w:rFonts w:hint="eastAsia" w:ascii="宋体" w:hAnsi="宋体" w:eastAsia="宋体"/>
                <w:color w:val="auto"/>
                <w:sz w:val="24"/>
                <w:highlight w:val="none"/>
                <w:lang w:eastAsia="zh-CN"/>
              </w:rPr>
              <w:t>支持列表展示历史检索并保存的自定义条件数据集，可直达检索数据结果详情列表页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任务管理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任务列表：</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可添加、编辑、停止任务</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执行日志：</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查看任务执行日志列表，包括任务执行状态、执行时间、执行规则。</w:t>
            </w:r>
          </w:p>
        </w:tc>
      </w:tr>
    </w:tbl>
    <w:p>
      <w:pPr>
        <w:pStyle w:val="8"/>
        <w:ind w:firstLine="480"/>
        <w:rPr>
          <w:color w:val="auto"/>
          <w:highlight w:val="none"/>
        </w:rPr>
      </w:pPr>
    </w:p>
    <w:p>
      <w:pPr>
        <w:rPr>
          <w:rFonts w:ascii="宋体" w:hAnsi="宋体"/>
          <w:color w:val="auto"/>
          <w:sz w:val="24"/>
          <w:highlight w:val="none"/>
        </w:rPr>
      </w:pPr>
    </w:p>
    <w:p>
      <w:pPr>
        <w:pStyle w:val="6"/>
        <w:numPr>
          <w:ilvl w:val="3"/>
          <w:numId w:val="8"/>
        </w:numPr>
        <w:tabs>
          <w:tab w:val="clear" w:pos="864"/>
        </w:tabs>
        <w:spacing w:before="280" w:after="290" w:line="376" w:lineRule="auto"/>
        <w:rPr>
          <w:rFonts w:ascii="宋体" w:hAnsi="宋体"/>
          <w:color w:val="auto"/>
          <w:sz w:val="24"/>
          <w:szCs w:val="24"/>
          <w:highlight w:val="none"/>
        </w:rPr>
      </w:pPr>
      <w:bookmarkStart w:id="780" w:name="_Toc22089"/>
      <w:bookmarkStart w:id="781" w:name="_Toc29714"/>
      <w:bookmarkStart w:id="782" w:name="_Toc11423"/>
      <w:r>
        <w:rPr>
          <w:rFonts w:hint="eastAsia" w:ascii="宋体" w:hAnsi="宋体"/>
          <w:color w:val="auto"/>
          <w:sz w:val="24"/>
          <w:szCs w:val="24"/>
          <w:highlight w:val="none"/>
        </w:rPr>
        <w:t xml:space="preserve"> </w:t>
      </w:r>
      <w:bookmarkStart w:id="783" w:name="_Toc6809"/>
      <w:r>
        <w:rPr>
          <w:rFonts w:hint="eastAsia" w:ascii="宋体" w:hAnsi="宋体"/>
          <w:color w:val="auto"/>
          <w:sz w:val="24"/>
          <w:szCs w:val="24"/>
          <w:highlight w:val="none"/>
        </w:rPr>
        <w:t>“五大中心”</w:t>
      </w:r>
      <w:bookmarkEnd w:id="780"/>
      <w:bookmarkEnd w:id="781"/>
      <w:bookmarkEnd w:id="782"/>
      <w:r>
        <w:rPr>
          <w:rFonts w:hint="eastAsia" w:ascii="宋体" w:hAnsi="宋体"/>
          <w:color w:val="auto"/>
          <w:sz w:val="24"/>
          <w:szCs w:val="24"/>
          <w:highlight w:val="none"/>
        </w:rPr>
        <w:t>建设</w:t>
      </w:r>
      <w:bookmarkEnd w:id="783"/>
    </w:p>
    <w:p>
      <w:pPr>
        <w:pStyle w:val="7"/>
        <w:numPr>
          <w:ilvl w:val="4"/>
          <w:numId w:val="8"/>
        </w:numPr>
        <w:rPr>
          <w:rFonts w:ascii="宋体" w:hAnsi="宋体"/>
          <w:color w:val="auto"/>
          <w:szCs w:val="24"/>
          <w:highlight w:val="none"/>
        </w:rPr>
      </w:pPr>
      <w:bookmarkStart w:id="784" w:name="_Toc3396"/>
      <w:r>
        <w:rPr>
          <w:rFonts w:hint="eastAsia" w:ascii="宋体" w:hAnsi="宋体"/>
          <w:color w:val="auto"/>
          <w:szCs w:val="24"/>
          <w:highlight w:val="none"/>
        </w:rPr>
        <w:t>胸痛中心</w:t>
      </w:r>
      <w:bookmarkEnd w:id="784"/>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right="105" w:rightChars="50"/>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1" w:leftChars="48" w:right="105" w:rightChars="50"/>
              <w:jc w:val="center"/>
              <w:rPr>
                <w:rFonts w:ascii="宋体" w:hAnsi="宋体" w:eastAsia="宋体"/>
                <w:b/>
                <w:color w:val="auto"/>
                <w:w w:val="105"/>
                <w:sz w:val="24"/>
                <w:highlight w:val="none"/>
              </w:rPr>
            </w:pPr>
            <w:r>
              <w:rPr>
                <w:rFonts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sz w:val="24"/>
                <w:highlight w:val="none"/>
              </w:rPr>
            </w:pPr>
            <w:r>
              <w:rPr>
                <w:rFonts w:hint="eastAsia" w:ascii="宋体" w:hAnsi="宋体" w:eastAsia="宋体" w:cs="华文仿宋"/>
                <w:b/>
                <w:color w:val="auto"/>
                <w:sz w:val="24"/>
                <w:highlight w:val="none"/>
                <w:lang w:eastAsia="zh-CN" w:bidi="ar"/>
              </w:rPr>
              <w:t>胸痛</w:t>
            </w:r>
            <w:r>
              <w:rPr>
                <w:rFonts w:hint="eastAsia" w:ascii="宋体" w:hAnsi="宋体" w:eastAsia="宋体" w:cs="华文仿宋"/>
                <w:b/>
                <w:color w:val="auto"/>
                <w:sz w:val="24"/>
                <w:highlight w:val="none"/>
                <w:lang w:bidi="ar"/>
              </w:rPr>
              <w:t>数据整合</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数据源配置</w:t>
            </w:r>
          </w:p>
          <w:p>
            <w:pPr>
              <w:pStyle w:val="201"/>
              <w:widowControl/>
              <w:spacing w:before="6" w:line="360" w:lineRule="auto"/>
              <w:ind w:left="120" w:right="105" w:rightChars="50" w:firstLine="482"/>
              <w:rPr>
                <w:rFonts w:ascii="宋体" w:hAnsi="宋体" w:eastAsia="宋体"/>
                <w:b/>
                <w:bCs/>
                <w:color w:val="auto"/>
                <w:sz w:val="24"/>
                <w:highlight w:val="none"/>
                <w:lang w:eastAsia="zh-CN"/>
              </w:rPr>
            </w:pPr>
            <w:r>
              <w:rPr>
                <w:rFonts w:hint="eastAsia" w:ascii="宋体" w:hAnsi="宋体" w:eastAsia="宋体"/>
                <w:color w:val="auto"/>
                <w:sz w:val="24"/>
                <w:highlight w:val="none"/>
                <w:lang w:eastAsia="zh-CN"/>
              </w:rPr>
              <w:t>支持分别配置胸痛中心的数据来源，可选择不同区域、医疗机构、心内和急诊等相关专科数据作为数据来源</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采集管理</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1.支持新增、编辑、删除规则，可列表显示采集规则</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2.支持按自定义规则对数据进行脱敏处理</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3.支持设置采集频率</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数据权限</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可配置数据访问权限，可指定科室访问、指定角色访问</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数据治理</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采集相关疾病或患者数据、通过ETL抽取，并进行数据清洗、处理等技术治理，形成完整、可用且精准的数据，用于“一站式急救”服务</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数据日志</w:t>
            </w:r>
          </w:p>
          <w:p>
            <w:pPr>
              <w:pStyle w:val="201"/>
              <w:widowControl/>
              <w:spacing w:before="6" w:line="360" w:lineRule="auto"/>
              <w:ind w:left="120" w:right="105" w:rightChars="50" w:firstLine="482"/>
              <w:rPr>
                <w:rFonts w:ascii="宋体" w:hAnsi="宋体" w:eastAsia="宋体"/>
                <w:b/>
                <w:bCs/>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采集数据执行结果的日志列表，显示采集规则、采集时间、采集频率、采集状态等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b/>
                <w:bCs/>
                <w:color w:val="auto"/>
                <w:sz w:val="24"/>
                <w:highlight w:val="none"/>
                <w:lang w:eastAsia="zh-CN"/>
              </w:rPr>
            </w:pPr>
            <w:r>
              <w:rPr>
                <w:rFonts w:hint="eastAsia" w:ascii="宋体" w:hAnsi="宋体" w:eastAsia="宋体" w:cs="华文仿宋"/>
                <w:b/>
                <w:color w:val="auto"/>
                <w:sz w:val="24"/>
                <w:highlight w:val="none"/>
                <w:lang w:eastAsia="zh-CN" w:bidi="ar"/>
              </w:rPr>
              <w:t>可视化管理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
                <w:bCs/>
                <w:color w:val="auto"/>
                <w:sz w:val="24"/>
                <w:highlight w:val="none"/>
                <w:lang w:eastAsia="zh-CN"/>
              </w:rPr>
              <w:t>图表配置</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支持新增图表名称，可配置图表维度和指标、指定查询数据脚本、上传缩略图、支持多种图表类型</w:t>
            </w:r>
            <w:r>
              <w:rPr>
                <w:rFonts w:hint="eastAsia" w:ascii="宋体" w:hAnsi="宋体" w:eastAsia="宋体" w:cs="华文仿宋"/>
                <w:color w:val="auto"/>
                <w:sz w:val="24"/>
                <w:highlight w:val="none"/>
                <w:lang w:eastAsia="zh-CN" w:bidi="ar"/>
              </w:rPr>
              <w:t>。</w:t>
            </w:r>
            <w:r>
              <w:rPr>
                <w:rFonts w:hint="eastAsia" w:ascii="宋体" w:hAnsi="宋体" w:eastAsia="宋体"/>
                <w:color w:val="auto"/>
                <w:sz w:val="24"/>
                <w:highlight w:val="none"/>
                <w:lang w:eastAsia="zh-CN"/>
              </w:rPr>
              <w:t>须提供系统截图</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看板配置</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新增看板名称，可配置看板数据、指定查询数据脚本、上传缩略图等</w:t>
            </w:r>
            <w:r>
              <w:rPr>
                <w:rFonts w:hint="eastAsia" w:ascii="宋体" w:hAnsi="宋体" w:eastAsia="宋体" w:cs="华文仿宋"/>
                <w:color w:val="auto"/>
                <w:sz w:val="24"/>
                <w:highlight w:val="none"/>
                <w:lang w:eastAsia="zh-CN" w:bidi="ar"/>
              </w:rPr>
              <w:t>。</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结果展示</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查看已配置的图表或看板数据展示结果详情</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胸痛患者综合档案信息</w:t>
            </w:r>
          </w:p>
          <w:p>
            <w:pPr>
              <w:pStyle w:val="201"/>
              <w:widowControl/>
              <w:spacing w:before="6" w:line="360" w:lineRule="auto"/>
              <w:ind w:left="120" w:right="105" w:rightChars="50" w:firstLine="482"/>
              <w:rPr>
                <w:rFonts w:ascii="宋体" w:hAnsi="宋体" w:eastAsia="宋体"/>
                <w:color w:val="auto"/>
                <w:kern w:val="0"/>
                <w:sz w:val="24"/>
                <w:highlight w:val="none"/>
                <w:lang w:eastAsia="zh-CN"/>
              </w:rPr>
            </w:pPr>
            <w:r>
              <w:rPr>
                <w:rFonts w:hint="eastAsia" w:ascii="宋体" w:hAnsi="宋体" w:eastAsia="宋体"/>
                <w:color w:val="auto"/>
                <w:kern w:val="0"/>
                <w:sz w:val="24"/>
                <w:highlight w:val="none"/>
                <w:lang w:eastAsia="zh-CN"/>
              </w:rPr>
              <w:t>胸痛患者诊疗结束后，系统支持给胸痛患者生成完整的信息档案，包含急诊信息、胸痛诊疗信息、患者转归信息。</w:t>
            </w:r>
          </w:p>
          <w:p>
            <w:pPr>
              <w:pStyle w:val="201"/>
              <w:widowControl/>
              <w:spacing w:before="6" w:line="360" w:lineRule="auto"/>
              <w:ind w:left="120" w:right="105" w:rightChars="50" w:firstLine="482"/>
              <w:rPr>
                <w:rFonts w:ascii="宋体" w:hAnsi="宋体" w:eastAsia="宋体"/>
                <w:color w:val="auto"/>
                <w:kern w:val="0"/>
                <w:sz w:val="24"/>
                <w:highlight w:val="none"/>
                <w:lang w:eastAsia="zh-CN"/>
              </w:rPr>
            </w:pPr>
            <w:r>
              <w:rPr>
                <w:rFonts w:hint="eastAsia" w:ascii="宋体" w:hAnsi="宋体" w:eastAsia="宋体"/>
                <w:color w:val="auto"/>
                <w:kern w:val="0"/>
                <w:sz w:val="24"/>
                <w:highlight w:val="none"/>
                <w:lang w:eastAsia="zh-CN"/>
              </w:rPr>
              <w:t>胸痛患者急诊信息包含：基本信息、病情评估、来院方式、患者绕行、基础生命体征、院前心电图、院前溶栓治疗、患者情况。</w:t>
            </w:r>
          </w:p>
          <w:p>
            <w:pPr>
              <w:pStyle w:val="201"/>
              <w:widowControl/>
              <w:spacing w:before="6" w:line="360" w:lineRule="auto"/>
              <w:ind w:left="120" w:right="105" w:rightChars="50" w:firstLine="482"/>
              <w:rPr>
                <w:rFonts w:ascii="宋体" w:hAnsi="宋体" w:eastAsia="宋体"/>
                <w:color w:val="auto"/>
                <w:kern w:val="0"/>
                <w:sz w:val="24"/>
                <w:highlight w:val="none"/>
                <w:lang w:eastAsia="zh-CN"/>
              </w:rPr>
            </w:pPr>
            <w:r>
              <w:rPr>
                <w:rFonts w:hint="eastAsia" w:ascii="宋体" w:hAnsi="宋体" w:eastAsia="宋体"/>
                <w:color w:val="auto"/>
                <w:kern w:val="0"/>
                <w:sz w:val="24"/>
                <w:highlight w:val="none"/>
                <w:lang w:eastAsia="zh-CN"/>
              </w:rPr>
              <w:t>胸痛患者诊疗信息包含：患者心电图、实验室检查、影像学检查、心内科/心外科会诊、诊断信息。</w:t>
            </w:r>
          </w:p>
          <w:p>
            <w:pPr>
              <w:pStyle w:val="201"/>
              <w:widowControl/>
              <w:spacing w:before="6" w:line="360" w:lineRule="auto"/>
              <w:ind w:left="120" w:right="105" w:rightChars="50" w:firstLine="482"/>
              <w:rPr>
                <w:rFonts w:ascii="宋体" w:hAnsi="宋体"/>
                <w:color w:val="auto"/>
                <w:sz w:val="24"/>
                <w:highlight w:val="none"/>
                <w:lang w:eastAsia="zh-CN"/>
              </w:rPr>
            </w:pPr>
            <w:r>
              <w:rPr>
                <w:rFonts w:hint="eastAsia" w:ascii="宋体" w:hAnsi="宋体" w:eastAsia="宋体"/>
                <w:color w:val="auto"/>
                <w:kern w:val="0"/>
                <w:sz w:val="24"/>
                <w:highlight w:val="none"/>
                <w:lang w:eastAsia="zh-CN"/>
              </w:rPr>
              <w:t>胸痛患者转归信息包含：出院诊断、住院期间用药、出院信息、患者情况备注。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数据检索</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模糊检索</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1.支持按关键字（患者姓名、住院号、ICD编码等）进行模糊检索，系统可从专病数据库提取相关的病历信息并进行列表展示</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2.支持对检索结果中的关键词进行标红高亮显示</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3.支持对检索条件保存为指定名称的数据集</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高级检索：</w:t>
            </w:r>
            <w:r>
              <w:rPr>
                <w:rFonts w:hint="eastAsia" w:ascii="宋体" w:hAnsi="宋体" w:eastAsia="宋体"/>
                <w:color w:val="auto"/>
                <w:sz w:val="24"/>
                <w:highlight w:val="none"/>
                <w:lang w:eastAsia="zh-CN"/>
              </w:rPr>
              <w:t>可选择配置多个查询条件进行（and/or/not，关键词包含或不包含，精确数值类型条件大于/等于/小于）组合查询</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结果展示：</w:t>
            </w:r>
            <w:r>
              <w:rPr>
                <w:rFonts w:hint="eastAsia" w:ascii="宋体" w:hAnsi="宋体" w:eastAsia="宋体"/>
                <w:color w:val="auto"/>
                <w:sz w:val="24"/>
                <w:highlight w:val="none"/>
                <w:lang w:eastAsia="zh-CN"/>
              </w:rPr>
              <w:t>支持通过检索列表数据查看结果详情，包括患者基本信息、检查报告、诊断结果等，可根据标签或关键字进入下级页面浏览相关信息</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数据集：</w:t>
            </w:r>
            <w:r>
              <w:rPr>
                <w:rFonts w:hint="eastAsia" w:ascii="宋体" w:hAnsi="宋体" w:eastAsia="宋体"/>
                <w:color w:val="auto"/>
                <w:sz w:val="24"/>
                <w:highlight w:val="none"/>
                <w:lang w:eastAsia="zh-CN"/>
              </w:rPr>
              <w:t>列表展示历史检索并根据检索条件，可直达检索数据结果详情列表页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任务管理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任务列表：</w:t>
            </w:r>
            <w:r>
              <w:rPr>
                <w:rFonts w:hint="eastAsia" w:ascii="宋体" w:hAnsi="宋体" w:eastAsia="宋体"/>
                <w:color w:val="auto"/>
                <w:sz w:val="24"/>
                <w:highlight w:val="none"/>
                <w:lang w:eastAsia="zh-CN"/>
              </w:rPr>
              <w:t>可添加、编辑、停止任务</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执行日志：</w:t>
            </w:r>
            <w:r>
              <w:rPr>
                <w:rFonts w:hint="eastAsia" w:ascii="宋体" w:hAnsi="宋体" w:eastAsia="宋体"/>
                <w:color w:val="auto"/>
                <w:sz w:val="24"/>
                <w:highlight w:val="none"/>
                <w:lang w:eastAsia="zh-CN"/>
              </w:rPr>
              <w:t>查看任务执行日志列表，包括任务执行状态、执行时间、执行规则</w:t>
            </w:r>
          </w:p>
        </w:tc>
      </w:tr>
    </w:tbl>
    <w:p>
      <w:pPr>
        <w:pStyle w:val="8"/>
        <w:ind w:firstLine="480"/>
        <w:rPr>
          <w:color w:val="auto"/>
          <w:highlight w:val="none"/>
        </w:rPr>
      </w:pPr>
    </w:p>
    <w:p>
      <w:pPr>
        <w:pStyle w:val="7"/>
        <w:numPr>
          <w:ilvl w:val="4"/>
          <w:numId w:val="8"/>
        </w:numPr>
        <w:rPr>
          <w:rFonts w:ascii="宋体" w:hAnsi="宋体"/>
          <w:color w:val="auto"/>
          <w:szCs w:val="24"/>
          <w:highlight w:val="none"/>
        </w:rPr>
      </w:pPr>
      <w:bookmarkStart w:id="785" w:name="_Toc20785"/>
      <w:r>
        <w:rPr>
          <w:rFonts w:hint="eastAsia" w:ascii="宋体" w:hAnsi="宋体"/>
          <w:color w:val="auto"/>
          <w:szCs w:val="24"/>
          <w:highlight w:val="none"/>
        </w:rPr>
        <w:t>卒中中心</w:t>
      </w:r>
      <w:bookmarkEnd w:id="785"/>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right="105" w:rightChars="50"/>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1" w:leftChars="48" w:right="105" w:rightChars="50"/>
              <w:jc w:val="center"/>
              <w:rPr>
                <w:rFonts w:ascii="宋体" w:hAnsi="宋体" w:eastAsia="宋体"/>
                <w:b/>
                <w:color w:val="auto"/>
                <w:w w:val="105"/>
                <w:sz w:val="24"/>
                <w:highlight w:val="none"/>
              </w:rPr>
            </w:pPr>
            <w:r>
              <w:rPr>
                <w:rFonts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sz w:val="24"/>
                <w:highlight w:val="none"/>
              </w:rPr>
            </w:pPr>
            <w:r>
              <w:rPr>
                <w:rFonts w:hint="eastAsia" w:ascii="宋体" w:hAnsi="宋体" w:eastAsia="宋体" w:cs="华文仿宋"/>
                <w:b/>
                <w:color w:val="auto"/>
                <w:sz w:val="24"/>
                <w:highlight w:val="none"/>
                <w:lang w:eastAsia="zh-CN" w:bidi="ar"/>
              </w:rPr>
              <w:t>卒中</w:t>
            </w:r>
            <w:r>
              <w:rPr>
                <w:rFonts w:hint="eastAsia" w:ascii="宋体" w:hAnsi="宋体" w:eastAsia="宋体" w:cs="华文仿宋"/>
                <w:b/>
                <w:color w:val="auto"/>
                <w:sz w:val="24"/>
                <w:highlight w:val="none"/>
                <w:lang w:bidi="ar"/>
              </w:rPr>
              <w:t>数据整合</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数据源配置</w:t>
            </w:r>
          </w:p>
          <w:p>
            <w:pPr>
              <w:pStyle w:val="201"/>
              <w:widowControl/>
              <w:spacing w:before="6" w:line="360" w:lineRule="auto"/>
              <w:ind w:left="120" w:right="105" w:rightChars="50" w:firstLine="482"/>
              <w:rPr>
                <w:rFonts w:ascii="宋体" w:hAnsi="宋体" w:eastAsia="宋体"/>
                <w:b/>
                <w:bCs/>
                <w:color w:val="auto"/>
                <w:sz w:val="24"/>
                <w:highlight w:val="none"/>
                <w:lang w:eastAsia="zh-CN"/>
              </w:rPr>
            </w:pPr>
            <w:r>
              <w:rPr>
                <w:rFonts w:hint="eastAsia" w:ascii="宋体" w:hAnsi="宋体" w:eastAsia="宋体"/>
                <w:color w:val="auto"/>
                <w:sz w:val="24"/>
                <w:highlight w:val="none"/>
                <w:lang w:eastAsia="zh-CN"/>
              </w:rPr>
              <w:t>支持分别配置卒中中心的数据来源，可选择不同区域、医疗机构、心内和急诊等相关专科数据作为数据来源</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采集管理</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1.支持新增、编辑、删除规则，可列表显示采集规则</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2.支持按自定义规则对数据进行脱敏处理</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3.支持设置采集频率</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数据权限</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可配置数据访问权限，可指定科室访问、指定角色访问</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数据治理</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采集相关疾病或患者数据、通过ETL抽取，并进行数据清洗、处理等技术治理，形成完整、可用且精准的数据，用于“一站式急救”服务</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数据日志</w:t>
            </w:r>
          </w:p>
          <w:p>
            <w:pPr>
              <w:pStyle w:val="201"/>
              <w:widowControl/>
              <w:spacing w:before="6" w:line="360" w:lineRule="auto"/>
              <w:ind w:left="120" w:right="105" w:rightChars="50" w:firstLine="482"/>
              <w:rPr>
                <w:rFonts w:ascii="宋体" w:hAnsi="宋体" w:eastAsia="宋体"/>
                <w:b/>
                <w:bCs/>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采集数据执行结果的日志列表，显示采集规则、采集时间、采集频率、采集状态等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b/>
                <w:bCs/>
                <w:color w:val="auto"/>
                <w:sz w:val="24"/>
                <w:highlight w:val="none"/>
                <w:lang w:eastAsia="zh-CN"/>
              </w:rPr>
            </w:pPr>
            <w:r>
              <w:rPr>
                <w:rFonts w:hint="eastAsia" w:ascii="宋体" w:hAnsi="宋体" w:eastAsia="宋体" w:cs="华文仿宋"/>
                <w:b/>
                <w:color w:val="auto"/>
                <w:sz w:val="24"/>
                <w:highlight w:val="none"/>
                <w:lang w:eastAsia="zh-CN" w:bidi="ar"/>
              </w:rPr>
              <w:t>可视化管理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图表配置</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支持新增图表名称，可配置图表维度和指标、指定查询数据脚本、上传缩略图、支持多种图表类型</w:t>
            </w:r>
            <w:r>
              <w:rPr>
                <w:rFonts w:hint="eastAsia" w:ascii="宋体" w:hAnsi="宋体" w:eastAsia="宋体" w:cs="华文仿宋"/>
                <w:color w:val="auto"/>
                <w:sz w:val="24"/>
                <w:highlight w:val="none"/>
                <w:lang w:eastAsia="zh-CN" w:bidi="ar"/>
              </w:rPr>
              <w:t>。</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看板配置</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新增看板名称，可配置看板数据、指定查询数据脚本、上传缩略图等</w:t>
            </w:r>
            <w:r>
              <w:rPr>
                <w:rFonts w:hint="eastAsia" w:ascii="宋体" w:hAnsi="宋体" w:eastAsia="宋体" w:cs="华文仿宋"/>
                <w:color w:val="auto"/>
                <w:sz w:val="24"/>
                <w:highlight w:val="none"/>
                <w:lang w:eastAsia="zh-CN" w:bidi="ar"/>
              </w:rPr>
              <w:t>。</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结果展示</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查看已配置的图表或看板数据展示结果详情</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卒中患者综合档案信息</w:t>
            </w:r>
          </w:p>
          <w:p>
            <w:pPr>
              <w:pStyle w:val="201"/>
              <w:widowControl/>
              <w:spacing w:before="6" w:line="360" w:lineRule="auto"/>
              <w:ind w:left="120" w:right="105" w:rightChars="50" w:firstLine="482"/>
              <w:rPr>
                <w:rFonts w:ascii="宋体" w:hAnsi="宋体" w:eastAsia="宋体"/>
                <w:color w:val="auto"/>
                <w:kern w:val="0"/>
                <w:sz w:val="24"/>
                <w:highlight w:val="none"/>
                <w:lang w:eastAsia="zh-CN"/>
              </w:rPr>
            </w:pPr>
            <w:r>
              <w:rPr>
                <w:rFonts w:hint="eastAsia" w:ascii="宋体" w:hAnsi="宋体" w:eastAsia="宋体"/>
                <w:color w:val="auto"/>
                <w:kern w:val="0"/>
                <w:sz w:val="24"/>
                <w:highlight w:val="none"/>
                <w:lang w:eastAsia="zh-CN"/>
              </w:rPr>
              <w:t>卒中患者诊疗结束后，系统支持给卒中患者生成完整的信息档案，包含急诊信息、卒中诊疗信息、患者转归信息。</w:t>
            </w:r>
          </w:p>
          <w:p>
            <w:pPr>
              <w:pStyle w:val="201"/>
              <w:widowControl/>
              <w:spacing w:before="6" w:line="360" w:lineRule="auto"/>
              <w:ind w:left="120" w:right="105" w:rightChars="50" w:firstLine="482"/>
              <w:rPr>
                <w:rFonts w:ascii="宋体" w:hAnsi="宋体" w:eastAsia="宋体"/>
                <w:color w:val="auto"/>
                <w:kern w:val="0"/>
                <w:sz w:val="24"/>
                <w:highlight w:val="none"/>
                <w:lang w:eastAsia="zh-CN"/>
              </w:rPr>
            </w:pPr>
            <w:r>
              <w:rPr>
                <w:rFonts w:hint="eastAsia" w:ascii="宋体" w:hAnsi="宋体" w:eastAsia="宋体"/>
                <w:color w:val="auto"/>
                <w:kern w:val="0"/>
                <w:sz w:val="24"/>
                <w:highlight w:val="none"/>
                <w:lang w:eastAsia="zh-CN"/>
              </w:rPr>
              <w:t>卒中患者急诊信息包含：基本信息、病情记录、来院方式、卒中评估、生命体征、辅助检查、CT检查、初步诊断、静脉溶栓评估、介入治疗评估、绿道转归。</w:t>
            </w:r>
          </w:p>
          <w:p>
            <w:pPr>
              <w:pStyle w:val="201"/>
              <w:widowControl/>
              <w:spacing w:before="6" w:line="360" w:lineRule="auto"/>
              <w:ind w:left="120" w:right="105" w:rightChars="50" w:firstLine="482"/>
              <w:rPr>
                <w:rFonts w:ascii="宋体" w:hAnsi="宋体" w:eastAsia="宋体"/>
                <w:color w:val="auto"/>
                <w:kern w:val="0"/>
                <w:sz w:val="24"/>
                <w:highlight w:val="none"/>
                <w:lang w:eastAsia="zh-CN"/>
              </w:rPr>
            </w:pPr>
            <w:r>
              <w:rPr>
                <w:rFonts w:hint="eastAsia" w:ascii="宋体" w:hAnsi="宋体" w:eastAsia="宋体"/>
                <w:color w:val="auto"/>
                <w:kern w:val="0"/>
                <w:sz w:val="24"/>
                <w:highlight w:val="none"/>
                <w:lang w:eastAsia="zh-CN"/>
              </w:rPr>
              <w:t>卒中患者诊疗信息包含：影像检查、CTA检查、CTP检查、卒中诊断、治疗结果。</w:t>
            </w:r>
          </w:p>
          <w:p>
            <w:pPr>
              <w:pStyle w:val="201"/>
              <w:widowControl/>
              <w:spacing w:before="6" w:line="360" w:lineRule="auto"/>
              <w:ind w:left="120" w:right="105" w:rightChars="50" w:firstLine="482"/>
              <w:rPr>
                <w:rFonts w:ascii="宋体" w:hAnsi="宋体"/>
                <w:color w:val="auto"/>
                <w:sz w:val="24"/>
                <w:highlight w:val="none"/>
                <w:lang w:eastAsia="zh-CN"/>
              </w:rPr>
            </w:pPr>
            <w:r>
              <w:rPr>
                <w:rFonts w:hint="eastAsia" w:ascii="宋体" w:hAnsi="宋体" w:eastAsia="宋体"/>
                <w:color w:val="auto"/>
                <w:kern w:val="0"/>
                <w:sz w:val="24"/>
                <w:highlight w:val="none"/>
                <w:lang w:eastAsia="zh-CN"/>
              </w:rPr>
              <w:t>卒中患者转归信息包含：出院诊断、术后影像监测、患者转归、健康教育、患者情况备注、病历填写说明、质控填写说明。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数据检索</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模糊检索</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1.支持按关键字（患者姓名、住院号、ICD编码等）进行模糊检索，系统可从专病数据库提取相关的病历信息并进行列表展示</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2.支持对检索结果中的关键词进行标红高亮显示</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3.支持对检索条件保存为指定名称的数据集</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高级检索：</w:t>
            </w:r>
            <w:r>
              <w:rPr>
                <w:rFonts w:hint="eastAsia" w:ascii="宋体" w:hAnsi="宋体" w:eastAsia="宋体"/>
                <w:color w:val="auto"/>
                <w:sz w:val="24"/>
                <w:highlight w:val="none"/>
                <w:lang w:eastAsia="zh-CN"/>
              </w:rPr>
              <w:t>可选择配置多个查询条件进行（and/or/not，关键词包含或不包含，精确数值类型条件大于/等于/小于）组合查询</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结果展示：</w:t>
            </w:r>
            <w:r>
              <w:rPr>
                <w:rFonts w:hint="eastAsia" w:ascii="宋体" w:hAnsi="宋体" w:eastAsia="宋体"/>
                <w:color w:val="auto"/>
                <w:sz w:val="24"/>
                <w:highlight w:val="none"/>
                <w:lang w:eastAsia="zh-CN"/>
              </w:rPr>
              <w:t>支持通过检索列表数据查看结果详情，包括患者基本信息、检查报告、诊断结果等，可根据标签或关键字进入下级页面浏览相关信息</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数据集：</w:t>
            </w:r>
            <w:r>
              <w:rPr>
                <w:rFonts w:hint="eastAsia" w:ascii="宋体" w:hAnsi="宋体" w:eastAsia="宋体"/>
                <w:color w:val="auto"/>
                <w:sz w:val="24"/>
                <w:highlight w:val="none"/>
                <w:lang w:eastAsia="zh-CN"/>
              </w:rPr>
              <w:t>列表展示历史检索并根据检索条件，可直达检索数据结果详情列表页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任务管理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任务列表：</w:t>
            </w:r>
            <w:r>
              <w:rPr>
                <w:rFonts w:hint="eastAsia" w:ascii="宋体" w:hAnsi="宋体" w:eastAsia="宋体"/>
                <w:color w:val="auto"/>
                <w:sz w:val="24"/>
                <w:highlight w:val="none"/>
                <w:lang w:eastAsia="zh-CN"/>
              </w:rPr>
              <w:t>可添加、编辑、停止任务</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执行日志：</w:t>
            </w:r>
            <w:r>
              <w:rPr>
                <w:rFonts w:hint="eastAsia" w:ascii="宋体" w:hAnsi="宋体" w:eastAsia="宋体"/>
                <w:color w:val="auto"/>
                <w:sz w:val="24"/>
                <w:highlight w:val="none"/>
                <w:lang w:eastAsia="zh-CN"/>
              </w:rPr>
              <w:t>查看任务执行日志列表，包括任务执行状态、执行时间、执行规则</w:t>
            </w:r>
          </w:p>
        </w:tc>
      </w:tr>
    </w:tbl>
    <w:p>
      <w:pPr>
        <w:pStyle w:val="8"/>
        <w:ind w:firstLine="480"/>
        <w:rPr>
          <w:color w:val="auto"/>
          <w:highlight w:val="none"/>
        </w:rPr>
      </w:pPr>
    </w:p>
    <w:p>
      <w:pPr>
        <w:pStyle w:val="7"/>
        <w:numPr>
          <w:ilvl w:val="4"/>
          <w:numId w:val="8"/>
        </w:numPr>
        <w:rPr>
          <w:rFonts w:ascii="宋体" w:hAnsi="宋体"/>
          <w:color w:val="auto"/>
          <w:szCs w:val="24"/>
          <w:highlight w:val="none"/>
        </w:rPr>
      </w:pPr>
      <w:bookmarkStart w:id="786" w:name="_Toc22353"/>
      <w:r>
        <w:rPr>
          <w:rFonts w:hint="eastAsia" w:ascii="宋体" w:hAnsi="宋体"/>
          <w:color w:val="auto"/>
          <w:szCs w:val="24"/>
          <w:highlight w:val="none"/>
        </w:rPr>
        <w:t>创伤中心</w:t>
      </w:r>
      <w:bookmarkEnd w:id="786"/>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right="105" w:rightChars="50"/>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1" w:leftChars="48" w:right="105" w:rightChars="50"/>
              <w:jc w:val="center"/>
              <w:rPr>
                <w:rFonts w:ascii="宋体" w:hAnsi="宋体" w:eastAsia="宋体"/>
                <w:b/>
                <w:color w:val="auto"/>
                <w:w w:val="105"/>
                <w:sz w:val="24"/>
                <w:highlight w:val="none"/>
              </w:rPr>
            </w:pPr>
            <w:r>
              <w:rPr>
                <w:rFonts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sz w:val="24"/>
                <w:highlight w:val="none"/>
              </w:rPr>
            </w:pPr>
            <w:r>
              <w:rPr>
                <w:rFonts w:hint="eastAsia" w:ascii="宋体" w:hAnsi="宋体" w:eastAsia="宋体" w:cs="华文仿宋"/>
                <w:b/>
                <w:color w:val="auto"/>
                <w:sz w:val="24"/>
                <w:highlight w:val="none"/>
                <w:lang w:eastAsia="zh-CN" w:bidi="ar"/>
              </w:rPr>
              <w:t>创伤</w:t>
            </w:r>
            <w:r>
              <w:rPr>
                <w:rFonts w:hint="eastAsia" w:ascii="宋体" w:hAnsi="宋体" w:eastAsia="宋体" w:cs="华文仿宋"/>
                <w:b/>
                <w:color w:val="auto"/>
                <w:sz w:val="24"/>
                <w:highlight w:val="none"/>
                <w:lang w:bidi="ar"/>
              </w:rPr>
              <w:t>数据整合</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数据源配置</w:t>
            </w:r>
          </w:p>
          <w:p>
            <w:pPr>
              <w:pStyle w:val="201"/>
              <w:widowControl/>
              <w:spacing w:before="6" w:line="360" w:lineRule="auto"/>
              <w:ind w:left="120" w:right="105" w:rightChars="50" w:firstLine="482"/>
              <w:rPr>
                <w:rFonts w:ascii="宋体" w:hAnsi="宋体" w:eastAsia="宋体"/>
                <w:b/>
                <w:bCs/>
                <w:color w:val="auto"/>
                <w:sz w:val="24"/>
                <w:highlight w:val="none"/>
                <w:lang w:eastAsia="zh-CN"/>
              </w:rPr>
            </w:pPr>
            <w:r>
              <w:rPr>
                <w:rFonts w:hint="eastAsia" w:ascii="宋体" w:hAnsi="宋体" w:eastAsia="宋体"/>
                <w:color w:val="auto"/>
                <w:sz w:val="24"/>
                <w:highlight w:val="none"/>
                <w:lang w:eastAsia="zh-CN"/>
              </w:rPr>
              <w:t>支持分别配置创伤中心的数据来源，可选择不同区域、医疗机构、骨科、外科和急诊等相关专科数据作为数据来源</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采集管理</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1.支持新增、编辑、删除规则，可列表显示采集规则</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2.支持按自定义规则对数据进行脱敏处理</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3.支持设置采集频率</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数据权限</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可配置数据访问权限，可指定科室访问、指定角色访问</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数据治理</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采集相关疾病或患者数据、通过ETL抽取，并进行数据清洗、处理等技术治理，形成完整、可用且精准的数据，用于“一站式急救”服务</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数据日志</w:t>
            </w:r>
          </w:p>
          <w:p>
            <w:pPr>
              <w:pStyle w:val="201"/>
              <w:widowControl/>
              <w:spacing w:before="6" w:line="360" w:lineRule="auto"/>
              <w:ind w:left="120" w:right="105" w:rightChars="50" w:firstLine="482"/>
              <w:rPr>
                <w:rFonts w:ascii="宋体" w:hAnsi="宋体" w:eastAsia="宋体"/>
                <w:b/>
                <w:bCs/>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采集数据执行结果的日志列表，显示采集规则、采集时间、采集频率、采集状态等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b/>
                <w:bCs/>
                <w:color w:val="auto"/>
                <w:sz w:val="24"/>
                <w:highlight w:val="none"/>
                <w:lang w:eastAsia="zh-CN"/>
              </w:rPr>
            </w:pPr>
            <w:r>
              <w:rPr>
                <w:rFonts w:hint="eastAsia" w:ascii="宋体" w:hAnsi="宋体" w:eastAsia="宋体" w:cs="华文仿宋"/>
                <w:b/>
                <w:color w:val="auto"/>
                <w:sz w:val="24"/>
                <w:highlight w:val="none"/>
                <w:lang w:eastAsia="zh-CN" w:bidi="ar"/>
              </w:rPr>
              <w:t>可视化管理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图表配置</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支持新增图表名称，可配置图表维度和指标、指定查询数据脚本、上传缩略图、支持多种图表类型</w:t>
            </w:r>
            <w:r>
              <w:rPr>
                <w:rFonts w:hint="eastAsia" w:ascii="宋体" w:hAnsi="宋体" w:eastAsia="宋体" w:cs="华文仿宋"/>
                <w:color w:val="auto"/>
                <w:sz w:val="24"/>
                <w:highlight w:val="none"/>
                <w:lang w:eastAsia="zh-CN" w:bidi="ar"/>
              </w:rPr>
              <w:t>。</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看板配置</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新增看板名称，可配置看板数据、指定查询数据脚本、上传缩略图等</w:t>
            </w:r>
            <w:r>
              <w:rPr>
                <w:rFonts w:hint="eastAsia" w:ascii="宋体" w:hAnsi="宋体" w:eastAsia="宋体" w:cs="华文仿宋"/>
                <w:color w:val="auto"/>
                <w:sz w:val="24"/>
                <w:highlight w:val="none"/>
                <w:lang w:eastAsia="zh-CN" w:bidi="ar"/>
              </w:rPr>
              <w:t>。</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结果展示</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查看已配置的图表或看板数据展示结果详情</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创伤患者综合档案信息</w:t>
            </w:r>
          </w:p>
          <w:p>
            <w:pPr>
              <w:pStyle w:val="201"/>
              <w:widowControl/>
              <w:spacing w:before="6" w:line="360" w:lineRule="auto"/>
              <w:ind w:left="120" w:right="105" w:rightChars="50" w:firstLine="482"/>
              <w:rPr>
                <w:rFonts w:ascii="宋体" w:hAnsi="宋体" w:eastAsia="宋体"/>
                <w:color w:val="auto"/>
                <w:kern w:val="0"/>
                <w:sz w:val="24"/>
                <w:highlight w:val="none"/>
                <w:lang w:eastAsia="zh-CN"/>
              </w:rPr>
            </w:pPr>
            <w:r>
              <w:rPr>
                <w:rFonts w:hint="eastAsia" w:ascii="宋体" w:hAnsi="宋体" w:eastAsia="宋体"/>
                <w:color w:val="auto"/>
                <w:kern w:val="0"/>
                <w:sz w:val="24"/>
                <w:highlight w:val="none"/>
                <w:lang w:eastAsia="zh-CN"/>
              </w:rPr>
              <w:t>创伤患者诊疗结束后，系统支持给创伤患者生成完整的信息档案，包含急诊信息、创伤诊疗信息、患者转归信息。</w:t>
            </w:r>
          </w:p>
          <w:p>
            <w:pPr>
              <w:pStyle w:val="201"/>
              <w:widowControl/>
              <w:spacing w:before="6" w:line="360" w:lineRule="auto"/>
              <w:ind w:left="120" w:right="105" w:rightChars="50" w:firstLine="482"/>
              <w:rPr>
                <w:rFonts w:ascii="宋体" w:hAnsi="宋体" w:eastAsia="宋体"/>
                <w:color w:val="auto"/>
                <w:kern w:val="0"/>
                <w:sz w:val="24"/>
                <w:highlight w:val="none"/>
                <w:lang w:eastAsia="zh-CN"/>
              </w:rPr>
            </w:pPr>
            <w:r>
              <w:rPr>
                <w:rFonts w:hint="eastAsia" w:ascii="宋体" w:hAnsi="宋体" w:eastAsia="宋体"/>
                <w:color w:val="auto"/>
                <w:kern w:val="0"/>
                <w:sz w:val="24"/>
                <w:highlight w:val="none"/>
                <w:lang w:eastAsia="zh-CN"/>
              </w:rPr>
              <w:t>创伤患者急诊信息包含：基本信息、受伤情况、现场救治、初步诊断、来院方式、急诊检查、急诊救治措施、创伤评估、绿道转归。</w:t>
            </w:r>
          </w:p>
          <w:p>
            <w:pPr>
              <w:pStyle w:val="201"/>
              <w:widowControl/>
              <w:spacing w:before="6" w:line="360" w:lineRule="auto"/>
              <w:ind w:left="120" w:right="105" w:rightChars="50" w:firstLine="482"/>
              <w:rPr>
                <w:rFonts w:ascii="宋体" w:hAnsi="宋体" w:eastAsia="宋体"/>
                <w:color w:val="auto"/>
                <w:kern w:val="0"/>
                <w:sz w:val="24"/>
                <w:highlight w:val="none"/>
                <w:lang w:eastAsia="zh-CN"/>
              </w:rPr>
            </w:pPr>
            <w:r>
              <w:rPr>
                <w:rFonts w:hint="eastAsia" w:ascii="宋体" w:hAnsi="宋体" w:eastAsia="宋体"/>
                <w:color w:val="auto"/>
                <w:kern w:val="0"/>
                <w:sz w:val="24"/>
                <w:highlight w:val="none"/>
                <w:lang w:eastAsia="zh-CN"/>
              </w:rPr>
              <w:t>创伤患者诊疗信息包含：重要检查、急救措施、创伤评估、创伤诊断、基础疾病诊断、手术、并发症。</w:t>
            </w:r>
          </w:p>
          <w:p>
            <w:pPr>
              <w:pStyle w:val="201"/>
              <w:widowControl/>
              <w:spacing w:before="6" w:line="360" w:lineRule="auto"/>
              <w:ind w:left="120" w:right="105" w:rightChars="50" w:firstLine="482"/>
              <w:rPr>
                <w:rFonts w:ascii="宋体" w:hAnsi="宋体"/>
                <w:color w:val="auto"/>
                <w:sz w:val="24"/>
                <w:highlight w:val="none"/>
                <w:lang w:eastAsia="zh-CN"/>
              </w:rPr>
            </w:pPr>
            <w:r>
              <w:rPr>
                <w:rFonts w:hint="eastAsia" w:ascii="宋体" w:hAnsi="宋体" w:eastAsia="宋体"/>
                <w:color w:val="auto"/>
                <w:kern w:val="0"/>
                <w:sz w:val="24"/>
                <w:highlight w:val="none"/>
                <w:lang w:eastAsia="zh-CN"/>
              </w:rPr>
              <w:t>创伤患者转归信息记录了患者的住院时间、出入院诊断符合情况、住院天数 、ICU天数 、住院费用。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数据检索</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模糊检索</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1.支持按关键字（患者姓名、住院号、ICD编码等）进行模糊检索，系统可从专病数据库提取相关的病历信息并进行列表展示</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2.支持对检索结果中的关键词进行标红高亮显示</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3.支持对检索条件保存为指定名称的数据集</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高级检索：</w:t>
            </w:r>
            <w:r>
              <w:rPr>
                <w:rFonts w:hint="eastAsia" w:ascii="宋体" w:hAnsi="宋体" w:eastAsia="宋体"/>
                <w:color w:val="auto"/>
                <w:sz w:val="24"/>
                <w:highlight w:val="none"/>
                <w:lang w:eastAsia="zh-CN"/>
              </w:rPr>
              <w:t>可选择配置多个查询条件进行（and/or/not，关键词包含或不包含，精确数值类型条件大于/等于/小于）组合查询</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结果展示：</w:t>
            </w:r>
            <w:r>
              <w:rPr>
                <w:rFonts w:hint="eastAsia" w:ascii="宋体" w:hAnsi="宋体" w:eastAsia="宋体"/>
                <w:color w:val="auto"/>
                <w:sz w:val="24"/>
                <w:highlight w:val="none"/>
                <w:lang w:eastAsia="zh-CN"/>
              </w:rPr>
              <w:t>支持通过检索列表数据查看结果详情，包括患者基本信息、检查报告、诊断结果等，可根据标签或关键字进入下级页面浏览相关信息</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数据集：</w:t>
            </w:r>
            <w:r>
              <w:rPr>
                <w:rFonts w:hint="eastAsia" w:ascii="宋体" w:hAnsi="宋体" w:eastAsia="宋体"/>
                <w:color w:val="auto"/>
                <w:sz w:val="24"/>
                <w:highlight w:val="none"/>
                <w:lang w:eastAsia="zh-CN"/>
              </w:rPr>
              <w:t>列表展示历史检索并根据检索条件，可直达检索数据结果详情列表页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任务管理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任务列表：</w:t>
            </w:r>
            <w:r>
              <w:rPr>
                <w:rFonts w:hint="eastAsia" w:ascii="宋体" w:hAnsi="宋体" w:eastAsia="宋体"/>
                <w:color w:val="auto"/>
                <w:sz w:val="24"/>
                <w:highlight w:val="none"/>
                <w:lang w:eastAsia="zh-CN"/>
              </w:rPr>
              <w:t>可添加、编辑、停止任务</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执行日志：</w:t>
            </w:r>
            <w:r>
              <w:rPr>
                <w:rFonts w:hint="eastAsia" w:ascii="宋体" w:hAnsi="宋体" w:eastAsia="宋体"/>
                <w:color w:val="auto"/>
                <w:sz w:val="24"/>
                <w:highlight w:val="none"/>
                <w:lang w:eastAsia="zh-CN"/>
              </w:rPr>
              <w:t>查看任务执行日志列表，包括任务执行状态、执行时间、执行规则</w:t>
            </w:r>
          </w:p>
        </w:tc>
      </w:tr>
    </w:tbl>
    <w:p>
      <w:pPr>
        <w:pStyle w:val="8"/>
        <w:ind w:firstLine="480"/>
        <w:rPr>
          <w:color w:val="auto"/>
          <w:highlight w:val="none"/>
        </w:rPr>
      </w:pPr>
    </w:p>
    <w:p>
      <w:pPr>
        <w:pStyle w:val="7"/>
        <w:numPr>
          <w:ilvl w:val="4"/>
          <w:numId w:val="8"/>
        </w:numPr>
        <w:rPr>
          <w:rFonts w:ascii="宋体" w:hAnsi="宋体"/>
          <w:color w:val="auto"/>
          <w:szCs w:val="24"/>
          <w:highlight w:val="none"/>
        </w:rPr>
      </w:pPr>
      <w:bookmarkStart w:id="787" w:name="_Toc7724"/>
      <w:r>
        <w:rPr>
          <w:rFonts w:hint="eastAsia" w:ascii="宋体" w:hAnsi="宋体"/>
          <w:color w:val="auto"/>
          <w:szCs w:val="24"/>
          <w:highlight w:val="none"/>
        </w:rPr>
        <w:t>危重症孕产妇救治中心</w:t>
      </w:r>
      <w:bookmarkEnd w:id="787"/>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right="105" w:rightChars="50"/>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1" w:leftChars="48" w:right="105" w:rightChars="50"/>
              <w:jc w:val="center"/>
              <w:rPr>
                <w:rFonts w:ascii="宋体" w:hAnsi="宋体" w:eastAsia="宋体"/>
                <w:b/>
                <w:color w:val="auto"/>
                <w:w w:val="105"/>
                <w:sz w:val="24"/>
                <w:highlight w:val="none"/>
              </w:rPr>
            </w:pPr>
            <w:r>
              <w:rPr>
                <w:rFonts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sz w:val="24"/>
                <w:highlight w:val="none"/>
                <w:lang w:eastAsia="zh-CN"/>
              </w:rPr>
            </w:pPr>
            <w:r>
              <w:rPr>
                <w:rFonts w:hint="eastAsia" w:ascii="宋体" w:hAnsi="宋体" w:eastAsia="宋体" w:cs="华文仿宋"/>
                <w:b/>
                <w:color w:val="auto"/>
                <w:sz w:val="24"/>
                <w:highlight w:val="none"/>
                <w:lang w:eastAsia="zh-CN" w:bidi="ar"/>
              </w:rPr>
              <w:t>危重症孕产妇数据整合</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数据源配置</w:t>
            </w:r>
          </w:p>
          <w:p>
            <w:pPr>
              <w:pStyle w:val="201"/>
              <w:widowControl/>
              <w:spacing w:before="6" w:line="360" w:lineRule="auto"/>
              <w:ind w:left="120" w:right="105" w:rightChars="50" w:firstLine="482"/>
              <w:rPr>
                <w:rFonts w:ascii="宋体" w:hAnsi="宋体" w:eastAsia="宋体"/>
                <w:b/>
                <w:bCs/>
                <w:color w:val="auto"/>
                <w:sz w:val="24"/>
                <w:highlight w:val="none"/>
                <w:lang w:eastAsia="zh-CN"/>
              </w:rPr>
            </w:pPr>
            <w:r>
              <w:rPr>
                <w:rFonts w:hint="eastAsia" w:ascii="宋体" w:hAnsi="宋体" w:eastAsia="宋体"/>
                <w:color w:val="auto"/>
                <w:sz w:val="24"/>
                <w:highlight w:val="none"/>
                <w:lang w:eastAsia="zh-CN"/>
              </w:rPr>
              <w:t>支持分别配置危重症孕产妇救治中心的数据来源，可选择不同区域、医疗机构、妇产科和急诊等相关专科数据作为数据来源</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采集管理</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1.支持新增、编辑、删除规则，可列表显示采集规则</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2.支持按自定义规则对数据进行脱敏处理</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3.支持设置采集频率</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数据权限</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可配置数据访问权限，可指定科室访问、指定角色访问</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数据治理</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采集相关疾病或患者数据、通过ETL抽取，并进行数据清洗、处理等技术治理，形成完整、可用且精准的数据，用于“一站式急救”服务</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数据日志</w:t>
            </w:r>
          </w:p>
          <w:p>
            <w:pPr>
              <w:pStyle w:val="201"/>
              <w:widowControl/>
              <w:spacing w:before="6" w:line="360" w:lineRule="auto"/>
              <w:ind w:left="120" w:right="105" w:rightChars="50" w:firstLine="482"/>
              <w:rPr>
                <w:rFonts w:ascii="宋体" w:hAnsi="宋体" w:eastAsia="宋体"/>
                <w:b/>
                <w:bCs/>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采集数据执行结果的日志列表，显示采集规则、采集时间、采集频率、采集状态等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b/>
                <w:bCs/>
                <w:color w:val="auto"/>
                <w:sz w:val="24"/>
                <w:highlight w:val="none"/>
                <w:lang w:eastAsia="zh-CN"/>
              </w:rPr>
            </w:pPr>
            <w:r>
              <w:rPr>
                <w:rFonts w:hint="eastAsia" w:ascii="宋体" w:hAnsi="宋体" w:eastAsia="宋体" w:cs="华文仿宋"/>
                <w:b/>
                <w:color w:val="auto"/>
                <w:sz w:val="24"/>
                <w:highlight w:val="none"/>
                <w:lang w:eastAsia="zh-CN" w:bidi="ar"/>
              </w:rPr>
              <w:t>可视化管理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图表配置</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支持新增图表名称，可配置图表维度和指标、指定查询数据脚本、上传缩略图、支持多种图表类型</w:t>
            </w:r>
            <w:r>
              <w:rPr>
                <w:rFonts w:hint="eastAsia" w:ascii="宋体" w:hAnsi="宋体" w:eastAsia="宋体" w:cs="华文仿宋"/>
                <w:color w:val="auto"/>
                <w:sz w:val="24"/>
                <w:highlight w:val="none"/>
                <w:lang w:eastAsia="zh-CN" w:bidi="ar"/>
              </w:rPr>
              <w:t>。</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看板配置</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新增看板名称，可配置看板数据、指定查询数据脚本、上传缩略图等</w:t>
            </w:r>
            <w:r>
              <w:rPr>
                <w:rFonts w:hint="eastAsia" w:ascii="宋体" w:hAnsi="宋体" w:eastAsia="宋体" w:cs="华文仿宋"/>
                <w:color w:val="auto"/>
                <w:sz w:val="24"/>
                <w:highlight w:val="none"/>
                <w:lang w:eastAsia="zh-CN" w:bidi="ar"/>
              </w:rPr>
              <w:t>。</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结果展示</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查看已配置的图表或看板数据展示结果详情</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危重症孕产妇患者综合档案信息</w:t>
            </w:r>
          </w:p>
          <w:p>
            <w:pPr>
              <w:pStyle w:val="201"/>
              <w:widowControl/>
              <w:spacing w:before="6" w:line="360" w:lineRule="auto"/>
              <w:ind w:left="120" w:right="105" w:rightChars="50" w:firstLine="482"/>
              <w:rPr>
                <w:rFonts w:ascii="宋体" w:hAnsi="宋体" w:eastAsia="宋体"/>
                <w:color w:val="auto"/>
                <w:kern w:val="0"/>
                <w:sz w:val="24"/>
                <w:highlight w:val="none"/>
                <w:lang w:eastAsia="zh-CN"/>
              </w:rPr>
            </w:pPr>
            <w:r>
              <w:rPr>
                <w:rFonts w:hint="eastAsia" w:ascii="宋体" w:hAnsi="宋体" w:eastAsia="宋体"/>
                <w:color w:val="auto"/>
                <w:kern w:val="0"/>
                <w:sz w:val="24"/>
                <w:highlight w:val="none"/>
                <w:lang w:eastAsia="zh-CN"/>
              </w:rPr>
              <w:t>危重症孕产妇患者诊疗结束后，系统支持给危重症孕产妇患者生成完整的信息档案，包含急诊信息、危重症孕产妇诊疗信息、患者转归信息。</w:t>
            </w:r>
          </w:p>
          <w:p>
            <w:pPr>
              <w:pStyle w:val="201"/>
              <w:widowControl/>
              <w:spacing w:before="6" w:line="360" w:lineRule="auto"/>
              <w:ind w:left="120" w:right="105" w:rightChars="50" w:firstLine="482"/>
              <w:rPr>
                <w:rFonts w:ascii="宋体" w:hAnsi="宋体" w:eastAsia="宋体"/>
                <w:color w:val="auto"/>
                <w:kern w:val="0"/>
                <w:sz w:val="24"/>
                <w:highlight w:val="none"/>
                <w:lang w:eastAsia="zh-CN"/>
              </w:rPr>
            </w:pPr>
            <w:r>
              <w:rPr>
                <w:rFonts w:hint="eastAsia" w:ascii="宋体" w:hAnsi="宋体" w:eastAsia="宋体"/>
                <w:color w:val="auto"/>
                <w:kern w:val="0"/>
                <w:sz w:val="24"/>
                <w:highlight w:val="none"/>
                <w:lang w:eastAsia="zh-CN"/>
              </w:rPr>
              <w:t>危重症孕产妇患者急诊信息包含：基本信息、危重症情况、现场救治、初步诊断、来院方式、急诊检查、急诊救治措施、绿道转归。</w:t>
            </w:r>
          </w:p>
          <w:p>
            <w:pPr>
              <w:pStyle w:val="201"/>
              <w:widowControl/>
              <w:spacing w:before="6" w:line="360" w:lineRule="auto"/>
              <w:ind w:left="120" w:right="105" w:rightChars="50" w:firstLine="482"/>
              <w:rPr>
                <w:rFonts w:ascii="宋体" w:hAnsi="宋体" w:eastAsia="宋体"/>
                <w:color w:val="auto"/>
                <w:kern w:val="0"/>
                <w:sz w:val="24"/>
                <w:highlight w:val="none"/>
                <w:lang w:eastAsia="zh-CN"/>
              </w:rPr>
            </w:pPr>
            <w:r>
              <w:rPr>
                <w:rFonts w:hint="eastAsia" w:ascii="宋体" w:hAnsi="宋体" w:eastAsia="宋体"/>
                <w:color w:val="auto"/>
                <w:kern w:val="0"/>
                <w:sz w:val="24"/>
                <w:highlight w:val="none"/>
                <w:lang w:eastAsia="zh-CN"/>
              </w:rPr>
              <w:t>危重症孕产妇患者诊疗信息包含：重要检查、急救措施、妇产科诊断、基础疾病诊断、手术、并发症。</w:t>
            </w:r>
          </w:p>
          <w:p>
            <w:pPr>
              <w:pStyle w:val="201"/>
              <w:widowControl/>
              <w:spacing w:before="6" w:line="360" w:lineRule="auto"/>
              <w:ind w:left="120" w:right="105" w:rightChars="50" w:firstLine="482"/>
              <w:rPr>
                <w:rFonts w:ascii="宋体" w:hAnsi="宋体" w:eastAsia="宋体"/>
                <w:color w:val="auto"/>
                <w:kern w:val="0"/>
                <w:sz w:val="24"/>
                <w:highlight w:val="none"/>
                <w:lang w:eastAsia="zh-CN"/>
              </w:rPr>
            </w:pPr>
            <w:r>
              <w:rPr>
                <w:rFonts w:hint="eastAsia" w:ascii="宋体" w:hAnsi="宋体" w:eastAsia="宋体"/>
                <w:color w:val="auto"/>
                <w:kern w:val="0"/>
                <w:sz w:val="24"/>
                <w:highlight w:val="none"/>
                <w:lang w:eastAsia="zh-CN"/>
              </w:rPr>
              <w:t>危重症孕产妇患者转归信息记录了患者的住院时间、出入院诊断符合情况、住院天数 、ICU天数 、住院费用、呼吸机使用时长、呼吸机相关肺炎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数据检索</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模糊检索</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1.支持按关键字（患者姓名、住院号、ICD编码等）进行模糊检索，系统可从专病数据库提取相关的病历信息并进行列表展示</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2.支持对检索结果中的关键词进行标红高亮显示</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3.支持对检索条件保存为指定名称的数据集</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高级检索：</w:t>
            </w:r>
            <w:r>
              <w:rPr>
                <w:rFonts w:hint="eastAsia" w:ascii="宋体" w:hAnsi="宋体" w:eastAsia="宋体"/>
                <w:color w:val="auto"/>
                <w:sz w:val="24"/>
                <w:highlight w:val="none"/>
                <w:lang w:eastAsia="zh-CN"/>
              </w:rPr>
              <w:t>可选择配置多个查询条件进行（and/or/not，关键词包含或不包含，精确数值类型条件大于/等于/小于）组合查询</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结果展示：</w:t>
            </w:r>
            <w:r>
              <w:rPr>
                <w:rFonts w:hint="eastAsia" w:ascii="宋体" w:hAnsi="宋体" w:eastAsia="宋体"/>
                <w:color w:val="auto"/>
                <w:sz w:val="24"/>
                <w:highlight w:val="none"/>
                <w:lang w:eastAsia="zh-CN"/>
              </w:rPr>
              <w:t>支持通过检索列表数据查看结果详情，包括患者基本信息、检查报告、诊断结果等，可根据标签或关键字进入下级页面浏览相关信息</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数据集：</w:t>
            </w:r>
            <w:r>
              <w:rPr>
                <w:rFonts w:hint="eastAsia" w:ascii="宋体" w:hAnsi="宋体" w:eastAsia="宋体"/>
                <w:color w:val="auto"/>
                <w:sz w:val="24"/>
                <w:highlight w:val="none"/>
                <w:lang w:eastAsia="zh-CN"/>
              </w:rPr>
              <w:t>列表展示历史检索并根据检索条件，可直达检索数据结果详情列表页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任务管理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任务列表：</w:t>
            </w:r>
            <w:r>
              <w:rPr>
                <w:rFonts w:hint="eastAsia" w:ascii="宋体" w:hAnsi="宋体" w:eastAsia="宋体"/>
                <w:color w:val="auto"/>
                <w:sz w:val="24"/>
                <w:highlight w:val="none"/>
                <w:lang w:eastAsia="zh-CN"/>
              </w:rPr>
              <w:t>可添加、编辑、停止任务</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执行日志：</w:t>
            </w:r>
            <w:r>
              <w:rPr>
                <w:rFonts w:hint="eastAsia" w:ascii="宋体" w:hAnsi="宋体" w:eastAsia="宋体"/>
                <w:color w:val="auto"/>
                <w:sz w:val="24"/>
                <w:highlight w:val="none"/>
                <w:lang w:eastAsia="zh-CN"/>
              </w:rPr>
              <w:t>查看任务执行日志列表，包括任务执行状态、执行时间、执行规则</w:t>
            </w:r>
          </w:p>
        </w:tc>
      </w:tr>
    </w:tbl>
    <w:p>
      <w:pPr>
        <w:pStyle w:val="8"/>
        <w:ind w:firstLine="480"/>
        <w:rPr>
          <w:color w:val="auto"/>
          <w:highlight w:val="none"/>
        </w:rPr>
      </w:pPr>
    </w:p>
    <w:p>
      <w:pPr>
        <w:pStyle w:val="7"/>
        <w:numPr>
          <w:ilvl w:val="4"/>
          <w:numId w:val="8"/>
        </w:numPr>
        <w:rPr>
          <w:rFonts w:ascii="宋体" w:hAnsi="宋体"/>
          <w:color w:val="auto"/>
          <w:szCs w:val="24"/>
          <w:highlight w:val="none"/>
        </w:rPr>
      </w:pPr>
      <w:bookmarkStart w:id="788" w:name="_Toc4378"/>
      <w:r>
        <w:rPr>
          <w:rFonts w:hint="eastAsia" w:ascii="宋体" w:hAnsi="宋体"/>
          <w:color w:val="auto"/>
          <w:szCs w:val="24"/>
          <w:highlight w:val="none"/>
        </w:rPr>
        <w:t>危重幼儿和新生儿救治中心</w:t>
      </w:r>
      <w:bookmarkEnd w:id="788"/>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right="105" w:rightChars="50"/>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1" w:leftChars="48" w:right="105" w:rightChars="50"/>
              <w:jc w:val="center"/>
              <w:rPr>
                <w:rFonts w:ascii="宋体" w:hAnsi="宋体" w:eastAsia="宋体"/>
                <w:b/>
                <w:color w:val="auto"/>
                <w:w w:val="105"/>
                <w:sz w:val="24"/>
                <w:highlight w:val="none"/>
              </w:rPr>
            </w:pPr>
            <w:r>
              <w:rPr>
                <w:rFonts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sz w:val="24"/>
                <w:highlight w:val="none"/>
                <w:lang w:eastAsia="zh-CN"/>
              </w:rPr>
            </w:pPr>
            <w:r>
              <w:rPr>
                <w:rFonts w:hint="eastAsia" w:ascii="宋体" w:hAnsi="宋体" w:eastAsia="宋体" w:cs="华文仿宋"/>
                <w:b/>
                <w:color w:val="auto"/>
                <w:sz w:val="24"/>
                <w:highlight w:val="none"/>
                <w:lang w:eastAsia="zh-CN" w:bidi="ar"/>
              </w:rPr>
              <w:t>危重幼儿和新生儿数据整合</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数据源配置</w:t>
            </w:r>
          </w:p>
          <w:p>
            <w:pPr>
              <w:pStyle w:val="201"/>
              <w:widowControl/>
              <w:spacing w:before="6" w:line="360" w:lineRule="auto"/>
              <w:ind w:left="120" w:right="105" w:rightChars="50" w:firstLine="482"/>
              <w:rPr>
                <w:rFonts w:ascii="宋体" w:hAnsi="宋体" w:eastAsia="宋体"/>
                <w:b/>
                <w:bCs/>
                <w:color w:val="auto"/>
                <w:sz w:val="24"/>
                <w:highlight w:val="none"/>
                <w:lang w:eastAsia="zh-CN"/>
              </w:rPr>
            </w:pPr>
            <w:r>
              <w:rPr>
                <w:rFonts w:hint="eastAsia" w:ascii="宋体" w:hAnsi="宋体" w:eastAsia="宋体"/>
                <w:color w:val="auto"/>
                <w:sz w:val="24"/>
                <w:highlight w:val="none"/>
                <w:lang w:eastAsia="zh-CN"/>
              </w:rPr>
              <w:t>支持分别配置危重幼儿和新生儿救治中心的数据来源，可选择不同区域、医疗机构、产科、儿科和急诊等相关专科数据作为数据来源</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采集管理</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1.支持新增、编辑、删除规则，可列表显示采集规则</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2.支持按自定义规则对数据进行脱敏处理</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3.支持设置采集频率</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数据权限</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可配置数据访问权限，可指定科室访问、指定角色访问</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数据治理</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采集相关疾病或患者数据、通过ETL抽取，并进行数据清洗、处理等技术治理，形成完整、可用且精准的数据，用于“一站式急救”服务</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数据日志</w:t>
            </w:r>
          </w:p>
          <w:p>
            <w:pPr>
              <w:pStyle w:val="201"/>
              <w:widowControl/>
              <w:spacing w:before="6" w:line="360" w:lineRule="auto"/>
              <w:ind w:left="120" w:right="105" w:rightChars="50" w:firstLine="482"/>
              <w:rPr>
                <w:rFonts w:ascii="宋体" w:hAnsi="宋体" w:eastAsia="宋体"/>
                <w:b/>
                <w:bCs/>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采集数据执行结果的日志列表，显示采集规则、采集时间、采集频率、采集状态等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b/>
                <w:bCs/>
                <w:color w:val="auto"/>
                <w:sz w:val="24"/>
                <w:highlight w:val="none"/>
                <w:lang w:eastAsia="zh-CN"/>
              </w:rPr>
            </w:pPr>
            <w:r>
              <w:rPr>
                <w:rFonts w:hint="eastAsia" w:ascii="宋体" w:hAnsi="宋体" w:eastAsia="宋体" w:cs="华文仿宋"/>
                <w:b/>
                <w:color w:val="auto"/>
                <w:sz w:val="24"/>
                <w:highlight w:val="none"/>
                <w:lang w:eastAsia="zh-CN" w:bidi="ar"/>
              </w:rPr>
              <w:t>可视化管理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图表配置</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支持新增图表名称，可配置图表维度和指标、指定查询数据脚本、上传缩略图、支持多种图表类型</w:t>
            </w:r>
            <w:r>
              <w:rPr>
                <w:rFonts w:hint="eastAsia" w:ascii="宋体" w:hAnsi="宋体" w:eastAsia="宋体" w:cs="华文仿宋"/>
                <w:color w:val="auto"/>
                <w:sz w:val="24"/>
                <w:highlight w:val="none"/>
                <w:lang w:eastAsia="zh-CN" w:bidi="ar"/>
              </w:rPr>
              <w:t>。</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看板配置</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新增看板名称，可配置看板数据、指定查询数据脚本、上传缩略图等</w:t>
            </w:r>
            <w:r>
              <w:rPr>
                <w:rFonts w:hint="eastAsia" w:ascii="宋体" w:hAnsi="宋体" w:eastAsia="宋体" w:cs="华文仿宋"/>
                <w:color w:val="auto"/>
                <w:sz w:val="24"/>
                <w:highlight w:val="none"/>
                <w:lang w:eastAsia="zh-CN" w:bidi="ar"/>
              </w:rPr>
              <w:t>。</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结果展示</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查看已配置的图表或看板数据展示结果详情</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危重幼儿和新生儿患者综合档案信息</w:t>
            </w:r>
          </w:p>
          <w:p>
            <w:pPr>
              <w:pStyle w:val="201"/>
              <w:widowControl/>
              <w:spacing w:before="6" w:line="360" w:lineRule="auto"/>
              <w:ind w:left="120" w:right="105" w:rightChars="50" w:firstLine="482"/>
              <w:rPr>
                <w:rFonts w:ascii="宋体" w:hAnsi="宋体" w:eastAsia="宋体"/>
                <w:color w:val="auto"/>
                <w:kern w:val="0"/>
                <w:sz w:val="24"/>
                <w:highlight w:val="none"/>
                <w:lang w:eastAsia="zh-CN"/>
              </w:rPr>
            </w:pPr>
            <w:r>
              <w:rPr>
                <w:rFonts w:hint="eastAsia" w:ascii="宋体" w:hAnsi="宋体" w:eastAsia="宋体"/>
                <w:color w:val="auto"/>
                <w:kern w:val="0"/>
                <w:sz w:val="24"/>
                <w:highlight w:val="none"/>
                <w:lang w:eastAsia="zh-CN"/>
              </w:rPr>
              <w:t>危重幼儿和新生儿患者诊疗结束后，系统支持给危重幼儿和新生儿患者生成完整的信息档案，包含急诊信息、危重幼儿和新生儿诊疗信息、患者转归信息。</w:t>
            </w:r>
          </w:p>
          <w:p>
            <w:pPr>
              <w:pStyle w:val="201"/>
              <w:widowControl/>
              <w:spacing w:before="6" w:line="360" w:lineRule="auto"/>
              <w:ind w:left="120" w:right="105" w:rightChars="50" w:firstLine="482"/>
              <w:rPr>
                <w:rFonts w:ascii="宋体" w:hAnsi="宋体" w:eastAsia="宋体"/>
                <w:color w:val="auto"/>
                <w:kern w:val="0"/>
                <w:sz w:val="24"/>
                <w:highlight w:val="none"/>
                <w:lang w:eastAsia="zh-CN"/>
              </w:rPr>
            </w:pPr>
            <w:r>
              <w:rPr>
                <w:rFonts w:hint="eastAsia" w:ascii="宋体" w:hAnsi="宋体" w:eastAsia="宋体"/>
                <w:color w:val="auto"/>
                <w:kern w:val="0"/>
                <w:sz w:val="24"/>
                <w:highlight w:val="none"/>
                <w:lang w:eastAsia="zh-CN"/>
              </w:rPr>
              <w:t>危重幼儿和新生儿患者急诊信息包含：基本信息、危重症情况、现场救治、初步诊断、来院方式、急诊检查、急诊救治措施、绿道转归。</w:t>
            </w:r>
          </w:p>
          <w:p>
            <w:pPr>
              <w:pStyle w:val="201"/>
              <w:widowControl/>
              <w:spacing w:before="6" w:line="360" w:lineRule="auto"/>
              <w:ind w:left="120" w:right="105" w:rightChars="50" w:firstLine="482"/>
              <w:rPr>
                <w:rFonts w:ascii="宋体" w:hAnsi="宋体" w:eastAsia="宋体"/>
                <w:color w:val="auto"/>
                <w:kern w:val="0"/>
                <w:sz w:val="24"/>
                <w:highlight w:val="none"/>
                <w:lang w:eastAsia="zh-CN"/>
              </w:rPr>
            </w:pPr>
            <w:r>
              <w:rPr>
                <w:rFonts w:hint="eastAsia" w:ascii="宋体" w:hAnsi="宋体" w:eastAsia="宋体"/>
                <w:color w:val="auto"/>
                <w:kern w:val="0"/>
                <w:sz w:val="24"/>
                <w:highlight w:val="none"/>
                <w:lang w:eastAsia="zh-CN"/>
              </w:rPr>
              <w:t>危重幼儿和新生儿患者诊疗信息包含：重要检查、急救措施、儿科诊断、基础疾病诊断、手术、并发症。</w:t>
            </w:r>
          </w:p>
          <w:p>
            <w:pPr>
              <w:pStyle w:val="201"/>
              <w:widowControl/>
              <w:spacing w:before="6" w:line="360" w:lineRule="auto"/>
              <w:ind w:left="120" w:right="105" w:rightChars="50" w:firstLine="482"/>
              <w:rPr>
                <w:rFonts w:ascii="宋体" w:hAnsi="宋体" w:eastAsia="宋体"/>
                <w:color w:val="auto"/>
                <w:kern w:val="0"/>
                <w:sz w:val="24"/>
                <w:highlight w:val="none"/>
                <w:lang w:eastAsia="zh-CN"/>
              </w:rPr>
            </w:pPr>
            <w:r>
              <w:rPr>
                <w:rFonts w:hint="eastAsia" w:ascii="宋体" w:hAnsi="宋体" w:eastAsia="宋体"/>
                <w:color w:val="auto"/>
                <w:kern w:val="0"/>
                <w:sz w:val="24"/>
                <w:highlight w:val="none"/>
                <w:lang w:eastAsia="zh-CN"/>
              </w:rPr>
              <w:t>危重幼儿和新生儿患者转归信息记录了患者的住院时间、出入院诊断符合情况、住院天数 、ICU天数 、住院费用、呼吸机使用时长、呼吸机相关肺炎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数据检索</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模糊检索</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1.支持按关键字（患者姓名、住院号、ICD编码等）进行模糊检索，系统可从专病数据库提取相关的病历信息并进行列表展示</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2.支持对检索结果中的关键词进行标红高亮显示</w:t>
            </w:r>
          </w:p>
          <w:p>
            <w:pPr>
              <w:pStyle w:val="201"/>
              <w:widowControl/>
              <w:spacing w:before="6" w:line="360" w:lineRule="auto"/>
              <w:ind w:left="120"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3.支持对检索条件保存为指定名称的数据集</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高级检索：</w:t>
            </w:r>
            <w:r>
              <w:rPr>
                <w:rFonts w:hint="eastAsia" w:ascii="宋体" w:hAnsi="宋体" w:eastAsia="宋体"/>
                <w:color w:val="auto"/>
                <w:sz w:val="24"/>
                <w:highlight w:val="none"/>
                <w:lang w:eastAsia="zh-CN"/>
              </w:rPr>
              <w:t>可选择配置多个查询条件进行（and/or/not，关键词包含或不包含，精确数值类型条件大于/等于/小于）组合查询</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结果展示：</w:t>
            </w:r>
            <w:r>
              <w:rPr>
                <w:rFonts w:hint="eastAsia" w:ascii="宋体" w:hAnsi="宋体" w:eastAsia="宋体"/>
                <w:color w:val="auto"/>
                <w:sz w:val="24"/>
                <w:highlight w:val="none"/>
                <w:lang w:eastAsia="zh-CN"/>
              </w:rPr>
              <w:t>支持通过检索列表数据查看结果详情，包括患者基本信息、检查报告、诊断结果等，可根据标签或关键字进入下级页面浏览相关信息</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数据集：</w:t>
            </w:r>
            <w:r>
              <w:rPr>
                <w:rFonts w:hint="eastAsia" w:ascii="宋体" w:hAnsi="宋体" w:eastAsia="宋体"/>
                <w:color w:val="auto"/>
                <w:sz w:val="24"/>
                <w:highlight w:val="none"/>
                <w:lang w:eastAsia="zh-CN"/>
              </w:rPr>
              <w:t>列表展示历史检索并根据检索条件，可直达检索数据结果详情列表页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任务管理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任务列表：</w:t>
            </w:r>
            <w:r>
              <w:rPr>
                <w:rFonts w:hint="eastAsia" w:ascii="宋体" w:hAnsi="宋体" w:eastAsia="宋体"/>
                <w:color w:val="auto"/>
                <w:sz w:val="24"/>
                <w:highlight w:val="none"/>
                <w:lang w:eastAsia="zh-CN"/>
              </w:rPr>
              <w:t>可添加、编辑、停止任务</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执行日志：</w:t>
            </w:r>
            <w:r>
              <w:rPr>
                <w:rFonts w:hint="eastAsia" w:ascii="宋体" w:hAnsi="宋体" w:eastAsia="宋体"/>
                <w:color w:val="auto"/>
                <w:sz w:val="24"/>
                <w:highlight w:val="none"/>
                <w:lang w:eastAsia="zh-CN"/>
              </w:rPr>
              <w:t>查看任务执行日志列表，包括任务执行状态、执行时间、执行规则</w:t>
            </w:r>
          </w:p>
        </w:tc>
      </w:tr>
    </w:tbl>
    <w:p>
      <w:pPr>
        <w:rPr>
          <w:color w:val="auto"/>
          <w:highlight w:val="none"/>
        </w:rPr>
      </w:pPr>
    </w:p>
    <w:p>
      <w:pPr>
        <w:pStyle w:val="5"/>
        <w:numPr>
          <w:ilvl w:val="2"/>
          <w:numId w:val="8"/>
        </w:numPr>
        <w:tabs>
          <w:tab w:val="clear" w:pos="720"/>
        </w:tabs>
        <w:autoSpaceDE/>
        <w:autoSpaceDN/>
        <w:adjustRightInd/>
        <w:spacing w:before="260" w:after="260" w:line="416" w:lineRule="auto"/>
        <w:jc w:val="both"/>
        <w:rPr>
          <w:rFonts w:hAnsi="宋体"/>
          <w:color w:val="auto"/>
          <w:szCs w:val="24"/>
          <w:highlight w:val="none"/>
        </w:rPr>
      </w:pPr>
      <w:bookmarkStart w:id="789" w:name="_Toc138439920"/>
      <w:bookmarkStart w:id="790" w:name="_Toc11055"/>
      <w:bookmarkStart w:id="791" w:name="_Toc10306"/>
      <w:bookmarkStart w:id="792" w:name="_Toc1905560838"/>
      <w:bookmarkStart w:id="793" w:name="_Toc11974"/>
      <w:r>
        <w:rPr>
          <w:rFonts w:hint="eastAsia" w:hAnsi="宋体"/>
          <w:color w:val="auto"/>
          <w:szCs w:val="24"/>
          <w:highlight w:val="none"/>
        </w:rPr>
        <w:t>区域科研中心</w:t>
      </w:r>
      <w:bookmarkEnd w:id="789"/>
      <w:bookmarkEnd w:id="790"/>
      <w:bookmarkEnd w:id="791"/>
      <w:bookmarkEnd w:id="792"/>
      <w:bookmarkEnd w:id="793"/>
    </w:p>
    <w:p>
      <w:pPr>
        <w:rPr>
          <w:rFonts w:ascii="宋体" w:hAnsi="宋体"/>
          <w:color w:val="auto"/>
          <w:sz w:val="24"/>
          <w:highlight w:val="none"/>
        </w:rPr>
      </w:pPr>
    </w:p>
    <w:p>
      <w:pPr>
        <w:pStyle w:val="6"/>
        <w:numPr>
          <w:ilvl w:val="3"/>
          <w:numId w:val="8"/>
        </w:numPr>
        <w:tabs>
          <w:tab w:val="clear" w:pos="864"/>
        </w:tabs>
        <w:spacing w:before="280" w:after="290" w:line="376" w:lineRule="auto"/>
        <w:rPr>
          <w:rFonts w:ascii="宋体" w:hAnsi="宋体"/>
          <w:color w:val="auto"/>
          <w:sz w:val="24"/>
          <w:szCs w:val="24"/>
          <w:highlight w:val="none"/>
        </w:rPr>
      </w:pPr>
      <w:bookmarkStart w:id="794" w:name="_Toc23853"/>
      <w:bookmarkStart w:id="795" w:name="_Toc29476"/>
      <w:bookmarkStart w:id="796" w:name="_Toc1402"/>
      <w:bookmarkStart w:id="797" w:name="_Toc32673"/>
      <w:r>
        <w:rPr>
          <w:rFonts w:hint="eastAsia" w:ascii="宋体" w:hAnsi="宋体"/>
          <w:color w:val="auto"/>
          <w:sz w:val="24"/>
          <w:szCs w:val="24"/>
          <w:highlight w:val="none"/>
        </w:rPr>
        <w:t>区域专科科研随访管理系统</w:t>
      </w:r>
      <w:bookmarkEnd w:id="794"/>
      <w:bookmarkEnd w:id="795"/>
      <w:bookmarkEnd w:id="796"/>
      <w:bookmarkEnd w:id="797"/>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left="105" w:leftChars="50" w:right="105" w:rightChars="50"/>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1" w:leftChars="48" w:right="105" w:rightChars="50"/>
              <w:jc w:val="center"/>
              <w:rPr>
                <w:rFonts w:ascii="宋体" w:hAnsi="宋体" w:eastAsia="宋体"/>
                <w:b/>
                <w:color w:val="auto"/>
                <w:w w:val="105"/>
                <w:sz w:val="24"/>
                <w:highlight w:val="none"/>
              </w:rPr>
            </w:pPr>
            <w:r>
              <w:rPr>
                <w:rFonts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sz w:val="24"/>
                <w:highlight w:val="none"/>
              </w:rPr>
            </w:pPr>
            <w:r>
              <w:rPr>
                <w:rFonts w:hint="eastAsia" w:ascii="宋体" w:hAnsi="宋体" w:eastAsia="宋体" w:cs="华文仿宋"/>
                <w:b/>
                <w:color w:val="auto"/>
                <w:sz w:val="24"/>
                <w:highlight w:val="none"/>
                <w:lang w:bidi="ar"/>
              </w:rPr>
              <w:t>科研项目管理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项目管理</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1.支持创建科研项目，包括项目名称、项目类型（如队列性研究/随机对照性等）、负责人、项目成员（可多选）、项目研究目的、方法、预计起止日期、研究对象</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项目可编辑或手动停止，不允许进行删除操作</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3.支持通过项目名称、起止日期、负责人、类型进行精确匹配数据列表</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项目类型</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创建项目类型，包括类型名称、启用状态、备注、标记</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2.支持编辑或删除科研项目类型</w:t>
            </w:r>
          </w:p>
          <w:p>
            <w:pPr>
              <w:pStyle w:val="201"/>
              <w:widowControl/>
              <w:spacing w:before="6" w:line="360" w:lineRule="auto"/>
              <w:ind w:left="120" w:right="105" w:rightChars="50" w:firstLine="240" w:firstLineChars="100"/>
              <w:rPr>
                <w:rFonts w:ascii="宋体" w:hAnsi="宋体" w:eastAsia="宋体"/>
                <w:b/>
                <w:bCs/>
                <w:color w:val="auto"/>
                <w:sz w:val="24"/>
                <w:highlight w:val="none"/>
                <w:lang w:eastAsia="zh-CN"/>
              </w:rPr>
            </w:pPr>
            <w:r>
              <w:rPr>
                <w:rFonts w:hint="eastAsia" w:ascii="宋体" w:hAnsi="宋体" w:eastAsia="宋体"/>
                <w:color w:val="auto"/>
                <w:sz w:val="24"/>
                <w:highlight w:val="none"/>
                <w:lang w:eastAsia="zh-CN"/>
              </w:rPr>
              <w:t>3.支持根据名称或启用状态检索科研项目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cs="华文仿宋"/>
                <w:b/>
                <w:color w:val="auto"/>
                <w:sz w:val="24"/>
                <w:highlight w:val="none"/>
                <w:lang w:bidi="ar"/>
              </w:rPr>
            </w:pPr>
            <w:r>
              <w:rPr>
                <w:rFonts w:hint="eastAsia" w:ascii="宋体" w:hAnsi="宋体" w:eastAsia="宋体" w:cs="华文仿宋"/>
                <w:b/>
                <w:color w:val="auto"/>
                <w:sz w:val="24"/>
                <w:highlight w:val="none"/>
                <w:lang w:bidi="ar"/>
              </w:rPr>
              <w:t>随访计划管理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计划管理</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1.支持在每个科研项目下新增多个随访计划，可进行新增、编辑、删除操作</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新增计划包括：计划名称、编号、开始时间、执行次数、执行频率、随访方式、随访内容（CRF）、结束时间、随访内容关联随访CRF表单</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3.支持编辑计划、删除计划</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随访方式：</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在每个随访计划阶段可查看患者信息，电话通知患者入院随访检查或按随访计划进行电话随访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cs="华文仿宋"/>
                <w:b/>
                <w:color w:val="auto"/>
                <w:sz w:val="24"/>
                <w:highlight w:val="none"/>
                <w:lang w:bidi="ar"/>
              </w:rPr>
            </w:pPr>
            <w:r>
              <w:rPr>
                <w:rFonts w:hint="eastAsia" w:ascii="宋体" w:hAnsi="宋体" w:eastAsia="宋体" w:cs="华文仿宋"/>
                <w:b/>
                <w:color w:val="auto"/>
                <w:sz w:val="24"/>
                <w:highlight w:val="none"/>
                <w:lang w:bidi="ar"/>
              </w:rPr>
              <w:t>随访患者管理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患者列表</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1.支持列表显示已入组患者基本信息及基线数据</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2.支持查看患者全景视图，包括入组信息、随访信息、影像信息</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单个入组：</w:t>
            </w:r>
            <w:r>
              <w:rPr>
                <w:rFonts w:hint="eastAsia" w:ascii="宋体" w:hAnsi="宋体" w:eastAsia="宋体"/>
                <w:color w:val="auto"/>
                <w:sz w:val="24"/>
                <w:highlight w:val="none"/>
                <w:lang w:eastAsia="zh-CN"/>
              </w:rPr>
              <w:t>支持通过患者身份证号查询并导入本系统专科专病数据或手动录入其他医疗机构患者信息</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批量入组：</w:t>
            </w:r>
            <w:r>
              <w:rPr>
                <w:rFonts w:hint="eastAsia" w:ascii="宋体" w:hAnsi="宋体" w:eastAsia="宋体"/>
                <w:color w:val="auto"/>
                <w:sz w:val="24"/>
                <w:highlight w:val="none"/>
                <w:lang w:eastAsia="zh-CN"/>
              </w:rPr>
              <w:t>支持批量导入患者信息并入组</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选择系统内已创建的队列批量导入患者并入组</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根据导入模板按要求填写，批量导入外院患者，导入过程会进行数据标准校验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cs="华文仿宋"/>
                <w:b/>
                <w:color w:val="auto"/>
                <w:sz w:val="24"/>
                <w:highlight w:val="none"/>
                <w:lang w:bidi="ar"/>
              </w:rPr>
            </w:pPr>
            <w:r>
              <w:rPr>
                <w:rFonts w:hint="eastAsia" w:ascii="宋体" w:hAnsi="宋体" w:eastAsia="宋体" w:cs="华文仿宋"/>
                <w:b/>
                <w:color w:val="auto"/>
                <w:sz w:val="24"/>
                <w:highlight w:val="none"/>
                <w:lang w:bidi="ar"/>
              </w:rPr>
              <w:t>随访执行</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任务列表</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1.支持随访任务管理，显示任务列表，包括所属科研项目、随访计划、状态，创建日期、开始执行日期、结束日期等</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2.支持通过项目名称、计划名称、状态等条件精准检索目前已添加的随访任务列表</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任务管理</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执行随访任务的医生/工作人员根据随访任务列表中的状态，选择待随访的任务，联系受试者，逐项填写随访表单</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2.支持对随访对象选择手工终止随访/失访，填写或者终止原因、失访原因</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3.支持手动填写随访表单，支持必填字段、数字值域、逻辑计算等校验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cs="华文仿宋"/>
                <w:b/>
                <w:color w:val="auto"/>
                <w:sz w:val="24"/>
                <w:highlight w:val="none"/>
                <w:lang w:bidi="ar"/>
              </w:rPr>
            </w:pPr>
            <w:r>
              <w:rPr>
                <w:rFonts w:hint="eastAsia" w:ascii="宋体" w:hAnsi="宋体" w:eastAsia="宋体" w:cs="华文仿宋"/>
                <w:b/>
                <w:color w:val="auto"/>
                <w:sz w:val="24"/>
                <w:highlight w:val="none"/>
                <w:lang w:bidi="ar"/>
              </w:rPr>
              <w:t>CRF表单管理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问卷管理</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1.支持对问卷模板进行预览、编辑、删除、设为系统模板等操作</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2.支持按问卷类型、名称、状态等精准检索数据结果并展示</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题库管理</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1.支持对问卷题型新增、编辑、删除等管理</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2.支持的题型包括单选题、多选题、日期题、附件题、多行文本题、矩阵题、组自增题、随机分组题和填空题</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3.支持的附件格式包括xls、xlsx、ppt、pptx、doc、docx、pdf、txt、png、jpg、jpeg、gif、bmp</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4.系统可自动进行数据逻辑规则进行校验</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w:t>
            </w:r>
            <w:r>
              <w:rPr>
                <w:rFonts w:hint="eastAsia" w:ascii="宋体" w:hAnsi="宋体" w:eastAsia="宋体"/>
                <w:b/>
                <w:bCs/>
                <w:color w:val="auto"/>
                <w:sz w:val="24"/>
                <w:highlight w:val="none"/>
                <w:lang w:eastAsia="zh-CN"/>
              </w:rPr>
              <w:t>自定义表单</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1.支持的自定义选择表单组件包括：输入框、文本框、单选、多选、下拉（单选或多选）、数字框等</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2.支持对组件进行自定义参数配置，必填项、数字值域控制等。</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须提供系统截图</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自动采集</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对采集模板可进行预览、编辑、删除、设为系统采集模板等操作，采集模板列表包括名称、类型、使用状态、创建日期</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可按问卷类型、名称、状态等精准检索数据结果并展示</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采集配置：</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在添加采集模板，选择指定数据源的具体字段进行绑定后，程序将会自动进行相关数据采集并入库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cs="华文仿宋"/>
                <w:b/>
                <w:color w:val="auto"/>
                <w:sz w:val="24"/>
                <w:highlight w:val="none"/>
                <w:lang w:bidi="ar"/>
              </w:rPr>
            </w:pPr>
            <w:r>
              <w:rPr>
                <w:rFonts w:hint="eastAsia" w:ascii="宋体" w:hAnsi="宋体" w:eastAsia="宋体" w:cs="华文仿宋"/>
                <w:b/>
                <w:color w:val="auto"/>
                <w:sz w:val="24"/>
                <w:highlight w:val="none"/>
                <w:lang w:bidi="ar"/>
              </w:rPr>
              <w:t>队列管理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队列库：</w:t>
            </w:r>
            <w:r>
              <w:rPr>
                <w:rFonts w:hint="eastAsia" w:ascii="宋体" w:hAnsi="宋体" w:eastAsia="宋体"/>
                <w:color w:val="auto"/>
                <w:sz w:val="24"/>
                <w:highlight w:val="none"/>
                <w:lang w:eastAsia="zh-CN"/>
              </w:rPr>
              <w:t>支持新增队列，支持编辑、删除队列；</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高级检索</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可选择配置多个查询条件进行（and/or/not，关键词包含或不包含，精确数值类型条件大于/等于/小于）组合查询，系统可从专科专病数据库中提取患者病历信息并进行列表展示</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可对检索条件及结果保存为指定名称的患者队列库</w:t>
            </w:r>
          </w:p>
        </w:tc>
      </w:tr>
    </w:tbl>
    <w:p>
      <w:pPr>
        <w:rPr>
          <w:rFonts w:ascii="宋体" w:hAnsi="宋体"/>
          <w:color w:val="auto"/>
          <w:sz w:val="24"/>
          <w:highlight w:val="none"/>
        </w:rPr>
      </w:pPr>
    </w:p>
    <w:p>
      <w:pPr>
        <w:pStyle w:val="6"/>
        <w:numPr>
          <w:ilvl w:val="3"/>
          <w:numId w:val="8"/>
        </w:numPr>
        <w:tabs>
          <w:tab w:val="clear" w:pos="864"/>
        </w:tabs>
        <w:spacing w:before="280" w:after="290" w:line="376" w:lineRule="auto"/>
        <w:rPr>
          <w:rFonts w:ascii="宋体" w:hAnsi="宋体"/>
          <w:color w:val="auto"/>
          <w:sz w:val="24"/>
          <w:szCs w:val="24"/>
          <w:highlight w:val="none"/>
        </w:rPr>
      </w:pPr>
      <w:bookmarkStart w:id="798" w:name="_Toc214"/>
      <w:bookmarkStart w:id="799" w:name="_Toc31328"/>
      <w:bookmarkStart w:id="800" w:name="_Toc26180"/>
      <w:bookmarkStart w:id="801" w:name="_Toc7409"/>
      <w:r>
        <w:rPr>
          <w:rFonts w:hint="eastAsia" w:ascii="宋体" w:hAnsi="宋体"/>
          <w:color w:val="auto"/>
          <w:sz w:val="24"/>
          <w:szCs w:val="24"/>
          <w:highlight w:val="none"/>
        </w:rPr>
        <w:t>区域专科科研大数据搜索系统</w:t>
      </w:r>
      <w:bookmarkEnd w:id="798"/>
      <w:bookmarkEnd w:id="799"/>
      <w:bookmarkEnd w:id="800"/>
      <w:bookmarkEnd w:id="801"/>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left="105" w:leftChars="50" w:right="105" w:rightChars="50"/>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1" w:leftChars="48" w:right="105" w:rightChars="50"/>
              <w:jc w:val="center"/>
              <w:rPr>
                <w:rFonts w:ascii="宋体" w:hAnsi="宋体" w:eastAsia="宋体"/>
                <w:b/>
                <w:color w:val="auto"/>
                <w:w w:val="105"/>
                <w:sz w:val="24"/>
                <w:highlight w:val="none"/>
              </w:rPr>
            </w:pPr>
            <w:r>
              <w:rPr>
                <w:rFonts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sz w:val="24"/>
                <w:highlight w:val="none"/>
              </w:rPr>
            </w:pPr>
            <w:r>
              <w:rPr>
                <w:rFonts w:hint="eastAsia" w:ascii="宋体" w:hAnsi="宋体" w:eastAsia="宋体" w:cs="华文仿宋"/>
                <w:b/>
                <w:color w:val="auto"/>
                <w:sz w:val="24"/>
                <w:highlight w:val="none"/>
                <w:lang w:bidi="ar"/>
              </w:rPr>
              <w:t>一般搜索</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通过关键字（患者姓名、住院号、ICD编码等）进行检索，系统可从海量数据提取相关性得分最高的患者数据及病历信息进行列表展示</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支持在检索结果中对检索关键词进行标红高亮显示</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支持相关主题词、高频原始词推荐</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支持搜索时采用自然语言处理分词技术</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color w:val="auto"/>
                <w:sz w:val="24"/>
                <w:highlight w:val="none"/>
                <w:lang w:eastAsia="zh-CN"/>
              </w:rPr>
              <w:t>支持对检索结果进行可视化统计：例如疾病种类高频词云图、年龄统计饼图、住院时长（按天）柱状图、症状高频词云图等</w:t>
            </w:r>
            <w:r>
              <w:rPr>
                <w:rFonts w:hint="eastAsia" w:ascii="宋体" w:hAnsi="宋体" w:eastAsia="宋体" w:cs="华文仿宋"/>
                <w:color w:val="auto"/>
                <w:sz w:val="24"/>
                <w:highlight w:val="none"/>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cs="华文仿宋"/>
                <w:b/>
                <w:color w:val="auto"/>
                <w:sz w:val="24"/>
                <w:highlight w:val="none"/>
                <w:lang w:bidi="ar"/>
              </w:rPr>
            </w:pPr>
            <w:r>
              <w:rPr>
                <w:rFonts w:hint="eastAsia" w:ascii="宋体" w:hAnsi="宋体" w:eastAsia="宋体" w:cs="华文仿宋"/>
                <w:b/>
                <w:color w:val="auto"/>
                <w:sz w:val="24"/>
                <w:highlight w:val="none"/>
                <w:lang w:bidi="ar"/>
              </w:rPr>
              <w:t>高级搜索</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在一般搜索的基础上选择配置多个查询条件进行（and/or/not，关键词包含或不包含，精确数值类型条件大于/等于/小于）组合查询，系统可从专科专病数据库提取相关性得分最高的患者数据及病历信息进行列表展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cs="华文仿宋"/>
                <w:b/>
                <w:color w:val="auto"/>
                <w:sz w:val="24"/>
                <w:highlight w:val="none"/>
                <w:lang w:bidi="ar"/>
              </w:rPr>
            </w:pPr>
            <w:r>
              <w:rPr>
                <w:rFonts w:hint="eastAsia" w:ascii="宋体" w:hAnsi="宋体" w:eastAsia="宋体" w:cs="华文仿宋"/>
                <w:b/>
                <w:color w:val="auto"/>
                <w:sz w:val="24"/>
                <w:highlight w:val="none"/>
                <w:lang w:bidi="ar"/>
              </w:rPr>
              <w:t>病历号搜索</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支持按患者住院号，精准搜索患者数据</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支持批量输入或导入住院号进行批量精确匹配搜索患者数据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cs="华文仿宋"/>
                <w:b/>
                <w:color w:val="auto"/>
                <w:sz w:val="24"/>
                <w:highlight w:val="none"/>
                <w:lang w:bidi="ar"/>
              </w:rPr>
            </w:pPr>
            <w:r>
              <w:rPr>
                <w:rFonts w:hint="eastAsia" w:ascii="宋体" w:hAnsi="宋体" w:eastAsia="宋体" w:cs="华文仿宋"/>
                <w:b/>
                <w:color w:val="auto"/>
                <w:sz w:val="24"/>
                <w:highlight w:val="none"/>
                <w:lang w:bidi="ar"/>
              </w:rPr>
              <w:t>结果展示</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支持点击检索结果列表数据可进行查看结果详情</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支持对结果进行二次检索，将患者多次住院数据进行归类</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可根据标签或关键字进入下级页面浏览相关信息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cs="华文仿宋"/>
                <w:b/>
                <w:color w:val="auto"/>
                <w:sz w:val="24"/>
                <w:highlight w:val="none"/>
                <w:lang w:bidi="ar"/>
              </w:rPr>
            </w:pPr>
            <w:r>
              <w:rPr>
                <w:rFonts w:hint="eastAsia" w:ascii="宋体" w:hAnsi="宋体" w:eastAsia="宋体" w:cs="华文仿宋"/>
                <w:b/>
                <w:color w:val="auto"/>
                <w:sz w:val="24"/>
                <w:highlight w:val="none"/>
                <w:lang w:bidi="ar"/>
              </w:rPr>
              <w:t>搜索结果导出</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支持将通过检索的数据结果按照数据模板导出并以excel或csv格式进行保存。数据导出之前必须在系统中按流程进行审批，审批通过后，按权限获取数据，系统在导出数据之前自动进行脱敏处理。</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支持按指标导出患者的多个指标全生命周期数据</w:t>
            </w:r>
          </w:p>
        </w:tc>
      </w:tr>
    </w:tbl>
    <w:p>
      <w:pPr>
        <w:rPr>
          <w:rFonts w:ascii="宋体" w:hAnsi="宋体"/>
          <w:color w:val="auto"/>
          <w:sz w:val="24"/>
          <w:highlight w:val="none"/>
        </w:rPr>
      </w:pPr>
    </w:p>
    <w:p>
      <w:pPr>
        <w:pStyle w:val="6"/>
        <w:numPr>
          <w:ilvl w:val="3"/>
          <w:numId w:val="8"/>
        </w:numPr>
        <w:tabs>
          <w:tab w:val="clear" w:pos="864"/>
        </w:tabs>
        <w:spacing w:before="280" w:after="290" w:line="376" w:lineRule="auto"/>
        <w:rPr>
          <w:rFonts w:ascii="宋体" w:hAnsi="宋体"/>
          <w:color w:val="auto"/>
          <w:sz w:val="24"/>
          <w:szCs w:val="24"/>
          <w:highlight w:val="none"/>
        </w:rPr>
      </w:pPr>
      <w:bookmarkStart w:id="802" w:name="_Toc11493"/>
      <w:bookmarkStart w:id="803" w:name="_Toc28795"/>
      <w:bookmarkStart w:id="804" w:name="_Toc5263"/>
      <w:bookmarkStart w:id="805" w:name="_Toc13119"/>
      <w:r>
        <w:rPr>
          <w:rFonts w:hint="eastAsia" w:ascii="宋体" w:hAnsi="宋体"/>
          <w:color w:val="auto"/>
          <w:sz w:val="24"/>
          <w:szCs w:val="24"/>
          <w:highlight w:val="none"/>
        </w:rPr>
        <w:t>区域临床数据分析平台</w:t>
      </w:r>
      <w:bookmarkEnd w:id="802"/>
      <w:bookmarkEnd w:id="803"/>
      <w:bookmarkEnd w:id="804"/>
      <w:bookmarkEnd w:id="805"/>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left="105" w:leftChars="50" w:right="105" w:rightChars="50"/>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1" w:leftChars="48" w:right="105" w:rightChars="50"/>
              <w:jc w:val="center"/>
              <w:rPr>
                <w:rFonts w:ascii="宋体" w:hAnsi="宋体" w:eastAsia="宋体"/>
                <w:b/>
                <w:color w:val="auto"/>
                <w:w w:val="105"/>
                <w:sz w:val="24"/>
                <w:highlight w:val="none"/>
              </w:rPr>
            </w:pPr>
            <w:r>
              <w:rPr>
                <w:rFonts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sz w:val="24"/>
                <w:highlight w:val="none"/>
              </w:rPr>
            </w:pPr>
            <w:r>
              <w:rPr>
                <w:rFonts w:hint="eastAsia" w:ascii="宋体" w:hAnsi="宋体" w:eastAsia="宋体" w:cs="华文仿宋"/>
                <w:b/>
                <w:color w:val="auto"/>
                <w:sz w:val="24"/>
                <w:highlight w:val="none"/>
                <w:lang w:bidi="ar"/>
              </w:rPr>
              <w:t>研究课题管理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发布课题：</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可通过建立统计分析课题进行数据探索性分析并生成科研报告</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课题基本信息：研究题目、研究类型、研究人员、创建日期</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研究对象：实验组、对照组、病例库（选择研究队列数据源作为研究对象）</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3.</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建模类型：选择建模类型（统计分析计算方式）、检验变量、检验类型</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4.</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生成报告：点击保存后程序会自动根据前面步骤填写的参数计算生成研究报告</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b/>
                <w:bCs/>
                <w:color w:val="auto"/>
                <w:sz w:val="24"/>
                <w:highlight w:val="none"/>
                <w:lang w:eastAsia="zh-CN"/>
              </w:rPr>
              <w:t>我的课题：</w:t>
            </w:r>
            <w:r>
              <w:rPr>
                <w:rFonts w:hint="eastAsia" w:ascii="宋体" w:hAnsi="宋体" w:eastAsia="宋体"/>
                <w:color w:val="auto"/>
                <w:sz w:val="24"/>
                <w:highlight w:val="none"/>
                <w:lang w:eastAsia="zh-CN"/>
              </w:rPr>
              <w:t>已发布的课题以数据列表形式展示、检索、管理操作</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列表：课题名称、研究人员、发布时间、建模类型等</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检索：可支持通过课题名称、人员、发布日期进行精确检索</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3.</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操作：可点击详情查看课题详细信息、对未保存的课题可支持再次编辑或者删除</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研究队列：</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用于建模课题研究的数据来源</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科研随访项目中筛选的符合要求的入组患者</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病例检索生成的结果以保存的研究队列的患者数据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cs="华文仿宋"/>
                <w:b/>
                <w:color w:val="auto"/>
                <w:sz w:val="24"/>
                <w:highlight w:val="none"/>
                <w:lang w:bidi="ar"/>
              </w:rPr>
            </w:pPr>
            <w:r>
              <w:rPr>
                <w:rFonts w:hint="eastAsia" w:ascii="宋体" w:hAnsi="宋体" w:eastAsia="宋体" w:cs="华文仿宋"/>
                <w:b/>
                <w:color w:val="auto"/>
                <w:sz w:val="24"/>
                <w:highlight w:val="none"/>
                <w:lang w:bidi="ar"/>
              </w:rPr>
              <w:t>科研报告管理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报告列表</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1.支持显示科研报告，包括建模类型、题目、报告生成日期等数据</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2.支持报告修改（报告名称、摘要、讨论等）、删除</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报告复制：</w:t>
            </w:r>
            <w:r>
              <w:rPr>
                <w:rFonts w:hint="eastAsia" w:ascii="宋体" w:hAnsi="宋体" w:eastAsia="宋体"/>
                <w:color w:val="auto"/>
                <w:sz w:val="24"/>
                <w:highlight w:val="none"/>
                <w:lang w:eastAsia="zh-CN"/>
              </w:rPr>
              <w:t>支持在报告列表指定某个研究报告后进行数据复制，需要重命名，最终会重新生成一条新的报告</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报告检索：</w:t>
            </w:r>
            <w:r>
              <w:rPr>
                <w:rFonts w:hint="eastAsia" w:ascii="宋体" w:hAnsi="宋体" w:eastAsia="宋体"/>
                <w:color w:val="auto"/>
                <w:sz w:val="24"/>
                <w:highlight w:val="none"/>
                <w:lang w:eastAsia="zh-CN"/>
              </w:rPr>
              <w:t>支持报告名称、建模类型、发起人、创建日期，报告状态等组合条件进行精确检索报告结果</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结果展示：</w:t>
            </w:r>
            <w:r>
              <w:rPr>
                <w:rFonts w:hint="eastAsia" w:ascii="宋体" w:hAnsi="宋体" w:eastAsia="宋体"/>
                <w:color w:val="auto"/>
                <w:sz w:val="24"/>
                <w:highlight w:val="none"/>
                <w:lang w:eastAsia="zh-CN"/>
              </w:rPr>
              <w:t>支持列表查看研究报告及报告详情界面，在详情界面会详细列出本次课题研究的发起人、研究对象、建模类型、建模结果以及研究总结等详细信息</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报告导出：</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研究报告列表的文件支持导出功能，可以将研究报告通过PDF、Word的格式导出到本地保存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cs="华文仿宋"/>
                <w:b/>
                <w:color w:val="auto"/>
                <w:sz w:val="24"/>
                <w:highlight w:val="none"/>
                <w:lang w:bidi="ar"/>
              </w:rPr>
            </w:pPr>
            <w:r>
              <w:rPr>
                <w:rFonts w:hint="eastAsia" w:ascii="宋体" w:hAnsi="宋体" w:eastAsia="宋体" w:cs="华文仿宋"/>
                <w:b/>
                <w:color w:val="auto"/>
                <w:sz w:val="24"/>
                <w:highlight w:val="none"/>
                <w:lang w:bidi="ar"/>
              </w:rPr>
              <w:t>建模研究</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w:t>
            </w:r>
            <w:r>
              <w:rPr>
                <w:rFonts w:hint="eastAsia" w:ascii="宋体" w:hAnsi="宋体" w:eastAsia="宋体"/>
                <w:b/>
                <w:bCs/>
                <w:color w:val="auto"/>
                <w:sz w:val="24"/>
                <w:highlight w:val="none"/>
                <w:lang w:eastAsia="zh-CN"/>
              </w:rPr>
              <w:t>分析算法：</w:t>
            </w:r>
            <w:r>
              <w:rPr>
                <w:rFonts w:hint="eastAsia" w:ascii="宋体" w:hAnsi="宋体" w:eastAsia="宋体"/>
                <w:color w:val="auto"/>
                <w:sz w:val="24"/>
                <w:highlight w:val="none"/>
                <w:lang w:eastAsia="zh-CN"/>
              </w:rPr>
              <w:t>支持常用统计学分析算法，包括但不限于：</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1.描述性统计：为科研项目中的变量进行基本统计量的计算，如平均值、方差、极值、正态性检验等</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2.单因素分析：支持单变量的单因素组间比较，支持t检验、矫正t检验、秩和检验、单因素方差分析、Pearson卡方检验等统计学检验方法</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3.相关性分析：支持两变量间的相关性分析，支持Pearson、Spearman等相关分析方法</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4.生存分析：支持生存分析，包括Kaplan-Meier曲线、Cox回归分析</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须提供系统截图</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数据处理</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1.支持缺失值处理、异常值处理</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2.支持数据转换、数据合并、数据变换</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结果可视化</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1.支持数据视图、折线视图、柱状图视图显示建模结果</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2.支持将模结果显示方式还原至默认，点击“保存图片”，将建模结果图片下载至本地进行保存</w:t>
            </w:r>
          </w:p>
        </w:tc>
      </w:tr>
    </w:tbl>
    <w:p>
      <w:pPr>
        <w:rPr>
          <w:rFonts w:ascii="宋体" w:hAnsi="宋体"/>
          <w:color w:val="auto"/>
          <w:sz w:val="24"/>
          <w:highlight w:val="none"/>
        </w:rPr>
      </w:pPr>
    </w:p>
    <w:p>
      <w:pPr>
        <w:pStyle w:val="6"/>
        <w:numPr>
          <w:ilvl w:val="3"/>
          <w:numId w:val="8"/>
        </w:numPr>
        <w:tabs>
          <w:tab w:val="clear" w:pos="864"/>
        </w:tabs>
        <w:spacing w:before="280" w:after="290" w:line="376" w:lineRule="auto"/>
        <w:rPr>
          <w:rFonts w:ascii="宋体" w:hAnsi="宋体"/>
          <w:color w:val="auto"/>
          <w:sz w:val="24"/>
          <w:szCs w:val="24"/>
          <w:highlight w:val="none"/>
        </w:rPr>
      </w:pPr>
      <w:bookmarkStart w:id="806" w:name="_Toc27433"/>
      <w:bookmarkStart w:id="807" w:name="_Toc18322"/>
      <w:bookmarkStart w:id="808" w:name="_Toc29017"/>
      <w:bookmarkStart w:id="809" w:name="_Toc3792"/>
      <w:r>
        <w:rPr>
          <w:rFonts w:hint="eastAsia" w:ascii="宋体" w:hAnsi="宋体"/>
          <w:color w:val="auto"/>
          <w:sz w:val="24"/>
          <w:szCs w:val="24"/>
          <w:highlight w:val="none"/>
        </w:rPr>
        <w:t>区域多中心临床科研管理系统</w:t>
      </w:r>
      <w:bookmarkEnd w:id="806"/>
      <w:bookmarkEnd w:id="807"/>
      <w:bookmarkEnd w:id="808"/>
      <w:bookmarkEnd w:id="809"/>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left="105" w:leftChars="50" w:right="105" w:rightChars="50"/>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1" w:leftChars="48" w:right="105" w:rightChars="50"/>
              <w:jc w:val="center"/>
              <w:rPr>
                <w:rFonts w:ascii="宋体" w:hAnsi="宋体" w:eastAsia="宋体"/>
                <w:b/>
                <w:color w:val="auto"/>
                <w:w w:val="105"/>
                <w:sz w:val="24"/>
                <w:highlight w:val="none"/>
              </w:rPr>
            </w:pPr>
            <w:r>
              <w:rPr>
                <w:rFonts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b/>
                <w:bCs/>
                <w:color w:val="auto"/>
                <w:sz w:val="24"/>
                <w:highlight w:val="none"/>
              </w:rPr>
            </w:pPr>
            <w:r>
              <w:rPr>
                <w:rFonts w:hint="eastAsia" w:ascii="宋体" w:hAnsi="宋体" w:eastAsia="宋体" w:cs="华文仿宋"/>
                <w:b/>
                <w:color w:val="auto"/>
                <w:sz w:val="24"/>
                <w:highlight w:val="none"/>
                <w:lang w:bidi="ar"/>
              </w:rPr>
              <w:t>多中心数据采集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数据源：</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配置数据来源，可选择不同区域、医疗机构、科室专科诊疗数据作为数据来源</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采集管理</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1.支持配置采集规则列表管理，可新增、编辑、删除规则</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2.支持按自定义规则对数据进行脱敏处理</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3.支持设置采集频率</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数据导入</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1.支持对于已纳入本系统的医疗机构的专病数据，可以直接引用</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2.支持设置采集尚未接入本系统的其他医疗机构的科研数据</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数据治理：</w:t>
            </w:r>
            <w:r>
              <w:rPr>
                <w:rFonts w:hint="eastAsia" w:ascii="宋体" w:hAnsi="宋体" w:eastAsia="宋体"/>
                <w:color w:val="auto"/>
                <w:sz w:val="24"/>
                <w:highlight w:val="none"/>
                <w:lang w:eastAsia="zh-CN"/>
              </w:rPr>
              <w:t>通过ETL抽取，并进行数据清洗、处理等技术治理，形成完整、可用的科研数据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cs="华文仿宋"/>
                <w:b/>
                <w:color w:val="auto"/>
                <w:sz w:val="24"/>
                <w:highlight w:val="none"/>
                <w:lang w:bidi="ar"/>
              </w:rPr>
            </w:pPr>
            <w:r>
              <w:rPr>
                <w:rFonts w:hint="eastAsia" w:ascii="宋体" w:hAnsi="宋体" w:eastAsia="宋体" w:cs="华文仿宋"/>
                <w:b/>
                <w:color w:val="auto"/>
                <w:sz w:val="24"/>
                <w:highlight w:val="none"/>
                <w:lang w:bidi="ar"/>
              </w:rPr>
              <w:t>多中心科研项目管理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项目管理</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1.支持显示用户参与的科研项目列表，基本信息、患者入组数量等</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2.支持对项目进行编辑更新操作</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3.支持通过指定条件对项目进行精准检索</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报告管理</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1.支持显示用户参与的科研项目的分析结果报告列表，报告基本信息等</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2.支持通过指定条件对科研报告进行精准检索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jc w:val="center"/>
              <w:rPr>
                <w:rFonts w:ascii="宋体" w:hAnsi="宋体" w:eastAsia="宋体" w:cs="华文仿宋"/>
                <w:b/>
                <w:color w:val="auto"/>
                <w:sz w:val="24"/>
                <w:highlight w:val="none"/>
                <w:lang w:bidi="ar"/>
              </w:rPr>
            </w:pPr>
            <w:r>
              <w:rPr>
                <w:rFonts w:hint="eastAsia" w:ascii="宋体" w:hAnsi="宋体" w:eastAsia="宋体" w:cs="华文仿宋"/>
                <w:b/>
                <w:color w:val="auto"/>
                <w:sz w:val="24"/>
                <w:highlight w:val="none"/>
                <w:lang w:bidi="ar"/>
              </w:rPr>
              <w:t>多中心随访管理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项目管理</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显示用户参与的随访项目列表，表单基本信息等</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2.通过指定条件对项目进行精准检索</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3.支持随访表单设计、随访提醒、随访病历填写、随访信息查询</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患者管理</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显示用户参与的科研项目中入组的患者病例信息</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2.支持将指定患者信息按照模板导出csv保存</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随访执行</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显示用户参与的已执行中的随访数据列表</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2.支持对随访对象选择手工终止随访/失访，填写或者终止原因、失访原因</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3.支持手动填写随访表单，支持必填字段、数字值域、逻辑计算等校验</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CRF管理</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1.支持对问卷进行预览、编辑、删除、设为系统模板等管理，设置名称、类型、使用状态、创建日期等</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2.支持将表单数据项与数据源绑定，程序自动将数据抽取到CRF表单中</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3.支持自定义CRF模板、预设模板、共享模板</w:t>
            </w:r>
          </w:p>
        </w:tc>
      </w:tr>
    </w:tbl>
    <w:p>
      <w:pPr>
        <w:rPr>
          <w:rFonts w:ascii="宋体" w:hAnsi="宋体"/>
          <w:color w:val="auto"/>
          <w:sz w:val="24"/>
          <w:highlight w:val="none"/>
        </w:rPr>
      </w:pPr>
    </w:p>
    <w:p>
      <w:pPr>
        <w:pStyle w:val="5"/>
        <w:numPr>
          <w:ilvl w:val="2"/>
          <w:numId w:val="8"/>
        </w:numPr>
        <w:tabs>
          <w:tab w:val="clear" w:pos="720"/>
        </w:tabs>
        <w:autoSpaceDE/>
        <w:autoSpaceDN/>
        <w:adjustRightInd/>
        <w:spacing w:before="260" w:after="260" w:line="416" w:lineRule="auto"/>
        <w:jc w:val="both"/>
        <w:rPr>
          <w:rFonts w:hAnsi="宋体"/>
          <w:color w:val="auto"/>
          <w:szCs w:val="24"/>
          <w:highlight w:val="none"/>
        </w:rPr>
      </w:pPr>
      <w:bookmarkStart w:id="810" w:name="_Toc6000"/>
      <w:bookmarkStart w:id="811" w:name="_Toc1337376555"/>
      <w:bookmarkStart w:id="812" w:name="_Toc138439921"/>
      <w:r>
        <w:rPr>
          <w:rFonts w:hint="eastAsia" w:hAnsi="宋体"/>
          <w:color w:val="auto"/>
          <w:szCs w:val="24"/>
          <w:highlight w:val="none"/>
        </w:rPr>
        <w:t>远程医疗服务管理平台</w:t>
      </w:r>
      <w:bookmarkEnd w:id="754"/>
      <w:bookmarkEnd w:id="755"/>
      <w:bookmarkEnd w:id="810"/>
      <w:bookmarkEnd w:id="811"/>
      <w:bookmarkEnd w:id="812"/>
    </w:p>
    <w:p>
      <w:pPr>
        <w:pStyle w:val="6"/>
        <w:numPr>
          <w:ilvl w:val="3"/>
          <w:numId w:val="8"/>
        </w:numPr>
        <w:tabs>
          <w:tab w:val="clear" w:pos="864"/>
        </w:tabs>
        <w:spacing w:before="280" w:after="290" w:line="376" w:lineRule="auto"/>
        <w:rPr>
          <w:rFonts w:ascii="宋体" w:hAnsi="宋体"/>
          <w:color w:val="auto"/>
          <w:sz w:val="24"/>
          <w:szCs w:val="24"/>
          <w:highlight w:val="none"/>
        </w:rPr>
      </w:pPr>
      <w:bookmarkStart w:id="813" w:name="_Toc1886"/>
      <w:bookmarkStart w:id="814" w:name="_Toc2452"/>
      <w:bookmarkStart w:id="815" w:name="_Toc30741"/>
      <w:r>
        <w:rPr>
          <w:rFonts w:hint="eastAsia" w:ascii="宋体" w:hAnsi="宋体"/>
          <w:color w:val="auto"/>
          <w:sz w:val="24"/>
          <w:szCs w:val="24"/>
          <w:highlight w:val="none"/>
        </w:rPr>
        <w:t>多学科协作平台（MDT）</w:t>
      </w:r>
      <w:bookmarkEnd w:id="813"/>
      <w:bookmarkEnd w:id="814"/>
      <w:bookmarkEnd w:id="815"/>
    </w:p>
    <w:tbl>
      <w:tblPr>
        <w:tblStyle w:val="43"/>
        <w:tblW w:w="8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6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left="105" w:leftChars="50" w:right="105" w:rightChars="50"/>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1" w:leftChars="48" w:right="105" w:rightChars="50"/>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jc w:val="center"/>
              <w:rPr>
                <w:rFonts w:ascii="宋体" w:hAnsi="宋体" w:eastAsia="宋体"/>
                <w:b/>
                <w:bCs/>
                <w:color w:val="auto"/>
                <w:sz w:val="24"/>
                <w:highlight w:val="none"/>
              </w:rPr>
            </w:pPr>
            <w:r>
              <w:rPr>
                <w:rFonts w:hint="eastAsia" w:ascii="宋体" w:hAnsi="宋体" w:eastAsia="宋体"/>
                <w:b/>
                <w:color w:val="auto"/>
                <w:sz w:val="24"/>
                <w:highlight w:val="none"/>
                <w:lang w:bidi="ar"/>
              </w:rPr>
              <w:t>MDT团队管理</w:t>
            </w:r>
          </w:p>
        </w:tc>
        <w:tc>
          <w:tcPr>
            <w:tcW w:w="6622"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根据不同科室专家组成MDT团队。支持MDT团队新增、修改、删除、查看等操作。支持设置MDT团队负责人、主持人。MDT团队信息包含但不限于：团队名称、团队简介、组成成员、负责人、主持人等。支持MDT团队成员加入与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1" w:leftChars="48" w:right="105" w:rightChars="50"/>
              <w:jc w:val="center"/>
              <w:rPr>
                <w:rFonts w:ascii="宋体" w:hAnsi="宋体" w:eastAsia="宋体"/>
                <w:b/>
                <w:color w:val="auto"/>
                <w:sz w:val="24"/>
                <w:highlight w:val="none"/>
                <w:lang w:bidi="ar"/>
              </w:rPr>
            </w:pPr>
            <w:r>
              <w:rPr>
                <w:rFonts w:hint="eastAsia" w:ascii="宋体" w:hAnsi="宋体" w:eastAsia="宋体"/>
                <w:b/>
                <w:color w:val="auto"/>
                <w:sz w:val="24"/>
                <w:highlight w:val="none"/>
                <w:lang w:bidi="ar"/>
              </w:rPr>
              <w:t>数据接入</w:t>
            </w:r>
          </w:p>
        </w:tc>
        <w:tc>
          <w:tcPr>
            <w:tcW w:w="6622"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支持从接入医疗机构现有信息化系统（HIS、LIS、EMR、PACS）或集成平台中抽取患者临床诊疗数据。</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支持配置不同采集任务，任务脚本可以动态配置。</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支持提供不同的任务执行调度策略，可配置调度策略。</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支持数据归档，归档的数据包括患者信息、就诊信息、诊断信息、检查、检验、影像、医嘱等不同数据。</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支持查阅采集任务执行日志。</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支持数据校验，保证数据一致性、有效性、完整性。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jc w:val="center"/>
              <w:rPr>
                <w:rFonts w:ascii="宋体" w:hAnsi="宋体" w:eastAsia="宋体"/>
                <w:b/>
                <w:color w:val="auto"/>
                <w:sz w:val="24"/>
                <w:highlight w:val="none"/>
                <w:lang w:bidi="ar"/>
              </w:rPr>
            </w:pPr>
            <w:r>
              <w:rPr>
                <w:rFonts w:hint="eastAsia" w:ascii="宋体" w:hAnsi="宋体" w:eastAsia="宋体"/>
                <w:b/>
                <w:color w:val="auto"/>
                <w:sz w:val="24"/>
                <w:highlight w:val="none"/>
                <w:lang w:bidi="ar"/>
              </w:rPr>
              <w:t>临床患者中心</w:t>
            </w:r>
          </w:p>
        </w:tc>
        <w:tc>
          <w:tcPr>
            <w:tcW w:w="6622"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以卡片列表方式呈现门诊患者、住院患者列表</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支持显示门诊就诊患者信息，包括：姓名、性别、年龄、门诊号、就诊科室、就诊时间、主治医生等，支持按患者姓名、性别、科室、门诊号、就诊时间等进行过滤查询。</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支持显示住院患者信息，包括：姓名、性别、年龄、住院科室、住院号、床位、入院时间、主治医生等，支持按患者姓名、性别、科室、住院号、入院时间等进行过滤查询。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left="120" w:right="105" w:rightChars="50"/>
              <w:jc w:val="center"/>
              <w:rPr>
                <w:rFonts w:ascii="宋体" w:hAnsi="宋体" w:eastAsia="宋体"/>
                <w:b/>
                <w:bCs/>
                <w:color w:val="auto"/>
                <w:sz w:val="24"/>
                <w:highlight w:val="none"/>
                <w:lang w:eastAsia="zh-CN"/>
              </w:rPr>
            </w:pPr>
            <w:r>
              <w:rPr>
                <w:rFonts w:hint="eastAsia" w:ascii="宋体" w:hAnsi="宋体" w:eastAsia="宋体"/>
                <w:b/>
                <w:color w:val="auto"/>
                <w:sz w:val="24"/>
                <w:highlight w:val="none"/>
                <w:lang w:eastAsia="zh-CN" w:bidi="ar"/>
              </w:rPr>
              <w:t>病历一体化调阅</w:t>
            </w:r>
          </w:p>
        </w:tc>
        <w:tc>
          <w:tcPr>
            <w:tcW w:w="6622" w:type="dxa"/>
            <w:vAlign w:val="center"/>
          </w:tcPr>
          <w:p>
            <w:pPr>
              <w:pStyle w:val="201"/>
              <w:widowControl/>
              <w:numPr>
                <w:ilvl w:val="0"/>
                <w:numId w:val="36"/>
              </w:numPr>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提供统一界面呈现方式查看门诊、住院患者的就诊病历数据，包括：就诊时间、科室、主治医生、门诊病历、门诊用药、住院入记录、出院记录、住院医嘱、医学影像检查、实验室检验等。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left="120" w:right="105" w:rightChars="50"/>
              <w:jc w:val="center"/>
              <w:rPr>
                <w:rFonts w:ascii="宋体" w:hAnsi="宋体" w:eastAsia="宋体"/>
                <w:b/>
                <w:bCs/>
                <w:color w:val="auto"/>
                <w:sz w:val="24"/>
                <w:highlight w:val="none"/>
                <w:lang w:eastAsia="zh-CN"/>
              </w:rPr>
            </w:pPr>
            <w:r>
              <w:rPr>
                <w:rFonts w:hint="eastAsia" w:ascii="宋体" w:hAnsi="宋体" w:eastAsia="宋体"/>
                <w:b/>
                <w:color w:val="auto"/>
                <w:sz w:val="24"/>
                <w:highlight w:val="none"/>
                <w:lang w:eastAsia="zh-CN" w:bidi="ar"/>
              </w:rPr>
              <w:t>多学科协作中心</w:t>
            </w:r>
          </w:p>
        </w:tc>
        <w:tc>
          <w:tcPr>
            <w:tcW w:w="6622"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显示多学科协作列表，显示受邀参加、发起的多学科协作记录,包括：患者信息、状态、主持人、MDT团队、地点、目的、发起时间、报告时间等，可查看申请详情，可查看参与协作的MDT团队成员，支持查看报告。可根据不同查询条件进行快速检索。</w:t>
            </w:r>
          </w:p>
          <w:p>
            <w:pPr>
              <w:pStyle w:val="201"/>
              <w:widowControl/>
              <w:numPr>
                <w:ilvl w:val="0"/>
                <w:numId w:val="36"/>
              </w:numPr>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color w:val="auto"/>
                <w:sz w:val="24"/>
                <w:highlight w:val="none"/>
                <w:lang w:eastAsia="zh-CN"/>
              </w:rPr>
              <w:t>支持多学科协作申请操作，通过选择患者、选择M</w:t>
            </w:r>
            <w:r>
              <w:rPr>
                <w:rFonts w:ascii="宋体" w:hAnsi="宋体" w:eastAsia="宋体"/>
                <w:color w:val="auto"/>
                <w:sz w:val="24"/>
                <w:highlight w:val="none"/>
                <w:lang w:eastAsia="zh-CN"/>
              </w:rPr>
              <w:t>DT</w:t>
            </w:r>
            <w:r>
              <w:rPr>
                <w:rFonts w:hint="eastAsia" w:ascii="宋体" w:hAnsi="宋体" w:eastAsia="宋体"/>
                <w:color w:val="auto"/>
                <w:sz w:val="24"/>
                <w:highlight w:val="none"/>
                <w:lang w:eastAsia="zh-CN"/>
              </w:rPr>
              <w:t>专家团队、填写会诊目的、时间安排、补充附件资料等，提交申请即可发起多学科协作。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left="0" w:right="105" w:rightChars="50"/>
              <w:jc w:val="center"/>
              <w:rPr>
                <w:rFonts w:ascii="宋体" w:hAnsi="宋体" w:eastAsia="宋体"/>
                <w:b/>
                <w:bCs/>
                <w:color w:val="auto"/>
                <w:sz w:val="24"/>
                <w:highlight w:val="none"/>
                <w:lang w:eastAsia="zh-CN"/>
              </w:rPr>
            </w:pPr>
            <w:r>
              <w:rPr>
                <w:rFonts w:hint="eastAsia" w:ascii="宋体" w:hAnsi="宋体" w:eastAsia="宋体"/>
                <w:b/>
                <w:color w:val="auto"/>
                <w:sz w:val="24"/>
                <w:highlight w:val="none"/>
                <w:lang w:eastAsia="zh-CN" w:bidi="ar"/>
              </w:rPr>
              <w:t>多学科流程管理</w:t>
            </w:r>
          </w:p>
        </w:tc>
        <w:tc>
          <w:tcPr>
            <w:tcW w:w="6622" w:type="dxa"/>
            <w:vAlign w:val="center"/>
          </w:tcPr>
          <w:p>
            <w:pPr>
              <w:pStyle w:val="201"/>
              <w:widowControl/>
              <w:numPr>
                <w:ilvl w:val="0"/>
                <w:numId w:val="36"/>
              </w:numPr>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根据不同接入机构、发起机构需要可设定不同的流程。可设置流程节点开关，根据需要开启或关闭。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left="0" w:right="105" w:rightChars="50"/>
              <w:jc w:val="center"/>
              <w:rPr>
                <w:rFonts w:ascii="宋体" w:hAnsi="宋体" w:eastAsia="宋体"/>
                <w:b/>
                <w:color w:val="auto"/>
                <w:sz w:val="24"/>
                <w:highlight w:val="none"/>
                <w:lang w:eastAsia="zh-CN" w:bidi="ar"/>
              </w:rPr>
            </w:pPr>
            <w:r>
              <w:rPr>
                <w:rFonts w:hint="eastAsia" w:ascii="宋体" w:hAnsi="宋体" w:eastAsia="宋体"/>
                <w:b/>
                <w:color w:val="auto"/>
                <w:sz w:val="24"/>
                <w:highlight w:val="none"/>
                <w:lang w:eastAsia="zh-CN" w:bidi="ar"/>
              </w:rPr>
              <w:t>多学科报告</w:t>
            </w:r>
          </w:p>
        </w:tc>
        <w:tc>
          <w:tcPr>
            <w:tcW w:w="6622"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支持填写专家意见，参与会诊的MDT专家可根据患者病历、会诊讨论填写对应的诊断或治疗意见。</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支持编辑会诊报告，根据专家意见，输出整理会诊报告。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jc w:val="center"/>
              <w:rPr>
                <w:rFonts w:ascii="宋体" w:hAnsi="宋体" w:cs="仿宋"/>
                <w:b/>
                <w:color w:val="auto"/>
                <w:sz w:val="24"/>
                <w:highlight w:val="none"/>
                <w:lang w:bidi="ar"/>
              </w:rPr>
            </w:pPr>
            <w:r>
              <w:rPr>
                <w:rFonts w:hint="eastAsia" w:ascii="宋体" w:hAnsi="宋体" w:cs="仿宋"/>
                <w:b/>
                <w:color w:val="auto"/>
                <w:sz w:val="24"/>
                <w:highlight w:val="none"/>
                <w:lang w:bidi="ar"/>
              </w:rPr>
              <w:t>治疗效果评估</w:t>
            </w:r>
          </w:p>
          <w:p>
            <w:pPr>
              <w:pStyle w:val="201"/>
              <w:widowControl/>
              <w:spacing w:before="6" w:line="360" w:lineRule="auto"/>
              <w:ind w:left="120" w:right="105" w:rightChars="50" w:firstLine="480"/>
              <w:jc w:val="center"/>
              <w:rPr>
                <w:rFonts w:ascii="宋体" w:hAnsi="宋体" w:eastAsia="宋体"/>
                <w:b/>
                <w:color w:val="auto"/>
                <w:sz w:val="24"/>
                <w:highlight w:val="none"/>
                <w:lang w:eastAsia="zh-CN" w:bidi="ar"/>
              </w:rPr>
            </w:pPr>
          </w:p>
        </w:tc>
        <w:tc>
          <w:tcPr>
            <w:tcW w:w="6622"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根据多学科协作输出的治疗方案，基于患者后续的检查、检验等治疗复查数据对治疗效果进行反馈。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left="0" w:right="105" w:rightChars="50"/>
              <w:jc w:val="center"/>
              <w:rPr>
                <w:rFonts w:ascii="宋体" w:hAnsi="宋体" w:eastAsia="宋体"/>
                <w:b/>
                <w:color w:val="auto"/>
                <w:sz w:val="24"/>
                <w:highlight w:val="none"/>
                <w:lang w:eastAsia="zh-CN" w:bidi="ar"/>
              </w:rPr>
            </w:pPr>
            <w:r>
              <w:rPr>
                <w:rFonts w:hint="eastAsia" w:ascii="宋体" w:hAnsi="宋体" w:eastAsia="宋体"/>
                <w:b/>
                <w:color w:val="auto"/>
                <w:sz w:val="24"/>
                <w:highlight w:val="none"/>
                <w:lang w:eastAsia="zh-CN" w:bidi="ar"/>
              </w:rPr>
              <w:t>消息通知</w:t>
            </w:r>
          </w:p>
        </w:tc>
        <w:tc>
          <w:tcPr>
            <w:tcW w:w="6622"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支持以邮件、短信、系统消息、微信扫码分享等方式发送通知信息。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left="0" w:right="105" w:rightChars="50"/>
              <w:jc w:val="center"/>
              <w:rPr>
                <w:rFonts w:ascii="宋体" w:hAnsi="宋体" w:eastAsia="宋体"/>
                <w:b/>
                <w:color w:val="auto"/>
                <w:sz w:val="24"/>
                <w:highlight w:val="none"/>
                <w:lang w:eastAsia="zh-CN" w:bidi="ar"/>
              </w:rPr>
            </w:pPr>
            <w:r>
              <w:rPr>
                <w:rFonts w:hint="eastAsia" w:ascii="宋体" w:hAnsi="宋体" w:eastAsia="宋体"/>
                <w:b/>
                <w:color w:val="auto"/>
                <w:sz w:val="24"/>
                <w:highlight w:val="none"/>
                <w:lang w:eastAsia="zh-CN" w:bidi="ar"/>
              </w:rPr>
              <w:t>数据统计</w:t>
            </w:r>
          </w:p>
        </w:tc>
        <w:tc>
          <w:tcPr>
            <w:tcW w:w="6622"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支持从不同维度统计多学科协作（MDT）数据，输出统计报表,可在线打印或导出。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b/>
                <w:color w:val="auto"/>
                <w:sz w:val="24"/>
                <w:highlight w:val="none"/>
                <w:lang w:eastAsia="zh-CN" w:bidi="ar"/>
              </w:rPr>
            </w:pPr>
            <w:r>
              <w:rPr>
                <w:rFonts w:hint="eastAsia" w:ascii="宋体" w:hAnsi="宋体" w:eastAsia="宋体"/>
                <w:b/>
                <w:color w:val="auto"/>
                <w:sz w:val="24"/>
                <w:highlight w:val="none"/>
                <w:lang w:eastAsia="zh-CN" w:bidi="ar"/>
              </w:rPr>
              <w:t>基础数据管理</w:t>
            </w:r>
          </w:p>
        </w:tc>
        <w:tc>
          <w:tcPr>
            <w:tcW w:w="6622"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包括平台用户、角色、权限、接入机构、科室、专家、数据字典、系统参数等基础数据管理。</w:t>
            </w:r>
          </w:p>
        </w:tc>
      </w:tr>
    </w:tbl>
    <w:p>
      <w:pPr>
        <w:rPr>
          <w:rFonts w:ascii="宋体" w:hAnsi="宋体"/>
          <w:color w:val="auto"/>
          <w:sz w:val="24"/>
          <w:highlight w:val="none"/>
        </w:rPr>
      </w:pPr>
    </w:p>
    <w:p>
      <w:pPr>
        <w:pStyle w:val="6"/>
        <w:numPr>
          <w:ilvl w:val="3"/>
          <w:numId w:val="8"/>
        </w:numPr>
        <w:tabs>
          <w:tab w:val="clear" w:pos="864"/>
        </w:tabs>
        <w:spacing w:before="280" w:after="290" w:line="376" w:lineRule="auto"/>
        <w:rPr>
          <w:rFonts w:ascii="宋体" w:hAnsi="宋体"/>
          <w:color w:val="auto"/>
          <w:sz w:val="24"/>
          <w:szCs w:val="24"/>
          <w:highlight w:val="none"/>
        </w:rPr>
      </w:pPr>
      <w:bookmarkStart w:id="816" w:name="_Toc27648"/>
      <w:bookmarkStart w:id="817" w:name="_Toc7000"/>
      <w:r>
        <w:rPr>
          <w:rFonts w:hint="eastAsia" w:ascii="宋体" w:hAnsi="宋体"/>
          <w:color w:val="auto"/>
          <w:sz w:val="24"/>
          <w:szCs w:val="24"/>
          <w:highlight w:val="none"/>
        </w:rPr>
        <w:t>专科医联体</w:t>
      </w:r>
      <w:bookmarkEnd w:id="816"/>
      <w:bookmarkEnd w:id="817"/>
    </w:p>
    <w:tbl>
      <w:tblPr>
        <w:tblStyle w:val="43"/>
        <w:tblW w:w="8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left="105" w:leftChars="50" w:right="105" w:rightChars="50"/>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571" w:type="dxa"/>
            <w:shd w:val="clear" w:color="auto" w:fill="4472C4"/>
            <w:vAlign w:val="center"/>
          </w:tcPr>
          <w:p>
            <w:pPr>
              <w:pStyle w:val="201"/>
              <w:spacing w:before="13" w:line="360" w:lineRule="auto"/>
              <w:ind w:left="101" w:leftChars="48" w:right="105" w:rightChars="50"/>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0" w:right="105" w:rightChars="50"/>
              <w:jc w:val="center"/>
              <w:rPr>
                <w:rFonts w:ascii="宋体" w:hAnsi="宋体" w:eastAsia="宋体"/>
                <w:b/>
                <w:bCs/>
                <w:color w:val="auto"/>
                <w:sz w:val="24"/>
                <w:highlight w:val="none"/>
              </w:rPr>
            </w:pPr>
            <w:r>
              <w:rPr>
                <w:rFonts w:hint="eastAsia" w:ascii="宋体" w:hAnsi="宋体" w:eastAsia="宋体"/>
                <w:b/>
                <w:color w:val="auto"/>
                <w:sz w:val="24"/>
                <w:highlight w:val="none"/>
                <w:lang w:eastAsia="zh-CN" w:bidi="ar"/>
              </w:rPr>
              <w:t>机构管理</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支持对加入专科医联体的机构进行统一管理，包括：机构名称、机构代码、地址、联系电话、介绍、级别等。支持按专科、机构名称、地区等信息进行检索过滤。</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支持对加入专科医联体的机构科室进行统一管理，可同步匹配医院HIS中的科室名称、科室代码等信息。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left="0" w:right="105" w:rightChars="50"/>
              <w:jc w:val="center"/>
              <w:rPr>
                <w:rFonts w:ascii="宋体" w:hAnsi="宋体" w:eastAsia="宋体"/>
                <w:b/>
                <w:color w:val="auto"/>
                <w:sz w:val="24"/>
                <w:highlight w:val="none"/>
                <w:lang w:eastAsia="zh-CN" w:bidi="ar"/>
              </w:rPr>
            </w:pPr>
            <w:r>
              <w:rPr>
                <w:rFonts w:hint="eastAsia" w:ascii="宋体" w:hAnsi="宋体" w:eastAsia="宋体"/>
                <w:b/>
                <w:color w:val="auto"/>
                <w:sz w:val="24"/>
                <w:highlight w:val="none"/>
                <w:lang w:eastAsia="zh-CN" w:bidi="ar"/>
              </w:rPr>
              <w:t>专家管理</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支持各自机构添加本机构的会诊专家，内容包括但不限于姓名、性别、科室、数据权限科室、职称、简介等。</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支持设置准入条件，符合要求的专家方可入住专科医联体专家库。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left="0" w:right="105" w:rightChars="50"/>
              <w:jc w:val="center"/>
              <w:rPr>
                <w:rFonts w:ascii="宋体" w:hAnsi="宋体" w:eastAsia="宋体"/>
                <w:b/>
                <w:color w:val="auto"/>
                <w:sz w:val="24"/>
                <w:highlight w:val="none"/>
                <w:lang w:eastAsia="zh-CN" w:bidi="ar"/>
              </w:rPr>
            </w:pPr>
            <w:r>
              <w:rPr>
                <w:rFonts w:hint="eastAsia" w:ascii="宋体" w:hAnsi="宋体" w:eastAsia="宋体"/>
                <w:b/>
                <w:color w:val="auto"/>
                <w:sz w:val="24"/>
                <w:highlight w:val="none"/>
                <w:lang w:eastAsia="zh-CN" w:bidi="ar"/>
              </w:rPr>
              <w:t>联盟管理</w:t>
            </w:r>
          </w:p>
          <w:p>
            <w:pPr>
              <w:pStyle w:val="201"/>
              <w:widowControl/>
              <w:spacing w:before="6" w:line="360" w:lineRule="auto"/>
              <w:ind w:left="120" w:right="105" w:rightChars="50" w:firstLine="480"/>
              <w:jc w:val="center"/>
              <w:rPr>
                <w:rFonts w:ascii="宋体" w:hAnsi="宋体" w:eastAsia="宋体"/>
                <w:b/>
                <w:color w:val="auto"/>
                <w:sz w:val="24"/>
                <w:highlight w:val="none"/>
                <w:lang w:eastAsia="zh-CN" w:bidi="ar"/>
              </w:rPr>
            </w:pP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创建不同的专科联盟。申请加入联盟的机构在准入后方可成为联盟的成员单位。可指定不同联盟管理人员与质控人员。支持查看联盟中的机构列表与机构中的会诊专家。支持对联盟成员机构的停用以及退出等操作。须提供操作视频（视频内容包含功能点：1.创建专科联盟；2.指定专科联盟的管理人员、质控人员；3.查看专科联盟成员机构信息以及机构的会诊专家详情；4.联盟成员机构的停用/启用以及退出功能操作。</w:t>
            </w:r>
            <w:r>
              <w:rPr>
                <w:rFonts w:hint="eastAsia" w:ascii="宋体" w:hAnsi="宋体" w:eastAsia="宋体"/>
                <w:color w:val="auto"/>
                <w:kern w:val="0"/>
                <w:sz w:val="24"/>
                <w:highlight w:val="none"/>
                <w:lang w:eastAsia="zh-CN"/>
              </w:rPr>
              <w:t>需按</w:t>
            </w:r>
            <w:r>
              <w:rPr>
                <w:rFonts w:hint="eastAsia" w:ascii="宋体" w:hAnsi="宋体" w:eastAsia="宋体"/>
                <w:color w:val="auto"/>
                <w:sz w:val="24"/>
                <w:highlight w:val="none"/>
                <w:lang w:eastAsia="zh-CN"/>
              </w:rPr>
              <w:t>以上功能点顺序录制操作视频及人工语音讲解）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left="0" w:right="105" w:rightChars="50"/>
              <w:jc w:val="center"/>
              <w:rPr>
                <w:rFonts w:ascii="宋体" w:hAnsi="宋体" w:eastAsia="宋体"/>
                <w:b/>
                <w:color w:val="auto"/>
                <w:sz w:val="24"/>
                <w:highlight w:val="none"/>
                <w:lang w:eastAsia="zh-CN" w:bidi="ar"/>
              </w:rPr>
            </w:pPr>
            <w:r>
              <w:rPr>
                <w:rFonts w:hint="eastAsia" w:ascii="宋体" w:hAnsi="宋体" w:eastAsia="宋体"/>
                <w:b/>
                <w:color w:val="auto"/>
                <w:sz w:val="24"/>
                <w:highlight w:val="none"/>
                <w:lang w:eastAsia="zh-CN" w:bidi="ar"/>
              </w:rPr>
              <w:t>专科数据接入</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color w:val="auto"/>
                <w:sz w:val="24"/>
                <w:highlight w:val="none"/>
                <w:lang w:eastAsia="zh-CN"/>
              </w:rPr>
              <w:t>支持接入专科医联体各医疗机构临床业务系统或集成平台中的患者诊疗数据。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left="0" w:right="105" w:rightChars="50"/>
              <w:jc w:val="center"/>
              <w:rPr>
                <w:rFonts w:ascii="宋体" w:hAnsi="宋体" w:eastAsia="宋体"/>
                <w:b/>
                <w:color w:val="auto"/>
                <w:sz w:val="24"/>
                <w:highlight w:val="none"/>
                <w:lang w:eastAsia="zh-CN" w:bidi="ar"/>
              </w:rPr>
            </w:pPr>
            <w:r>
              <w:rPr>
                <w:rFonts w:hint="eastAsia" w:ascii="宋体" w:hAnsi="宋体" w:eastAsia="宋体"/>
                <w:b/>
                <w:color w:val="auto"/>
                <w:sz w:val="24"/>
                <w:highlight w:val="none"/>
                <w:lang w:eastAsia="zh-CN" w:bidi="ar"/>
              </w:rPr>
              <w:t>专科会诊中心</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显示会诊记录列表，包含不同状态（未通过、待审核、待安排、待报告、待总结和已完成）的会诊记录，用户可以按不同检索条件查阅会诊信息。</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支持发起专科会诊申请，选择患者病历、填写会诊目的、预约专家、预约时间，提交申请即可在专科联盟内发起会诊。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left="0" w:right="105" w:rightChars="50"/>
              <w:jc w:val="center"/>
              <w:rPr>
                <w:rFonts w:ascii="宋体" w:hAnsi="宋体" w:eastAsia="宋体"/>
                <w:b/>
                <w:color w:val="auto"/>
                <w:sz w:val="24"/>
                <w:highlight w:val="none"/>
                <w:lang w:eastAsia="zh-CN" w:bidi="ar"/>
              </w:rPr>
            </w:pPr>
            <w:r>
              <w:rPr>
                <w:rFonts w:hint="eastAsia" w:ascii="宋体" w:hAnsi="宋体" w:eastAsia="宋体"/>
                <w:b/>
                <w:color w:val="auto"/>
                <w:sz w:val="24"/>
                <w:highlight w:val="none"/>
                <w:lang w:eastAsia="zh-CN" w:bidi="ar"/>
              </w:rPr>
              <w:t>会诊报告</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支持根据会诊讨论结果输出会诊报告。</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支持在线打印会诊报告。</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支持申请方向受邀会诊专家评分机制，评分内容不限于：专业性、态度、时效等。</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支持微信扫码分享会诊报告。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left="0" w:right="105" w:rightChars="50"/>
              <w:jc w:val="center"/>
              <w:rPr>
                <w:rFonts w:ascii="宋体" w:hAnsi="宋体" w:eastAsia="宋体"/>
                <w:b/>
                <w:color w:val="auto"/>
                <w:sz w:val="24"/>
                <w:highlight w:val="none"/>
                <w:lang w:eastAsia="zh-CN" w:bidi="ar"/>
              </w:rPr>
            </w:pPr>
            <w:r>
              <w:rPr>
                <w:rFonts w:hint="eastAsia" w:ascii="宋体" w:hAnsi="宋体" w:eastAsia="宋体"/>
                <w:b/>
                <w:color w:val="auto"/>
                <w:sz w:val="24"/>
                <w:highlight w:val="none"/>
                <w:lang w:eastAsia="zh-CN" w:bidi="ar"/>
              </w:rPr>
              <w:t>系统通知</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支持通过短信、邮件、微信扫码、系统消息等多渠道发送系统通知消息，让相关人员第一时间能接收、查阅重要的信息。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left="0" w:right="105" w:rightChars="50"/>
              <w:jc w:val="center"/>
              <w:rPr>
                <w:rFonts w:ascii="宋体" w:hAnsi="宋体" w:eastAsia="宋体"/>
                <w:b/>
                <w:color w:val="auto"/>
                <w:sz w:val="24"/>
                <w:highlight w:val="none"/>
                <w:lang w:eastAsia="zh-CN" w:bidi="ar"/>
              </w:rPr>
            </w:pPr>
            <w:r>
              <w:rPr>
                <w:rFonts w:hint="eastAsia" w:ascii="宋体" w:hAnsi="宋体" w:eastAsia="宋体"/>
                <w:b/>
                <w:color w:val="auto"/>
                <w:sz w:val="24"/>
                <w:highlight w:val="none"/>
                <w:lang w:eastAsia="zh-CN" w:bidi="ar"/>
              </w:rPr>
              <w:t>统计分析</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根据不同统计维度输出数据报表，用于管理决策或计费等。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left="0" w:right="105" w:rightChars="50"/>
              <w:jc w:val="center"/>
              <w:rPr>
                <w:rFonts w:ascii="宋体" w:hAnsi="宋体" w:eastAsia="宋体"/>
                <w:b/>
                <w:color w:val="auto"/>
                <w:sz w:val="24"/>
                <w:highlight w:val="none"/>
                <w:lang w:eastAsia="zh-CN" w:bidi="ar"/>
              </w:rPr>
            </w:pPr>
            <w:r>
              <w:rPr>
                <w:rFonts w:hint="eastAsia" w:ascii="宋体" w:hAnsi="宋体" w:eastAsia="宋体"/>
                <w:b/>
                <w:color w:val="auto"/>
                <w:sz w:val="24"/>
                <w:highlight w:val="none"/>
                <w:lang w:eastAsia="zh-CN" w:bidi="ar"/>
              </w:rPr>
              <w:t>系统管理</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支持用户管理，统一管理平台的用户信息</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支持角色管理，根据业务流程及岗位权限设置不同的角色</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支持计费管理，根据不同专家职称统一设置不同级别的费用</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支持常用参数配置，系统常用参数管理等</w:t>
            </w:r>
          </w:p>
        </w:tc>
      </w:tr>
    </w:tbl>
    <w:p>
      <w:pPr>
        <w:ind w:firstLine="480"/>
        <w:rPr>
          <w:rFonts w:ascii="宋体" w:hAnsi="宋体"/>
          <w:color w:val="auto"/>
          <w:sz w:val="24"/>
          <w:highlight w:val="none"/>
        </w:rPr>
      </w:pPr>
    </w:p>
    <w:p>
      <w:pPr>
        <w:pStyle w:val="6"/>
        <w:numPr>
          <w:ilvl w:val="3"/>
          <w:numId w:val="8"/>
        </w:numPr>
        <w:tabs>
          <w:tab w:val="clear" w:pos="864"/>
        </w:tabs>
        <w:spacing w:before="280" w:after="290" w:line="376" w:lineRule="auto"/>
        <w:rPr>
          <w:rFonts w:ascii="宋体" w:hAnsi="宋体"/>
          <w:color w:val="auto"/>
          <w:sz w:val="24"/>
          <w:szCs w:val="24"/>
          <w:highlight w:val="none"/>
        </w:rPr>
      </w:pPr>
      <w:bookmarkStart w:id="818" w:name="_Toc7702"/>
      <w:bookmarkStart w:id="819" w:name="_Toc28812"/>
      <w:bookmarkStart w:id="820" w:name="_Toc30343"/>
      <w:r>
        <w:rPr>
          <w:rFonts w:hint="eastAsia" w:ascii="宋体" w:hAnsi="宋体"/>
          <w:color w:val="auto"/>
          <w:sz w:val="24"/>
          <w:szCs w:val="24"/>
          <w:highlight w:val="none"/>
        </w:rPr>
        <w:t>远程医疗</w:t>
      </w:r>
      <w:bookmarkEnd w:id="818"/>
      <w:bookmarkEnd w:id="819"/>
      <w:bookmarkEnd w:id="820"/>
    </w:p>
    <w:tbl>
      <w:tblPr>
        <w:tblStyle w:val="43"/>
        <w:tblW w:w="8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left="105" w:leftChars="50" w:right="105" w:rightChars="50"/>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571" w:type="dxa"/>
            <w:shd w:val="clear" w:color="auto" w:fill="4472C4"/>
            <w:vAlign w:val="center"/>
          </w:tcPr>
          <w:p>
            <w:pPr>
              <w:pStyle w:val="201"/>
              <w:spacing w:before="13" w:line="360" w:lineRule="auto"/>
              <w:ind w:left="101" w:leftChars="48" w:right="105" w:rightChars="50"/>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86" w:hRule="atLeast"/>
          <w:jc w:val="center"/>
        </w:trPr>
        <w:tc>
          <w:tcPr>
            <w:tcW w:w="1696" w:type="dxa"/>
            <w:vAlign w:val="center"/>
          </w:tcPr>
          <w:p>
            <w:pPr>
              <w:pStyle w:val="201"/>
              <w:widowControl/>
              <w:spacing w:before="6" w:line="360" w:lineRule="auto"/>
              <w:ind w:left="0" w:right="105" w:rightChars="50"/>
              <w:jc w:val="center"/>
              <w:rPr>
                <w:rFonts w:ascii="宋体" w:hAnsi="宋体" w:eastAsia="宋体"/>
                <w:b/>
                <w:color w:val="auto"/>
                <w:sz w:val="24"/>
                <w:highlight w:val="none"/>
                <w:lang w:eastAsia="zh-CN" w:bidi="ar"/>
              </w:rPr>
            </w:pPr>
            <w:r>
              <w:rPr>
                <w:rFonts w:hint="eastAsia" w:ascii="宋体" w:hAnsi="宋体" w:eastAsia="宋体"/>
                <w:b/>
                <w:color w:val="auto"/>
                <w:sz w:val="24"/>
                <w:highlight w:val="none"/>
                <w:lang w:eastAsia="zh-CN" w:bidi="ar"/>
              </w:rPr>
              <w:t>数据接入</w:t>
            </w:r>
          </w:p>
          <w:p>
            <w:pPr>
              <w:pStyle w:val="201"/>
              <w:widowControl/>
              <w:spacing w:before="6" w:line="360" w:lineRule="auto"/>
              <w:ind w:left="120" w:right="105" w:rightChars="50" w:firstLine="480"/>
              <w:jc w:val="center"/>
              <w:rPr>
                <w:rFonts w:ascii="宋体" w:hAnsi="宋体" w:eastAsia="宋体"/>
                <w:b/>
                <w:color w:val="auto"/>
                <w:sz w:val="24"/>
                <w:highlight w:val="none"/>
                <w:lang w:eastAsia="zh-CN" w:bidi="ar"/>
              </w:rPr>
            </w:pP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从医院HIS、LIS、PACS、EMR等系统获取患者诊疗数据(门诊患者信息、门诊诊疗信息、门诊诊断、门诊用药、门诊病历、门诊病程、住院患者信息、住院诊疗信息、住院诊断、住院医嘱、入院记录、首次病程、日常病程、出院小结、实验室检验、影像学检查等)，也可通过机构现有集成平台获取患者诊疗数据。</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支持采集任务管理，可以配置不同采集任务，任务脚本可以动态配置，实时生效。</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支持调度管理，提供不同的任务执行调度策略，可配置调度策略。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left="0" w:right="105" w:rightChars="50"/>
              <w:jc w:val="center"/>
              <w:rPr>
                <w:rFonts w:ascii="宋体" w:hAnsi="宋体" w:eastAsia="宋体"/>
                <w:b/>
                <w:color w:val="auto"/>
                <w:sz w:val="24"/>
                <w:highlight w:val="none"/>
                <w:lang w:eastAsia="zh-CN" w:bidi="ar"/>
              </w:rPr>
            </w:pPr>
            <w:r>
              <w:rPr>
                <w:rFonts w:hint="eastAsia" w:ascii="宋体" w:hAnsi="宋体" w:eastAsia="宋体"/>
                <w:b/>
                <w:color w:val="auto"/>
                <w:sz w:val="24"/>
                <w:highlight w:val="none"/>
                <w:lang w:eastAsia="zh-CN" w:bidi="ar"/>
              </w:rPr>
              <w:t>患者中心</w:t>
            </w:r>
          </w:p>
          <w:p>
            <w:pPr>
              <w:pStyle w:val="201"/>
              <w:widowControl/>
              <w:spacing w:before="6" w:line="360" w:lineRule="auto"/>
              <w:ind w:left="120" w:right="105" w:rightChars="50" w:firstLine="480"/>
              <w:jc w:val="center"/>
              <w:rPr>
                <w:rFonts w:ascii="宋体" w:hAnsi="宋体" w:eastAsia="宋体"/>
                <w:b/>
                <w:color w:val="auto"/>
                <w:sz w:val="24"/>
                <w:highlight w:val="none"/>
                <w:lang w:eastAsia="zh-CN" w:bidi="ar"/>
              </w:rPr>
            </w:pP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显示当前系统登录用户所属医院门诊、住院患者信息列表,支持按不同过滤条件进行检索。同时还可以针对不能接入数据的医疗机构通过手动方式创建就诊患者。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left="120" w:right="105" w:rightChars="50"/>
              <w:jc w:val="center"/>
              <w:rPr>
                <w:rFonts w:ascii="宋体" w:hAnsi="宋体" w:eastAsia="宋体"/>
                <w:b/>
                <w:color w:val="auto"/>
                <w:sz w:val="24"/>
                <w:highlight w:val="none"/>
                <w:lang w:eastAsia="zh-CN" w:bidi="ar"/>
              </w:rPr>
            </w:pPr>
            <w:r>
              <w:rPr>
                <w:rFonts w:hint="eastAsia" w:ascii="宋体" w:hAnsi="宋体" w:eastAsia="宋体"/>
                <w:b/>
                <w:color w:val="auto"/>
                <w:sz w:val="24"/>
                <w:highlight w:val="none"/>
                <w:lang w:eastAsia="zh-CN" w:bidi="ar"/>
              </w:rPr>
              <w:t>病历全景视图</w:t>
            </w:r>
          </w:p>
          <w:p>
            <w:pPr>
              <w:pStyle w:val="201"/>
              <w:widowControl/>
              <w:spacing w:before="6" w:line="360" w:lineRule="auto"/>
              <w:ind w:left="120" w:right="105" w:rightChars="50" w:firstLine="480"/>
              <w:jc w:val="center"/>
              <w:rPr>
                <w:rFonts w:ascii="宋体" w:hAnsi="宋体" w:eastAsia="宋体"/>
                <w:b/>
                <w:color w:val="auto"/>
                <w:sz w:val="24"/>
                <w:highlight w:val="none"/>
                <w:lang w:eastAsia="zh-CN" w:bidi="ar"/>
              </w:rPr>
            </w:pP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支持在同一个界面上查阅患者在不同医疗机构就诊记录、检查、检验、电子病历、医嘱等患者诊疗数据，无需切换第三方系统。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left="0" w:right="105" w:rightChars="50"/>
              <w:jc w:val="center"/>
              <w:rPr>
                <w:rFonts w:ascii="宋体" w:hAnsi="宋体" w:eastAsia="宋体"/>
                <w:b/>
                <w:color w:val="auto"/>
                <w:sz w:val="24"/>
                <w:highlight w:val="none"/>
                <w:lang w:eastAsia="zh-CN" w:bidi="ar"/>
              </w:rPr>
            </w:pPr>
            <w:r>
              <w:rPr>
                <w:rFonts w:hint="eastAsia" w:ascii="宋体" w:hAnsi="宋体" w:eastAsia="宋体"/>
                <w:b/>
                <w:color w:val="auto"/>
                <w:sz w:val="24"/>
                <w:highlight w:val="none"/>
                <w:lang w:eastAsia="zh-CN" w:bidi="ar"/>
              </w:rPr>
              <w:t>会诊中心</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支持显示由当前用户发起的会诊记录，包括：患者信息、申请信息、预约信息、状态，可查看明细、会诊日志记录等，可按不同过滤条件进行快速检索。</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支持显示受邀请参与的会诊记录，包括：患者信息、申请信息、预约信息、状态，可查看明细、会诊日志记录等，可按不同过滤条件进行快速检索。</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发起会诊申请，通过选择患者、病情情况，填写会诊目的、初诊诊断、病史摘要等，填写会诊申请信息、会诊预约信息、上传其它附件资料，提交会诊患者知情同意书，附件资料或知情同意书支持通过手机扫码方式直接上传。填写好相关信息后提交申请即可发起会诊。</w:t>
            </w:r>
          </w:p>
          <w:p>
            <w:pPr>
              <w:pStyle w:val="201"/>
              <w:widowControl/>
              <w:numPr>
                <w:ilvl w:val="0"/>
                <w:numId w:val="36"/>
              </w:numPr>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color w:val="auto"/>
                <w:sz w:val="24"/>
                <w:highlight w:val="none"/>
                <w:lang w:eastAsia="zh-CN"/>
              </w:rPr>
              <w:t>支持发起在线交互式会诊或离线会诊</w:t>
            </w:r>
          </w:p>
          <w:p>
            <w:pPr>
              <w:pStyle w:val="201"/>
              <w:widowControl/>
              <w:numPr>
                <w:ilvl w:val="0"/>
                <w:numId w:val="36"/>
              </w:numPr>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color w:val="auto"/>
                <w:kern w:val="0"/>
                <w:sz w:val="24"/>
                <w:highlight w:val="none"/>
                <w:lang w:eastAsia="zh-CN"/>
              </w:rPr>
              <w:t>须提供远程医疗相关软件著作权登记证书扫描件并加盖公章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left="0" w:right="105" w:rightChars="50"/>
              <w:jc w:val="center"/>
              <w:rPr>
                <w:rFonts w:ascii="宋体" w:hAnsi="宋体" w:eastAsia="宋体"/>
                <w:b/>
                <w:color w:val="auto"/>
                <w:sz w:val="24"/>
                <w:highlight w:val="none"/>
                <w:lang w:eastAsia="zh-CN" w:bidi="ar"/>
              </w:rPr>
            </w:pPr>
            <w:r>
              <w:rPr>
                <w:rFonts w:hint="eastAsia" w:ascii="宋体" w:hAnsi="宋体" w:eastAsia="宋体"/>
                <w:b/>
                <w:color w:val="auto"/>
                <w:sz w:val="24"/>
                <w:highlight w:val="none"/>
                <w:lang w:eastAsia="zh-CN" w:bidi="ar"/>
              </w:rPr>
              <w:t>会诊日程</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★支持以日历形式实时显示不同时间的会诊安排，可按照月/周/日的方式切换不同维度展现会诊日程。支持查看具体某天所有会诊列表。支持一键跳转会诊详情页面。</w:t>
            </w:r>
            <w:r>
              <w:rPr>
                <w:rFonts w:hint="eastAsia" w:ascii="宋体" w:hAnsi="宋体" w:eastAsia="宋体"/>
                <w:color w:val="auto"/>
                <w:kern w:val="0"/>
                <w:sz w:val="24"/>
                <w:highlight w:val="none"/>
                <w:lang w:eastAsia="zh-CN"/>
              </w:rPr>
              <w:t>须提供操作视频</w:t>
            </w:r>
            <w:r>
              <w:rPr>
                <w:rFonts w:hint="eastAsia" w:ascii="宋体" w:hAnsi="宋体" w:eastAsia="宋体"/>
                <w:color w:val="auto"/>
                <w:sz w:val="24"/>
                <w:highlight w:val="none"/>
                <w:lang w:eastAsia="zh-CN"/>
              </w:rPr>
              <w:t>（视频内容包含功能点：1.以日历形式显示不同时间的会诊，日历可切换周、月的呈现形式；2.支持点击日历中的某一天可显示对应日期的会诊列表；3.支持跳转会诊详情页面。</w:t>
            </w:r>
            <w:r>
              <w:rPr>
                <w:rFonts w:hint="eastAsia" w:ascii="宋体" w:hAnsi="宋体" w:eastAsia="宋体"/>
                <w:color w:val="auto"/>
                <w:kern w:val="0"/>
                <w:sz w:val="24"/>
                <w:highlight w:val="none"/>
                <w:lang w:eastAsia="zh-CN"/>
              </w:rPr>
              <w:t>需按</w:t>
            </w:r>
            <w:r>
              <w:rPr>
                <w:rFonts w:hint="eastAsia" w:ascii="宋体" w:hAnsi="宋体" w:eastAsia="宋体"/>
                <w:color w:val="auto"/>
                <w:sz w:val="24"/>
                <w:highlight w:val="none"/>
                <w:lang w:eastAsia="zh-CN"/>
              </w:rPr>
              <w:t>以上功能点顺序录制操作视频及人工语音讲解</w:t>
            </w:r>
            <w:r>
              <w:rPr>
                <w:rFonts w:hint="eastAsia" w:ascii="宋体" w:hAnsi="宋体" w:eastAsia="宋体"/>
                <w:color w:val="auto"/>
                <w:kern w:val="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left="0" w:right="105" w:rightChars="50"/>
              <w:jc w:val="center"/>
              <w:rPr>
                <w:rFonts w:ascii="宋体" w:hAnsi="宋体" w:eastAsia="宋体"/>
                <w:b/>
                <w:color w:val="auto"/>
                <w:sz w:val="24"/>
                <w:highlight w:val="none"/>
                <w:lang w:eastAsia="zh-CN" w:bidi="ar"/>
              </w:rPr>
            </w:pPr>
            <w:r>
              <w:rPr>
                <w:rFonts w:hint="eastAsia" w:ascii="宋体" w:hAnsi="宋体" w:eastAsia="宋体"/>
                <w:b/>
                <w:color w:val="auto"/>
                <w:sz w:val="24"/>
                <w:highlight w:val="none"/>
                <w:lang w:eastAsia="zh-CN" w:bidi="ar"/>
              </w:rPr>
              <w:t>虚拟会诊室</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根据会诊申请信息自动创建对应的虚拟会诊室，可查看会诊详情以及患者的诊疗数据。支持白板标注功能。支持会诊专家提交会诊意见。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left="0" w:right="105" w:rightChars="50"/>
              <w:jc w:val="center"/>
              <w:rPr>
                <w:rFonts w:ascii="宋体" w:hAnsi="宋体" w:eastAsia="宋体"/>
                <w:b/>
                <w:color w:val="auto"/>
                <w:sz w:val="24"/>
                <w:highlight w:val="none"/>
                <w:lang w:eastAsia="zh-CN" w:bidi="ar"/>
              </w:rPr>
            </w:pPr>
            <w:r>
              <w:rPr>
                <w:rFonts w:hint="eastAsia" w:ascii="宋体" w:hAnsi="宋体" w:eastAsia="宋体"/>
                <w:b/>
                <w:color w:val="auto"/>
                <w:sz w:val="24"/>
                <w:highlight w:val="none"/>
                <w:lang w:eastAsia="zh-CN" w:bidi="ar"/>
              </w:rPr>
              <w:t>会诊报告</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根据患者病历、会诊专家讨论意见输出会诊报告。支持在线打印会诊报告、浏览患者历次会诊报告。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left="0" w:right="105" w:rightChars="50"/>
              <w:jc w:val="center"/>
              <w:rPr>
                <w:rFonts w:ascii="宋体" w:hAnsi="宋体" w:eastAsia="宋体"/>
                <w:b/>
                <w:color w:val="auto"/>
                <w:sz w:val="24"/>
                <w:highlight w:val="none"/>
                <w:lang w:eastAsia="zh-CN" w:bidi="ar"/>
              </w:rPr>
            </w:pPr>
            <w:r>
              <w:rPr>
                <w:rFonts w:hint="eastAsia" w:ascii="宋体" w:hAnsi="宋体" w:eastAsia="宋体"/>
                <w:b/>
                <w:color w:val="auto"/>
                <w:sz w:val="24"/>
                <w:highlight w:val="none"/>
                <w:lang w:eastAsia="zh-CN" w:bidi="ar"/>
              </w:rPr>
              <w:t>会诊日志</w:t>
            </w:r>
          </w:p>
          <w:p>
            <w:pPr>
              <w:pStyle w:val="201"/>
              <w:widowControl/>
              <w:spacing w:before="6" w:line="360" w:lineRule="auto"/>
              <w:ind w:left="120" w:right="105" w:rightChars="50" w:firstLine="480"/>
              <w:jc w:val="center"/>
              <w:rPr>
                <w:rFonts w:ascii="宋体" w:hAnsi="宋体" w:eastAsia="宋体"/>
                <w:b/>
                <w:color w:val="auto"/>
                <w:sz w:val="24"/>
                <w:highlight w:val="none"/>
                <w:lang w:eastAsia="zh-CN" w:bidi="ar"/>
              </w:rPr>
            </w:pP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★需记录会诊全过程中每个节点的操作人、操作时间及节点描述，可以随时调阅方便进行会诊全流程的追溯。须提供系统截图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left="0" w:right="105" w:rightChars="50"/>
              <w:jc w:val="center"/>
              <w:rPr>
                <w:rFonts w:ascii="宋体" w:hAnsi="宋体" w:eastAsia="宋体"/>
                <w:b/>
                <w:color w:val="auto"/>
                <w:sz w:val="24"/>
                <w:highlight w:val="none"/>
                <w:lang w:eastAsia="zh-CN" w:bidi="ar"/>
              </w:rPr>
            </w:pPr>
            <w:r>
              <w:rPr>
                <w:rFonts w:hint="eastAsia" w:ascii="宋体" w:hAnsi="宋体" w:eastAsia="宋体"/>
                <w:b/>
                <w:color w:val="auto"/>
                <w:sz w:val="24"/>
                <w:highlight w:val="none"/>
                <w:lang w:eastAsia="zh-CN" w:bidi="ar"/>
              </w:rPr>
              <w:t>信息提醒通知</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支持通过系统消息、微信扫码等不同方式发送通知信息</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可在发送的信息中直接查看会诊安排、患者信息、会诊专家等。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left="0" w:right="105" w:rightChars="50"/>
              <w:jc w:val="center"/>
              <w:rPr>
                <w:rFonts w:ascii="宋体" w:hAnsi="宋体" w:eastAsia="宋体"/>
                <w:b/>
                <w:color w:val="auto"/>
                <w:sz w:val="24"/>
                <w:highlight w:val="none"/>
                <w:lang w:eastAsia="zh-CN" w:bidi="ar"/>
              </w:rPr>
            </w:pPr>
            <w:r>
              <w:rPr>
                <w:rFonts w:hint="eastAsia" w:ascii="宋体" w:hAnsi="宋体" w:eastAsia="宋体"/>
                <w:b/>
                <w:color w:val="auto"/>
                <w:sz w:val="24"/>
                <w:highlight w:val="none"/>
                <w:lang w:eastAsia="zh-CN" w:bidi="ar"/>
              </w:rPr>
              <w:t>转诊中心</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双向转诊信息以列表的形式呈现，显示转出、审核、转入患者转诊列表。</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支持转诊申请，通过选择患者、填写转诊原因、申请信息提交即可发起转诊申请。</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支持转诊审核，对转诊患者、转诊原因、申请信息进行审核，审核通过后方可进入下一个环节。</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支持转诊接收，根据患者病情、本院实际情况、患者是否及时来就诊进行转诊接收操作。</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支持病历共享，转诊患者病历资料支持在转入医疗机构间共享调阅。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left="0" w:right="105" w:rightChars="50"/>
              <w:jc w:val="center"/>
              <w:rPr>
                <w:rFonts w:ascii="宋体" w:hAnsi="宋体" w:eastAsia="宋体"/>
                <w:b/>
                <w:color w:val="auto"/>
                <w:sz w:val="24"/>
                <w:highlight w:val="none"/>
                <w:lang w:eastAsia="zh-CN" w:bidi="ar"/>
              </w:rPr>
            </w:pPr>
            <w:r>
              <w:rPr>
                <w:rFonts w:hint="eastAsia" w:ascii="宋体" w:hAnsi="宋体" w:eastAsia="宋体"/>
                <w:b/>
                <w:color w:val="auto"/>
                <w:sz w:val="24"/>
                <w:highlight w:val="none"/>
                <w:lang w:eastAsia="zh-CN" w:bidi="ar"/>
              </w:rPr>
              <w:t>运营数据监测</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以大屏展示方式实时显示远程医疗的各项运营数据（包括不限于入驻机构数、专家数、会诊量、会诊明细、会诊量月趋势图、会诊类型饼状分布图、会诊方式柱状图等），点击可查看数据明细记录。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left="0" w:right="105" w:rightChars="50"/>
              <w:jc w:val="center"/>
              <w:rPr>
                <w:rFonts w:ascii="宋体" w:hAnsi="宋体" w:eastAsia="宋体"/>
                <w:b/>
                <w:color w:val="auto"/>
                <w:sz w:val="24"/>
                <w:highlight w:val="none"/>
                <w:lang w:eastAsia="zh-CN" w:bidi="ar"/>
              </w:rPr>
            </w:pPr>
            <w:r>
              <w:rPr>
                <w:rFonts w:hint="eastAsia" w:ascii="宋体" w:hAnsi="宋体" w:eastAsia="宋体"/>
                <w:b/>
                <w:color w:val="auto"/>
                <w:sz w:val="24"/>
                <w:highlight w:val="none"/>
                <w:lang w:eastAsia="zh-CN" w:bidi="ar"/>
              </w:rPr>
              <w:t>专家管理</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统一管理入驻平台的会诊专家，显示会诊专家信息，支持查看会诊专家介绍、会诊量及评价记录，支持设置准入与退出规则，实现专家的准入和退出管理。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left="0" w:right="105" w:rightChars="50"/>
              <w:jc w:val="center"/>
              <w:rPr>
                <w:rFonts w:ascii="宋体" w:hAnsi="宋体" w:eastAsia="宋体"/>
                <w:b/>
                <w:color w:val="auto"/>
                <w:sz w:val="24"/>
                <w:highlight w:val="none"/>
                <w:lang w:eastAsia="zh-CN" w:bidi="ar"/>
              </w:rPr>
            </w:pPr>
            <w:r>
              <w:rPr>
                <w:rFonts w:hint="eastAsia" w:ascii="宋体" w:hAnsi="宋体" w:eastAsia="宋体"/>
                <w:b/>
                <w:color w:val="auto"/>
                <w:sz w:val="24"/>
                <w:highlight w:val="none"/>
                <w:lang w:eastAsia="zh-CN" w:bidi="ar"/>
              </w:rPr>
              <w:t>数据统计</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支持会诊数据统计,统计相关业务数据，包括不同机构申请会诊量、受邀会诊量、专家评分、入驻机构、入驻专家等。</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支持转诊统计,包括转出统计、转入统计等。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left="0" w:right="105" w:rightChars="50"/>
              <w:jc w:val="center"/>
              <w:rPr>
                <w:rFonts w:ascii="宋体" w:hAnsi="宋体" w:eastAsia="宋体"/>
                <w:b/>
                <w:color w:val="auto"/>
                <w:sz w:val="24"/>
                <w:highlight w:val="none"/>
                <w:lang w:eastAsia="zh-CN" w:bidi="ar"/>
              </w:rPr>
            </w:pPr>
            <w:r>
              <w:rPr>
                <w:rFonts w:hint="eastAsia" w:ascii="宋体" w:hAnsi="宋体" w:eastAsia="宋体"/>
                <w:b/>
                <w:color w:val="auto"/>
                <w:sz w:val="24"/>
                <w:highlight w:val="none"/>
                <w:lang w:eastAsia="zh-CN" w:bidi="ar"/>
              </w:rPr>
              <w:t>视音频集成</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支持集成主流视频会议厂商SDK进行视音频会议控制，包括：预约会议、开始会议、呼叫参与方、录制会议、结束会议等操作。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left="120" w:right="105" w:rightChars="50"/>
              <w:jc w:val="center"/>
              <w:rPr>
                <w:rFonts w:ascii="宋体" w:hAnsi="宋体" w:eastAsia="宋体"/>
                <w:b/>
                <w:color w:val="auto"/>
                <w:sz w:val="24"/>
                <w:highlight w:val="none"/>
                <w:lang w:eastAsia="zh-CN" w:bidi="ar"/>
              </w:rPr>
            </w:pPr>
            <w:r>
              <w:rPr>
                <w:rFonts w:hint="eastAsia" w:ascii="宋体" w:hAnsi="宋体" w:eastAsia="宋体"/>
                <w:b/>
                <w:color w:val="auto"/>
                <w:sz w:val="24"/>
                <w:highlight w:val="none"/>
                <w:lang w:eastAsia="zh-CN" w:bidi="ar"/>
              </w:rPr>
              <w:t>培训教育中心</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培训教育记录以列表的形式呈现，显示本机构开展的健康教育活动情况，可查阅培训教育开展的时间、主题、参与人群、发放资料、活动反馈等。</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支持创建培训宣教计划，根据实际需要针对不同群，制定健康宣教计划，填写开展健康宣传的相关内容，由指定组织者根据计划时间面向特定人群开展健康宣教活动。</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支持培训宣教反馈，宣教活动开展结束后，可进行结果反馈，填写具体参加的人数、发放的资料份数、活动现场佐证资料（签到表、现场照片或视频等），填写宣教活动总结。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left="0" w:right="105" w:rightChars="50"/>
              <w:jc w:val="center"/>
              <w:rPr>
                <w:rFonts w:ascii="宋体" w:hAnsi="宋体" w:eastAsia="宋体"/>
                <w:b/>
                <w:color w:val="auto"/>
                <w:sz w:val="24"/>
                <w:highlight w:val="none"/>
                <w:lang w:eastAsia="zh-CN" w:bidi="ar"/>
              </w:rPr>
            </w:pPr>
            <w:r>
              <w:rPr>
                <w:rFonts w:hint="eastAsia" w:ascii="宋体" w:hAnsi="宋体" w:eastAsia="宋体"/>
                <w:b/>
                <w:color w:val="auto"/>
                <w:sz w:val="24"/>
                <w:highlight w:val="none"/>
                <w:lang w:eastAsia="zh-CN" w:bidi="ar"/>
              </w:rPr>
              <w:t>系统管理</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支持机构管理，入驻远程医疗平台的机构进行统一管理，支持按不同过滤条件进行快速检索</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支持科室管理，统一管理入驻机构的科室信息</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支持用户管理，管理平台的登录用户信息</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支持权限管理，可根据岗位职责为用户分配不同的权限</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支持会诊类型配置，统一维护管理会诊类型</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支持计费策略管理，根据不同的会诊类型及收费标准制定计费策略</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支持数据字典配置，对数据字典进行统一管理</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支持记录、查阅平台用户的登录、操作日志信息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left="0" w:right="105" w:rightChars="50"/>
              <w:jc w:val="center"/>
              <w:rPr>
                <w:rFonts w:ascii="宋体" w:hAnsi="宋体" w:eastAsia="宋体"/>
                <w:b/>
                <w:color w:val="auto"/>
                <w:sz w:val="24"/>
                <w:highlight w:val="none"/>
                <w:lang w:eastAsia="zh-CN" w:bidi="ar"/>
              </w:rPr>
            </w:pPr>
            <w:r>
              <w:rPr>
                <w:rFonts w:hint="eastAsia" w:ascii="宋体" w:hAnsi="宋体" w:eastAsia="宋体"/>
                <w:b/>
                <w:color w:val="auto"/>
                <w:sz w:val="24"/>
                <w:highlight w:val="none"/>
                <w:lang w:eastAsia="zh-CN" w:bidi="ar"/>
              </w:rPr>
              <w:t>系统监控</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支持服务器监控，可对服务器进行监控，包括：CPU、硬盘、内存、虚拟内存的使用情况，可根据配置阈值进行告警。</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支持网络状态监控，实时监测网络链路情况，当网络发生异常时进行告警。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left="120" w:right="105" w:rightChars="50"/>
              <w:jc w:val="center"/>
              <w:rPr>
                <w:rFonts w:ascii="宋体" w:hAnsi="宋体" w:eastAsia="宋体"/>
                <w:b/>
                <w:color w:val="auto"/>
                <w:sz w:val="24"/>
                <w:highlight w:val="none"/>
                <w:lang w:eastAsia="zh-CN" w:bidi="ar"/>
              </w:rPr>
            </w:pPr>
            <w:r>
              <w:rPr>
                <w:rFonts w:hint="eastAsia" w:ascii="宋体" w:hAnsi="宋体" w:eastAsia="宋体"/>
                <w:b/>
                <w:color w:val="auto"/>
                <w:sz w:val="24"/>
                <w:highlight w:val="none"/>
                <w:lang w:eastAsia="zh-CN" w:bidi="ar"/>
              </w:rPr>
              <w:t>接入覆盖能力</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支持向下覆盖喀什地区12县市各级医疗机构，促进区域内协同诊疗，提高区域内医疗机构的诊疗能力。</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支持多院区覆盖，加强分院与总院之间的医疗协同。</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支持连接北上广深等头部医疗机构， 实现优质医疗资源向下覆盖。</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支持实现横向覆盖南疆多地州，实现医院辐射南疆四地州。</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支持巴基斯坦等周边中亚国家医疗机构的接入。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left="0" w:right="105" w:rightChars="50"/>
              <w:jc w:val="center"/>
              <w:rPr>
                <w:rFonts w:ascii="宋体" w:hAnsi="宋体" w:eastAsia="宋体"/>
                <w:b/>
                <w:color w:val="auto"/>
                <w:sz w:val="24"/>
                <w:highlight w:val="none"/>
                <w:lang w:eastAsia="zh-CN" w:bidi="ar"/>
              </w:rPr>
            </w:pPr>
            <w:r>
              <w:rPr>
                <w:rFonts w:hint="eastAsia" w:ascii="宋体" w:hAnsi="宋体" w:eastAsia="宋体"/>
                <w:b/>
                <w:color w:val="auto"/>
                <w:sz w:val="24"/>
                <w:highlight w:val="none"/>
                <w:lang w:eastAsia="zh-CN" w:bidi="ar"/>
              </w:rPr>
              <w:t>多语言</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b/>
                <w:color w:val="auto"/>
                <w:sz w:val="24"/>
                <w:highlight w:val="none"/>
                <w:lang w:eastAsia="zh-CN" w:bidi="ar"/>
              </w:rPr>
              <w:t>★</w:t>
            </w:r>
            <w:r>
              <w:rPr>
                <w:rFonts w:hint="eastAsia" w:ascii="宋体" w:hAnsi="宋体" w:eastAsia="宋体"/>
                <w:color w:val="auto"/>
                <w:sz w:val="24"/>
                <w:highlight w:val="none"/>
                <w:lang w:eastAsia="zh-CN"/>
              </w:rPr>
              <w:t>平台需支持中文、英文两种语言，支持在线即时切换。须提供系统截图</w:t>
            </w:r>
          </w:p>
        </w:tc>
      </w:tr>
    </w:tbl>
    <w:p>
      <w:pPr>
        <w:rPr>
          <w:rFonts w:ascii="宋体" w:hAnsi="宋体"/>
          <w:color w:val="auto"/>
          <w:sz w:val="24"/>
          <w:highlight w:val="none"/>
        </w:rPr>
      </w:pPr>
    </w:p>
    <w:p>
      <w:pPr>
        <w:pStyle w:val="6"/>
        <w:numPr>
          <w:ilvl w:val="3"/>
          <w:numId w:val="8"/>
        </w:numPr>
        <w:tabs>
          <w:tab w:val="clear" w:pos="864"/>
        </w:tabs>
        <w:spacing w:before="280" w:after="290" w:line="376" w:lineRule="auto"/>
        <w:rPr>
          <w:rFonts w:ascii="宋体" w:hAnsi="宋体"/>
          <w:color w:val="auto"/>
          <w:sz w:val="24"/>
          <w:szCs w:val="24"/>
          <w:highlight w:val="none"/>
        </w:rPr>
      </w:pPr>
      <w:bookmarkStart w:id="821" w:name="_Toc18487"/>
      <w:bookmarkStart w:id="822" w:name="_Toc17228"/>
      <w:r>
        <w:rPr>
          <w:rFonts w:hint="eastAsia" w:ascii="宋体" w:hAnsi="宋体"/>
          <w:color w:val="auto"/>
          <w:sz w:val="24"/>
          <w:szCs w:val="24"/>
          <w:highlight w:val="none"/>
        </w:rPr>
        <w:t>远程影像协作系统</w:t>
      </w:r>
      <w:bookmarkEnd w:id="821"/>
      <w:bookmarkEnd w:id="822"/>
    </w:p>
    <w:tbl>
      <w:tblPr>
        <w:tblStyle w:val="43"/>
        <w:tblW w:w="8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left="105" w:leftChars="50" w:right="105" w:rightChars="50"/>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571" w:type="dxa"/>
            <w:shd w:val="clear" w:color="auto" w:fill="4472C4"/>
            <w:vAlign w:val="center"/>
          </w:tcPr>
          <w:p>
            <w:pPr>
              <w:pStyle w:val="201"/>
              <w:spacing w:before="13" w:line="360" w:lineRule="auto"/>
              <w:ind w:left="101" w:leftChars="48" w:right="105" w:rightChars="50"/>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left="120" w:right="105" w:rightChars="50"/>
              <w:jc w:val="center"/>
              <w:rPr>
                <w:rFonts w:ascii="宋体" w:hAnsi="宋体" w:eastAsia="宋体"/>
                <w:b/>
                <w:color w:val="auto"/>
                <w:sz w:val="24"/>
                <w:highlight w:val="none"/>
                <w:lang w:eastAsia="zh-CN" w:bidi="ar"/>
              </w:rPr>
            </w:pPr>
            <w:r>
              <w:rPr>
                <w:rFonts w:hint="eastAsia" w:ascii="宋体" w:hAnsi="宋体" w:eastAsia="宋体"/>
                <w:b/>
                <w:color w:val="auto"/>
                <w:sz w:val="24"/>
                <w:highlight w:val="none"/>
                <w:lang w:eastAsia="zh-CN" w:bidi="ar"/>
              </w:rPr>
              <w:t>诊断专家管理</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支持诊断专家统一管理，包括但不限于：姓名、性别、手机号、机构、科室、职称、简介、费用、评分等。</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支持设置准入条件，符合要求的诊断医生在准入后方可入驻诊断专家库。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1" w:hRule="atLeast"/>
          <w:jc w:val="center"/>
        </w:trPr>
        <w:tc>
          <w:tcPr>
            <w:tcW w:w="1696" w:type="dxa"/>
            <w:vAlign w:val="center"/>
          </w:tcPr>
          <w:p>
            <w:pPr>
              <w:pStyle w:val="201"/>
              <w:widowControl/>
              <w:spacing w:before="6" w:line="360" w:lineRule="auto"/>
              <w:ind w:left="120" w:right="105" w:rightChars="50"/>
              <w:jc w:val="center"/>
              <w:rPr>
                <w:rFonts w:ascii="宋体" w:hAnsi="宋体" w:eastAsia="宋体"/>
                <w:b/>
                <w:color w:val="auto"/>
                <w:sz w:val="24"/>
                <w:highlight w:val="none"/>
                <w:lang w:eastAsia="zh-CN" w:bidi="ar"/>
              </w:rPr>
            </w:pPr>
            <w:r>
              <w:rPr>
                <w:rFonts w:hint="eastAsia" w:ascii="宋体" w:hAnsi="宋体" w:eastAsia="宋体"/>
                <w:b/>
                <w:color w:val="auto"/>
                <w:sz w:val="24"/>
                <w:highlight w:val="none"/>
                <w:lang w:eastAsia="zh-CN"/>
              </w:rPr>
              <w:t>诊断患者中心</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通过HIS获取医院就诊患者信息，包括：姓名、性别、年龄、身份证号、门诊号/住院、就诊科室、就诊时间、会诊时间、检查类型、检查部位、检查项目等，支持按患者姓名、身份证号、检查类型进行过滤查询，支持查看会诊报告等。</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手动新建患者基本信息，包括：姓名、性别、年龄、身份证号、手机号、检查类型、检查项目、检查部位等信息，支持按患者姓名、身份证号、检查类型等进行过滤查询，支持上传患者原始DICOM数据。支持查看诊断报告与影像。</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支持申请远程影像诊断，通过填写患者信息、检查类型、检查项目、检查部位、从医院P</w:t>
            </w:r>
            <w:r>
              <w:rPr>
                <w:rFonts w:ascii="宋体" w:hAnsi="宋体" w:eastAsia="宋体"/>
                <w:color w:val="auto"/>
                <w:sz w:val="24"/>
                <w:highlight w:val="none"/>
                <w:lang w:eastAsia="zh-CN"/>
              </w:rPr>
              <w:t>ACS</w:t>
            </w:r>
            <w:r>
              <w:rPr>
                <w:rFonts w:hint="eastAsia" w:ascii="宋体" w:hAnsi="宋体" w:eastAsia="宋体"/>
                <w:color w:val="auto"/>
                <w:sz w:val="24"/>
                <w:highlight w:val="none"/>
                <w:lang w:eastAsia="zh-CN"/>
              </w:rPr>
              <w:t>系统中获取影像图像或手动上传原始DICOM文件、选择外院诊断专家等内容来完成远程诊断的申请。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left="0" w:right="105" w:rightChars="50"/>
              <w:jc w:val="center"/>
              <w:rPr>
                <w:rFonts w:ascii="宋体" w:hAnsi="宋体" w:eastAsia="宋体"/>
                <w:b/>
                <w:color w:val="auto"/>
                <w:sz w:val="24"/>
                <w:highlight w:val="none"/>
                <w:lang w:eastAsia="zh-CN"/>
              </w:rPr>
            </w:pPr>
            <w:r>
              <w:rPr>
                <w:rFonts w:hint="eastAsia" w:ascii="宋体" w:hAnsi="宋体" w:eastAsia="宋体"/>
                <w:b/>
                <w:color w:val="auto"/>
                <w:sz w:val="24"/>
                <w:highlight w:val="none"/>
                <w:lang w:eastAsia="zh-CN" w:bidi="ar"/>
              </w:rPr>
              <w:t>病历调阅</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支持从医院信息化系统或数据中心获取患者诊疗数据</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提供统一界面呈现方式查看门诊、住院患者的就诊病历数据，包括：就诊时间、科室、主治医生、门诊病历、门诊用药、住院入记录、出院记录、住院医嘱、医学影像检查、实验室检验等。</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支持微信扫码分享患者病历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left="120" w:right="105" w:rightChars="50"/>
              <w:jc w:val="center"/>
              <w:rPr>
                <w:rFonts w:ascii="宋体" w:hAnsi="宋体" w:eastAsia="宋体"/>
                <w:b/>
                <w:color w:val="auto"/>
                <w:sz w:val="24"/>
                <w:highlight w:val="none"/>
                <w:lang w:eastAsia="zh-CN"/>
              </w:rPr>
            </w:pPr>
            <w:r>
              <w:rPr>
                <w:rFonts w:hint="eastAsia" w:ascii="宋体" w:hAnsi="宋体" w:eastAsia="宋体"/>
                <w:b/>
                <w:color w:val="auto"/>
                <w:sz w:val="24"/>
                <w:highlight w:val="none"/>
                <w:lang w:eastAsia="zh-CN" w:bidi="ar"/>
              </w:rPr>
              <w:t>报告模板管理</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支持不同机构对本机构CT、DR、MR等不同检查类型维护不同的诊断报告模板。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tabs>
                <w:tab w:val="left" w:pos="677"/>
              </w:tabs>
              <w:spacing w:before="6" w:line="360" w:lineRule="auto"/>
              <w:ind w:left="0" w:right="105" w:rightChars="50"/>
              <w:jc w:val="center"/>
              <w:rPr>
                <w:rFonts w:ascii="宋体" w:hAnsi="宋体" w:eastAsia="宋体"/>
                <w:b/>
                <w:color w:val="auto"/>
                <w:sz w:val="24"/>
                <w:highlight w:val="none"/>
                <w:lang w:eastAsia="zh-CN" w:bidi="ar"/>
              </w:rPr>
            </w:pPr>
            <w:r>
              <w:rPr>
                <w:rFonts w:hint="eastAsia" w:ascii="宋体" w:hAnsi="宋体" w:eastAsia="宋体"/>
                <w:b/>
                <w:color w:val="auto"/>
                <w:sz w:val="24"/>
                <w:highlight w:val="none"/>
                <w:lang w:eastAsia="zh-CN" w:bidi="ar"/>
              </w:rPr>
              <w:t>影像诊断</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支持调阅内网影像来诊断出具诊断报告</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支持调阅自主上传DICOM原始文件打开影像来诊断出具诊断报告</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支持申请方对诊断专家的评分。评分内容不限于专业性、及时性、态度性等方面。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left="0" w:right="105" w:rightChars="50"/>
              <w:jc w:val="center"/>
              <w:rPr>
                <w:rFonts w:ascii="宋体" w:hAnsi="宋体" w:eastAsia="宋体"/>
                <w:b/>
                <w:color w:val="auto"/>
                <w:sz w:val="24"/>
                <w:highlight w:val="none"/>
                <w:lang w:eastAsia="zh-CN" w:bidi="ar"/>
              </w:rPr>
            </w:pPr>
            <w:r>
              <w:rPr>
                <w:rFonts w:hint="eastAsia" w:ascii="宋体" w:hAnsi="宋体" w:eastAsia="宋体"/>
                <w:b/>
                <w:color w:val="auto"/>
                <w:sz w:val="24"/>
                <w:highlight w:val="none"/>
                <w:lang w:eastAsia="zh-CN" w:bidi="ar"/>
              </w:rPr>
              <w:t>报告统计</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支持通过检查类型、患者来源、诊断专家报告量、费用等统计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left="0" w:right="105" w:rightChars="50"/>
              <w:jc w:val="center"/>
              <w:rPr>
                <w:rFonts w:ascii="宋体" w:hAnsi="宋体" w:eastAsia="宋体"/>
                <w:b/>
                <w:color w:val="auto"/>
                <w:sz w:val="24"/>
                <w:highlight w:val="none"/>
                <w:lang w:eastAsia="zh-CN"/>
              </w:rPr>
            </w:pPr>
            <w:r>
              <w:rPr>
                <w:rFonts w:hint="eastAsia" w:ascii="宋体" w:hAnsi="宋体" w:eastAsia="宋体"/>
                <w:b/>
                <w:color w:val="auto"/>
                <w:sz w:val="24"/>
                <w:highlight w:val="none"/>
                <w:lang w:eastAsia="zh-CN"/>
              </w:rPr>
              <w:t>系统维护</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支持对机构进行维护，包括新增、修改、删除、查询等操作。</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支持对机构科室维护，包括新增、修改、删除、查询等操作。</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支持对机构诊断专家账号统一管理，包括新增、修改、删除、查询、停用/启用等操作。</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支持系统角色功能维护</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支持系统权限功能维护</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支持系统字典功能维护</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支持系统参数功能维护</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支持账号操作日志维护，包括记录用户操作日志，登录日志等，可查看详细的操作时间，操作功能等。</w:t>
            </w:r>
          </w:p>
        </w:tc>
      </w:tr>
    </w:tbl>
    <w:p>
      <w:pPr>
        <w:pStyle w:val="6"/>
        <w:numPr>
          <w:ilvl w:val="3"/>
          <w:numId w:val="8"/>
        </w:numPr>
        <w:tabs>
          <w:tab w:val="clear" w:pos="864"/>
        </w:tabs>
        <w:spacing w:before="280" w:after="290" w:line="376" w:lineRule="auto"/>
        <w:rPr>
          <w:rFonts w:ascii="宋体" w:hAnsi="宋体"/>
          <w:color w:val="auto"/>
          <w:sz w:val="24"/>
          <w:szCs w:val="24"/>
          <w:highlight w:val="none"/>
        </w:rPr>
      </w:pPr>
      <w:bookmarkStart w:id="823" w:name="_Toc23378"/>
      <w:bookmarkStart w:id="824" w:name="_Toc32688"/>
      <w:r>
        <w:rPr>
          <w:rFonts w:hint="eastAsia" w:ascii="宋体" w:hAnsi="宋体"/>
          <w:color w:val="auto"/>
          <w:sz w:val="24"/>
          <w:szCs w:val="24"/>
          <w:highlight w:val="none"/>
        </w:rPr>
        <w:t>远程质控中心</w:t>
      </w:r>
      <w:bookmarkEnd w:id="823"/>
      <w:bookmarkEnd w:id="824"/>
    </w:p>
    <w:tbl>
      <w:tblPr>
        <w:tblStyle w:val="43"/>
        <w:tblW w:w="8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left="105" w:leftChars="50" w:right="105" w:rightChars="50"/>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571" w:type="dxa"/>
            <w:shd w:val="clear" w:color="auto" w:fill="4472C4"/>
            <w:vAlign w:val="center"/>
          </w:tcPr>
          <w:p>
            <w:pPr>
              <w:pStyle w:val="201"/>
              <w:spacing w:before="13" w:line="360" w:lineRule="auto"/>
              <w:ind w:left="101" w:leftChars="48" w:right="105" w:rightChars="50"/>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b/>
                <w:bCs/>
                <w:color w:val="auto"/>
                <w:sz w:val="24"/>
                <w:highlight w:val="none"/>
                <w:lang w:eastAsia="zh-CN" w:bidi="ar"/>
              </w:rPr>
            </w:pPr>
            <w:r>
              <w:rPr>
                <w:rFonts w:hint="eastAsia" w:ascii="宋体" w:hAnsi="宋体" w:eastAsia="宋体"/>
                <w:b/>
                <w:bCs/>
                <w:color w:val="auto"/>
                <w:sz w:val="24"/>
                <w:highlight w:val="none"/>
                <w:lang w:eastAsia="zh-CN"/>
              </w:rPr>
              <w:t>机构质控</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对入驻平台的机构进行符合性质控，验证其机构资质是否符合平台的入驻要求。包括不限于：营业执照、执业许可证、医院等级评定证书、接入网络环境、入驻协议，符合要求的机构才能入驻平台。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b/>
                <w:bCs/>
                <w:color w:val="auto"/>
                <w:sz w:val="24"/>
                <w:highlight w:val="none"/>
                <w:lang w:eastAsia="zh-CN" w:bidi="ar"/>
              </w:rPr>
            </w:pPr>
            <w:r>
              <w:rPr>
                <w:rFonts w:hint="eastAsia" w:ascii="宋体" w:hAnsi="宋体" w:eastAsia="宋体"/>
                <w:b/>
                <w:bCs/>
                <w:color w:val="auto"/>
                <w:sz w:val="24"/>
                <w:highlight w:val="none"/>
                <w:lang w:eastAsia="zh-CN"/>
              </w:rPr>
              <w:t>专家质控</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对入驻平台的专家进行符合性质控（包括不限于职称证、医师资格证书、医师执业证书、会诊专家准入审批表），验证其是否具备成为会诊专家的要求，符合要求的专家才能入驻专家库。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b/>
                <w:bCs/>
                <w:color w:val="auto"/>
                <w:sz w:val="24"/>
                <w:highlight w:val="none"/>
                <w:lang w:eastAsia="zh-CN" w:bidi="ar"/>
              </w:rPr>
            </w:pPr>
            <w:r>
              <w:rPr>
                <w:rFonts w:hint="eastAsia" w:ascii="宋体" w:hAnsi="宋体" w:eastAsia="宋体"/>
                <w:b/>
                <w:bCs/>
                <w:color w:val="auto"/>
                <w:sz w:val="24"/>
                <w:highlight w:val="none"/>
                <w:lang w:eastAsia="zh-CN"/>
              </w:rPr>
              <w:t>事前质控</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会诊前针对会诊患者病情、临床病历资料、预约信息等进行质控，不符合要求的会诊退回，符合要求的会诊质控通过后方可进行下一步操作。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b/>
                <w:bCs/>
                <w:color w:val="auto"/>
                <w:sz w:val="24"/>
                <w:highlight w:val="none"/>
                <w:lang w:eastAsia="zh-CN" w:bidi="ar"/>
              </w:rPr>
            </w:pPr>
            <w:r>
              <w:rPr>
                <w:rFonts w:hint="eastAsia" w:ascii="宋体" w:hAnsi="宋体" w:eastAsia="宋体"/>
                <w:b/>
                <w:bCs/>
                <w:color w:val="auto"/>
                <w:sz w:val="24"/>
                <w:highlight w:val="none"/>
                <w:lang w:eastAsia="zh-CN"/>
              </w:rPr>
              <w:t>事中质控</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在线交互式会诊过程中，质控人员可随时以旁听者身份加入到会诊讨论中，知晓会诊讨论的内容，即在线交互式时，质控方可以作为会议方加入到会诊的视频会议中，对会诊讨论全过程进行旁听，可填写事中质控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b/>
                <w:bCs/>
                <w:color w:val="auto"/>
                <w:sz w:val="24"/>
                <w:highlight w:val="none"/>
                <w:lang w:eastAsia="zh-CN" w:bidi="ar"/>
              </w:rPr>
            </w:pPr>
            <w:r>
              <w:rPr>
                <w:rFonts w:hint="eastAsia" w:ascii="宋体" w:hAnsi="宋体" w:eastAsia="宋体"/>
                <w:b/>
                <w:bCs/>
                <w:color w:val="auto"/>
                <w:sz w:val="24"/>
                <w:highlight w:val="none"/>
                <w:lang w:eastAsia="zh-CN"/>
              </w:rPr>
              <w:t>事后质控</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针对会诊专家意见、会诊报告、会诊评价等进行审核把关，输出质控意见。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b/>
                <w:bCs/>
                <w:color w:val="auto"/>
                <w:sz w:val="24"/>
                <w:highlight w:val="none"/>
                <w:lang w:eastAsia="zh-CN" w:bidi="ar"/>
              </w:rPr>
            </w:pPr>
            <w:r>
              <w:rPr>
                <w:rFonts w:hint="eastAsia" w:ascii="宋体" w:hAnsi="宋体" w:eastAsia="宋体"/>
                <w:b/>
                <w:bCs/>
                <w:color w:val="auto"/>
                <w:sz w:val="24"/>
                <w:highlight w:val="none"/>
                <w:lang w:eastAsia="zh-CN"/>
              </w:rPr>
              <w:t>机构管理</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对已经入驻平台的机构，在合作过程中可根据实际情况对机构暂停使用、退出平台等操作。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b/>
                <w:bCs/>
                <w:color w:val="auto"/>
                <w:sz w:val="24"/>
                <w:highlight w:val="none"/>
                <w:lang w:eastAsia="zh-CN" w:bidi="ar"/>
              </w:rPr>
            </w:pPr>
            <w:r>
              <w:rPr>
                <w:rFonts w:hint="eastAsia" w:ascii="宋体" w:hAnsi="宋体" w:eastAsia="宋体"/>
                <w:b/>
                <w:bCs/>
                <w:color w:val="auto"/>
                <w:sz w:val="24"/>
                <w:highlight w:val="none"/>
                <w:lang w:eastAsia="zh-CN"/>
              </w:rPr>
              <w:t>专家管理</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针对会诊评价、满意度反馈，依据平台入驻标准对不符合要求的专家，可撤销平台专家资格，退出专家库。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质控流程</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根据不同机构、不同要求设置不同的质控流程，支持动态配置，立即生效。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b/>
                <w:bCs/>
                <w:color w:val="auto"/>
                <w:sz w:val="24"/>
                <w:highlight w:val="none"/>
                <w:lang w:eastAsia="zh-CN" w:bidi="ar"/>
              </w:rPr>
            </w:pPr>
            <w:r>
              <w:rPr>
                <w:rFonts w:hint="eastAsia" w:ascii="宋体" w:hAnsi="宋体" w:eastAsia="宋体"/>
                <w:b/>
                <w:bCs/>
                <w:color w:val="auto"/>
                <w:sz w:val="24"/>
                <w:highlight w:val="none"/>
                <w:lang w:eastAsia="zh-CN"/>
              </w:rPr>
              <w:t>标准管理</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支持对机构入驻、暂停、退出标准管理</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支持对专家入驻、暂停、退出标准管理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统计分析</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支持不同维度的质控统计，通过统计分析评估会诊是否符合远程医疗规范，可监管业务过程、医疗质量、诊疗机构、专家资源等。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b/>
                <w:bCs/>
                <w:color w:val="auto"/>
                <w:sz w:val="24"/>
                <w:highlight w:val="none"/>
                <w:lang w:eastAsia="zh-CN" w:bidi="ar"/>
              </w:rPr>
            </w:pPr>
            <w:r>
              <w:rPr>
                <w:rFonts w:hint="eastAsia" w:ascii="宋体" w:hAnsi="宋体" w:eastAsia="宋体"/>
                <w:b/>
                <w:bCs/>
                <w:color w:val="auto"/>
                <w:sz w:val="24"/>
                <w:highlight w:val="none"/>
                <w:lang w:eastAsia="zh-CN"/>
              </w:rPr>
              <w:t>系统管理</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支持对质控机构的管理操作</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支持用户管理，管理平台的登录用户信息</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支持权限管理，可根据岗位职责为用户分配不同的权限</w:t>
            </w:r>
          </w:p>
        </w:tc>
      </w:tr>
    </w:tbl>
    <w:p>
      <w:pPr>
        <w:pStyle w:val="6"/>
        <w:numPr>
          <w:ilvl w:val="3"/>
          <w:numId w:val="8"/>
        </w:numPr>
        <w:tabs>
          <w:tab w:val="clear" w:pos="864"/>
        </w:tabs>
        <w:spacing w:before="280" w:after="290" w:line="376" w:lineRule="auto"/>
        <w:rPr>
          <w:rFonts w:ascii="宋体" w:hAnsi="宋体"/>
          <w:color w:val="auto"/>
          <w:sz w:val="24"/>
          <w:szCs w:val="24"/>
          <w:highlight w:val="none"/>
        </w:rPr>
      </w:pPr>
      <w:bookmarkStart w:id="825" w:name="_Toc13281"/>
      <w:bookmarkStart w:id="826" w:name="_Toc10248"/>
      <w:r>
        <w:rPr>
          <w:rFonts w:hint="eastAsia" w:ascii="宋体" w:hAnsi="宋体"/>
          <w:color w:val="auto"/>
          <w:sz w:val="24"/>
          <w:szCs w:val="24"/>
          <w:highlight w:val="none"/>
        </w:rPr>
        <w:t>远程病历管理系统</w:t>
      </w:r>
      <w:bookmarkEnd w:id="825"/>
      <w:bookmarkEnd w:id="826"/>
    </w:p>
    <w:tbl>
      <w:tblPr>
        <w:tblStyle w:val="43"/>
        <w:tblW w:w="8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96"/>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left="0" w:right="105" w:rightChars="50" w:firstLine="508"/>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571" w:type="dxa"/>
            <w:shd w:val="clear" w:color="auto" w:fill="4472C4"/>
            <w:vAlign w:val="center"/>
          </w:tcPr>
          <w:p>
            <w:pPr>
              <w:pStyle w:val="201"/>
              <w:spacing w:before="13" w:line="360" w:lineRule="auto"/>
              <w:ind w:left="105" w:leftChars="50" w:right="105" w:rightChars="50" w:firstLine="508"/>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b/>
                <w:bCs/>
                <w:color w:val="auto"/>
                <w:sz w:val="24"/>
                <w:highlight w:val="none"/>
                <w:lang w:eastAsia="zh-CN" w:bidi="ar"/>
              </w:rPr>
            </w:pPr>
            <w:r>
              <w:rPr>
                <w:rFonts w:hint="eastAsia" w:ascii="宋体" w:hAnsi="宋体" w:eastAsia="宋体"/>
                <w:b/>
                <w:bCs/>
                <w:color w:val="auto"/>
                <w:sz w:val="24"/>
                <w:highlight w:val="none"/>
                <w:lang w:eastAsia="zh-CN"/>
              </w:rPr>
              <w:t>患者中心</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从医院信息化系统或指定数据中心获取临床诊疗数据，门诊或住院患者信息在界面中以列表的形式展示，显示患者姓名、性别、年龄、门诊/住院号、就诊/住院时间、科室、主治医生等。同时还支持按姓名、拼音简写、门诊/住院号快速检索患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b/>
                <w:bCs/>
                <w:color w:val="auto"/>
                <w:sz w:val="24"/>
                <w:highlight w:val="none"/>
                <w:lang w:eastAsia="zh-CN" w:bidi="ar"/>
              </w:rPr>
            </w:pPr>
            <w:r>
              <w:rPr>
                <w:rFonts w:hint="eastAsia" w:ascii="宋体" w:hAnsi="宋体" w:eastAsia="宋体"/>
                <w:b/>
                <w:bCs/>
                <w:color w:val="auto"/>
                <w:sz w:val="24"/>
                <w:highlight w:val="none"/>
                <w:lang w:eastAsia="zh-CN"/>
              </w:rPr>
              <w:t>病历</w:t>
            </w:r>
            <w:r>
              <w:rPr>
                <w:rFonts w:ascii="宋体" w:hAnsi="宋体" w:eastAsia="宋体"/>
                <w:b/>
                <w:bCs/>
                <w:color w:val="auto"/>
                <w:sz w:val="24"/>
                <w:highlight w:val="none"/>
                <w:lang w:eastAsia="zh-CN"/>
              </w:rPr>
              <w:t>编辑</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ascii="宋体" w:hAnsi="宋体" w:eastAsia="宋体"/>
                <w:color w:val="auto"/>
                <w:sz w:val="24"/>
                <w:highlight w:val="none"/>
                <w:lang w:eastAsia="zh-CN"/>
              </w:rPr>
              <w:t>提供即见即</w:t>
            </w:r>
            <w:r>
              <w:rPr>
                <w:rFonts w:hint="eastAsia" w:ascii="宋体" w:hAnsi="宋体" w:eastAsia="宋体"/>
                <w:color w:val="auto"/>
                <w:sz w:val="24"/>
                <w:highlight w:val="none"/>
                <w:lang w:eastAsia="zh-CN"/>
              </w:rPr>
              <w:t>所</w:t>
            </w:r>
            <w:r>
              <w:rPr>
                <w:rFonts w:ascii="宋体" w:hAnsi="宋体" w:eastAsia="宋体"/>
                <w:color w:val="auto"/>
                <w:sz w:val="24"/>
                <w:highlight w:val="none"/>
                <w:lang w:eastAsia="zh-CN"/>
              </w:rPr>
              <w:t>得</w:t>
            </w:r>
            <w:r>
              <w:rPr>
                <w:rFonts w:hint="eastAsia" w:ascii="宋体" w:hAnsi="宋体" w:eastAsia="宋体"/>
                <w:color w:val="auto"/>
                <w:sz w:val="24"/>
                <w:highlight w:val="none"/>
                <w:lang w:eastAsia="zh-CN"/>
              </w:rPr>
              <w:t>病历编辑整理</w:t>
            </w:r>
            <w:r>
              <w:rPr>
                <w:rFonts w:ascii="宋体" w:hAnsi="宋体" w:eastAsia="宋体"/>
                <w:color w:val="auto"/>
                <w:sz w:val="24"/>
                <w:highlight w:val="none"/>
                <w:lang w:eastAsia="zh-CN"/>
              </w:rPr>
              <w:t>功能</w:t>
            </w:r>
            <w:r>
              <w:rPr>
                <w:rFonts w:hint="eastAsia" w:ascii="宋体" w:hAnsi="宋体" w:eastAsia="宋体"/>
                <w:color w:val="auto"/>
                <w:sz w:val="24"/>
                <w:highlight w:val="none"/>
                <w:lang w:eastAsia="zh-CN"/>
              </w:rPr>
              <w:t>，用户</w:t>
            </w:r>
            <w:r>
              <w:rPr>
                <w:rFonts w:ascii="宋体" w:hAnsi="宋体" w:eastAsia="宋体"/>
                <w:color w:val="auto"/>
                <w:sz w:val="24"/>
                <w:highlight w:val="none"/>
                <w:lang w:eastAsia="zh-CN"/>
              </w:rPr>
              <w:t>可以根据需要将</w:t>
            </w:r>
            <w:r>
              <w:rPr>
                <w:rFonts w:hint="eastAsia" w:ascii="宋体" w:hAnsi="宋体" w:eastAsia="宋体"/>
                <w:color w:val="auto"/>
                <w:sz w:val="24"/>
                <w:highlight w:val="none"/>
                <w:lang w:eastAsia="zh-CN"/>
              </w:rPr>
              <w:t>患者</w:t>
            </w:r>
            <w:r>
              <w:rPr>
                <w:rFonts w:ascii="宋体" w:hAnsi="宋体" w:eastAsia="宋体"/>
                <w:color w:val="auto"/>
                <w:sz w:val="24"/>
                <w:highlight w:val="none"/>
                <w:lang w:eastAsia="zh-CN"/>
              </w:rPr>
              <w:t>的诊疗数据有选择的</w:t>
            </w:r>
            <w:r>
              <w:rPr>
                <w:rFonts w:hint="eastAsia" w:ascii="宋体" w:hAnsi="宋体" w:eastAsia="宋体"/>
                <w:color w:val="auto"/>
                <w:sz w:val="24"/>
                <w:highlight w:val="none"/>
                <w:lang w:eastAsia="zh-CN"/>
              </w:rPr>
              <w:t>拖拽</w:t>
            </w:r>
            <w:r>
              <w:rPr>
                <w:rFonts w:ascii="宋体" w:hAnsi="宋体" w:eastAsia="宋体"/>
                <w:color w:val="auto"/>
                <w:sz w:val="24"/>
                <w:highlight w:val="none"/>
                <w:lang w:eastAsia="zh-CN"/>
              </w:rPr>
              <w:t>到</w:t>
            </w:r>
            <w:r>
              <w:rPr>
                <w:rFonts w:hint="eastAsia" w:ascii="宋体" w:hAnsi="宋体" w:eastAsia="宋体"/>
                <w:color w:val="auto"/>
                <w:sz w:val="24"/>
                <w:highlight w:val="none"/>
                <w:lang w:eastAsia="zh-CN"/>
              </w:rPr>
              <w:t>病历</w:t>
            </w:r>
            <w:r>
              <w:rPr>
                <w:rFonts w:ascii="宋体" w:hAnsi="宋体" w:eastAsia="宋体"/>
                <w:color w:val="auto"/>
                <w:sz w:val="24"/>
                <w:highlight w:val="none"/>
                <w:lang w:eastAsia="zh-CN"/>
              </w:rPr>
              <w:t>编辑区，</w:t>
            </w:r>
            <w:r>
              <w:rPr>
                <w:rFonts w:hint="eastAsia" w:ascii="宋体" w:hAnsi="宋体" w:eastAsia="宋体"/>
                <w:color w:val="auto"/>
                <w:sz w:val="24"/>
                <w:highlight w:val="none"/>
                <w:lang w:eastAsia="zh-CN"/>
              </w:rPr>
              <w:t>同</w:t>
            </w:r>
            <w:r>
              <w:rPr>
                <w:rFonts w:ascii="宋体" w:hAnsi="宋体" w:eastAsia="宋体"/>
                <w:color w:val="auto"/>
                <w:sz w:val="24"/>
                <w:highlight w:val="none"/>
                <w:lang w:eastAsia="zh-CN"/>
              </w:rPr>
              <w:t>时非常灵活</w:t>
            </w:r>
            <w:r>
              <w:rPr>
                <w:rFonts w:hint="eastAsia" w:ascii="宋体" w:hAnsi="宋体" w:eastAsia="宋体"/>
                <w:color w:val="auto"/>
                <w:sz w:val="24"/>
                <w:highlight w:val="none"/>
                <w:lang w:eastAsia="zh-CN"/>
              </w:rPr>
              <w:t>地</w:t>
            </w:r>
            <w:r>
              <w:rPr>
                <w:rFonts w:ascii="宋体" w:hAnsi="宋体" w:eastAsia="宋体"/>
                <w:color w:val="auto"/>
                <w:sz w:val="24"/>
                <w:highlight w:val="none"/>
                <w:lang w:eastAsia="zh-CN"/>
              </w:rPr>
              <w:t>支持顺序调整等</w:t>
            </w:r>
            <w:r>
              <w:rPr>
                <w:rFonts w:hint="eastAsia" w:ascii="宋体" w:hAnsi="宋体" w:eastAsia="宋体"/>
                <w:color w:val="auto"/>
                <w:sz w:val="24"/>
                <w:highlight w:val="none"/>
                <w:lang w:eastAsia="zh-CN"/>
              </w:rPr>
              <w:t>，即</w:t>
            </w:r>
            <w:r>
              <w:rPr>
                <w:rFonts w:ascii="宋体" w:hAnsi="宋体" w:eastAsia="宋体"/>
                <w:color w:val="auto"/>
                <w:sz w:val="24"/>
                <w:highlight w:val="none"/>
                <w:lang w:eastAsia="zh-CN"/>
              </w:rPr>
              <w:t>见即所得。</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支持j</w:t>
            </w:r>
            <w:r>
              <w:rPr>
                <w:rFonts w:ascii="宋体" w:hAnsi="宋体" w:eastAsia="宋体"/>
                <w:color w:val="auto"/>
                <w:sz w:val="24"/>
                <w:highlight w:val="none"/>
                <w:lang w:eastAsia="zh-CN"/>
              </w:rPr>
              <w:t>pg/png/bmp</w:t>
            </w:r>
            <w:r>
              <w:rPr>
                <w:rFonts w:hint="eastAsia" w:ascii="宋体" w:hAnsi="宋体" w:eastAsia="宋体"/>
                <w:color w:val="auto"/>
                <w:sz w:val="24"/>
                <w:highlight w:val="none"/>
                <w:lang w:eastAsia="zh-CN"/>
              </w:rPr>
              <w:t>格式图片、word文件、pdf文件资料上传</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支持通过手机扫二维码方式上传图片</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支持在同一页面上浏览编辑中的病历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b/>
                <w:bCs/>
                <w:color w:val="auto"/>
                <w:sz w:val="24"/>
                <w:highlight w:val="none"/>
                <w:lang w:eastAsia="zh-CN" w:bidi="ar"/>
              </w:rPr>
            </w:pPr>
            <w:r>
              <w:rPr>
                <w:rFonts w:hint="eastAsia" w:ascii="宋体" w:hAnsi="宋体" w:eastAsia="宋体"/>
                <w:b/>
                <w:bCs/>
                <w:color w:val="auto"/>
                <w:sz w:val="24"/>
                <w:highlight w:val="none"/>
                <w:lang w:eastAsia="zh-CN"/>
              </w:rPr>
              <w:t>病历</w:t>
            </w:r>
            <w:r>
              <w:rPr>
                <w:rFonts w:ascii="宋体" w:hAnsi="宋体" w:eastAsia="宋体"/>
                <w:b/>
                <w:bCs/>
                <w:color w:val="auto"/>
                <w:sz w:val="24"/>
                <w:highlight w:val="none"/>
                <w:lang w:eastAsia="zh-CN"/>
              </w:rPr>
              <w:t>管理</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临床医生可以根据自己的需要定义不同的病历夹分类存储编辑好的患者病历，同时也支持按不同病种保存患者病历，方便医生查询和统计。</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支持通过不同过滤条件进行检索</w:t>
            </w:r>
            <w:r>
              <w:rPr>
                <w:rFonts w:ascii="宋体" w:hAnsi="宋体" w:eastAsia="宋体"/>
                <w:color w:val="auto"/>
                <w:sz w:val="24"/>
                <w:highlight w:val="none"/>
                <w:lang w:eastAsia="zh-CN"/>
              </w:rPr>
              <w:t>，</w:t>
            </w:r>
            <w:r>
              <w:rPr>
                <w:rFonts w:hint="eastAsia" w:ascii="宋体" w:hAnsi="宋体" w:eastAsia="宋体"/>
                <w:color w:val="auto"/>
                <w:sz w:val="24"/>
                <w:highlight w:val="none"/>
                <w:lang w:eastAsia="zh-CN"/>
              </w:rPr>
              <w:t>根据</w:t>
            </w:r>
            <w:r>
              <w:rPr>
                <w:rFonts w:ascii="宋体" w:hAnsi="宋体" w:eastAsia="宋体"/>
                <w:color w:val="auto"/>
                <w:sz w:val="24"/>
                <w:highlight w:val="none"/>
                <w:lang w:eastAsia="zh-CN"/>
              </w:rPr>
              <w:t>用户输入的</w:t>
            </w:r>
            <w:r>
              <w:rPr>
                <w:rFonts w:hint="eastAsia" w:ascii="宋体" w:hAnsi="宋体" w:eastAsia="宋体"/>
                <w:color w:val="auto"/>
                <w:sz w:val="24"/>
                <w:highlight w:val="none"/>
                <w:lang w:eastAsia="zh-CN"/>
              </w:rPr>
              <w:t>搜索</w:t>
            </w:r>
            <w:r>
              <w:rPr>
                <w:rFonts w:ascii="宋体" w:hAnsi="宋体" w:eastAsia="宋体"/>
                <w:color w:val="auto"/>
                <w:sz w:val="24"/>
                <w:highlight w:val="none"/>
                <w:lang w:eastAsia="zh-CN"/>
              </w:rPr>
              <w:t>条件：</w:t>
            </w:r>
            <w:r>
              <w:rPr>
                <w:rFonts w:hint="eastAsia" w:ascii="宋体" w:hAnsi="宋体" w:eastAsia="宋体"/>
                <w:color w:val="auto"/>
                <w:sz w:val="24"/>
                <w:highlight w:val="none"/>
                <w:lang w:eastAsia="zh-CN"/>
              </w:rPr>
              <w:t>患者</w:t>
            </w:r>
            <w:r>
              <w:rPr>
                <w:rFonts w:ascii="宋体" w:hAnsi="宋体" w:eastAsia="宋体"/>
                <w:color w:val="auto"/>
                <w:sz w:val="24"/>
                <w:highlight w:val="none"/>
                <w:lang w:eastAsia="zh-CN"/>
              </w:rPr>
              <w:t>姓名、</w:t>
            </w:r>
            <w:r>
              <w:rPr>
                <w:rFonts w:hint="eastAsia" w:ascii="宋体" w:hAnsi="宋体" w:eastAsia="宋体"/>
                <w:color w:val="auto"/>
                <w:sz w:val="24"/>
                <w:highlight w:val="none"/>
                <w:lang w:eastAsia="zh-CN"/>
              </w:rPr>
              <w:t>年龄</w:t>
            </w:r>
            <w:r>
              <w:rPr>
                <w:rFonts w:ascii="宋体" w:hAnsi="宋体" w:eastAsia="宋体"/>
                <w:color w:val="auto"/>
                <w:sz w:val="24"/>
                <w:highlight w:val="none"/>
                <w:lang w:eastAsia="zh-CN"/>
              </w:rPr>
              <w:t>、</w:t>
            </w:r>
            <w:r>
              <w:rPr>
                <w:rFonts w:hint="eastAsia" w:ascii="宋体" w:hAnsi="宋体" w:eastAsia="宋体"/>
                <w:color w:val="auto"/>
                <w:sz w:val="24"/>
                <w:highlight w:val="none"/>
                <w:lang w:eastAsia="zh-CN"/>
              </w:rPr>
              <w:t>性别</w:t>
            </w:r>
            <w:r>
              <w:rPr>
                <w:rFonts w:ascii="宋体" w:hAnsi="宋体" w:eastAsia="宋体"/>
                <w:color w:val="auto"/>
                <w:sz w:val="24"/>
                <w:highlight w:val="none"/>
                <w:lang w:eastAsia="zh-CN"/>
              </w:rPr>
              <w:t>、</w:t>
            </w:r>
            <w:r>
              <w:rPr>
                <w:rFonts w:hint="eastAsia" w:ascii="宋体" w:hAnsi="宋体" w:eastAsia="宋体"/>
                <w:color w:val="auto"/>
                <w:sz w:val="24"/>
                <w:highlight w:val="none"/>
                <w:lang w:eastAsia="zh-CN"/>
              </w:rPr>
              <w:t>门诊/</w:t>
            </w:r>
            <w:r>
              <w:rPr>
                <w:rFonts w:ascii="宋体" w:hAnsi="宋体" w:eastAsia="宋体"/>
                <w:color w:val="auto"/>
                <w:sz w:val="24"/>
                <w:highlight w:val="none"/>
                <w:lang w:eastAsia="zh-CN"/>
              </w:rPr>
              <w:t>住院号、时间</w:t>
            </w:r>
            <w:r>
              <w:rPr>
                <w:rFonts w:hint="eastAsia" w:ascii="宋体" w:hAnsi="宋体" w:eastAsia="宋体"/>
                <w:color w:val="auto"/>
                <w:sz w:val="24"/>
                <w:highlight w:val="none"/>
                <w:lang w:eastAsia="zh-CN"/>
              </w:rPr>
              <w:t>范围</w:t>
            </w:r>
            <w:r>
              <w:rPr>
                <w:rFonts w:ascii="宋体" w:hAnsi="宋体" w:eastAsia="宋体"/>
                <w:color w:val="auto"/>
                <w:sz w:val="24"/>
                <w:highlight w:val="none"/>
                <w:lang w:eastAsia="zh-CN"/>
              </w:rPr>
              <w:t>、</w:t>
            </w:r>
            <w:r>
              <w:rPr>
                <w:rFonts w:hint="eastAsia" w:ascii="宋体" w:hAnsi="宋体" w:eastAsia="宋体"/>
                <w:color w:val="auto"/>
                <w:sz w:val="24"/>
                <w:highlight w:val="none"/>
                <w:lang w:eastAsia="zh-CN"/>
              </w:rPr>
              <w:t>主</w:t>
            </w:r>
            <w:r>
              <w:rPr>
                <w:rFonts w:ascii="宋体" w:hAnsi="宋体" w:eastAsia="宋体"/>
                <w:color w:val="auto"/>
                <w:sz w:val="24"/>
                <w:highlight w:val="none"/>
                <w:lang w:eastAsia="zh-CN"/>
              </w:rPr>
              <w:t>治医</w:t>
            </w:r>
            <w:r>
              <w:rPr>
                <w:rFonts w:hint="eastAsia" w:ascii="宋体" w:hAnsi="宋体" w:eastAsia="宋体"/>
                <w:color w:val="auto"/>
                <w:sz w:val="24"/>
                <w:highlight w:val="none"/>
                <w:lang w:eastAsia="zh-CN"/>
              </w:rPr>
              <w:t>生</w:t>
            </w:r>
            <w:r>
              <w:rPr>
                <w:rFonts w:ascii="宋体" w:hAnsi="宋体" w:eastAsia="宋体"/>
                <w:color w:val="auto"/>
                <w:sz w:val="24"/>
                <w:highlight w:val="none"/>
                <w:lang w:eastAsia="zh-CN"/>
              </w:rPr>
              <w:t>、</w:t>
            </w:r>
            <w:r>
              <w:rPr>
                <w:rFonts w:hint="eastAsia" w:ascii="宋体" w:hAnsi="宋体" w:eastAsia="宋体"/>
                <w:color w:val="auto"/>
                <w:sz w:val="24"/>
                <w:highlight w:val="none"/>
                <w:lang w:eastAsia="zh-CN"/>
              </w:rPr>
              <w:t>病</w:t>
            </w:r>
            <w:r>
              <w:rPr>
                <w:rFonts w:ascii="宋体" w:hAnsi="宋体" w:eastAsia="宋体"/>
                <w:color w:val="auto"/>
                <w:sz w:val="24"/>
                <w:highlight w:val="none"/>
                <w:lang w:eastAsia="zh-CN"/>
              </w:rPr>
              <w:t>种、疾病关键字</w:t>
            </w:r>
            <w:r>
              <w:rPr>
                <w:rFonts w:hint="eastAsia" w:ascii="宋体" w:hAnsi="宋体" w:eastAsia="宋体"/>
                <w:color w:val="auto"/>
                <w:sz w:val="24"/>
                <w:highlight w:val="none"/>
                <w:lang w:eastAsia="zh-CN"/>
              </w:rPr>
              <w:t>等进</w:t>
            </w:r>
            <w:r>
              <w:rPr>
                <w:rFonts w:ascii="宋体" w:hAnsi="宋体" w:eastAsia="宋体"/>
                <w:color w:val="auto"/>
                <w:sz w:val="24"/>
                <w:highlight w:val="none"/>
                <w:lang w:eastAsia="zh-CN"/>
              </w:rPr>
              <w:t>行</w:t>
            </w:r>
            <w:r>
              <w:rPr>
                <w:rFonts w:hint="eastAsia" w:ascii="宋体" w:hAnsi="宋体" w:eastAsia="宋体"/>
                <w:color w:val="auto"/>
                <w:sz w:val="24"/>
                <w:highlight w:val="none"/>
                <w:lang w:eastAsia="zh-CN"/>
              </w:rPr>
              <w:t>搜索</w:t>
            </w:r>
            <w:r>
              <w:rPr>
                <w:rFonts w:ascii="宋体" w:hAnsi="宋体" w:eastAsia="宋体"/>
                <w:color w:val="auto"/>
                <w:sz w:val="24"/>
                <w:highlight w:val="none"/>
                <w:lang w:eastAsia="zh-CN"/>
              </w:rPr>
              <w:t>，</w:t>
            </w:r>
            <w:r>
              <w:rPr>
                <w:rFonts w:hint="eastAsia" w:ascii="宋体" w:hAnsi="宋体" w:eastAsia="宋体"/>
                <w:color w:val="auto"/>
                <w:sz w:val="24"/>
                <w:highlight w:val="none"/>
                <w:lang w:eastAsia="zh-CN"/>
              </w:rPr>
              <w:t>供</w:t>
            </w:r>
            <w:r>
              <w:rPr>
                <w:rFonts w:ascii="宋体" w:hAnsi="宋体" w:eastAsia="宋体"/>
                <w:color w:val="auto"/>
                <w:sz w:val="24"/>
                <w:highlight w:val="none"/>
                <w:lang w:eastAsia="zh-CN"/>
              </w:rPr>
              <w:t>临床医生</w:t>
            </w:r>
            <w:r>
              <w:rPr>
                <w:rFonts w:hint="eastAsia" w:ascii="宋体" w:hAnsi="宋体" w:eastAsia="宋体"/>
                <w:color w:val="auto"/>
                <w:sz w:val="24"/>
                <w:highlight w:val="none"/>
                <w:lang w:eastAsia="zh-CN"/>
              </w:rPr>
              <w:t>进行查阅</w:t>
            </w:r>
            <w:r>
              <w:rPr>
                <w:rFonts w:ascii="宋体" w:hAnsi="宋体" w:eastAsia="宋体"/>
                <w:color w:val="auto"/>
                <w:sz w:val="24"/>
                <w:highlight w:val="none"/>
                <w:lang w:eastAsia="zh-CN"/>
              </w:rPr>
              <w:t>、</w:t>
            </w:r>
            <w:r>
              <w:rPr>
                <w:rFonts w:hint="eastAsia" w:ascii="宋体" w:hAnsi="宋体" w:eastAsia="宋体"/>
                <w:color w:val="auto"/>
                <w:sz w:val="24"/>
                <w:highlight w:val="none"/>
                <w:lang w:eastAsia="zh-CN"/>
              </w:rPr>
              <w:t>数据</w:t>
            </w:r>
            <w:r>
              <w:rPr>
                <w:rFonts w:ascii="宋体" w:hAnsi="宋体" w:eastAsia="宋体"/>
                <w:color w:val="auto"/>
                <w:sz w:val="24"/>
                <w:highlight w:val="none"/>
                <w:lang w:eastAsia="zh-CN"/>
              </w:rPr>
              <w:t>统计、</w:t>
            </w:r>
            <w:r>
              <w:rPr>
                <w:rFonts w:hint="eastAsia" w:ascii="宋体" w:hAnsi="宋体" w:eastAsia="宋体"/>
                <w:color w:val="auto"/>
                <w:sz w:val="24"/>
                <w:highlight w:val="none"/>
                <w:lang w:eastAsia="zh-CN"/>
              </w:rPr>
              <w:t>病情</w:t>
            </w:r>
            <w:r>
              <w:rPr>
                <w:rFonts w:ascii="宋体" w:hAnsi="宋体" w:eastAsia="宋体"/>
                <w:color w:val="auto"/>
                <w:sz w:val="24"/>
                <w:highlight w:val="none"/>
                <w:lang w:eastAsia="zh-CN"/>
              </w:rPr>
              <w:t>分析。</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w:t>
            </w:r>
            <w:r>
              <w:rPr>
                <w:rFonts w:ascii="宋体" w:hAnsi="宋体" w:eastAsia="宋体"/>
                <w:color w:val="auto"/>
                <w:sz w:val="24"/>
                <w:highlight w:val="none"/>
                <w:lang w:eastAsia="zh-CN"/>
              </w:rPr>
              <w:t>病</w:t>
            </w:r>
            <w:r>
              <w:rPr>
                <w:rFonts w:hint="eastAsia" w:ascii="宋体" w:hAnsi="宋体" w:eastAsia="宋体"/>
                <w:color w:val="auto"/>
                <w:sz w:val="24"/>
                <w:highlight w:val="none"/>
                <w:lang w:eastAsia="zh-CN"/>
              </w:rPr>
              <w:t>历的收藏，</w:t>
            </w:r>
            <w:r>
              <w:rPr>
                <w:rFonts w:ascii="宋体" w:hAnsi="宋体" w:eastAsia="宋体"/>
                <w:color w:val="auto"/>
                <w:sz w:val="24"/>
                <w:highlight w:val="none"/>
                <w:lang w:eastAsia="zh-CN"/>
              </w:rPr>
              <w:t>供后续</w:t>
            </w:r>
            <w:r>
              <w:rPr>
                <w:rFonts w:hint="eastAsia" w:ascii="宋体" w:hAnsi="宋体" w:eastAsia="宋体"/>
                <w:color w:val="auto"/>
                <w:sz w:val="24"/>
                <w:highlight w:val="none"/>
                <w:lang w:eastAsia="zh-CN"/>
              </w:rPr>
              <w:t>会诊、</w:t>
            </w:r>
            <w:r>
              <w:rPr>
                <w:rFonts w:ascii="宋体" w:hAnsi="宋体" w:eastAsia="宋体"/>
                <w:color w:val="auto"/>
                <w:sz w:val="24"/>
                <w:highlight w:val="none"/>
                <w:lang w:eastAsia="zh-CN"/>
              </w:rPr>
              <w:t>治疗参</w:t>
            </w:r>
            <w:r>
              <w:rPr>
                <w:rFonts w:hint="eastAsia" w:ascii="宋体" w:hAnsi="宋体" w:eastAsia="宋体"/>
                <w:color w:val="auto"/>
                <w:sz w:val="24"/>
                <w:highlight w:val="none"/>
                <w:lang w:eastAsia="zh-CN"/>
              </w:rPr>
              <w:t>考</w:t>
            </w:r>
            <w:r>
              <w:rPr>
                <w:rFonts w:ascii="宋体" w:hAnsi="宋体" w:eastAsia="宋体"/>
                <w:color w:val="auto"/>
                <w:sz w:val="24"/>
                <w:highlight w:val="none"/>
                <w:lang w:eastAsia="zh-CN"/>
              </w:rPr>
              <w:t>或教学使用。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病历调阅</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在同一视图以文档的形式浏览编辑好的患者病历</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支持在其它系统模块调用患者病历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病历分享</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ascii="宋体" w:hAnsi="宋体" w:eastAsia="宋体"/>
                <w:color w:val="auto"/>
                <w:sz w:val="24"/>
                <w:highlight w:val="none"/>
                <w:lang w:eastAsia="zh-CN"/>
              </w:rPr>
              <w:t>整理好的患者</w:t>
            </w:r>
            <w:r>
              <w:rPr>
                <w:rFonts w:hint="eastAsia" w:ascii="宋体" w:hAnsi="宋体" w:eastAsia="宋体"/>
                <w:color w:val="auto"/>
                <w:sz w:val="24"/>
                <w:highlight w:val="none"/>
                <w:lang w:eastAsia="zh-CN"/>
              </w:rPr>
              <w:t>病历</w:t>
            </w:r>
            <w:r>
              <w:rPr>
                <w:rFonts w:ascii="宋体" w:hAnsi="宋体" w:eastAsia="宋体"/>
                <w:color w:val="auto"/>
                <w:sz w:val="24"/>
                <w:highlight w:val="none"/>
                <w:lang w:eastAsia="zh-CN"/>
              </w:rPr>
              <w:t>，</w:t>
            </w:r>
            <w:r>
              <w:rPr>
                <w:rFonts w:hint="eastAsia" w:ascii="宋体" w:hAnsi="宋体" w:eastAsia="宋体"/>
                <w:color w:val="auto"/>
                <w:sz w:val="24"/>
                <w:highlight w:val="none"/>
                <w:lang w:eastAsia="zh-CN"/>
              </w:rPr>
              <w:t>可</w:t>
            </w:r>
            <w:r>
              <w:rPr>
                <w:rFonts w:ascii="宋体" w:hAnsi="宋体" w:eastAsia="宋体"/>
                <w:color w:val="auto"/>
                <w:sz w:val="24"/>
                <w:highlight w:val="none"/>
                <w:lang w:eastAsia="zh-CN"/>
              </w:rPr>
              <w:t>以根据需要分享给</w:t>
            </w:r>
            <w:r>
              <w:rPr>
                <w:rFonts w:hint="eastAsia" w:ascii="宋体" w:hAnsi="宋体" w:eastAsia="宋体"/>
                <w:color w:val="auto"/>
                <w:sz w:val="24"/>
                <w:highlight w:val="none"/>
                <w:lang w:eastAsia="zh-CN"/>
              </w:rPr>
              <w:t>其他</w:t>
            </w:r>
            <w:r>
              <w:rPr>
                <w:rFonts w:ascii="宋体" w:hAnsi="宋体" w:eastAsia="宋体"/>
                <w:color w:val="auto"/>
                <w:sz w:val="24"/>
                <w:highlight w:val="none"/>
                <w:lang w:eastAsia="zh-CN"/>
              </w:rPr>
              <w:t>的</w:t>
            </w:r>
            <w:r>
              <w:rPr>
                <w:rFonts w:hint="eastAsia" w:ascii="宋体" w:hAnsi="宋体" w:eastAsia="宋体"/>
                <w:color w:val="auto"/>
                <w:sz w:val="24"/>
                <w:highlight w:val="none"/>
                <w:lang w:eastAsia="zh-CN"/>
              </w:rPr>
              <w:t>专</w:t>
            </w:r>
            <w:r>
              <w:rPr>
                <w:rFonts w:ascii="宋体" w:hAnsi="宋体" w:eastAsia="宋体"/>
                <w:color w:val="auto"/>
                <w:sz w:val="24"/>
                <w:highlight w:val="none"/>
                <w:lang w:eastAsia="zh-CN"/>
              </w:rPr>
              <w:t>家，</w:t>
            </w:r>
            <w:r>
              <w:rPr>
                <w:rFonts w:hint="eastAsia" w:ascii="宋体" w:hAnsi="宋体" w:eastAsia="宋体"/>
                <w:color w:val="auto"/>
                <w:sz w:val="24"/>
                <w:highlight w:val="none"/>
                <w:lang w:eastAsia="zh-CN"/>
              </w:rPr>
              <w:t>双</w:t>
            </w:r>
            <w:r>
              <w:rPr>
                <w:rFonts w:ascii="宋体" w:hAnsi="宋体" w:eastAsia="宋体"/>
                <w:color w:val="auto"/>
                <w:sz w:val="24"/>
                <w:highlight w:val="none"/>
                <w:lang w:eastAsia="zh-CN"/>
              </w:rPr>
              <w:t>方可以围绕同一份病历进行</w:t>
            </w:r>
            <w:r>
              <w:rPr>
                <w:rFonts w:hint="eastAsia" w:ascii="宋体" w:hAnsi="宋体" w:eastAsia="宋体"/>
                <w:color w:val="auto"/>
                <w:sz w:val="24"/>
                <w:highlight w:val="none"/>
                <w:lang w:eastAsia="zh-CN"/>
              </w:rPr>
              <w:t>讨论，</w:t>
            </w:r>
            <w:r>
              <w:rPr>
                <w:rFonts w:ascii="宋体" w:hAnsi="宋体" w:eastAsia="宋体"/>
                <w:color w:val="auto"/>
                <w:sz w:val="24"/>
                <w:highlight w:val="none"/>
                <w:lang w:eastAsia="zh-CN"/>
              </w:rPr>
              <w:t>交流意见。</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病历分享时需对患者个人隐私信息进行脱敏。</w:t>
            </w:r>
          </w:p>
          <w:p>
            <w:pPr>
              <w:pStyle w:val="201"/>
              <w:widowControl/>
              <w:numPr>
                <w:ilvl w:val="0"/>
                <w:numId w:val="36"/>
              </w:numPr>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color w:val="auto"/>
                <w:sz w:val="24"/>
                <w:highlight w:val="none"/>
                <w:lang w:eastAsia="zh-CN"/>
              </w:rPr>
              <w:t>支持在移动终端设备上浏览分享的病历。</w:t>
            </w:r>
          </w:p>
          <w:p>
            <w:pPr>
              <w:pStyle w:val="201"/>
              <w:widowControl/>
              <w:numPr>
                <w:ilvl w:val="0"/>
                <w:numId w:val="36"/>
              </w:numPr>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color w:val="auto"/>
                <w:sz w:val="24"/>
                <w:highlight w:val="none"/>
                <w:lang w:eastAsia="zh-CN"/>
              </w:rPr>
              <w:t>支持设置病历分享时效，分享时效已过时浏览病历则提示病历分享失效。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病历导出</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支持将整理好的病历导出为p</w:t>
            </w:r>
            <w:r>
              <w:rPr>
                <w:rFonts w:ascii="宋体" w:hAnsi="宋体" w:eastAsia="宋体"/>
                <w:color w:val="auto"/>
                <w:sz w:val="24"/>
                <w:highlight w:val="none"/>
                <w:lang w:eastAsia="zh-CN"/>
              </w:rPr>
              <w:t>df</w:t>
            </w:r>
            <w:r>
              <w:rPr>
                <w:rFonts w:hint="eastAsia" w:ascii="宋体" w:hAnsi="宋体" w:eastAsia="宋体"/>
                <w:color w:val="auto"/>
                <w:sz w:val="24"/>
                <w:highlight w:val="none"/>
                <w:lang w:eastAsia="zh-CN"/>
              </w:rPr>
              <w:t>文件</w:t>
            </w:r>
          </w:p>
          <w:p>
            <w:pPr>
              <w:pStyle w:val="201"/>
              <w:widowControl/>
              <w:numPr>
                <w:ilvl w:val="0"/>
                <w:numId w:val="36"/>
              </w:numPr>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导出时需对患者个人隐私信息进行脱敏处理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jc w:val="center"/>
              <w:rPr>
                <w:rFonts w:ascii="宋体" w:hAnsi="宋体" w:eastAsia="宋体"/>
                <w:b/>
                <w:bCs/>
                <w:color w:val="auto"/>
                <w:sz w:val="24"/>
                <w:highlight w:val="none"/>
                <w:lang w:eastAsia="zh-CN" w:bidi="ar"/>
              </w:rPr>
            </w:pPr>
            <w:r>
              <w:rPr>
                <w:rFonts w:hint="eastAsia" w:ascii="宋体" w:hAnsi="宋体" w:eastAsia="宋体"/>
                <w:b/>
                <w:bCs/>
                <w:color w:val="auto"/>
                <w:sz w:val="24"/>
                <w:highlight w:val="none"/>
                <w:lang w:eastAsia="zh-CN"/>
              </w:rPr>
              <w:t>系统管理</w:t>
            </w:r>
          </w:p>
        </w:tc>
        <w:tc>
          <w:tcPr>
            <w:tcW w:w="6571" w:type="dxa"/>
            <w:vAlign w:val="center"/>
          </w:tcPr>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支持机构管理</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支持科室管理</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支持用户管理</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支持权限管理，可根据岗位职责为用户分配不同的权限</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支持数据字典配置</w:t>
            </w:r>
          </w:p>
          <w:p>
            <w:pPr>
              <w:pStyle w:val="201"/>
              <w:widowControl/>
              <w:numPr>
                <w:ilvl w:val="0"/>
                <w:numId w:val="36"/>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支持记录系统操作日志信息</w:t>
            </w:r>
          </w:p>
        </w:tc>
      </w:tr>
    </w:tbl>
    <w:p>
      <w:pPr>
        <w:rPr>
          <w:rFonts w:ascii="宋体" w:hAnsi="宋体"/>
          <w:color w:val="auto"/>
          <w:sz w:val="24"/>
          <w:highlight w:val="none"/>
        </w:rPr>
      </w:pPr>
    </w:p>
    <w:p>
      <w:pPr>
        <w:pStyle w:val="75"/>
        <w:ind w:firstLine="420"/>
        <w:rPr>
          <w:color w:val="auto"/>
          <w:highlight w:val="none"/>
        </w:rPr>
      </w:pPr>
    </w:p>
    <w:p>
      <w:pPr>
        <w:pStyle w:val="4"/>
        <w:keepNext w:val="0"/>
        <w:keepLines w:val="0"/>
        <w:numPr>
          <w:ilvl w:val="1"/>
          <w:numId w:val="8"/>
        </w:numPr>
        <w:tabs>
          <w:tab w:val="left" w:pos="720"/>
        </w:tabs>
        <w:autoSpaceDE/>
        <w:autoSpaceDN/>
        <w:adjustRightInd/>
        <w:spacing w:before="0" w:line="240" w:lineRule="auto"/>
        <w:jc w:val="both"/>
        <w:rPr>
          <w:rFonts w:ascii="宋体" w:hAnsi="宋体"/>
          <w:color w:val="auto"/>
          <w:sz w:val="24"/>
          <w:highlight w:val="none"/>
        </w:rPr>
      </w:pPr>
      <w:bookmarkStart w:id="827" w:name="_Toc5121"/>
      <w:bookmarkStart w:id="828" w:name="_Toc138247823"/>
      <w:bookmarkStart w:id="829" w:name="_Toc1723910383"/>
      <w:bookmarkStart w:id="830" w:name="_Toc28914"/>
      <w:bookmarkStart w:id="831" w:name="_Toc31405"/>
      <w:r>
        <w:rPr>
          <w:rFonts w:hint="eastAsia" w:ascii="宋体" w:hAnsi="宋体"/>
          <w:color w:val="auto"/>
          <w:sz w:val="24"/>
          <w:highlight w:val="none"/>
          <w:lang w:eastAsia="zh-Hans"/>
        </w:rPr>
        <w:t>区域传染病防控</w:t>
      </w:r>
      <w:r>
        <w:rPr>
          <w:rFonts w:hint="eastAsia" w:ascii="宋体" w:hAnsi="宋体"/>
          <w:color w:val="auto"/>
          <w:sz w:val="24"/>
          <w:highlight w:val="none"/>
        </w:rPr>
        <w:t>平台</w:t>
      </w:r>
      <w:bookmarkEnd w:id="827"/>
      <w:bookmarkEnd w:id="828"/>
      <w:bookmarkEnd w:id="829"/>
    </w:p>
    <w:p>
      <w:pPr>
        <w:pStyle w:val="5"/>
        <w:numPr>
          <w:ilvl w:val="2"/>
          <w:numId w:val="8"/>
        </w:numPr>
        <w:autoSpaceDE/>
        <w:autoSpaceDN/>
        <w:adjustRightInd/>
        <w:spacing w:before="260" w:after="260" w:line="416" w:lineRule="auto"/>
        <w:jc w:val="both"/>
        <w:rPr>
          <w:rFonts w:hAnsi="宋体"/>
          <w:color w:val="auto"/>
          <w:szCs w:val="24"/>
          <w:highlight w:val="none"/>
        </w:rPr>
      </w:pPr>
      <w:bookmarkStart w:id="832" w:name="_Toc126933897"/>
      <w:bookmarkStart w:id="833" w:name="_Toc138247824"/>
      <w:bookmarkStart w:id="834" w:name="_Toc6122"/>
      <w:bookmarkStart w:id="835" w:name="_Toc2059925404"/>
      <w:r>
        <w:rPr>
          <w:rFonts w:hAnsi="宋体"/>
          <w:color w:val="auto"/>
          <w:szCs w:val="24"/>
          <w:highlight w:val="none"/>
        </w:rPr>
        <w:t>公共卫生核心业务系统</w:t>
      </w:r>
      <w:bookmarkEnd w:id="832"/>
      <w:bookmarkEnd w:id="833"/>
      <w:bookmarkEnd w:id="834"/>
      <w:bookmarkEnd w:id="835"/>
    </w:p>
    <w:p>
      <w:pPr>
        <w:pStyle w:val="6"/>
        <w:numPr>
          <w:ilvl w:val="3"/>
          <w:numId w:val="8"/>
        </w:numPr>
        <w:spacing w:before="280" w:after="290" w:line="376" w:lineRule="auto"/>
        <w:rPr>
          <w:rFonts w:ascii="宋体" w:hAnsi="宋体"/>
          <w:color w:val="auto"/>
          <w:sz w:val="24"/>
          <w:szCs w:val="24"/>
          <w:highlight w:val="none"/>
        </w:rPr>
      </w:pPr>
      <w:bookmarkStart w:id="836" w:name="_Toc14912"/>
      <w:r>
        <w:rPr>
          <w:rFonts w:hint="eastAsia" w:ascii="宋体" w:hAnsi="宋体"/>
          <w:color w:val="auto"/>
          <w:sz w:val="24"/>
          <w:szCs w:val="24"/>
          <w:highlight w:val="none"/>
        </w:rPr>
        <w:t>传染病动态监测与管理</w:t>
      </w:r>
      <w:bookmarkEnd w:id="836"/>
    </w:p>
    <w:p>
      <w:pPr>
        <w:pStyle w:val="8"/>
        <w:ind w:firstLine="480"/>
        <w:rPr>
          <w:rFonts w:ascii="宋体" w:hAnsi="宋体"/>
          <w:color w:val="auto"/>
          <w:szCs w:val="24"/>
          <w:highlight w:val="none"/>
        </w:rPr>
      </w:pPr>
      <w:r>
        <w:rPr>
          <w:rFonts w:hint="eastAsia" w:ascii="宋体" w:hAnsi="宋体"/>
          <w:color w:val="auto"/>
          <w:szCs w:val="24"/>
          <w:highlight w:val="none"/>
        </w:rPr>
        <w:t>需满足以下功能：</w:t>
      </w:r>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left="105" w:leftChars="50" w:right="105" w:rightChars="50" w:firstLine="508"/>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5" w:leftChars="50" w:right="105" w:rightChars="50" w:firstLine="508"/>
              <w:jc w:val="center"/>
              <w:rPr>
                <w:rFonts w:ascii="宋体" w:hAnsi="宋体" w:eastAsia="宋体"/>
                <w:b/>
                <w:color w:val="auto"/>
                <w:w w:val="105"/>
                <w:sz w:val="24"/>
                <w:highlight w:val="none"/>
              </w:rPr>
            </w:pPr>
            <w:r>
              <w:rPr>
                <w:rFonts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rPr>
            </w:pPr>
            <w:r>
              <w:rPr>
                <w:rFonts w:hint="eastAsia" w:ascii="宋体" w:hAnsi="宋体" w:eastAsia="宋体"/>
                <w:color w:val="auto"/>
                <w:sz w:val="24"/>
                <w:highlight w:val="none"/>
              </w:rPr>
              <w:t>线索登记</w:t>
            </w:r>
          </w:p>
        </w:tc>
        <w:tc>
          <w:tcPr>
            <w:tcW w:w="6622" w:type="dxa"/>
            <w:vAlign w:val="center"/>
          </w:tcPr>
          <w:p>
            <w:pPr>
              <w:pStyle w:val="201"/>
              <w:numPr>
                <w:ilvl w:val="0"/>
                <w:numId w:val="9"/>
              </w:numPr>
              <w:spacing w:before="6" w:line="360" w:lineRule="auto"/>
              <w:ind w:right="105" w:rightChars="50" w:firstLine="478"/>
              <w:rPr>
                <w:rFonts w:ascii="宋体" w:hAnsi="宋体" w:eastAsia="宋体" w:cs="Arial"/>
                <w:color w:val="auto"/>
                <w:sz w:val="24"/>
                <w:highlight w:val="none"/>
                <w:lang w:eastAsia="zh-CN"/>
              </w:rPr>
            </w:pPr>
            <w:r>
              <w:rPr>
                <w:rFonts w:hint="eastAsia" w:ascii="宋体" w:hAnsi="宋体" w:eastAsia="宋体"/>
                <w:color w:val="auto"/>
                <w:spacing w:val="-1"/>
                <w:sz w:val="24"/>
                <w:highlight w:val="none"/>
                <w:lang w:eastAsia="zh-CN"/>
              </w:rPr>
              <w:t>支</w:t>
            </w:r>
            <w:r>
              <w:rPr>
                <w:rFonts w:hint="eastAsia" w:ascii="宋体" w:hAnsi="宋体" w:eastAsia="宋体" w:cs="Arial"/>
                <w:color w:val="auto"/>
                <w:sz w:val="24"/>
                <w:highlight w:val="none"/>
                <w:lang w:eastAsia="zh-CN"/>
              </w:rPr>
              <w:t>持由医疗机构医生登记来院人员传染病发生情况。</w:t>
            </w:r>
          </w:p>
          <w:p>
            <w:pPr>
              <w:pStyle w:val="201"/>
              <w:numPr>
                <w:ilvl w:val="0"/>
                <w:numId w:val="9"/>
              </w:numPr>
              <w:spacing w:before="6" w:line="360" w:lineRule="auto"/>
              <w:ind w:right="105" w:rightChars="50" w:firstLine="482"/>
              <w:rPr>
                <w:rFonts w:ascii="宋体" w:hAnsi="宋体" w:eastAsia="宋体" w:cs="Arial"/>
                <w:color w:val="auto"/>
                <w:sz w:val="24"/>
                <w:highlight w:val="none"/>
                <w:lang w:eastAsia="zh-CN"/>
              </w:rPr>
            </w:pPr>
            <w:r>
              <w:rPr>
                <w:rFonts w:hint="eastAsia" w:ascii="宋体" w:hAnsi="宋体" w:eastAsia="宋体" w:cs="Arial"/>
                <w:color w:val="auto"/>
                <w:sz w:val="24"/>
                <w:highlight w:val="none"/>
                <w:lang w:eastAsia="zh-CN"/>
              </w:rPr>
              <w:t>线索登记的信息支持包括患者的姓名、身份证号、性别、年龄、患者职业、工作单位、病人属于、现地址详情、户主姓名、与户主关系、传染病名称、备注信息等。</w:t>
            </w:r>
          </w:p>
          <w:p>
            <w:pPr>
              <w:pStyle w:val="201"/>
              <w:numPr>
                <w:ilvl w:val="0"/>
                <w:numId w:val="9"/>
              </w:numPr>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cs="Arial"/>
                <w:color w:val="auto"/>
                <w:sz w:val="24"/>
                <w:highlight w:val="none"/>
                <w:lang w:eastAsia="zh-CN"/>
              </w:rPr>
              <w:t>支持线索登记新增、查询、查看、修改、删除等操作</w:t>
            </w:r>
            <w:r>
              <w:rPr>
                <w:rFonts w:hint="eastAsia" w:ascii="宋体" w:hAnsi="宋体" w:eastAsia="宋体"/>
                <w:color w:val="auto"/>
                <w:spacing w:val="-1"/>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lang w:eastAsia="zh-CN"/>
              </w:rPr>
            </w:pPr>
            <w:r>
              <w:rPr>
                <w:rFonts w:hint="eastAsia" w:ascii="宋体" w:hAnsi="宋体" w:eastAsia="宋体"/>
                <w:color w:val="auto"/>
                <w:sz w:val="24"/>
                <w:highlight w:val="none"/>
              </w:rPr>
              <w:t>动态监测管理</w:t>
            </w:r>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w:t>
            </w:r>
            <w:r>
              <w:rPr>
                <w:rFonts w:ascii="宋体" w:hAnsi="宋体" w:eastAsia="宋体"/>
                <w:color w:val="auto"/>
                <w:spacing w:val="-1"/>
                <w:sz w:val="24"/>
                <w:highlight w:val="none"/>
                <w:lang w:eastAsia="zh-CN"/>
              </w:rPr>
              <w:t>依据中国疾控中心传染病报告标准规范，建</w:t>
            </w:r>
            <w:r>
              <w:rPr>
                <w:rFonts w:hint="eastAsia" w:ascii="宋体" w:hAnsi="宋体" w:eastAsia="宋体"/>
                <w:color w:val="auto"/>
                <w:spacing w:val="-1"/>
                <w:sz w:val="24"/>
                <w:highlight w:val="none"/>
                <w:lang w:eastAsia="zh-CN"/>
              </w:rPr>
              <w:t>立</w:t>
            </w:r>
            <w:r>
              <w:rPr>
                <w:rFonts w:ascii="宋体" w:hAnsi="宋体" w:eastAsia="宋体"/>
                <w:color w:val="auto"/>
                <w:spacing w:val="-1"/>
                <w:sz w:val="24"/>
                <w:highlight w:val="none"/>
                <w:lang w:eastAsia="zh-CN"/>
              </w:rPr>
              <w:t>传染病监测库，进行查阅、疫情分析、监测信息统计等。</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w:t>
            </w:r>
            <w:r>
              <w:rPr>
                <w:rFonts w:ascii="宋体" w:hAnsi="宋体" w:eastAsia="宋体"/>
                <w:color w:val="auto"/>
                <w:spacing w:val="-1"/>
                <w:sz w:val="24"/>
                <w:highlight w:val="none"/>
                <w:lang w:eastAsia="zh-CN"/>
              </w:rPr>
              <w:t>从电子病历中提取传染病填报信息，减少</w:t>
            </w:r>
            <w:r>
              <w:rPr>
                <w:rFonts w:hint="eastAsia" w:ascii="宋体" w:hAnsi="宋体" w:eastAsia="宋体"/>
                <w:color w:val="auto"/>
                <w:spacing w:val="-1"/>
                <w:sz w:val="24"/>
                <w:highlight w:val="none"/>
                <w:lang w:eastAsia="zh-CN"/>
              </w:rPr>
              <w:t>医疗人员</w:t>
            </w:r>
            <w:r>
              <w:rPr>
                <w:rFonts w:ascii="宋体" w:hAnsi="宋体" w:eastAsia="宋体"/>
                <w:color w:val="auto"/>
                <w:spacing w:val="-1"/>
                <w:sz w:val="24"/>
                <w:highlight w:val="none"/>
                <w:lang w:eastAsia="zh-CN"/>
              </w:rPr>
              <w:t>对传染病的填报压力和提高数据利用率</w:t>
            </w:r>
            <w:r>
              <w:rPr>
                <w:rFonts w:hint="eastAsia" w:ascii="宋体" w:hAnsi="宋体" w:eastAsia="宋体"/>
                <w:color w:val="auto"/>
                <w:spacing w:val="-1"/>
                <w:sz w:val="24"/>
                <w:highlight w:val="none"/>
                <w:lang w:eastAsia="zh-CN"/>
              </w:rPr>
              <w:t>。</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支持搭建</w:t>
            </w:r>
            <w:r>
              <w:rPr>
                <w:rFonts w:ascii="宋体" w:hAnsi="宋体" w:eastAsia="宋体"/>
                <w:color w:val="auto"/>
                <w:spacing w:val="-1"/>
                <w:sz w:val="24"/>
                <w:highlight w:val="none"/>
                <w:lang w:eastAsia="zh-CN"/>
              </w:rPr>
              <w:t>传染病监测数据中心，实现传染病领导决策大屏可视化应用。</w:t>
            </w:r>
          </w:p>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hint="eastAsia" w:ascii="宋体" w:hAnsi="宋体" w:eastAsia="宋体"/>
                <w:color w:val="auto"/>
                <w:spacing w:val="-1"/>
                <w:sz w:val="24"/>
                <w:highlight w:val="none"/>
                <w:lang w:eastAsia="zh-CN"/>
              </w:rPr>
              <w:t>支持对传染病临床监测以及传染病症状监测，功能包括新增传染病报卡、待提报卡、报卡查看、报卡审核、报卡查重、删除报卡、死亡报卡查看、报卡质量控制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lang w:eastAsia="zh-CN"/>
              </w:rPr>
            </w:pPr>
            <w:r>
              <w:rPr>
                <w:rFonts w:hint="eastAsia" w:ascii="宋体" w:hAnsi="宋体" w:eastAsia="宋体"/>
                <w:color w:val="auto"/>
                <w:sz w:val="24"/>
                <w:highlight w:val="none"/>
              </w:rPr>
              <w:t>症状群</w:t>
            </w:r>
            <w:r>
              <w:rPr>
                <w:rFonts w:ascii="宋体" w:hAnsi="宋体" w:eastAsia="宋体"/>
                <w:color w:val="auto"/>
                <w:sz w:val="24"/>
                <w:highlight w:val="none"/>
              </w:rPr>
              <w:t>监测预警</w:t>
            </w:r>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支持基于传染病监测数据中心</w:t>
            </w:r>
            <w:r>
              <w:rPr>
                <w:rFonts w:ascii="宋体" w:hAnsi="宋体" w:eastAsia="宋体"/>
                <w:color w:val="auto"/>
                <w:spacing w:val="-1"/>
                <w:sz w:val="24"/>
                <w:highlight w:val="none"/>
                <w:lang w:eastAsia="zh-CN"/>
              </w:rPr>
              <w:t>，开展传染病症状监测预警工作</w:t>
            </w:r>
            <w:r>
              <w:rPr>
                <w:rFonts w:hint="eastAsia" w:ascii="宋体" w:hAnsi="宋体" w:eastAsia="宋体"/>
                <w:color w:val="auto"/>
                <w:spacing w:val="-1"/>
                <w:sz w:val="24"/>
                <w:highlight w:val="none"/>
                <w:lang w:eastAsia="zh-CN"/>
              </w:rPr>
              <w:t>。</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w:t>
            </w:r>
            <w:r>
              <w:rPr>
                <w:rFonts w:ascii="宋体" w:hAnsi="宋体" w:eastAsia="宋体"/>
                <w:color w:val="auto"/>
                <w:spacing w:val="-1"/>
                <w:sz w:val="24"/>
                <w:highlight w:val="none"/>
                <w:lang w:eastAsia="zh-CN"/>
              </w:rPr>
              <w:t>对</w:t>
            </w:r>
            <w:r>
              <w:rPr>
                <w:rFonts w:hint="eastAsia" w:ascii="宋体" w:hAnsi="宋体" w:eastAsia="宋体"/>
                <w:color w:val="auto"/>
                <w:spacing w:val="-1"/>
                <w:sz w:val="24"/>
                <w:highlight w:val="none"/>
                <w:lang w:eastAsia="zh-CN"/>
              </w:rPr>
              <w:t>传染病</w:t>
            </w:r>
            <w:r>
              <w:rPr>
                <w:rFonts w:ascii="宋体" w:hAnsi="宋体" w:eastAsia="宋体"/>
                <w:color w:val="auto"/>
                <w:spacing w:val="-1"/>
                <w:sz w:val="24"/>
                <w:highlight w:val="none"/>
                <w:lang w:eastAsia="zh-CN"/>
              </w:rPr>
              <w:t>症状信息进行采集，将采集到的数据进行清洗、保证数据质量。</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w:t>
            </w:r>
            <w:r>
              <w:rPr>
                <w:rFonts w:ascii="宋体" w:hAnsi="宋体" w:eastAsia="宋体"/>
                <w:color w:val="auto"/>
                <w:spacing w:val="-1"/>
                <w:sz w:val="24"/>
                <w:highlight w:val="none"/>
                <w:lang w:eastAsia="zh-CN"/>
              </w:rPr>
              <w:t>对采集的数据进行分析，通过对症候群重症病例分析、聚集性病例分析和其他异常病例或事件分析</w:t>
            </w:r>
            <w:r>
              <w:rPr>
                <w:rFonts w:hint="eastAsia" w:ascii="宋体" w:hAnsi="宋体" w:eastAsia="宋体"/>
                <w:color w:val="auto"/>
                <w:spacing w:val="-1"/>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lang w:eastAsia="zh-CN"/>
              </w:rPr>
            </w:pPr>
            <w:r>
              <w:rPr>
                <w:rFonts w:hint="eastAsia" w:ascii="宋体" w:hAnsi="宋体" w:eastAsia="宋体"/>
                <w:color w:val="auto"/>
                <w:sz w:val="24"/>
                <w:highlight w:val="none"/>
              </w:rPr>
              <w:t>传染病智能预警</w:t>
            </w:r>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支持根据医院提供的传染病预警机制设定对应的传染病预警规则。</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平台支持对</w:t>
            </w:r>
            <w:r>
              <w:rPr>
                <w:rFonts w:ascii="宋体" w:hAnsi="宋体" w:eastAsia="宋体"/>
                <w:color w:val="auto"/>
                <w:spacing w:val="-1"/>
                <w:sz w:val="24"/>
                <w:highlight w:val="none"/>
                <w:lang w:eastAsia="zh-CN"/>
              </w:rPr>
              <w:t>传染病监测数据进行自动分析计算，</w:t>
            </w:r>
            <w:r>
              <w:rPr>
                <w:rFonts w:hint="eastAsia" w:ascii="宋体" w:hAnsi="宋体" w:eastAsia="宋体"/>
                <w:color w:val="auto"/>
                <w:spacing w:val="-1"/>
                <w:sz w:val="24"/>
                <w:highlight w:val="none"/>
                <w:lang w:eastAsia="zh-CN"/>
              </w:rPr>
              <w:t>并对监测到的疾病异常增长</w:t>
            </w:r>
            <w:r>
              <w:rPr>
                <w:rFonts w:ascii="宋体" w:hAnsi="宋体" w:eastAsia="宋体"/>
                <w:color w:val="auto"/>
                <w:spacing w:val="-1"/>
                <w:sz w:val="24"/>
                <w:highlight w:val="none"/>
                <w:lang w:eastAsia="zh-CN"/>
              </w:rPr>
              <w:t>和聚集</w:t>
            </w:r>
            <w:r>
              <w:rPr>
                <w:rFonts w:hint="eastAsia" w:ascii="宋体" w:hAnsi="宋体" w:eastAsia="宋体"/>
                <w:color w:val="auto"/>
                <w:spacing w:val="-1"/>
                <w:sz w:val="24"/>
                <w:highlight w:val="none"/>
                <w:lang w:eastAsia="zh-CN"/>
              </w:rPr>
              <w:t>趋势提供及时的预警，并将预警信息提醒到相关人员，</w:t>
            </w:r>
            <w:r>
              <w:rPr>
                <w:rFonts w:ascii="宋体" w:hAnsi="宋体" w:eastAsia="宋体"/>
                <w:color w:val="auto"/>
                <w:spacing w:val="-1"/>
                <w:sz w:val="24"/>
                <w:highlight w:val="none"/>
                <w:lang w:eastAsia="zh-CN"/>
              </w:rPr>
              <w:t>相关疫情监测人员</w:t>
            </w:r>
            <w:r>
              <w:rPr>
                <w:rFonts w:hint="eastAsia" w:ascii="宋体" w:hAnsi="宋体" w:eastAsia="宋体"/>
                <w:color w:val="auto"/>
                <w:spacing w:val="-1"/>
                <w:sz w:val="24"/>
                <w:highlight w:val="none"/>
                <w:lang w:eastAsia="zh-CN"/>
              </w:rPr>
              <w:t>收</w:t>
            </w:r>
            <w:r>
              <w:rPr>
                <w:rFonts w:ascii="宋体" w:hAnsi="宋体" w:eastAsia="宋体"/>
                <w:color w:val="auto"/>
                <w:spacing w:val="-1"/>
                <w:sz w:val="24"/>
                <w:highlight w:val="none"/>
                <w:lang w:eastAsia="zh-CN"/>
              </w:rPr>
              <w:t>到预警</w:t>
            </w:r>
            <w:r>
              <w:rPr>
                <w:rFonts w:hint="eastAsia" w:ascii="宋体" w:hAnsi="宋体" w:eastAsia="宋体"/>
                <w:color w:val="auto"/>
                <w:spacing w:val="-1"/>
                <w:sz w:val="24"/>
                <w:highlight w:val="none"/>
                <w:lang w:eastAsia="zh-CN"/>
              </w:rPr>
              <w:t>信息</w:t>
            </w:r>
            <w:r>
              <w:rPr>
                <w:rFonts w:ascii="宋体" w:hAnsi="宋体" w:eastAsia="宋体"/>
                <w:color w:val="auto"/>
                <w:spacing w:val="-1"/>
                <w:sz w:val="24"/>
                <w:highlight w:val="none"/>
                <w:lang w:eastAsia="zh-CN"/>
              </w:rPr>
              <w:t>后立即对预警信号进行核实或者调查，并将结果录入到系统。</w:t>
            </w:r>
          </w:p>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ascii="宋体" w:hAnsi="宋体" w:eastAsia="宋体"/>
                <w:color w:val="auto"/>
                <w:spacing w:val="-1"/>
                <w:sz w:val="24"/>
                <w:highlight w:val="none"/>
                <w:lang w:eastAsia="zh-CN"/>
              </w:rPr>
              <w:t>支持对产生的预警信息和处置反馈信息进行数据汇总分析。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lang w:eastAsia="zh-CN"/>
              </w:rPr>
            </w:pPr>
            <w:r>
              <w:rPr>
                <w:rFonts w:ascii="宋体" w:hAnsi="宋体" w:eastAsia="宋体"/>
                <w:color w:val="auto"/>
                <w:sz w:val="24"/>
                <w:highlight w:val="none"/>
              </w:rPr>
              <w:t>疫情智能简报</w:t>
            </w:r>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rPr>
            </w:pPr>
            <w:r>
              <w:rPr>
                <w:rFonts w:hint="eastAsia" w:ascii="宋体" w:hAnsi="宋体" w:eastAsia="宋体"/>
                <w:color w:val="auto"/>
                <w:spacing w:val="-1"/>
                <w:sz w:val="24"/>
                <w:highlight w:val="none"/>
                <w:lang w:eastAsia="zh-CN"/>
              </w:rPr>
              <w:t>支持</w:t>
            </w:r>
            <w:r>
              <w:rPr>
                <w:rFonts w:ascii="宋体" w:hAnsi="宋体" w:eastAsia="宋体"/>
                <w:color w:val="auto"/>
                <w:spacing w:val="-1"/>
                <w:sz w:val="24"/>
                <w:highlight w:val="none"/>
                <w:lang w:eastAsia="zh-CN"/>
              </w:rPr>
              <w:t>根据用户提供的简报模版，按照设定的病种参数，系统自动生成日常简报。</w:t>
            </w:r>
            <w:r>
              <w:rPr>
                <w:rFonts w:hint="eastAsia" w:ascii="宋体" w:hAnsi="宋体" w:eastAsia="宋体"/>
                <w:color w:val="auto"/>
                <w:spacing w:val="-1"/>
                <w:sz w:val="24"/>
                <w:highlight w:val="none"/>
              </w:rPr>
              <w:t>支持通过</w:t>
            </w:r>
            <w:r>
              <w:rPr>
                <w:rFonts w:ascii="宋体" w:hAnsi="宋体" w:eastAsia="宋体"/>
                <w:color w:val="auto"/>
                <w:spacing w:val="-1"/>
                <w:sz w:val="24"/>
                <w:highlight w:val="none"/>
              </w:rPr>
              <w:t xml:space="preserve"> </w:t>
            </w:r>
            <w:r>
              <w:rPr>
                <w:rFonts w:hint="eastAsia" w:ascii="宋体" w:hAnsi="宋体" w:eastAsia="宋体"/>
                <w:color w:val="auto"/>
                <w:spacing w:val="-1"/>
                <w:sz w:val="24"/>
                <w:highlight w:val="none"/>
              </w:rPr>
              <w:t>Excel</w:t>
            </w:r>
            <w:r>
              <w:rPr>
                <w:rFonts w:ascii="宋体" w:hAnsi="宋体" w:eastAsia="宋体"/>
                <w:color w:val="auto"/>
                <w:spacing w:val="-1"/>
                <w:sz w:val="24"/>
                <w:highlight w:val="none"/>
              </w:rPr>
              <w:t>形式</w:t>
            </w:r>
            <w:r>
              <w:rPr>
                <w:rFonts w:hint="eastAsia" w:ascii="宋体" w:hAnsi="宋体" w:eastAsia="宋体"/>
                <w:color w:val="auto"/>
                <w:spacing w:val="-1"/>
                <w:sz w:val="24"/>
                <w:highlight w:val="none"/>
              </w:rPr>
              <w:t>生成</w:t>
            </w:r>
            <w:r>
              <w:rPr>
                <w:rFonts w:ascii="宋体" w:hAnsi="宋体" w:eastAsia="宋体"/>
                <w:color w:val="auto"/>
                <w:spacing w:val="-1"/>
                <w:sz w:val="24"/>
                <w:highlight w:val="none"/>
              </w:rPr>
              <w:t>日、周、月报。</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w:t>
            </w:r>
            <w:r>
              <w:rPr>
                <w:rFonts w:ascii="宋体" w:hAnsi="宋体" w:eastAsia="宋体"/>
                <w:color w:val="auto"/>
                <w:spacing w:val="-1"/>
                <w:sz w:val="24"/>
                <w:highlight w:val="none"/>
                <w:lang w:eastAsia="zh-CN"/>
              </w:rPr>
              <w:t>对传染病数据中心的数据进行分析和提取，系统自动生成日常简报。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lang w:eastAsia="zh-CN"/>
              </w:rPr>
            </w:pPr>
            <w:bookmarkStart w:id="837" w:name="_Toc126933900"/>
            <w:r>
              <w:rPr>
                <w:rFonts w:ascii="宋体" w:hAnsi="宋体" w:eastAsia="宋体"/>
                <w:color w:val="auto"/>
                <w:sz w:val="24"/>
                <w:highlight w:val="none"/>
              </w:rPr>
              <w:t>流行</w:t>
            </w:r>
            <w:r>
              <w:rPr>
                <w:rFonts w:ascii="宋体" w:hAnsi="宋体" w:eastAsia="宋体"/>
                <w:color w:val="auto"/>
                <w:spacing w:val="1"/>
                <w:sz w:val="24"/>
                <w:highlight w:val="none"/>
              </w:rPr>
              <w:t>病学调查管理</w:t>
            </w:r>
            <w:bookmarkEnd w:id="837"/>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支持实现</w:t>
            </w:r>
            <w:r>
              <w:rPr>
                <w:rFonts w:ascii="宋体" w:hAnsi="宋体" w:eastAsia="宋体"/>
                <w:color w:val="auto"/>
                <w:spacing w:val="-1"/>
                <w:sz w:val="24"/>
                <w:highlight w:val="none"/>
                <w:lang w:eastAsia="zh-CN"/>
              </w:rPr>
              <w:t>传染病、食源性疾病</w:t>
            </w:r>
            <w:r>
              <w:rPr>
                <w:rFonts w:hint="eastAsia" w:ascii="宋体" w:hAnsi="宋体" w:eastAsia="宋体"/>
                <w:color w:val="auto"/>
                <w:spacing w:val="-1"/>
                <w:sz w:val="24"/>
                <w:highlight w:val="none"/>
                <w:lang w:eastAsia="zh-CN"/>
              </w:rPr>
              <w:t>、丙肝、流感、新冠病毒感染、致病菌网络实验室</w:t>
            </w:r>
            <w:r>
              <w:rPr>
                <w:rFonts w:ascii="宋体" w:hAnsi="宋体" w:eastAsia="宋体"/>
                <w:color w:val="auto"/>
                <w:spacing w:val="-1"/>
                <w:sz w:val="24"/>
                <w:highlight w:val="none"/>
                <w:lang w:eastAsia="zh-CN"/>
              </w:rPr>
              <w:t>等相关疾病流行病学调查管理的具体</w:t>
            </w:r>
            <w:r>
              <w:rPr>
                <w:rFonts w:hint="eastAsia" w:ascii="宋体" w:hAnsi="宋体" w:eastAsia="宋体"/>
                <w:color w:val="auto"/>
                <w:spacing w:val="-1"/>
                <w:sz w:val="24"/>
                <w:highlight w:val="none"/>
                <w:lang w:eastAsia="zh-CN"/>
              </w:rPr>
              <w:t>功能</w:t>
            </w:r>
            <w:r>
              <w:rPr>
                <w:rFonts w:ascii="宋体" w:hAnsi="宋体" w:eastAsia="宋体"/>
                <w:color w:val="auto"/>
                <w:spacing w:val="-1"/>
                <w:sz w:val="24"/>
                <w:highlight w:val="none"/>
                <w:lang w:eastAsia="zh-CN"/>
              </w:rPr>
              <w:t>要求</w:t>
            </w:r>
            <w:r>
              <w:rPr>
                <w:rFonts w:hint="eastAsia" w:ascii="宋体" w:hAnsi="宋体" w:eastAsia="宋体"/>
                <w:color w:val="auto"/>
                <w:spacing w:val="-1"/>
                <w:sz w:val="24"/>
                <w:highlight w:val="none"/>
                <w:lang w:eastAsia="zh-CN"/>
              </w:rPr>
              <w:t>。</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w:t>
            </w:r>
            <w:r>
              <w:rPr>
                <w:rFonts w:ascii="宋体" w:hAnsi="宋体" w:eastAsia="宋体"/>
                <w:color w:val="auto"/>
                <w:spacing w:val="-1"/>
                <w:sz w:val="24"/>
                <w:highlight w:val="none"/>
                <w:lang w:eastAsia="zh-CN"/>
              </w:rPr>
              <w:t>构建数字化流行病学调查系统</w:t>
            </w:r>
            <w:r>
              <w:rPr>
                <w:rFonts w:hint="eastAsia" w:ascii="宋体" w:hAnsi="宋体" w:eastAsia="宋体"/>
                <w:color w:val="auto"/>
                <w:spacing w:val="-1"/>
                <w:sz w:val="24"/>
                <w:highlight w:val="none"/>
                <w:lang w:eastAsia="zh-CN"/>
              </w:rPr>
              <w:t>，</w:t>
            </w:r>
            <w:r>
              <w:rPr>
                <w:rFonts w:ascii="宋体" w:hAnsi="宋体" w:eastAsia="宋体"/>
                <w:color w:val="auto"/>
                <w:spacing w:val="-1"/>
                <w:sz w:val="24"/>
                <w:highlight w:val="none"/>
                <w:lang w:eastAsia="zh-CN"/>
              </w:rPr>
              <w:t>为医疗机构的专业技术人员，针对疾病监测和流调管理工作提供便利。</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支持包括个案调查、随访管理功能。</w:t>
            </w:r>
          </w:p>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hint="eastAsia" w:ascii="宋体" w:hAnsi="宋体" w:eastAsia="宋体"/>
                <w:color w:val="auto"/>
                <w:spacing w:val="-1"/>
                <w:sz w:val="24"/>
                <w:highlight w:val="none"/>
                <w:lang w:eastAsia="zh-CN"/>
              </w:rPr>
              <w:t>个案调查支持由医疗机构填写传染病患者个案调查表，随访管理支持填写特定疾病的随访信息。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lang w:eastAsia="zh-CN"/>
              </w:rPr>
            </w:pPr>
            <w:bookmarkStart w:id="838" w:name="_Toc126933901"/>
            <w:r>
              <w:rPr>
                <w:rFonts w:hint="eastAsia" w:ascii="宋体" w:hAnsi="宋体" w:eastAsia="宋体"/>
                <w:color w:val="auto"/>
                <w:sz w:val="24"/>
                <w:highlight w:val="none"/>
              </w:rPr>
              <w:t>性病艾滋病管理</w:t>
            </w:r>
            <w:bookmarkEnd w:id="838"/>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支持医疗机构关于性病艾滋病筛查检测统计报表的上报，疾病防治中心负责核实、审核。</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支持实现与健康教育系统的对接，登记健康教育宣传活动情况及相关资料。</w:t>
            </w:r>
          </w:p>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hint="eastAsia" w:ascii="宋体" w:hAnsi="宋体" w:eastAsia="宋体"/>
                <w:color w:val="auto"/>
                <w:spacing w:val="-1"/>
                <w:sz w:val="24"/>
                <w:highlight w:val="none"/>
                <w:lang w:eastAsia="zh-CN"/>
              </w:rPr>
              <w:t>性病艾滋病管理系统支持实验室结果筛查、临床诊断筛查、疾病上报、健康教育宣传活动功能。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lang w:eastAsia="zh-CN"/>
              </w:rPr>
            </w:pPr>
            <w:bookmarkStart w:id="839" w:name="_Toc126933902"/>
            <w:r>
              <w:rPr>
                <w:rFonts w:hint="eastAsia" w:ascii="宋体" w:hAnsi="宋体" w:eastAsia="宋体"/>
                <w:color w:val="auto"/>
                <w:sz w:val="24"/>
                <w:highlight w:val="none"/>
              </w:rPr>
              <w:t>肺结核患者管理</w:t>
            </w:r>
            <w:bookmarkEnd w:id="839"/>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z w:val="24"/>
                <w:highlight w:val="none"/>
                <w:lang w:eastAsia="zh-CN"/>
              </w:rPr>
            </w:pPr>
            <w:r>
              <w:rPr>
                <w:rFonts w:hint="eastAsia" w:ascii="宋体" w:hAnsi="宋体" w:eastAsia="宋体"/>
                <w:color w:val="auto"/>
                <w:spacing w:val="-1"/>
                <w:sz w:val="24"/>
                <w:highlight w:val="none"/>
                <w:lang w:eastAsia="zh-CN"/>
              </w:rPr>
              <w:t>支持疑似与检查、确诊与方案、规范化管理、耐多药管理、统计分析功能。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lang w:eastAsia="zh-CN"/>
              </w:rPr>
            </w:pPr>
            <w:bookmarkStart w:id="840" w:name="_Toc126933903"/>
            <w:r>
              <w:rPr>
                <w:rFonts w:hint="eastAsia" w:ascii="宋体" w:hAnsi="宋体" w:eastAsia="宋体"/>
                <w:color w:val="auto"/>
                <w:sz w:val="24"/>
                <w:highlight w:val="none"/>
              </w:rPr>
              <w:t>传染病统计分析</w:t>
            </w:r>
            <w:bookmarkEnd w:id="840"/>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支持包括按年龄统计、按职业统计、发病数统计、死亡数统计、迟报数统计。</w:t>
            </w:r>
          </w:p>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hint="eastAsia" w:ascii="宋体" w:hAnsi="宋体" w:eastAsia="宋体"/>
                <w:color w:val="auto"/>
                <w:spacing w:val="-1"/>
                <w:sz w:val="24"/>
                <w:highlight w:val="none"/>
                <w:lang w:eastAsia="zh-CN"/>
              </w:rPr>
              <w:t>支持按时间、地区、病人所属、疾病分类等条件查询及导出报表。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lang w:eastAsia="zh-CN"/>
              </w:rPr>
            </w:pPr>
            <w:bookmarkStart w:id="841" w:name="_Toc126933904"/>
            <w:r>
              <w:rPr>
                <w:rFonts w:hint="eastAsia" w:ascii="宋体" w:hAnsi="宋体" w:eastAsia="宋体"/>
                <w:color w:val="auto"/>
                <w:sz w:val="24"/>
                <w:highlight w:val="none"/>
              </w:rPr>
              <w:t>传染病规则设置</w:t>
            </w:r>
            <w:bookmarkEnd w:id="841"/>
          </w:p>
        </w:tc>
        <w:tc>
          <w:tcPr>
            <w:tcW w:w="6622" w:type="dxa"/>
            <w:vAlign w:val="center"/>
          </w:tcPr>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hint="eastAsia" w:ascii="宋体" w:hAnsi="宋体" w:eastAsia="宋体"/>
                <w:color w:val="auto"/>
                <w:spacing w:val="-1"/>
                <w:sz w:val="24"/>
                <w:highlight w:val="none"/>
                <w:lang w:eastAsia="zh-CN"/>
              </w:rPr>
              <w:t>支持针对传染病的上报疾病的ICD</w:t>
            </w:r>
            <w:r>
              <w:rPr>
                <w:rFonts w:ascii="宋体" w:hAnsi="宋体" w:eastAsia="宋体"/>
                <w:color w:val="auto"/>
                <w:spacing w:val="-1"/>
                <w:sz w:val="24"/>
                <w:highlight w:val="none"/>
                <w:lang w:eastAsia="zh-CN"/>
              </w:rPr>
              <w:t>-10</w:t>
            </w:r>
            <w:r>
              <w:rPr>
                <w:rFonts w:hint="eastAsia" w:ascii="宋体" w:hAnsi="宋体" w:eastAsia="宋体"/>
                <w:color w:val="auto"/>
                <w:spacing w:val="-1"/>
                <w:sz w:val="24"/>
                <w:highlight w:val="none"/>
                <w:lang w:eastAsia="zh-CN"/>
              </w:rPr>
              <w:t>编码进行设置、传染病报审时效设置、传染病流调权限设置。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lang w:eastAsia="zh-CN"/>
              </w:rPr>
            </w:pPr>
            <w:bookmarkStart w:id="842" w:name="_Toc126933905"/>
            <w:r>
              <w:rPr>
                <w:rFonts w:hint="eastAsia" w:ascii="宋体" w:hAnsi="宋体" w:eastAsia="宋体"/>
                <w:color w:val="auto"/>
                <w:sz w:val="24"/>
                <w:highlight w:val="none"/>
              </w:rPr>
              <w:t>接口管理</w:t>
            </w:r>
            <w:bookmarkEnd w:id="842"/>
          </w:p>
        </w:tc>
        <w:tc>
          <w:tcPr>
            <w:tcW w:w="6622" w:type="dxa"/>
            <w:vAlign w:val="center"/>
          </w:tcPr>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hint="eastAsia" w:ascii="宋体" w:hAnsi="宋体" w:eastAsia="宋体"/>
                <w:color w:val="auto"/>
                <w:spacing w:val="-1"/>
                <w:sz w:val="24"/>
                <w:highlight w:val="none"/>
                <w:lang w:eastAsia="zh-CN"/>
              </w:rPr>
              <w:t>支持与院内系统对接，工作站医生诊断传染病时，提醒医生上报并弹出传染病报卡页面，实现传染病报卡直接上报至公共卫生管理服务平台。</w:t>
            </w:r>
          </w:p>
        </w:tc>
      </w:tr>
    </w:tbl>
    <w:p>
      <w:pPr>
        <w:pStyle w:val="6"/>
        <w:numPr>
          <w:ilvl w:val="3"/>
          <w:numId w:val="8"/>
        </w:numPr>
        <w:spacing w:before="280" w:after="290" w:line="376" w:lineRule="auto"/>
        <w:rPr>
          <w:rFonts w:ascii="宋体" w:hAnsi="宋体"/>
          <w:color w:val="auto"/>
          <w:sz w:val="24"/>
          <w:szCs w:val="24"/>
          <w:highlight w:val="none"/>
        </w:rPr>
      </w:pPr>
      <w:bookmarkStart w:id="843" w:name="_Toc14393"/>
      <w:bookmarkStart w:id="844" w:name="_Toc126933906"/>
      <w:r>
        <w:rPr>
          <w:rFonts w:hint="eastAsia" w:ascii="宋体" w:hAnsi="宋体"/>
          <w:color w:val="auto"/>
          <w:sz w:val="24"/>
          <w:szCs w:val="24"/>
          <w:highlight w:val="none"/>
        </w:rPr>
        <w:t>慢性病监测与管理</w:t>
      </w:r>
      <w:bookmarkEnd w:id="843"/>
      <w:bookmarkEnd w:id="844"/>
    </w:p>
    <w:p>
      <w:pPr>
        <w:pStyle w:val="8"/>
        <w:ind w:firstLine="480"/>
        <w:rPr>
          <w:rFonts w:ascii="宋体" w:hAnsi="宋体"/>
          <w:color w:val="auto"/>
          <w:szCs w:val="24"/>
          <w:highlight w:val="none"/>
        </w:rPr>
      </w:pPr>
      <w:r>
        <w:rPr>
          <w:rFonts w:hint="eastAsia" w:ascii="宋体" w:hAnsi="宋体"/>
          <w:color w:val="auto"/>
          <w:szCs w:val="24"/>
          <w:highlight w:val="none"/>
        </w:rPr>
        <w:t>需满足以下功能：</w:t>
      </w:r>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left="105" w:leftChars="50" w:right="105" w:rightChars="50" w:firstLine="508"/>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5" w:leftChars="50" w:right="105" w:rightChars="50" w:firstLine="508"/>
              <w:jc w:val="center"/>
              <w:rPr>
                <w:rFonts w:ascii="宋体" w:hAnsi="宋体" w:eastAsia="宋体"/>
                <w:b/>
                <w:color w:val="auto"/>
                <w:w w:val="105"/>
                <w:sz w:val="24"/>
                <w:highlight w:val="none"/>
              </w:rPr>
            </w:pPr>
            <w:r>
              <w:rPr>
                <w:rFonts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rPr>
            </w:pPr>
            <w:bookmarkStart w:id="845" w:name="_Toc126933907"/>
            <w:r>
              <w:rPr>
                <w:rFonts w:hint="eastAsia" w:ascii="宋体" w:hAnsi="宋体" w:eastAsia="宋体"/>
                <w:color w:val="auto"/>
                <w:sz w:val="24"/>
                <w:highlight w:val="none"/>
              </w:rPr>
              <w:t>高危人群管理</w:t>
            </w:r>
            <w:bookmarkEnd w:id="845"/>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支持根据国家规范设定危险因素评估模型，支持通过高危潜在人群筛查定时任务，将体检结果中符合高危标准的人群筛查出来，由公卫医生纳入管理、制定管理计划，并进行随访及评估指导。</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支持评估模型、高危筛查 、高危管理、管理计划、随访管理功能。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lang w:eastAsia="zh-CN"/>
              </w:rPr>
            </w:pPr>
            <w:bookmarkStart w:id="846" w:name="_Toc126933908"/>
            <w:r>
              <w:rPr>
                <w:rFonts w:hint="eastAsia" w:ascii="宋体" w:hAnsi="宋体" w:eastAsia="宋体"/>
                <w:color w:val="auto"/>
                <w:sz w:val="24"/>
                <w:highlight w:val="none"/>
              </w:rPr>
              <w:t>慢病监测管理</w:t>
            </w:r>
            <w:bookmarkEnd w:id="846"/>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支持医院医生或公卫医生上报慢病报卡，医院防保科或慢病科查重并审核，审核通过且未死亡的患者由慢病科每年定期进行结局随访。</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支持慢病报卡上报的疾病种类包括高血压、糖尿病、脑卒中、冠心病、肿瘤、慢阻肺共</w:t>
            </w:r>
            <w:r>
              <w:rPr>
                <w:rFonts w:ascii="宋体" w:hAnsi="宋体" w:eastAsia="宋体"/>
                <w:color w:val="auto"/>
                <w:spacing w:val="-1"/>
                <w:sz w:val="24"/>
                <w:highlight w:val="none"/>
                <w:lang w:eastAsia="zh-CN"/>
              </w:rPr>
              <w:t>6种疾病。</w:t>
            </w:r>
          </w:p>
          <w:p>
            <w:pPr>
              <w:pStyle w:val="201"/>
              <w:numPr>
                <w:ilvl w:val="0"/>
                <w:numId w:val="9"/>
              </w:numPr>
              <w:spacing w:before="6" w:line="360" w:lineRule="auto"/>
              <w:ind w:right="105" w:rightChars="50" w:firstLine="478"/>
              <w:rPr>
                <w:rFonts w:ascii="宋体" w:hAnsi="宋体" w:eastAsia="宋体"/>
                <w:color w:val="auto"/>
                <w:sz w:val="24"/>
                <w:highlight w:val="none"/>
                <w:lang w:eastAsia="zh-CN"/>
              </w:rPr>
            </w:pPr>
            <w:r>
              <w:rPr>
                <w:rFonts w:hint="eastAsia" w:ascii="宋体" w:hAnsi="宋体" w:eastAsia="宋体"/>
                <w:color w:val="auto"/>
                <w:spacing w:val="-1"/>
                <w:sz w:val="24"/>
                <w:highlight w:val="none"/>
                <w:lang w:eastAsia="zh-CN"/>
              </w:rPr>
              <w:t>支持包括报卡上报、报卡查看、报卡审核、报卡查重、删除查看、报卡纳入、随访管理、死亡报卡功能</w:t>
            </w:r>
            <w:r>
              <w:rPr>
                <w:rFonts w:hint="eastAsia" w:ascii="宋体" w:hAnsi="宋体" w:eastAsia="宋体"/>
                <w:color w:val="auto"/>
                <w:sz w:val="24"/>
                <w:highlight w:val="none"/>
                <w:lang w:eastAsia="zh-CN"/>
              </w:rPr>
              <w:t>。</w:t>
            </w:r>
          </w:p>
          <w:p>
            <w:pPr>
              <w:pStyle w:val="201"/>
              <w:widowControl/>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1 高血压监测管理</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支持高血压病人的上报和随访管理，支持包括新发病人报告管理、现患病例随访治疗管理、行为危险因素调查管理、死亡病例补报发病管理、病例追踪随访管理、报告卡质量控制。</w:t>
            </w:r>
          </w:p>
          <w:p>
            <w:pPr>
              <w:pStyle w:val="201"/>
              <w:widowControl/>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2 糖尿病监测管理</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支持糖尿病病人的上报和随访管理，支持主要包括新发病人报告管理、现患病例随访治疗管理、行为危险因素调查管理、死亡病例补报发病管理、病例追踪随访管理、报告卡质量控制。</w:t>
            </w:r>
          </w:p>
          <w:p>
            <w:pPr>
              <w:pStyle w:val="201"/>
              <w:widowControl/>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3 心脑血管疾病监测管理</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支持心脑血管疾病病人的上报和随访管理，支持包括新发病人报告管理、现患病例随访治疗管理、行为危险因素调查管理、死亡病例补报发病管理、病例追踪随访管理、报告卡质量控制。</w:t>
            </w:r>
          </w:p>
          <w:p>
            <w:pPr>
              <w:pStyle w:val="201"/>
              <w:widowControl/>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4 肿瘤监测管理</w:t>
            </w:r>
          </w:p>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hint="eastAsia" w:ascii="宋体" w:hAnsi="宋体" w:eastAsia="宋体"/>
                <w:color w:val="auto"/>
                <w:spacing w:val="-1"/>
                <w:sz w:val="24"/>
                <w:highlight w:val="none"/>
                <w:lang w:eastAsia="zh-CN"/>
              </w:rPr>
              <w:t>支持肿瘤病人的上报和随访管理，支持包括新发病人报告管理、现患病例随访治疗管理、行为危险因素调查管理、死亡病例补报发病管理、病例追踪随访管理、报告卡质量控制。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lang w:eastAsia="zh-CN"/>
              </w:rPr>
            </w:pPr>
            <w:bookmarkStart w:id="847" w:name="_Toc126933909"/>
            <w:r>
              <w:rPr>
                <w:rFonts w:hint="eastAsia" w:ascii="宋体" w:hAnsi="宋体" w:eastAsia="宋体"/>
                <w:color w:val="auto"/>
                <w:sz w:val="24"/>
                <w:highlight w:val="none"/>
              </w:rPr>
              <w:t>慢病规范化管理</w:t>
            </w:r>
            <w:bookmarkEnd w:id="847"/>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支持由公卫医生创建慢病管理卡，创建时根据随访计划设置生成随访计划或不生成随访计划，再进行慢病随访。</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支持慢病管理卡根据需求可以按病种撤销或恢复管理。</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支持慢病管理卡的疾病种类包括高血压、糖尿病、脑卒中、冠心病、肿瘤、慢阻肺共</w:t>
            </w:r>
            <w:r>
              <w:rPr>
                <w:rFonts w:ascii="宋体" w:hAnsi="宋体" w:eastAsia="宋体"/>
                <w:color w:val="auto"/>
                <w:spacing w:val="-1"/>
                <w:sz w:val="24"/>
                <w:highlight w:val="none"/>
                <w:lang w:eastAsia="zh-CN"/>
              </w:rPr>
              <w:t>6种疾病。</w:t>
            </w:r>
          </w:p>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hint="eastAsia" w:ascii="宋体" w:hAnsi="宋体" w:eastAsia="宋体"/>
                <w:color w:val="auto"/>
                <w:spacing w:val="-1"/>
                <w:sz w:val="24"/>
                <w:highlight w:val="none"/>
                <w:lang w:eastAsia="zh-CN"/>
              </w:rPr>
              <w:t>支持慢病规范化管理模块包括慢病管理卡、随访管理、慢病体检、撤销查看功能。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lang w:eastAsia="zh-CN"/>
              </w:rPr>
            </w:pPr>
            <w:bookmarkStart w:id="848" w:name="_Toc126933910"/>
            <w:r>
              <w:rPr>
                <w:rFonts w:hint="eastAsia" w:ascii="宋体" w:hAnsi="宋体" w:eastAsia="宋体"/>
                <w:color w:val="auto"/>
                <w:sz w:val="24"/>
                <w:highlight w:val="none"/>
              </w:rPr>
              <w:t>慢病分析控制管理</w:t>
            </w:r>
            <w:bookmarkEnd w:id="848"/>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支持针对慢病报卡、慢病管理、慢病随访等工作进行分析统计。</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统计报表支持包括慢病统计、慢病年报、肿瘤年报、工作统计、慢病防治统计报表、脑卒中发病率统计、脑卒中类型统计、肿瘤病因年龄统计、危险因素流行统计、危害因素死亡统计、人口数设置等。</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报表支持提供查询、导出功能。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lang w:eastAsia="zh-CN"/>
              </w:rPr>
            </w:pPr>
            <w:bookmarkStart w:id="849" w:name="_Toc126933911"/>
            <w:r>
              <w:rPr>
                <w:rFonts w:hint="eastAsia" w:ascii="宋体" w:hAnsi="宋体" w:eastAsia="宋体"/>
                <w:color w:val="auto"/>
                <w:sz w:val="24"/>
                <w:highlight w:val="none"/>
              </w:rPr>
              <w:t>慢病外部接口</w:t>
            </w:r>
            <w:bookmarkEnd w:id="849"/>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支持提供慢病报卡上报接口、慢病管理卡创建接口、慢病随访新增接口共三类业务外部接口。</w:t>
            </w:r>
          </w:p>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hint="eastAsia" w:ascii="宋体" w:hAnsi="宋体" w:eastAsia="宋体"/>
                <w:color w:val="auto"/>
                <w:spacing w:val="-1"/>
                <w:sz w:val="24"/>
                <w:highlight w:val="none"/>
                <w:lang w:eastAsia="zh-CN"/>
              </w:rPr>
              <w:t>对接的方式支持包括页面调阅、接口，可以根据对接系统的实际情况选择适合的对接方式。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lang w:eastAsia="zh-CN"/>
              </w:rPr>
            </w:pPr>
            <w:bookmarkStart w:id="850" w:name="_Toc126933912"/>
            <w:r>
              <w:rPr>
                <w:rFonts w:ascii="宋体" w:hAnsi="宋体" w:eastAsia="宋体"/>
                <w:color w:val="auto"/>
                <w:sz w:val="24"/>
                <w:highlight w:val="none"/>
              </w:rPr>
              <w:t>慢病设置</w:t>
            </w:r>
            <w:r>
              <w:rPr>
                <w:rFonts w:hint="eastAsia" w:ascii="宋体" w:hAnsi="宋体" w:eastAsia="宋体"/>
                <w:color w:val="auto"/>
                <w:sz w:val="24"/>
                <w:highlight w:val="none"/>
              </w:rPr>
              <w:t>管理</w:t>
            </w:r>
            <w:bookmarkEnd w:id="850"/>
          </w:p>
        </w:tc>
        <w:tc>
          <w:tcPr>
            <w:tcW w:w="6622" w:type="dxa"/>
            <w:vAlign w:val="center"/>
          </w:tcPr>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hint="eastAsia" w:ascii="宋体" w:hAnsi="宋体" w:eastAsia="宋体"/>
                <w:color w:val="auto"/>
                <w:spacing w:val="-1"/>
                <w:sz w:val="24"/>
                <w:highlight w:val="none"/>
                <w:lang w:eastAsia="zh-CN"/>
              </w:rPr>
              <w:t>支持提供上报疾病编码设置、慢病随访规则设置，通过灵活的设置功能，以适应不同客户的需求。</w:t>
            </w:r>
          </w:p>
        </w:tc>
      </w:tr>
    </w:tbl>
    <w:p>
      <w:pPr>
        <w:pStyle w:val="6"/>
        <w:numPr>
          <w:ilvl w:val="3"/>
          <w:numId w:val="8"/>
        </w:numPr>
        <w:spacing w:before="280" w:after="290" w:line="376" w:lineRule="auto"/>
        <w:rPr>
          <w:rFonts w:ascii="宋体" w:hAnsi="宋体"/>
          <w:color w:val="auto"/>
          <w:sz w:val="24"/>
          <w:szCs w:val="24"/>
          <w:highlight w:val="none"/>
        </w:rPr>
      </w:pPr>
      <w:bookmarkStart w:id="851" w:name="_Toc466"/>
      <w:bookmarkStart w:id="852" w:name="_Toc126933913"/>
      <w:r>
        <w:rPr>
          <w:rFonts w:hint="eastAsia" w:ascii="宋体" w:hAnsi="宋体"/>
          <w:color w:val="auto"/>
          <w:sz w:val="24"/>
          <w:szCs w:val="24"/>
          <w:highlight w:val="none"/>
        </w:rPr>
        <w:t>精神卫生疾病管理</w:t>
      </w:r>
      <w:bookmarkEnd w:id="851"/>
      <w:bookmarkEnd w:id="852"/>
    </w:p>
    <w:p>
      <w:pPr>
        <w:pStyle w:val="8"/>
        <w:ind w:firstLine="480"/>
        <w:rPr>
          <w:rFonts w:ascii="宋体" w:hAnsi="宋体"/>
          <w:color w:val="auto"/>
          <w:szCs w:val="24"/>
          <w:highlight w:val="none"/>
        </w:rPr>
      </w:pPr>
      <w:r>
        <w:rPr>
          <w:rFonts w:hint="eastAsia" w:ascii="宋体" w:hAnsi="宋体"/>
          <w:color w:val="auto"/>
          <w:szCs w:val="24"/>
          <w:highlight w:val="none"/>
        </w:rPr>
        <w:t>需满足以下功能：</w:t>
      </w:r>
    </w:p>
    <w:p>
      <w:pPr>
        <w:pStyle w:val="21"/>
        <w:ind w:firstLine="480"/>
        <w:rPr>
          <w:rFonts w:ascii="宋体" w:hAnsi="宋体"/>
          <w:color w:val="auto"/>
          <w:highlight w:val="none"/>
        </w:rPr>
      </w:pPr>
      <w:r>
        <w:rPr>
          <w:rFonts w:hint="eastAsia" w:ascii="宋体" w:hAnsi="宋体"/>
          <w:color w:val="auto"/>
          <w:highlight w:val="none"/>
        </w:rPr>
        <w:t>支持</w:t>
      </w:r>
      <w:r>
        <w:rPr>
          <w:rFonts w:ascii="宋体" w:hAnsi="宋体"/>
          <w:color w:val="auto"/>
          <w:highlight w:val="none"/>
        </w:rPr>
        <w:t>医疗机构对精神障碍患者的日常管理要求</w:t>
      </w:r>
      <w:r>
        <w:rPr>
          <w:rFonts w:hint="eastAsia" w:ascii="宋体" w:hAnsi="宋体"/>
          <w:color w:val="auto"/>
          <w:highlight w:val="none"/>
        </w:rPr>
        <w:t>。</w:t>
      </w:r>
    </w:p>
    <w:p>
      <w:pPr>
        <w:pStyle w:val="21"/>
        <w:ind w:firstLine="480"/>
        <w:rPr>
          <w:rFonts w:ascii="宋体" w:hAnsi="宋体"/>
          <w:color w:val="auto"/>
          <w:highlight w:val="none"/>
        </w:rPr>
      </w:pPr>
      <w:r>
        <w:rPr>
          <w:rFonts w:hint="eastAsia" w:ascii="宋体" w:hAnsi="宋体"/>
          <w:color w:val="auto"/>
          <w:highlight w:val="none"/>
        </w:rPr>
        <w:t>支持</w:t>
      </w:r>
      <w:r>
        <w:rPr>
          <w:rFonts w:ascii="宋体" w:hAnsi="宋体"/>
          <w:color w:val="auto"/>
          <w:highlight w:val="none"/>
        </w:rPr>
        <w:t>与国家平台、区域内其他系统的数据共享需求</w:t>
      </w:r>
      <w:r>
        <w:rPr>
          <w:rFonts w:hint="eastAsia" w:ascii="宋体" w:hAnsi="宋体"/>
          <w:color w:val="auto"/>
          <w:highlight w:val="none"/>
        </w:rPr>
        <w:t>。</w:t>
      </w:r>
    </w:p>
    <w:p>
      <w:pPr>
        <w:pStyle w:val="8"/>
        <w:ind w:firstLine="480"/>
        <w:rPr>
          <w:rFonts w:ascii="宋体" w:hAnsi="宋体"/>
          <w:color w:val="auto"/>
          <w:szCs w:val="24"/>
          <w:highlight w:val="none"/>
        </w:rPr>
      </w:pPr>
      <w:r>
        <w:rPr>
          <w:rFonts w:hint="eastAsia" w:ascii="宋体" w:hAnsi="宋体"/>
          <w:color w:val="auto"/>
          <w:szCs w:val="24"/>
          <w:highlight w:val="none"/>
        </w:rPr>
        <w:t>支持提供精神障碍</w:t>
      </w:r>
      <w:r>
        <w:rPr>
          <w:rFonts w:ascii="宋体" w:hAnsi="宋体"/>
          <w:color w:val="auto"/>
          <w:szCs w:val="24"/>
          <w:highlight w:val="none"/>
        </w:rPr>
        <w:t>患者</w:t>
      </w:r>
      <w:r>
        <w:rPr>
          <w:rFonts w:hint="eastAsia" w:ascii="宋体" w:hAnsi="宋体"/>
          <w:color w:val="auto"/>
          <w:szCs w:val="24"/>
          <w:highlight w:val="none"/>
        </w:rPr>
        <w:t>线索登记审核复核、患者筛查、规范化管理、迁入迁出管理、免费发药管理、统计分析、系统配置管理功能。</w:t>
      </w:r>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left="105" w:leftChars="50" w:right="105" w:rightChars="50" w:firstLine="508"/>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5" w:leftChars="50" w:right="105" w:rightChars="50" w:firstLine="508"/>
              <w:jc w:val="center"/>
              <w:rPr>
                <w:rFonts w:ascii="宋体" w:hAnsi="宋体" w:eastAsia="宋体"/>
                <w:b/>
                <w:color w:val="auto"/>
                <w:w w:val="105"/>
                <w:sz w:val="24"/>
                <w:highlight w:val="none"/>
              </w:rPr>
            </w:pPr>
            <w:r>
              <w:rPr>
                <w:rFonts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rPr>
            </w:pPr>
            <w:bookmarkStart w:id="853" w:name="_Toc126933914"/>
            <w:r>
              <w:rPr>
                <w:rFonts w:hint="eastAsia" w:ascii="宋体" w:hAnsi="宋体" w:eastAsia="宋体"/>
                <w:color w:val="auto"/>
                <w:sz w:val="24"/>
                <w:highlight w:val="none"/>
              </w:rPr>
              <w:t>线索登记</w:t>
            </w:r>
            <w:bookmarkEnd w:id="853"/>
          </w:p>
        </w:tc>
        <w:tc>
          <w:tcPr>
            <w:tcW w:w="6622" w:type="dxa"/>
            <w:vAlign w:val="center"/>
          </w:tcPr>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hint="eastAsia" w:ascii="宋体" w:hAnsi="宋体" w:eastAsia="宋体"/>
                <w:color w:val="auto"/>
                <w:spacing w:val="-1"/>
                <w:sz w:val="24"/>
                <w:highlight w:val="none"/>
                <w:lang w:eastAsia="zh-CN"/>
              </w:rPr>
              <w:t>支持对可疑精神病患者进行线索登记，专业精神卫生机构进行审核，诊断复核，确认精神病患病种类</w:t>
            </w:r>
            <w:r>
              <w:rPr>
                <w:rFonts w:hint="eastAsia" w:ascii="宋体" w:hAnsi="宋体" w:eastAsia="宋体"/>
                <w:color w:val="auto"/>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lang w:eastAsia="zh-CN"/>
              </w:rPr>
            </w:pPr>
            <w:bookmarkStart w:id="854" w:name="_Toc126933915"/>
            <w:r>
              <w:rPr>
                <w:rFonts w:hint="eastAsia" w:ascii="宋体" w:hAnsi="宋体" w:eastAsia="宋体"/>
                <w:color w:val="auto"/>
                <w:sz w:val="24"/>
                <w:highlight w:val="none"/>
              </w:rPr>
              <w:t>患者筛查</w:t>
            </w:r>
            <w:bookmarkEnd w:id="854"/>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支持根据门诊诊断、住院诊断或者疑似线索上报对来院就诊的疑似精神病患者进行筛查。</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支持对确诊的患者纳入管理、建管理卡，进行规范化的管理。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lang w:eastAsia="zh-CN"/>
              </w:rPr>
            </w:pPr>
            <w:bookmarkStart w:id="855" w:name="_Toc126933916"/>
            <w:r>
              <w:rPr>
                <w:rFonts w:hint="eastAsia" w:ascii="宋体" w:hAnsi="宋体" w:eastAsia="宋体"/>
                <w:color w:val="auto"/>
                <w:sz w:val="24"/>
                <w:highlight w:val="none"/>
              </w:rPr>
              <w:t>规范化管理</w:t>
            </w:r>
            <w:bookmarkEnd w:id="855"/>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支持对重性精神病患者和非重性精神病患者进行规范化管理。</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管理方式支持包括基础管理、个案管理。</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基础管理项目支持包括基本档案、出院信息、随访记录、失访记录、应急处置、健康体检。</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个案管理项目支持包括基本档案、出院信息、随访记录、失访记录、个案计划、效果评估、应急处置、健康体检。</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支持患者基本信息与健康档案共享，支持已经建档居民，新增线索、档案时可以自动读取档案基本信息。</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支持已管理的患者档案结案后，将不能再管理。档案激活，自动恢复管理。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lang w:eastAsia="zh-CN"/>
              </w:rPr>
            </w:pPr>
            <w:bookmarkStart w:id="856" w:name="_Toc126933917"/>
            <w:r>
              <w:rPr>
                <w:rFonts w:hint="eastAsia" w:ascii="宋体" w:hAnsi="宋体" w:eastAsia="宋体"/>
                <w:color w:val="auto"/>
                <w:sz w:val="24"/>
                <w:highlight w:val="none"/>
              </w:rPr>
              <w:t>迁入迁出管理</w:t>
            </w:r>
            <w:bookmarkEnd w:id="856"/>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支持对精神障碍患者提供迁入迁出管理。</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支持管理机构可以对患者进行迁出，接收机构同意后，患者纳入新机构管理，接收机构退回，患者仍在原机构管理。</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支持存活状态为死亡记录，将无法迁入迁出。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lang w:eastAsia="zh-CN"/>
              </w:rPr>
            </w:pPr>
            <w:bookmarkStart w:id="857" w:name="_Toc126933918"/>
            <w:r>
              <w:rPr>
                <w:rFonts w:hint="eastAsia" w:ascii="宋体" w:hAnsi="宋体" w:eastAsia="宋体"/>
                <w:color w:val="auto"/>
                <w:sz w:val="24"/>
                <w:highlight w:val="none"/>
              </w:rPr>
              <w:t>免费发药管理</w:t>
            </w:r>
            <w:bookmarkEnd w:id="857"/>
          </w:p>
        </w:tc>
        <w:tc>
          <w:tcPr>
            <w:tcW w:w="6622" w:type="dxa"/>
            <w:vAlign w:val="center"/>
          </w:tcPr>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hint="eastAsia" w:ascii="宋体" w:hAnsi="宋体" w:eastAsia="宋体"/>
                <w:color w:val="auto"/>
                <w:spacing w:val="-1"/>
                <w:sz w:val="24"/>
                <w:highlight w:val="none"/>
                <w:lang w:eastAsia="zh-CN"/>
              </w:rPr>
              <w:t>支持</w:t>
            </w:r>
            <w:r>
              <w:rPr>
                <w:rFonts w:hint="eastAsia" w:ascii="宋体" w:hAnsi="宋体" w:eastAsia="宋体"/>
                <w:color w:val="auto"/>
                <w:sz w:val="24"/>
                <w:highlight w:val="none"/>
                <w:lang w:eastAsia="zh-CN"/>
              </w:rPr>
              <w:t>对相应的重性精神病患者进行免费发药管理，记录相应的免费发药登记记录，并提供查询功能。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lang w:eastAsia="zh-CN"/>
              </w:rPr>
            </w:pPr>
            <w:bookmarkStart w:id="858" w:name="_Toc126933919"/>
            <w:r>
              <w:rPr>
                <w:rFonts w:hint="eastAsia" w:ascii="宋体" w:hAnsi="宋体" w:eastAsia="宋体"/>
                <w:color w:val="auto"/>
                <w:sz w:val="24"/>
                <w:highlight w:val="none"/>
              </w:rPr>
              <w:t>统计分析</w:t>
            </w:r>
            <w:bookmarkEnd w:id="858"/>
          </w:p>
        </w:tc>
        <w:tc>
          <w:tcPr>
            <w:tcW w:w="6622" w:type="dxa"/>
            <w:vAlign w:val="center"/>
          </w:tcPr>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hint="eastAsia" w:ascii="宋体" w:hAnsi="宋体" w:eastAsia="宋体"/>
                <w:color w:val="auto"/>
                <w:spacing w:val="-1"/>
                <w:sz w:val="24"/>
                <w:highlight w:val="none"/>
                <w:lang w:eastAsia="zh-CN"/>
              </w:rPr>
              <w:t>支持</w:t>
            </w:r>
            <w:r>
              <w:rPr>
                <w:rFonts w:hint="eastAsia" w:ascii="宋体" w:hAnsi="宋体" w:eastAsia="宋体"/>
                <w:color w:val="auto"/>
                <w:sz w:val="24"/>
                <w:highlight w:val="none"/>
                <w:lang w:eastAsia="zh-CN"/>
              </w:rPr>
              <w:t>根据时间、管理单位查询及导出管理病人数、病人增减数、免费发药情况、随访情况、检查情况、宣传培训情况。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lang w:eastAsia="zh-CN"/>
              </w:rPr>
            </w:pPr>
            <w:bookmarkStart w:id="859" w:name="_Toc126933920"/>
            <w:r>
              <w:rPr>
                <w:rFonts w:hint="eastAsia" w:ascii="宋体" w:hAnsi="宋体" w:eastAsia="宋体"/>
                <w:color w:val="auto"/>
                <w:sz w:val="24"/>
                <w:highlight w:val="none"/>
              </w:rPr>
              <w:t>系统配置管理</w:t>
            </w:r>
            <w:bookmarkEnd w:id="859"/>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支持提供药品维护功能。</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支持查询、新增、修改免费发放的药品信息。</w:t>
            </w:r>
          </w:p>
        </w:tc>
      </w:tr>
    </w:tbl>
    <w:p>
      <w:pPr>
        <w:pStyle w:val="6"/>
        <w:numPr>
          <w:ilvl w:val="3"/>
          <w:numId w:val="8"/>
        </w:numPr>
        <w:spacing w:before="280" w:after="290" w:line="376" w:lineRule="auto"/>
        <w:rPr>
          <w:rFonts w:ascii="宋体" w:hAnsi="宋体"/>
          <w:color w:val="auto"/>
          <w:sz w:val="24"/>
          <w:szCs w:val="24"/>
          <w:highlight w:val="none"/>
        </w:rPr>
      </w:pPr>
      <w:bookmarkStart w:id="860" w:name="_Toc10896"/>
      <w:bookmarkStart w:id="861" w:name="_Toc126933921"/>
      <w:r>
        <w:rPr>
          <w:rFonts w:hint="eastAsia" w:ascii="宋体" w:hAnsi="宋体"/>
          <w:color w:val="auto"/>
          <w:sz w:val="24"/>
          <w:szCs w:val="24"/>
          <w:highlight w:val="none"/>
        </w:rPr>
        <w:t>儿童健康管理</w:t>
      </w:r>
      <w:bookmarkEnd w:id="860"/>
      <w:bookmarkEnd w:id="861"/>
    </w:p>
    <w:p>
      <w:pPr>
        <w:pStyle w:val="8"/>
        <w:ind w:firstLine="480"/>
        <w:rPr>
          <w:rFonts w:ascii="宋体" w:hAnsi="宋体"/>
          <w:color w:val="auto"/>
          <w:szCs w:val="24"/>
          <w:highlight w:val="none"/>
        </w:rPr>
      </w:pPr>
      <w:r>
        <w:rPr>
          <w:rFonts w:hint="eastAsia" w:ascii="宋体" w:hAnsi="宋体"/>
          <w:color w:val="auto"/>
          <w:szCs w:val="24"/>
          <w:highlight w:val="none"/>
        </w:rPr>
        <w:t>需满足以下功能：</w:t>
      </w:r>
    </w:p>
    <w:p>
      <w:pPr>
        <w:ind w:firstLine="480"/>
        <w:rPr>
          <w:rFonts w:ascii="宋体" w:hAnsi="宋体" w:cs="仿宋"/>
          <w:color w:val="auto"/>
          <w:spacing w:val="-1"/>
          <w:sz w:val="24"/>
          <w:highlight w:val="none"/>
        </w:rPr>
      </w:pPr>
      <w:r>
        <w:rPr>
          <w:rFonts w:hint="eastAsia" w:ascii="宋体" w:hAnsi="宋体"/>
          <w:color w:val="auto"/>
          <w:sz w:val="24"/>
          <w:highlight w:val="none"/>
        </w:rPr>
        <w:t>支持</w:t>
      </w:r>
      <w:r>
        <w:rPr>
          <w:rFonts w:ascii="宋体" w:hAnsi="宋体" w:cs="仿宋"/>
          <w:color w:val="auto"/>
          <w:spacing w:val="-1"/>
          <w:sz w:val="24"/>
          <w:highlight w:val="none"/>
        </w:rPr>
        <w:t>以</w:t>
      </w:r>
      <w:r>
        <w:rPr>
          <w:rFonts w:hint="eastAsia" w:ascii="宋体" w:hAnsi="宋体" w:cs="仿宋"/>
          <w:color w:val="auto"/>
          <w:spacing w:val="-1"/>
          <w:sz w:val="24"/>
          <w:highlight w:val="none"/>
        </w:rPr>
        <w:t>个人健康</w:t>
      </w:r>
      <w:r>
        <w:rPr>
          <w:rFonts w:ascii="宋体" w:hAnsi="宋体" w:cs="仿宋"/>
          <w:color w:val="auto"/>
          <w:spacing w:val="-1"/>
          <w:sz w:val="24"/>
          <w:highlight w:val="none"/>
        </w:rPr>
        <w:t>档案为基础，实现</w:t>
      </w:r>
      <w:r>
        <w:rPr>
          <w:rFonts w:hint="eastAsia" w:ascii="宋体" w:hAnsi="宋体" w:cs="仿宋"/>
          <w:color w:val="auto"/>
          <w:spacing w:val="-1"/>
          <w:sz w:val="24"/>
          <w:highlight w:val="none"/>
        </w:rPr>
        <w:t>儿童的基本信息查看以及随访服务记录管理。</w:t>
      </w:r>
    </w:p>
    <w:p>
      <w:pPr>
        <w:ind w:firstLine="480"/>
        <w:rPr>
          <w:rFonts w:ascii="宋体" w:hAnsi="宋体" w:cs="仿宋"/>
          <w:color w:val="auto"/>
          <w:spacing w:val="-1"/>
          <w:sz w:val="24"/>
          <w:highlight w:val="none"/>
        </w:rPr>
      </w:pPr>
      <w:r>
        <w:rPr>
          <w:rFonts w:hint="eastAsia" w:ascii="宋体" w:hAnsi="宋体" w:cs="仿宋"/>
          <w:color w:val="auto"/>
          <w:spacing w:val="-1"/>
          <w:sz w:val="24"/>
          <w:highlight w:val="none"/>
        </w:rPr>
        <w:t>功能支持包括</w:t>
      </w:r>
      <w:bookmarkStart w:id="862" w:name="_Toc64965449"/>
      <w:r>
        <w:rPr>
          <w:rFonts w:hint="eastAsia" w:ascii="宋体" w:hAnsi="宋体" w:cs="仿宋"/>
          <w:color w:val="auto"/>
          <w:spacing w:val="-1"/>
          <w:sz w:val="24"/>
          <w:highlight w:val="none"/>
        </w:rPr>
        <w:t>儿童健康基本信息、儿童健康档案管理、新生儿家庭访视、1-8月龄儿童健康检查记录表、12-30月龄儿童健康检查记录表、3-6岁儿童健康检查记录表、儿童死亡报卡。</w:t>
      </w:r>
      <w:bookmarkEnd w:id="862"/>
    </w:p>
    <w:p>
      <w:pPr>
        <w:pStyle w:val="8"/>
        <w:ind w:firstLine="476"/>
        <w:rPr>
          <w:rFonts w:ascii="宋体" w:hAnsi="宋体"/>
          <w:color w:val="auto"/>
          <w:szCs w:val="24"/>
          <w:highlight w:val="none"/>
        </w:rPr>
      </w:pPr>
      <w:r>
        <w:rPr>
          <w:rFonts w:hint="eastAsia" w:ascii="宋体" w:hAnsi="宋体" w:cs="仿宋"/>
          <w:color w:val="auto"/>
          <w:spacing w:val="-1"/>
          <w:szCs w:val="24"/>
          <w:highlight w:val="none"/>
        </w:rPr>
        <w:t>支持开展儿童健康管理业务前，判断是否建档，未建档提醒建档。</w:t>
      </w:r>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left="105" w:leftChars="50" w:right="105" w:rightChars="50" w:firstLine="508"/>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5" w:leftChars="50" w:right="105" w:rightChars="50" w:firstLine="508"/>
              <w:jc w:val="center"/>
              <w:rPr>
                <w:rFonts w:ascii="宋体" w:hAnsi="宋体" w:eastAsia="宋体"/>
                <w:b/>
                <w:color w:val="auto"/>
                <w:w w:val="105"/>
                <w:sz w:val="24"/>
                <w:highlight w:val="none"/>
              </w:rPr>
            </w:pPr>
            <w:r>
              <w:rPr>
                <w:rFonts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rPr>
            </w:pPr>
            <w:bookmarkStart w:id="863" w:name="_Toc96679861"/>
            <w:bookmarkStart w:id="864" w:name="_Toc126933922"/>
            <w:r>
              <w:rPr>
                <w:rFonts w:hint="eastAsia" w:ascii="宋体" w:hAnsi="宋体" w:eastAsia="宋体"/>
                <w:color w:val="auto"/>
                <w:sz w:val="24"/>
                <w:highlight w:val="none"/>
              </w:rPr>
              <w:t>儿童健康基本信息</w:t>
            </w:r>
            <w:bookmarkEnd w:id="863"/>
            <w:bookmarkEnd w:id="864"/>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支持提供儿童基本信息查询、查看、导出，以及儿童健康服务记录的查看功能。</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支持儿童健康服务记录支持包括1-8月龄儿童健康检查记录表、12-30月龄儿童健康检查记录、3-6岁儿童健康检查记录表。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lang w:eastAsia="zh-CN"/>
              </w:rPr>
            </w:pPr>
            <w:bookmarkStart w:id="865" w:name="_Toc64965456"/>
            <w:bookmarkStart w:id="866" w:name="_Toc126933923"/>
            <w:bookmarkStart w:id="867" w:name="_Toc96679863"/>
            <w:r>
              <w:rPr>
                <w:rFonts w:hint="eastAsia" w:ascii="宋体" w:hAnsi="宋体" w:eastAsia="宋体"/>
                <w:color w:val="auto"/>
                <w:sz w:val="24"/>
                <w:highlight w:val="none"/>
              </w:rPr>
              <w:t>1-8月龄儿童健康检查</w:t>
            </w:r>
            <w:bookmarkEnd w:id="865"/>
            <w:bookmarkEnd w:id="866"/>
            <w:bookmarkEnd w:id="867"/>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支持提供1-</w:t>
            </w:r>
            <w:r>
              <w:rPr>
                <w:rFonts w:ascii="宋体" w:hAnsi="宋体" w:eastAsia="宋体"/>
                <w:color w:val="auto"/>
                <w:spacing w:val="-1"/>
                <w:sz w:val="24"/>
                <w:highlight w:val="none"/>
                <w:lang w:eastAsia="zh-CN"/>
              </w:rPr>
              <w:t>8</w:t>
            </w:r>
            <w:r>
              <w:rPr>
                <w:rFonts w:hint="eastAsia" w:ascii="宋体" w:hAnsi="宋体" w:eastAsia="宋体"/>
                <w:color w:val="auto"/>
                <w:spacing w:val="-1"/>
                <w:sz w:val="24"/>
                <w:highlight w:val="none"/>
                <w:lang w:eastAsia="zh-CN"/>
              </w:rPr>
              <w:t>月龄已建档儿童健康检查记录的查询、查看、新增、修改、删除功能。</w:t>
            </w:r>
          </w:p>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hint="eastAsia" w:ascii="宋体" w:hAnsi="宋体" w:eastAsia="宋体"/>
                <w:color w:val="auto"/>
                <w:spacing w:val="-1"/>
                <w:sz w:val="24"/>
                <w:highlight w:val="none"/>
                <w:lang w:eastAsia="zh-CN"/>
              </w:rPr>
              <w:t>支持包括满月、3月龄、6月龄、8月龄共四种体检表。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lang w:eastAsia="zh-CN"/>
              </w:rPr>
            </w:pPr>
            <w:bookmarkStart w:id="868" w:name="_Toc96679864"/>
            <w:bookmarkStart w:id="869" w:name="_Toc126933924"/>
            <w:r>
              <w:rPr>
                <w:rFonts w:hint="eastAsia" w:ascii="宋体" w:hAnsi="宋体" w:eastAsia="宋体"/>
                <w:color w:val="auto"/>
                <w:sz w:val="24"/>
                <w:highlight w:val="none"/>
                <w:lang w:eastAsia="zh-CN"/>
              </w:rPr>
              <w:t>12-30月龄儿童健康检查记录表</w:t>
            </w:r>
            <w:bookmarkEnd w:id="868"/>
            <w:bookmarkEnd w:id="869"/>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z w:val="24"/>
                <w:highlight w:val="none"/>
                <w:lang w:eastAsia="zh-CN"/>
              </w:rPr>
            </w:pPr>
            <w:r>
              <w:rPr>
                <w:rFonts w:hint="eastAsia" w:ascii="宋体" w:hAnsi="宋体" w:eastAsia="宋体"/>
                <w:color w:val="auto"/>
                <w:spacing w:val="-1"/>
                <w:sz w:val="24"/>
                <w:highlight w:val="none"/>
                <w:lang w:eastAsia="zh-CN"/>
              </w:rPr>
              <w:t>支持提供</w:t>
            </w:r>
            <w:r>
              <w:rPr>
                <w:rFonts w:hint="eastAsia" w:ascii="宋体" w:hAnsi="宋体" w:eastAsia="宋体"/>
                <w:color w:val="auto"/>
                <w:sz w:val="24"/>
                <w:highlight w:val="none"/>
                <w:lang w:eastAsia="zh-CN"/>
              </w:rPr>
              <w:t>12-30月龄已建档儿童健康检查记录的查询、查看、新增、修改、删除功能。</w:t>
            </w:r>
          </w:p>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hint="eastAsia" w:ascii="宋体" w:hAnsi="宋体" w:eastAsia="宋体"/>
                <w:color w:val="auto"/>
                <w:spacing w:val="-1"/>
                <w:sz w:val="24"/>
                <w:highlight w:val="none"/>
                <w:lang w:eastAsia="zh-CN"/>
              </w:rPr>
              <w:t>支持</w:t>
            </w:r>
            <w:r>
              <w:rPr>
                <w:rFonts w:hint="eastAsia" w:ascii="宋体" w:hAnsi="宋体" w:eastAsia="宋体"/>
                <w:color w:val="auto"/>
                <w:sz w:val="24"/>
                <w:highlight w:val="none"/>
                <w:lang w:eastAsia="zh-CN"/>
              </w:rPr>
              <w:t>包括1</w:t>
            </w:r>
            <w:r>
              <w:rPr>
                <w:rFonts w:ascii="宋体" w:hAnsi="宋体" w:eastAsia="宋体"/>
                <w:color w:val="auto"/>
                <w:sz w:val="24"/>
                <w:highlight w:val="none"/>
                <w:lang w:eastAsia="zh-CN"/>
              </w:rPr>
              <w:t>2</w:t>
            </w:r>
            <w:r>
              <w:rPr>
                <w:rFonts w:hint="eastAsia" w:ascii="宋体" w:hAnsi="宋体" w:eastAsia="宋体"/>
                <w:color w:val="auto"/>
                <w:sz w:val="24"/>
                <w:highlight w:val="none"/>
                <w:lang w:eastAsia="zh-CN"/>
              </w:rPr>
              <w:t>月龄、</w:t>
            </w:r>
            <w:r>
              <w:rPr>
                <w:rFonts w:ascii="宋体" w:hAnsi="宋体" w:eastAsia="宋体"/>
                <w:color w:val="auto"/>
                <w:sz w:val="24"/>
                <w:highlight w:val="none"/>
                <w:lang w:eastAsia="zh-CN"/>
              </w:rPr>
              <w:t>18</w:t>
            </w:r>
            <w:r>
              <w:rPr>
                <w:rFonts w:hint="eastAsia" w:ascii="宋体" w:hAnsi="宋体" w:eastAsia="宋体"/>
                <w:color w:val="auto"/>
                <w:sz w:val="24"/>
                <w:highlight w:val="none"/>
                <w:lang w:eastAsia="zh-CN"/>
              </w:rPr>
              <w:t>月龄、</w:t>
            </w:r>
            <w:r>
              <w:rPr>
                <w:rFonts w:ascii="宋体" w:hAnsi="宋体" w:eastAsia="宋体"/>
                <w:color w:val="auto"/>
                <w:sz w:val="24"/>
                <w:highlight w:val="none"/>
                <w:lang w:eastAsia="zh-CN"/>
              </w:rPr>
              <w:t>24</w:t>
            </w:r>
            <w:r>
              <w:rPr>
                <w:rFonts w:hint="eastAsia" w:ascii="宋体" w:hAnsi="宋体" w:eastAsia="宋体"/>
                <w:color w:val="auto"/>
                <w:sz w:val="24"/>
                <w:highlight w:val="none"/>
                <w:lang w:eastAsia="zh-CN"/>
              </w:rPr>
              <w:t>月龄、</w:t>
            </w:r>
            <w:r>
              <w:rPr>
                <w:rFonts w:ascii="宋体" w:hAnsi="宋体" w:eastAsia="宋体"/>
                <w:color w:val="auto"/>
                <w:sz w:val="24"/>
                <w:highlight w:val="none"/>
                <w:lang w:eastAsia="zh-CN"/>
              </w:rPr>
              <w:t>30</w:t>
            </w:r>
            <w:r>
              <w:rPr>
                <w:rFonts w:hint="eastAsia" w:ascii="宋体" w:hAnsi="宋体" w:eastAsia="宋体"/>
                <w:color w:val="auto"/>
                <w:sz w:val="24"/>
                <w:highlight w:val="none"/>
                <w:lang w:eastAsia="zh-CN"/>
              </w:rPr>
              <w:t>月龄共四种体检表。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lang w:eastAsia="zh-CN"/>
              </w:rPr>
            </w:pPr>
            <w:bookmarkStart w:id="870" w:name="_Toc126933925"/>
            <w:bookmarkStart w:id="871" w:name="_Toc64965462"/>
            <w:bookmarkStart w:id="872" w:name="_Toc96679865"/>
            <w:r>
              <w:rPr>
                <w:rFonts w:hint="eastAsia" w:ascii="宋体" w:hAnsi="宋体" w:eastAsia="宋体"/>
                <w:color w:val="auto"/>
                <w:sz w:val="24"/>
                <w:highlight w:val="none"/>
                <w:lang w:eastAsia="zh-CN"/>
              </w:rPr>
              <w:t>3-6岁儿童健康检查记录表</w:t>
            </w:r>
            <w:bookmarkEnd w:id="870"/>
            <w:bookmarkEnd w:id="871"/>
            <w:bookmarkEnd w:id="872"/>
          </w:p>
        </w:tc>
        <w:tc>
          <w:tcPr>
            <w:tcW w:w="6622"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支持提供3-6岁已建档儿童健康检查记录的查询、查看、新增、修改、</w:t>
            </w:r>
            <w:r>
              <w:rPr>
                <w:rFonts w:hint="eastAsia" w:ascii="宋体" w:hAnsi="宋体" w:eastAsia="宋体"/>
                <w:color w:val="auto"/>
                <w:spacing w:val="-1"/>
                <w:sz w:val="24"/>
                <w:highlight w:val="none"/>
                <w:lang w:eastAsia="zh-CN"/>
              </w:rPr>
              <w:t>删除</w:t>
            </w:r>
            <w:r>
              <w:rPr>
                <w:rFonts w:hint="eastAsia" w:ascii="宋体" w:hAnsi="宋体" w:eastAsia="宋体"/>
                <w:color w:val="auto"/>
                <w:sz w:val="24"/>
                <w:highlight w:val="none"/>
                <w:lang w:eastAsia="zh-CN"/>
              </w:rPr>
              <w:t>功能。</w:t>
            </w:r>
          </w:p>
          <w:p>
            <w:pPr>
              <w:pStyle w:val="201"/>
              <w:numPr>
                <w:ilvl w:val="0"/>
                <w:numId w:val="9"/>
              </w:numPr>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color w:val="auto"/>
                <w:sz w:val="24"/>
                <w:highlight w:val="none"/>
                <w:lang w:eastAsia="zh-CN"/>
              </w:rPr>
              <w:t>支持包括3岁、</w:t>
            </w:r>
            <w:r>
              <w:rPr>
                <w:rFonts w:ascii="宋体" w:hAnsi="宋体" w:eastAsia="宋体"/>
                <w:color w:val="auto"/>
                <w:sz w:val="24"/>
                <w:highlight w:val="none"/>
                <w:lang w:eastAsia="zh-CN"/>
              </w:rPr>
              <w:t>4</w:t>
            </w:r>
            <w:r>
              <w:rPr>
                <w:rFonts w:hint="eastAsia" w:ascii="宋体" w:hAnsi="宋体" w:eastAsia="宋体"/>
                <w:color w:val="auto"/>
                <w:sz w:val="24"/>
                <w:highlight w:val="none"/>
                <w:lang w:eastAsia="zh-CN"/>
              </w:rPr>
              <w:t>岁、</w:t>
            </w:r>
            <w:r>
              <w:rPr>
                <w:rFonts w:ascii="宋体" w:hAnsi="宋体" w:eastAsia="宋体"/>
                <w:color w:val="auto"/>
                <w:sz w:val="24"/>
                <w:highlight w:val="none"/>
                <w:lang w:eastAsia="zh-CN"/>
              </w:rPr>
              <w:t>5</w:t>
            </w:r>
            <w:r>
              <w:rPr>
                <w:rFonts w:hint="eastAsia" w:ascii="宋体" w:hAnsi="宋体" w:eastAsia="宋体"/>
                <w:color w:val="auto"/>
                <w:sz w:val="24"/>
                <w:highlight w:val="none"/>
                <w:lang w:eastAsia="zh-CN"/>
              </w:rPr>
              <w:t>岁、6岁共四种体检表。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lang w:eastAsia="zh-CN"/>
              </w:rPr>
            </w:pPr>
            <w:bookmarkStart w:id="873" w:name="_Toc126933926"/>
            <w:bookmarkStart w:id="874" w:name="_Toc97538599"/>
            <w:r>
              <w:rPr>
                <w:rFonts w:hint="eastAsia" w:ascii="宋体" w:hAnsi="宋体" w:eastAsia="宋体"/>
                <w:color w:val="auto"/>
                <w:sz w:val="24"/>
                <w:highlight w:val="none"/>
              </w:rPr>
              <w:t>学生健康管理</w:t>
            </w:r>
            <w:bookmarkEnd w:id="873"/>
            <w:bookmarkEnd w:id="874"/>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支持由学校录入学生体检名单、体检结果，系统根据体检结果自动进行评估指导。</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支持公共卫生业务科通过统计报表分析体检进度及学生健康状况。</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窝沟封闭功能支持通过excel导入平台，平台通过统计报表分析学生牙齿情况。</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支持包括学生体检名单管理、体检管理、窝沟封闭管理、学校管理、统计分析报表。学生健康管理模块用户类型包括学校卫生科、公共卫生科。</w:t>
            </w:r>
          </w:p>
          <w:p>
            <w:pPr>
              <w:pStyle w:val="201"/>
              <w:widowControl/>
              <w:spacing w:before="6" w:line="360" w:lineRule="auto"/>
              <w:ind w:right="105" w:rightChars="50" w:firstLine="478"/>
              <w:rPr>
                <w:rFonts w:ascii="宋体" w:hAnsi="宋体" w:eastAsia="宋体"/>
                <w:color w:val="auto"/>
                <w:spacing w:val="-1"/>
                <w:sz w:val="24"/>
                <w:highlight w:val="none"/>
              </w:rPr>
            </w:pPr>
            <w:r>
              <w:rPr>
                <w:rFonts w:hint="eastAsia" w:ascii="宋体" w:hAnsi="宋体" w:eastAsia="宋体"/>
                <w:color w:val="auto"/>
                <w:spacing w:val="-1"/>
                <w:sz w:val="24"/>
                <w:highlight w:val="none"/>
              </w:rPr>
              <w:t>1 体检名单管理</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支持由学校卫生科通过模板导入学生体检名单，可以覆盖导入、追加导入。</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学生体检名单信息支持包括姓名、性别、身份证号、入学年份、年级编码、班级、民族、血型、学籍卡号。</w:t>
            </w:r>
          </w:p>
          <w:p>
            <w:pPr>
              <w:pStyle w:val="201"/>
              <w:widowControl/>
              <w:spacing w:before="6" w:line="360" w:lineRule="auto"/>
              <w:ind w:right="105" w:rightChars="50" w:firstLine="478"/>
              <w:rPr>
                <w:rFonts w:ascii="宋体" w:hAnsi="宋体" w:eastAsia="宋体"/>
                <w:color w:val="auto"/>
                <w:spacing w:val="-1"/>
                <w:sz w:val="24"/>
                <w:highlight w:val="none"/>
              </w:rPr>
            </w:pPr>
            <w:r>
              <w:rPr>
                <w:rFonts w:hint="eastAsia" w:ascii="宋体" w:hAnsi="宋体" w:eastAsia="宋体"/>
                <w:color w:val="auto"/>
                <w:spacing w:val="-1"/>
                <w:sz w:val="24"/>
                <w:highlight w:val="none"/>
              </w:rPr>
              <w:t>2 体检信息管理</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支持包括学生体检信息查询、查看、新增、修改、删除、导出、打印。</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学生体检页面录入信息支持包括：学生信息、形体信息、生理功能、眼科、口腔、内科、外科、化验、其他、体检结论、健康指导意见。</w:t>
            </w:r>
          </w:p>
          <w:p>
            <w:pPr>
              <w:pStyle w:val="201"/>
              <w:widowControl/>
              <w:spacing w:before="6" w:line="360" w:lineRule="auto"/>
              <w:ind w:right="105" w:rightChars="50" w:firstLine="478"/>
              <w:rPr>
                <w:rFonts w:ascii="宋体" w:hAnsi="宋体" w:eastAsia="宋体"/>
                <w:color w:val="auto"/>
                <w:spacing w:val="-1"/>
                <w:sz w:val="24"/>
                <w:highlight w:val="none"/>
              </w:rPr>
            </w:pPr>
            <w:r>
              <w:rPr>
                <w:rFonts w:hint="eastAsia" w:ascii="宋体" w:hAnsi="宋体" w:eastAsia="宋体"/>
                <w:color w:val="auto"/>
                <w:spacing w:val="-1"/>
                <w:sz w:val="24"/>
                <w:highlight w:val="none"/>
              </w:rPr>
              <w:t>3 体检学校管理</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支持包括学校新增、修改、删除、查询、查看。</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学校信息管理支持包括学校编码、学校名称、学校类型、地区类型、学校地址、体检机构、备注。</w:t>
            </w:r>
          </w:p>
          <w:p>
            <w:pPr>
              <w:pStyle w:val="201"/>
              <w:widowControl/>
              <w:spacing w:before="6" w:line="360" w:lineRule="auto"/>
              <w:ind w:right="105" w:rightChars="50" w:firstLine="478"/>
              <w:rPr>
                <w:rFonts w:ascii="宋体" w:hAnsi="宋体" w:eastAsia="宋体"/>
                <w:color w:val="auto"/>
                <w:spacing w:val="-1"/>
                <w:sz w:val="24"/>
                <w:highlight w:val="none"/>
              </w:rPr>
            </w:pPr>
            <w:r>
              <w:rPr>
                <w:rFonts w:hint="eastAsia" w:ascii="宋体" w:hAnsi="宋体" w:eastAsia="宋体"/>
                <w:color w:val="auto"/>
                <w:spacing w:val="-1"/>
                <w:sz w:val="24"/>
                <w:highlight w:val="none"/>
              </w:rPr>
              <w:t>4 窝沟封闭管理</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支持窝沟封闭数据导入、查询、查看、修改、删除、打印，以及窝沟封闭统计报表的查询、查看、导出功能。</w:t>
            </w:r>
          </w:p>
          <w:p>
            <w:pPr>
              <w:pStyle w:val="201"/>
              <w:widowControl/>
              <w:spacing w:before="6" w:line="360" w:lineRule="auto"/>
              <w:ind w:right="105" w:rightChars="50" w:firstLine="478"/>
              <w:rPr>
                <w:rFonts w:ascii="宋体" w:hAnsi="宋体" w:eastAsia="宋体"/>
                <w:color w:val="auto"/>
                <w:spacing w:val="-1"/>
                <w:sz w:val="24"/>
                <w:highlight w:val="none"/>
              </w:rPr>
            </w:pPr>
            <w:r>
              <w:rPr>
                <w:rFonts w:hint="eastAsia" w:ascii="宋体" w:hAnsi="宋体" w:eastAsia="宋体"/>
                <w:color w:val="auto"/>
                <w:spacing w:val="-1"/>
                <w:sz w:val="24"/>
                <w:highlight w:val="none"/>
              </w:rPr>
              <w:t>5 统计分析报表</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支持根据体检年份、地区、学校类型、学校、年级查询学生健康检查汇总报表。</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报表的信息支持包括正常体检人数、营养状况、视力不良、视力新发、沙眼、乳牙龋齿、恒牙龋齿、恒牙龋齿（12岁）、牙周病、心杂音、早博、哮鸣音、肝脾肿大、甲状腺肿大、淋巴结肿大、脊柱弯曲、皮肤病、健康问题及指导意见，并可以导出报表。</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支持可以根据学校查询进度统计报表，信息包括学校、应检人数、录入人数、录入率、打印人数、打印率。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lang w:eastAsia="zh-CN"/>
              </w:rPr>
            </w:pPr>
            <w:bookmarkStart w:id="875" w:name="_Toc126933927"/>
            <w:bookmarkStart w:id="876" w:name="_Toc96679866"/>
            <w:bookmarkStart w:id="877" w:name="_Toc64965465"/>
            <w:r>
              <w:rPr>
                <w:rFonts w:hint="eastAsia" w:ascii="宋体" w:hAnsi="宋体" w:eastAsia="宋体"/>
                <w:color w:val="auto"/>
                <w:sz w:val="24"/>
                <w:highlight w:val="none"/>
              </w:rPr>
              <w:t>儿童死亡报告卡</w:t>
            </w:r>
            <w:bookmarkEnd w:id="875"/>
            <w:bookmarkEnd w:id="876"/>
            <w:bookmarkEnd w:id="877"/>
          </w:p>
        </w:tc>
        <w:tc>
          <w:tcPr>
            <w:tcW w:w="6622" w:type="dxa"/>
            <w:vAlign w:val="center"/>
          </w:tcPr>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hint="eastAsia" w:ascii="宋体" w:hAnsi="宋体" w:eastAsia="宋体"/>
                <w:color w:val="auto"/>
                <w:spacing w:val="-1"/>
                <w:sz w:val="24"/>
                <w:highlight w:val="none"/>
                <w:lang w:eastAsia="zh-CN"/>
              </w:rPr>
              <w:t>支持查询、查看、新增、修改、删除儿童死亡报卡。</w:t>
            </w:r>
          </w:p>
        </w:tc>
      </w:tr>
    </w:tbl>
    <w:p>
      <w:pPr>
        <w:pStyle w:val="6"/>
        <w:numPr>
          <w:ilvl w:val="3"/>
          <w:numId w:val="8"/>
        </w:numPr>
        <w:spacing w:before="280" w:after="290" w:line="376" w:lineRule="auto"/>
        <w:rPr>
          <w:rFonts w:ascii="宋体" w:hAnsi="宋体"/>
          <w:color w:val="auto"/>
          <w:sz w:val="24"/>
          <w:szCs w:val="24"/>
          <w:highlight w:val="none"/>
        </w:rPr>
      </w:pPr>
      <w:bookmarkStart w:id="878" w:name="_Toc8249"/>
      <w:bookmarkStart w:id="879" w:name="_Toc126933928"/>
      <w:r>
        <w:rPr>
          <w:rFonts w:hint="eastAsia" w:ascii="宋体" w:hAnsi="宋体"/>
          <w:color w:val="auto"/>
          <w:sz w:val="24"/>
          <w:szCs w:val="24"/>
          <w:highlight w:val="none"/>
        </w:rPr>
        <w:t>老年人中医药健康管理</w:t>
      </w:r>
      <w:bookmarkEnd w:id="878"/>
      <w:bookmarkEnd w:id="879"/>
    </w:p>
    <w:p>
      <w:pPr>
        <w:pStyle w:val="8"/>
        <w:ind w:firstLine="480"/>
        <w:rPr>
          <w:rFonts w:ascii="宋体" w:hAnsi="宋体"/>
          <w:color w:val="auto"/>
          <w:szCs w:val="24"/>
          <w:highlight w:val="none"/>
        </w:rPr>
      </w:pPr>
      <w:r>
        <w:rPr>
          <w:rFonts w:hint="eastAsia" w:ascii="宋体" w:hAnsi="宋体"/>
          <w:color w:val="auto"/>
          <w:szCs w:val="24"/>
          <w:highlight w:val="none"/>
        </w:rPr>
        <w:t>需满足以下功能：</w:t>
      </w:r>
    </w:p>
    <w:p>
      <w:pPr>
        <w:pStyle w:val="8"/>
        <w:ind w:firstLine="480"/>
        <w:rPr>
          <w:rFonts w:ascii="宋体" w:hAnsi="宋体"/>
          <w:color w:val="auto"/>
          <w:szCs w:val="24"/>
          <w:highlight w:val="none"/>
        </w:rPr>
      </w:pPr>
      <w:r>
        <w:rPr>
          <w:rFonts w:hint="eastAsia" w:ascii="宋体" w:hAnsi="宋体"/>
          <w:color w:val="auto"/>
          <w:szCs w:val="24"/>
          <w:highlight w:val="none"/>
        </w:rPr>
        <w:t>支持</w:t>
      </w:r>
      <w:r>
        <w:rPr>
          <w:rFonts w:ascii="宋体" w:hAnsi="宋体"/>
          <w:color w:val="auto"/>
          <w:szCs w:val="24"/>
          <w:highlight w:val="none"/>
        </w:rPr>
        <w:t>针对</w:t>
      </w:r>
      <w:r>
        <w:rPr>
          <w:rFonts w:hint="eastAsia" w:ascii="宋体" w:hAnsi="宋体"/>
          <w:color w:val="auto"/>
          <w:szCs w:val="24"/>
          <w:highlight w:val="none"/>
        </w:rPr>
        <w:t>来院就诊老年人提供中医药健康管理服务，内容包括中医辨识和中医指导。</w:t>
      </w:r>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left="105" w:leftChars="50" w:right="105" w:rightChars="50" w:firstLine="508"/>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5" w:leftChars="50" w:right="105" w:rightChars="50" w:firstLine="508"/>
              <w:jc w:val="center"/>
              <w:rPr>
                <w:rFonts w:ascii="宋体" w:hAnsi="宋体" w:eastAsia="宋体"/>
                <w:b/>
                <w:color w:val="auto"/>
                <w:w w:val="105"/>
                <w:sz w:val="24"/>
                <w:highlight w:val="none"/>
              </w:rPr>
            </w:pPr>
            <w:r>
              <w:rPr>
                <w:rFonts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rPr>
            </w:pPr>
            <w:bookmarkStart w:id="880" w:name="_Toc126933929"/>
            <w:bookmarkStart w:id="881" w:name="_Toc96679857"/>
            <w:r>
              <w:rPr>
                <w:rFonts w:hint="eastAsia" w:ascii="宋体" w:hAnsi="宋体" w:eastAsia="宋体"/>
                <w:color w:val="auto"/>
                <w:sz w:val="24"/>
                <w:highlight w:val="none"/>
              </w:rPr>
              <w:t>老年人中医体质辨识</w:t>
            </w:r>
            <w:bookmarkEnd w:id="880"/>
            <w:bookmarkEnd w:id="881"/>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支持为老年人提供中医体质辨识服务、健康指导。</w:t>
            </w:r>
          </w:p>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hint="eastAsia" w:ascii="宋体" w:hAnsi="宋体" w:eastAsia="宋体"/>
                <w:color w:val="auto"/>
                <w:spacing w:val="-1"/>
                <w:sz w:val="24"/>
                <w:highlight w:val="none"/>
                <w:lang w:eastAsia="zh-CN"/>
              </w:rPr>
              <w:t>支持包括老年人中医辨识记录查询、查看、新增、修改、删除、计算、指导、打印等，修改已经关联体检的中医辨识记录，保存成功后直接同步至体检表。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color w:val="auto"/>
                <w:sz w:val="24"/>
                <w:highlight w:val="none"/>
                <w:lang w:eastAsia="zh-CN"/>
              </w:rPr>
            </w:pPr>
            <w:bookmarkStart w:id="882" w:name="_Toc96679859"/>
            <w:bookmarkStart w:id="883" w:name="_Toc126933930"/>
            <w:r>
              <w:rPr>
                <w:rFonts w:hint="eastAsia" w:ascii="宋体" w:hAnsi="宋体" w:eastAsia="宋体"/>
                <w:color w:val="auto"/>
                <w:sz w:val="24"/>
                <w:highlight w:val="none"/>
              </w:rPr>
              <w:t>老年人中医辨识统计</w:t>
            </w:r>
            <w:bookmarkEnd w:id="882"/>
            <w:bookmarkEnd w:id="883"/>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支持根据年份、机构查询，导出老年人中医辨识统计报表。</w:t>
            </w:r>
          </w:p>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hint="eastAsia" w:ascii="宋体" w:hAnsi="宋体" w:eastAsia="宋体"/>
                <w:color w:val="auto"/>
                <w:spacing w:val="-1"/>
                <w:sz w:val="24"/>
                <w:highlight w:val="none"/>
                <w:lang w:eastAsia="zh-CN"/>
              </w:rPr>
              <w:t>报表统计指标支持包括老年人管理人数、老年人已辨识人数、老年人管理服务率(%)、完成中医药保健指导人数。</w:t>
            </w:r>
          </w:p>
        </w:tc>
      </w:tr>
    </w:tbl>
    <w:p>
      <w:pPr>
        <w:pStyle w:val="6"/>
        <w:numPr>
          <w:ilvl w:val="3"/>
          <w:numId w:val="8"/>
        </w:numPr>
        <w:spacing w:before="280" w:after="290" w:line="376" w:lineRule="auto"/>
        <w:rPr>
          <w:rFonts w:ascii="宋体" w:hAnsi="宋体"/>
          <w:color w:val="auto"/>
          <w:sz w:val="24"/>
          <w:szCs w:val="24"/>
          <w:highlight w:val="none"/>
        </w:rPr>
      </w:pPr>
      <w:bookmarkStart w:id="884" w:name="_Toc97538605"/>
      <w:bookmarkStart w:id="885" w:name="_Toc28995"/>
      <w:bookmarkStart w:id="886" w:name="_Toc126933931"/>
      <w:r>
        <w:rPr>
          <w:rFonts w:hint="eastAsia" w:ascii="宋体" w:hAnsi="宋体"/>
          <w:color w:val="auto"/>
          <w:sz w:val="24"/>
          <w:szCs w:val="24"/>
          <w:highlight w:val="none"/>
        </w:rPr>
        <w:t>职业卫生监测</w:t>
      </w:r>
      <w:bookmarkEnd w:id="884"/>
      <w:r>
        <w:rPr>
          <w:rFonts w:hint="eastAsia" w:ascii="宋体" w:hAnsi="宋体"/>
          <w:color w:val="auto"/>
          <w:sz w:val="24"/>
          <w:szCs w:val="24"/>
          <w:highlight w:val="none"/>
        </w:rPr>
        <w:t>管理</w:t>
      </w:r>
      <w:bookmarkEnd w:id="885"/>
      <w:bookmarkEnd w:id="886"/>
    </w:p>
    <w:p>
      <w:pPr>
        <w:pStyle w:val="8"/>
        <w:ind w:firstLine="480"/>
        <w:rPr>
          <w:rFonts w:ascii="宋体" w:hAnsi="宋体"/>
          <w:color w:val="auto"/>
          <w:szCs w:val="24"/>
          <w:highlight w:val="none"/>
        </w:rPr>
      </w:pPr>
      <w:r>
        <w:rPr>
          <w:rFonts w:hint="eastAsia" w:ascii="宋体" w:hAnsi="宋体"/>
          <w:color w:val="auto"/>
          <w:szCs w:val="24"/>
          <w:highlight w:val="none"/>
        </w:rPr>
        <w:t>需满足以下功能：</w:t>
      </w:r>
    </w:p>
    <w:p>
      <w:pPr>
        <w:pStyle w:val="8"/>
        <w:ind w:firstLine="480"/>
        <w:rPr>
          <w:rFonts w:ascii="宋体" w:hAnsi="宋体"/>
          <w:color w:val="auto"/>
          <w:szCs w:val="24"/>
          <w:highlight w:val="none"/>
        </w:rPr>
      </w:pPr>
      <w:r>
        <w:rPr>
          <w:rFonts w:hint="eastAsia" w:ascii="宋体" w:hAnsi="宋体"/>
          <w:color w:val="auto"/>
          <w:szCs w:val="24"/>
          <w:highlight w:val="none"/>
        </w:rPr>
        <w:t>支持包括用人单位信息、疑似职业病报告、农药中毒报告、职业病报告卡、放射卫生管理、有害因素监测管理、职业病人管理、职业健康统计报表功能。</w:t>
      </w:r>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left="105" w:leftChars="50" w:right="105" w:rightChars="50" w:firstLine="508"/>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5" w:leftChars="50" w:right="105" w:rightChars="50" w:firstLine="508"/>
              <w:jc w:val="center"/>
              <w:rPr>
                <w:rFonts w:ascii="宋体" w:hAnsi="宋体" w:eastAsia="宋体"/>
                <w:b/>
                <w:color w:val="auto"/>
                <w:w w:val="105"/>
                <w:sz w:val="24"/>
                <w:highlight w:val="none"/>
              </w:rPr>
            </w:pPr>
            <w:r>
              <w:rPr>
                <w:rFonts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59"/>
              <w:rPr>
                <w:rFonts w:ascii="宋体" w:hAnsi="宋体" w:eastAsia="宋体"/>
                <w:b/>
                <w:bCs/>
                <w:color w:val="auto"/>
                <w:sz w:val="24"/>
                <w:highlight w:val="none"/>
              </w:rPr>
            </w:pPr>
            <w:bookmarkStart w:id="887" w:name="_Toc126933932"/>
            <w:bookmarkStart w:id="888" w:name="_Toc97538606"/>
            <w:r>
              <w:rPr>
                <w:rFonts w:hint="eastAsia" w:ascii="宋体" w:hAnsi="宋体" w:eastAsia="宋体"/>
                <w:color w:val="auto"/>
                <w:w w:val="95"/>
                <w:sz w:val="24"/>
                <w:highlight w:val="none"/>
              </w:rPr>
              <w:t>用人单位信息</w:t>
            </w:r>
            <w:bookmarkEnd w:id="887"/>
            <w:bookmarkEnd w:id="888"/>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支持被服务企业的的职业卫生服务档案。</w:t>
            </w:r>
          </w:p>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hint="eastAsia" w:ascii="宋体" w:hAnsi="宋体" w:eastAsia="宋体"/>
                <w:color w:val="auto"/>
                <w:spacing w:val="-1"/>
                <w:sz w:val="24"/>
                <w:highlight w:val="none"/>
                <w:lang w:eastAsia="zh-CN"/>
              </w:rPr>
              <w:t>档案主要内容支持包括：企业基本情况、职业卫生基本情况、生产过程中使用和产生的化学物质、主要职业危害因素接触情况、生产工艺流程简介、总平面布置图、设备布置图、职业病危害因素监测点分布示意图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59"/>
              <w:rPr>
                <w:rFonts w:ascii="宋体" w:hAnsi="宋体" w:eastAsia="宋体"/>
                <w:b/>
                <w:bCs/>
                <w:color w:val="auto"/>
                <w:sz w:val="24"/>
                <w:highlight w:val="none"/>
                <w:lang w:eastAsia="zh-CN"/>
              </w:rPr>
            </w:pPr>
            <w:bookmarkStart w:id="889" w:name="_Toc126933933"/>
            <w:bookmarkStart w:id="890" w:name="_Toc97538607"/>
            <w:r>
              <w:rPr>
                <w:rFonts w:hint="eastAsia" w:ascii="宋体" w:hAnsi="宋体" w:eastAsia="宋体"/>
                <w:color w:val="auto"/>
                <w:w w:val="95"/>
                <w:sz w:val="24"/>
                <w:highlight w:val="none"/>
              </w:rPr>
              <w:t>疑似职业病报告</w:t>
            </w:r>
            <w:bookmarkEnd w:id="889"/>
            <w:bookmarkEnd w:id="890"/>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支持由公共卫生科上报疑似职业病报告卡。</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支持包括查询、查看、新增、修改、删除、导出疑似职业病报告卡。</w:t>
            </w:r>
          </w:p>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hint="eastAsia" w:ascii="宋体" w:hAnsi="宋体" w:eastAsia="宋体"/>
                <w:color w:val="auto"/>
                <w:spacing w:val="-1"/>
                <w:sz w:val="24"/>
                <w:highlight w:val="none"/>
                <w:lang w:eastAsia="zh-CN"/>
              </w:rPr>
              <w:t>支持包括劳动者基本信息、用人单位信息、疑似职业病报告信息、填表人信息、报告人信息等。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59"/>
              <w:rPr>
                <w:rFonts w:ascii="宋体" w:hAnsi="宋体" w:eastAsia="宋体"/>
                <w:b/>
                <w:bCs/>
                <w:color w:val="auto"/>
                <w:sz w:val="24"/>
                <w:highlight w:val="none"/>
                <w:lang w:eastAsia="zh-CN"/>
              </w:rPr>
            </w:pPr>
            <w:bookmarkStart w:id="891" w:name="_Toc126933934"/>
            <w:bookmarkStart w:id="892" w:name="_Toc97538608"/>
            <w:r>
              <w:rPr>
                <w:rFonts w:hint="eastAsia" w:ascii="宋体" w:hAnsi="宋体" w:eastAsia="宋体"/>
                <w:color w:val="auto"/>
                <w:w w:val="95"/>
                <w:sz w:val="24"/>
                <w:highlight w:val="none"/>
              </w:rPr>
              <w:t>农药中毒报告</w:t>
            </w:r>
            <w:bookmarkEnd w:id="891"/>
            <w:bookmarkEnd w:id="892"/>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支持由公共卫生科上报农药中毒报告。</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支持包括农药中毒报告新增报卡、审核报卡、修改报卡、删除报卡、查询报卡、查看报卡、导出报卡功能。</w:t>
            </w:r>
          </w:p>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hint="eastAsia" w:ascii="宋体" w:hAnsi="宋体" w:eastAsia="宋体"/>
                <w:color w:val="auto"/>
                <w:spacing w:val="-1"/>
                <w:sz w:val="24"/>
                <w:highlight w:val="none"/>
                <w:lang w:eastAsia="zh-CN"/>
              </w:rPr>
              <w:t>报告上报输入的信息支持包括劳动者基本信息、农药中毒信息、填表人信息、报告人信息。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59"/>
              <w:rPr>
                <w:rFonts w:ascii="宋体" w:hAnsi="宋体" w:eastAsia="宋体"/>
                <w:b/>
                <w:bCs/>
                <w:color w:val="auto"/>
                <w:sz w:val="24"/>
                <w:highlight w:val="none"/>
                <w:lang w:eastAsia="zh-CN"/>
              </w:rPr>
            </w:pPr>
            <w:bookmarkStart w:id="893" w:name="_Toc126933935"/>
            <w:bookmarkStart w:id="894" w:name="_Toc97538609"/>
            <w:r>
              <w:rPr>
                <w:rFonts w:hint="eastAsia" w:ascii="宋体" w:hAnsi="宋体" w:eastAsia="宋体"/>
                <w:color w:val="auto"/>
                <w:w w:val="95"/>
                <w:sz w:val="24"/>
                <w:highlight w:val="none"/>
              </w:rPr>
              <w:t>职业病报告卡</w:t>
            </w:r>
            <w:bookmarkEnd w:id="893"/>
            <w:bookmarkEnd w:id="894"/>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支持由公共卫生科上报职业病报告。</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支持包括职业病报告卡上报、查询、查看功能。</w:t>
            </w:r>
          </w:p>
          <w:p>
            <w:pPr>
              <w:pStyle w:val="201"/>
              <w:numPr>
                <w:ilvl w:val="0"/>
                <w:numId w:val="9"/>
              </w:numPr>
              <w:spacing w:before="6" w:line="360" w:lineRule="auto"/>
              <w:ind w:right="105" w:rightChars="50" w:firstLine="478"/>
              <w:rPr>
                <w:rFonts w:ascii="宋体" w:hAnsi="宋体" w:eastAsia="宋体"/>
                <w:color w:val="auto"/>
                <w:sz w:val="24"/>
                <w:highlight w:val="none"/>
                <w:lang w:eastAsia="zh-CN"/>
              </w:rPr>
            </w:pPr>
            <w:r>
              <w:rPr>
                <w:rFonts w:hint="eastAsia" w:ascii="宋体" w:hAnsi="宋体" w:eastAsia="宋体"/>
                <w:color w:val="auto"/>
                <w:spacing w:val="-1"/>
                <w:sz w:val="24"/>
                <w:highlight w:val="none"/>
                <w:lang w:eastAsia="zh-CN"/>
              </w:rPr>
              <w:t>支持包括职业病人基本信息、职业病信息。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59"/>
              <w:rPr>
                <w:rFonts w:ascii="宋体" w:hAnsi="宋体" w:eastAsia="宋体"/>
                <w:b/>
                <w:bCs/>
                <w:color w:val="auto"/>
                <w:sz w:val="24"/>
                <w:highlight w:val="none"/>
                <w:lang w:eastAsia="zh-CN"/>
              </w:rPr>
            </w:pPr>
            <w:bookmarkStart w:id="895" w:name="_Toc97538610"/>
            <w:bookmarkStart w:id="896" w:name="_Toc126933936"/>
            <w:r>
              <w:rPr>
                <w:rFonts w:hint="eastAsia" w:ascii="宋体" w:hAnsi="宋体" w:eastAsia="宋体"/>
                <w:color w:val="auto"/>
                <w:w w:val="95"/>
                <w:sz w:val="24"/>
                <w:highlight w:val="none"/>
              </w:rPr>
              <w:t>放射卫生管理</w:t>
            </w:r>
            <w:bookmarkEnd w:id="895"/>
            <w:bookmarkEnd w:id="896"/>
          </w:p>
        </w:tc>
        <w:tc>
          <w:tcPr>
            <w:tcW w:w="6622" w:type="dxa"/>
            <w:vAlign w:val="center"/>
          </w:tcPr>
          <w:p>
            <w:pPr>
              <w:pStyle w:val="201"/>
              <w:numPr>
                <w:ilvl w:val="0"/>
                <w:numId w:val="9"/>
              </w:numPr>
              <w:spacing w:before="6" w:line="360" w:lineRule="auto"/>
              <w:ind w:right="105" w:rightChars="50" w:firstLine="482"/>
              <w:rPr>
                <w:rFonts w:ascii="宋体" w:hAnsi="宋体" w:eastAsia="宋体"/>
                <w:color w:val="auto"/>
                <w:spacing w:val="-1"/>
                <w:sz w:val="24"/>
                <w:highlight w:val="none"/>
                <w:lang w:eastAsia="zh-CN"/>
              </w:rPr>
            </w:pPr>
            <w:r>
              <w:rPr>
                <w:rFonts w:hint="eastAsia" w:ascii="宋体" w:hAnsi="宋体" w:eastAsia="宋体"/>
                <w:color w:val="auto"/>
                <w:sz w:val="24"/>
                <w:highlight w:val="none"/>
                <w:lang w:eastAsia="zh-CN"/>
              </w:rPr>
              <w:t>支</w:t>
            </w:r>
            <w:r>
              <w:rPr>
                <w:rFonts w:hint="eastAsia" w:ascii="宋体" w:hAnsi="宋体" w:eastAsia="宋体"/>
                <w:color w:val="auto"/>
                <w:spacing w:val="-1"/>
                <w:sz w:val="24"/>
                <w:highlight w:val="none"/>
                <w:lang w:eastAsia="zh-CN"/>
              </w:rPr>
              <w:t>持公共卫生科审核，审核通过后卡生效；不通过则不生效。公共卫生科上报，无需审核，直接审核通过。</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支持包括放射卫生管理单位新增、修改、删除、查询、查看、审核。</w:t>
            </w:r>
          </w:p>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hint="eastAsia" w:ascii="宋体" w:hAnsi="宋体" w:eastAsia="宋体"/>
                <w:color w:val="auto"/>
                <w:spacing w:val="-1"/>
                <w:sz w:val="24"/>
                <w:highlight w:val="none"/>
                <w:lang w:eastAsia="zh-CN"/>
              </w:rPr>
              <w:t>支持提供包括医院基本信息、医院放射设备情况、放射防护情况、个人防护用品、放射工作人员信息、培训情况的信息管理。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59"/>
              <w:rPr>
                <w:rFonts w:ascii="宋体" w:hAnsi="宋体" w:eastAsia="宋体"/>
                <w:b/>
                <w:bCs/>
                <w:color w:val="auto"/>
                <w:sz w:val="24"/>
                <w:highlight w:val="none"/>
                <w:lang w:eastAsia="zh-CN"/>
              </w:rPr>
            </w:pPr>
            <w:bookmarkStart w:id="897" w:name="_Toc97538611"/>
            <w:bookmarkStart w:id="898" w:name="_Toc126933937"/>
            <w:r>
              <w:rPr>
                <w:rFonts w:hint="eastAsia" w:ascii="宋体" w:hAnsi="宋体" w:eastAsia="宋体"/>
                <w:color w:val="auto"/>
                <w:w w:val="95"/>
                <w:sz w:val="24"/>
                <w:highlight w:val="none"/>
              </w:rPr>
              <w:t>有害因素监测管理</w:t>
            </w:r>
            <w:bookmarkEnd w:id="897"/>
            <w:bookmarkEnd w:id="898"/>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支持由公共卫生科上报有害因素监测信息。</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支持包括有害因素监测信息新增、修改、查询、查看、删除、导出功能。</w:t>
            </w:r>
          </w:p>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hint="eastAsia" w:ascii="宋体" w:hAnsi="宋体" w:eastAsia="宋体"/>
                <w:color w:val="auto"/>
                <w:spacing w:val="-1"/>
                <w:sz w:val="24"/>
                <w:highlight w:val="none"/>
                <w:lang w:eastAsia="zh-CN"/>
              </w:rPr>
              <w:t>有害因素监测信息支持包括用人单位信息、职业性有害因素检测信息、填表人信息、报告人信息。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59"/>
              <w:rPr>
                <w:rFonts w:ascii="宋体" w:hAnsi="宋体" w:eastAsia="宋体"/>
                <w:b/>
                <w:bCs/>
                <w:color w:val="auto"/>
                <w:sz w:val="24"/>
                <w:highlight w:val="none"/>
                <w:lang w:eastAsia="zh-CN"/>
              </w:rPr>
            </w:pPr>
            <w:bookmarkStart w:id="899" w:name="_Toc126933938"/>
            <w:bookmarkStart w:id="900" w:name="_Toc97538612"/>
            <w:r>
              <w:rPr>
                <w:rFonts w:hint="eastAsia" w:ascii="宋体" w:hAnsi="宋体" w:eastAsia="宋体"/>
                <w:color w:val="auto"/>
                <w:w w:val="95"/>
                <w:sz w:val="24"/>
                <w:highlight w:val="none"/>
              </w:rPr>
              <w:t>职业病人管理</w:t>
            </w:r>
            <w:bookmarkEnd w:id="899"/>
            <w:bookmarkEnd w:id="900"/>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支持包括职业病人新增、修改、删除、查询、查看、审核。</w:t>
            </w:r>
          </w:p>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hint="eastAsia" w:ascii="宋体" w:hAnsi="宋体" w:eastAsia="宋体"/>
                <w:color w:val="auto"/>
                <w:spacing w:val="-1"/>
                <w:sz w:val="24"/>
                <w:highlight w:val="none"/>
                <w:lang w:eastAsia="zh-CN"/>
              </w:rPr>
              <w:t>支持包括劳动者信息、用人单位信息。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59"/>
              <w:rPr>
                <w:rFonts w:ascii="宋体" w:hAnsi="宋体" w:eastAsia="宋体"/>
                <w:b/>
                <w:bCs/>
                <w:color w:val="auto"/>
                <w:sz w:val="24"/>
                <w:highlight w:val="none"/>
                <w:lang w:eastAsia="zh-CN"/>
              </w:rPr>
            </w:pPr>
            <w:bookmarkStart w:id="901" w:name="_Toc97538614"/>
            <w:bookmarkStart w:id="902" w:name="_Toc126933939"/>
            <w:r>
              <w:rPr>
                <w:rFonts w:hint="eastAsia" w:ascii="宋体" w:hAnsi="宋体" w:eastAsia="宋体"/>
                <w:color w:val="auto"/>
                <w:w w:val="95"/>
                <w:sz w:val="24"/>
                <w:highlight w:val="none"/>
              </w:rPr>
              <w:t>职业健康统计报表</w:t>
            </w:r>
            <w:bookmarkEnd w:id="901"/>
            <w:bookmarkEnd w:id="902"/>
          </w:p>
        </w:tc>
        <w:tc>
          <w:tcPr>
            <w:tcW w:w="6622" w:type="dxa"/>
            <w:vAlign w:val="center"/>
          </w:tcPr>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hint="eastAsia" w:ascii="宋体" w:hAnsi="宋体" w:eastAsia="宋体"/>
                <w:color w:val="auto"/>
                <w:spacing w:val="-1"/>
                <w:sz w:val="24"/>
                <w:highlight w:val="none"/>
                <w:lang w:eastAsia="zh-CN"/>
              </w:rPr>
              <w:t>支持根据上报机构查询职业病报告人次数、疑似职业病人次数、职业病管理人数统计报表。</w:t>
            </w:r>
          </w:p>
        </w:tc>
      </w:tr>
    </w:tbl>
    <w:p>
      <w:pPr>
        <w:pStyle w:val="6"/>
        <w:numPr>
          <w:ilvl w:val="3"/>
          <w:numId w:val="8"/>
        </w:numPr>
        <w:spacing w:before="280" w:after="290" w:line="376" w:lineRule="auto"/>
        <w:rPr>
          <w:rFonts w:ascii="宋体" w:hAnsi="宋体"/>
          <w:color w:val="auto"/>
          <w:sz w:val="24"/>
          <w:szCs w:val="24"/>
          <w:highlight w:val="none"/>
        </w:rPr>
      </w:pPr>
      <w:bookmarkStart w:id="903" w:name="_Toc126933940"/>
      <w:bookmarkStart w:id="904" w:name="_Toc1991"/>
      <w:r>
        <w:rPr>
          <w:rFonts w:hint="eastAsia" w:ascii="宋体" w:hAnsi="宋体"/>
          <w:color w:val="auto"/>
          <w:sz w:val="24"/>
          <w:szCs w:val="24"/>
          <w:highlight w:val="none"/>
        </w:rPr>
        <w:t>伤害防控管理</w:t>
      </w:r>
      <w:bookmarkEnd w:id="903"/>
      <w:bookmarkEnd w:id="904"/>
    </w:p>
    <w:p>
      <w:pPr>
        <w:pStyle w:val="8"/>
        <w:ind w:firstLine="480"/>
        <w:rPr>
          <w:rFonts w:ascii="宋体" w:hAnsi="宋体"/>
          <w:color w:val="auto"/>
          <w:szCs w:val="24"/>
          <w:highlight w:val="none"/>
        </w:rPr>
      </w:pPr>
      <w:r>
        <w:rPr>
          <w:rFonts w:hint="eastAsia" w:ascii="宋体" w:hAnsi="宋体"/>
          <w:color w:val="auto"/>
          <w:szCs w:val="24"/>
          <w:highlight w:val="none"/>
        </w:rPr>
        <w:t>需满足以下功能：</w:t>
      </w:r>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3" w:hRule="atLeast"/>
          <w:tblHeader/>
          <w:jc w:val="center"/>
        </w:trPr>
        <w:tc>
          <w:tcPr>
            <w:tcW w:w="1696" w:type="dxa"/>
            <w:shd w:val="clear" w:color="auto" w:fill="4472C4"/>
            <w:vAlign w:val="center"/>
          </w:tcPr>
          <w:p>
            <w:pPr>
              <w:pStyle w:val="201"/>
              <w:spacing w:before="13" w:line="360" w:lineRule="auto"/>
              <w:ind w:left="105" w:leftChars="50" w:right="105" w:rightChars="50" w:firstLine="508"/>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5" w:leftChars="50" w:right="105" w:rightChars="50" w:firstLine="508"/>
              <w:jc w:val="center"/>
              <w:rPr>
                <w:rFonts w:ascii="宋体" w:hAnsi="宋体" w:eastAsia="宋体"/>
                <w:b/>
                <w:color w:val="auto"/>
                <w:w w:val="105"/>
                <w:sz w:val="24"/>
                <w:highlight w:val="none"/>
              </w:rPr>
            </w:pPr>
            <w:r>
              <w:rPr>
                <w:rFonts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rPr>
            </w:pPr>
            <w:r>
              <w:rPr>
                <w:rFonts w:hint="eastAsia" w:ascii="宋体" w:hAnsi="宋体" w:eastAsia="宋体"/>
                <w:color w:val="auto"/>
                <w:sz w:val="24"/>
                <w:highlight w:val="none"/>
              </w:rPr>
              <w:t>伤害防控管理</w:t>
            </w:r>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w:t>
            </w:r>
            <w:r>
              <w:rPr>
                <w:rFonts w:ascii="宋体" w:hAnsi="宋体" w:eastAsia="宋体"/>
                <w:color w:val="auto"/>
                <w:spacing w:val="-1"/>
                <w:sz w:val="24"/>
                <w:highlight w:val="none"/>
                <w:lang w:eastAsia="zh-CN"/>
              </w:rPr>
              <w:t>对管辖区域内伤害事件的上报和随访管理，主要包括伤害事件报告管理、病例随访治疗管理。</w:t>
            </w:r>
          </w:p>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hint="eastAsia" w:ascii="宋体" w:hAnsi="宋体" w:eastAsia="宋体"/>
                <w:color w:val="auto"/>
                <w:spacing w:val="-1"/>
                <w:sz w:val="24"/>
                <w:highlight w:val="none"/>
                <w:lang w:eastAsia="zh-CN"/>
              </w:rPr>
              <w:t>支持包括报卡上报、报卡查看、报卡审核、随访管理、报卡查重、删除查看。</w:t>
            </w:r>
          </w:p>
        </w:tc>
      </w:tr>
    </w:tbl>
    <w:p>
      <w:pPr>
        <w:pStyle w:val="6"/>
        <w:numPr>
          <w:ilvl w:val="3"/>
          <w:numId w:val="8"/>
        </w:numPr>
        <w:spacing w:before="280" w:after="290" w:line="376" w:lineRule="auto"/>
        <w:rPr>
          <w:rFonts w:ascii="宋体" w:hAnsi="宋体"/>
          <w:color w:val="auto"/>
          <w:sz w:val="24"/>
          <w:szCs w:val="24"/>
          <w:highlight w:val="none"/>
        </w:rPr>
      </w:pPr>
      <w:bookmarkStart w:id="905" w:name="_Toc126933941"/>
      <w:bookmarkStart w:id="906" w:name="_Toc2114"/>
      <w:r>
        <w:rPr>
          <w:rFonts w:ascii="宋体" w:hAnsi="宋体"/>
          <w:color w:val="auto"/>
          <w:sz w:val="24"/>
          <w:szCs w:val="24"/>
          <w:highlight w:val="none"/>
        </w:rPr>
        <w:t>地方病监测管理</w:t>
      </w:r>
      <w:bookmarkEnd w:id="905"/>
      <w:bookmarkEnd w:id="906"/>
    </w:p>
    <w:p>
      <w:pPr>
        <w:pStyle w:val="8"/>
        <w:ind w:firstLine="480"/>
        <w:rPr>
          <w:rFonts w:ascii="宋体" w:hAnsi="宋体"/>
          <w:color w:val="auto"/>
          <w:szCs w:val="24"/>
          <w:highlight w:val="none"/>
        </w:rPr>
      </w:pPr>
      <w:r>
        <w:rPr>
          <w:rFonts w:hint="eastAsia" w:ascii="宋体" w:hAnsi="宋体"/>
          <w:color w:val="auto"/>
          <w:szCs w:val="24"/>
          <w:highlight w:val="none"/>
        </w:rPr>
        <w:t>需满足以下功能：</w:t>
      </w:r>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left="105" w:leftChars="50" w:right="105" w:rightChars="50" w:firstLine="508"/>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5" w:leftChars="50" w:right="105" w:rightChars="50" w:firstLine="508"/>
              <w:jc w:val="center"/>
              <w:rPr>
                <w:rFonts w:ascii="宋体" w:hAnsi="宋体" w:eastAsia="宋体"/>
                <w:b/>
                <w:color w:val="auto"/>
                <w:w w:val="105"/>
                <w:sz w:val="24"/>
                <w:highlight w:val="none"/>
              </w:rPr>
            </w:pPr>
            <w:r>
              <w:rPr>
                <w:rFonts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rPr>
            </w:pPr>
            <w:r>
              <w:rPr>
                <w:rFonts w:ascii="宋体" w:hAnsi="宋体" w:eastAsia="宋体"/>
                <w:color w:val="auto"/>
                <w:sz w:val="24"/>
                <w:highlight w:val="none"/>
              </w:rPr>
              <w:t>地方病监测管理</w:t>
            </w:r>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w:t>
            </w:r>
            <w:r>
              <w:rPr>
                <w:rFonts w:ascii="宋体" w:hAnsi="宋体" w:eastAsia="宋体"/>
                <w:color w:val="auto"/>
                <w:spacing w:val="-1"/>
                <w:sz w:val="24"/>
                <w:highlight w:val="none"/>
                <w:lang w:eastAsia="zh-CN"/>
              </w:rPr>
              <w:t>实现对缺乏碘病的收治和管理，通过</w:t>
            </w:r>
            <w:r>
              <w:rPr>
                <w:rFonts w:hint="eastAsia" w:ascii="宋体" w:hAnsi="宋体" w:eastAsia="宋体"/>
                <w:color w:val="auto"/>
                <w:spacing w:val="-1"/>
                <w:sz w:val="24"/>
                <w:highlight w:val="none"/>
                <w:lang w:eastAsia="zh-CN"/>
              </w:rPr>
              <w:t>地方病的</w:t>
            </w:r>
            <w:r>
              <w:rPr>
                <w:rFonts w:ascii="宋体" w:hAnsi="宋体" w:eastAsia="宋体"/>
                <w:color w:val="auto"/>
                <w:spacing w:val="-1"/>
                <w:sz w:val="24"/>
                <w:highlight w:val="none"/>
                <w:lang w:eastAsia="zh-CN"/>
              </w:rPr>
              <w:t>专题分析，信息展示，为地方病防治工作提供科学依据和决策支持。</w:t>
            </w:r>
          </w:p>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hint="eastAsia" w:ascii="宋体" w:hAnsi="宋体" w:eastAsia="宋体"/>
                <w:color w:val="auto"/>
                <w:spacing w:val="-1"/>
                <w:sz w:val="24"/>
                <w:highlight w:val="none"/>
                <w:lang w:eastAsia="zh-CN"/>
              </w:rPr>
              <w:t>支持包括碘盐监测、碘营养与碘缺乏病监测、水碘监测。</w:t>
            </w:r>
          </w:p>
        </w:tc>
      </w:tr>
    </w:tbl>
    <w:p>
      <w:pPr>
        <w:pStyle w:val="6"/>
        <w:numPr>
          <w:ilvl w:val="3"/>
          <w:numId w:val="8"/>
        </w:numPr>
        <w:spacing w:before="280" w:after="290" w:line="376" w:lineRule="auto"/>
        <w:rPr>
          <w:rFonts w:ascii="宋体" w:hAnsi="宋体"/>
          <w:color w:val="auto"/>
          <w:sz w:val="24"/>
          <w:szCs w:val="24"/>
          <w:highlight w:val="none"/>
        </w:rPr>
      </w:pPr>
      <w:bookmarkStart w:id="907" w:name="_Toc126933942"/>
      <w:bookmarkStart w:id="908" w:name="_Toc22511"/>
      <w:r>
        <w:rPr>
          <w:rFonts w:hint="eastAsia" w:ascii="宋体" w:hAnsi="宋体"/>
          <w:color w:val="auto"/>
          <w:sz w:val="24"/>
          <w:szCs w:val="24"/>
          <w:highlight w:val="none"/>
        </w:rPr>
        <w:t>死亡监测管理</w:t>
      </w:r>
      <w:bookmarkEnd w:id="907"/>
      <w:bookmarkEnd w:id="908"/>
    </w:p>
    <w:p>
      <w:pPr>
        <w:pStyle w:val="8"/>
        <w:ind w:firstLine="480"/>
        <w:rPr>
          <w:rFonts w:ascii="宋体" w:hAnsi="宋体"/>
          <w:color w:val="auto"/>
          <w:szCs w:val="24"/>
          <w:highlight w:val="none"/>
        </w:rPr>
      </w:pPr>
      <w:r>
        <w:rPr>
          <w:rFonts w:hint="eastAsia" w:ascii="宋体" w:hAnsi="宋体"/>
          <w:color w:val="auto"/>
          <w:szCs w:val="24"/>
          <w:highlight w:val="none"/>
        </w:rPr>
        <w:t>需满足以下功能：</w:t>
      </w:r>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left="105" w:leftChars="50" w:right="105" w:rightChars="50" w:firstLine="508"/>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5" w:leftChars="50" w:right="105" w:rightChars="50" w:firstLine="508"/>
              <w:jc w:val="center"/>
              <w:rPr>
                <w:rFonts w:ascii="宋体" w:hAnsi="宋体" w:eastAsia="宋体"/>
                <w:b/>
                <w:color w:val="auto"/>
                <w:w w:val="105"/>
                <w:sz w:val="24"/>
                <w:highlight w:val="none"/>
              </w:rPr>
            </w:pPr>
            <w:r>
              <w:rPr>
                <w:rFonts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rPr>
            </w:pPr>
            <w:r>
              <w:rPr>
                <w:rFonts w:hint="eastAsia" w:ascii="宋体" w:hAnsi="宋体" w:eastAsia="宋体"/>
                <w:color w:val="auto"/>
                <w:sz w:val="24"/>
                <w:highlight w:val="none"/>
              </w:rPr>
              <w:t>死亡监测管理</w:t>
            </w:r>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w:t>
            </w:r>
            <w:r>
              <w:rPr>
                <w:rFonts w:ascii="宋体" w:hAnsi="宋体" w:eastAsia="宋体"/>
                <w:color w:val="auto"/>
                <w:spacing w:val="-1"/>
                <w:sz w:val="24"/>
                <w:highlight w:val="none"/>
                <w:lang w:eastAsia="zh-CN"/>
              </w:rPr>
              <w:t>提供收集管辖范围内死亡个案的相关数据，实现死亡信息的电子化管理和动态监测。</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w:t>
            </w:r>
            <w:r>
              <w:rPr>
                <w:rFonts w:ascii="宋体" w:hAnsi="宋体" w:eastAsia="宋体"/>
                <w:color w:val="auto"/>
                <w:spacing w:val="-1"/>
                <w:sz w:val="24"/>
                <w:highlight w:val="none"/>
                <w:lang w:eastAsia="zh-CN"/>
              </w:rPr>
              <w:t>数据收集、审核和上报全流程可实现卫生部门、公安部门、民政部门三部门的统一管控。</w:t>
            </w:r>
          </w:p>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hint="eastAsia" w:ascii="宋体" w:hAnsi="宋体" w:eastAsia="宋体"/>
                <w:color w:val="auto"/>
                <w:spacing w:val="-1"/>
                <w:sz w:val="24"/>
                <w:highlight w:val="none"/>
                <w:lang w:eastAsia="zh-CN"/>
              </w:rPr>
              <w:t>支持由医院医生上报死亡报卡，上级机构审核，审核通过后死亡医学证明生效。</w:t>
            </w:r>
          </w:p>
        </w:tc>
      </w:tr>
    </w:tbl>
    <w:p>
      <w:pPr>
        <w:pStyle w:val="6"/>
        <w:numPr>
          <w:ilvl w:val="3"/>
          <w:numId w:val="8"/>
        </w:numPr>
        <w:spacing w:before="280" w:after="290" w:line="376" w:lineRule="auto"/>
        <w:rPr>
          <w:rFonts w:ascii="宋体" w:hAnsi="宋体"/>
          <w:color w:val="auto"/>
          <w:sz w:val="24"/>
          <w:szCs w:val="24"/>
          <w:highlight w:val="none"/>
        </w:rPr>
      </w:pPr>
      <w:bookmarkStart w:id="909" w:name="_Toc24059"/>
      <w:bookmarkStart w:id="910" w:name="_Toc126933943"/>
      <w:r>
        <w:rPr>
          <w:rFonts w:hint="eastAsia" w:ascii="宋体" w:hAnsi="宋体"/>
          <w:color w:val="auto"/>
          <w:sz w:val="24"/>
          <w:szCs w:val="24"/>
          <w:highlight w:val="none"/>
        </w:rPr>
        <w:t>突发公共卫生事件管理</w:t>
      </w:r>
      <w:bookmarkEnd w:id="909"/>
      <w:bookmarkEnd w:id="910"/>
    </w:p>
    <w:p>
      <w:pPr>
        <w:pStyle w:val="8"/>
        <w:ind w:firstLine="480"/>
        <w:rPr>
          <w:rFonts w:ascii="宋体" w:hAnsi="宋体"/>
          <w:color w:val="auto"/>
          <w:szCs w:val="24"/>
          <w:highlight w:val="none"/>
        </w:rPr>
      </w:pPr>
      <w:r>
        <w:rPr>
          <w:rFonts w:hint="eastAsia" w:ascii="宋体" w:hAnsi="宋体"/>
          <w:color w:val="auto"/>
          <w:szCs w:val="24"/>
          <w:highlight w:val="none"/>
        </w:rPr>
        <w:t>需满足以下功能：</w:t>
      </w:r>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3" w:hRule="atLeast"/>
          <w:tblHeader/>
          <w:jc w:val="center"/>
        </w:trPr>
        <w:tc>
          <w:tcPr>
            <w:tcW w:w="1696" w:type="dxa"/>
            <w:shd w:val="clear" w:color="auto" w:fill="4472C4"/>
            <w:vAlign w:val="center"/>
          </w:tcPr>
          <w:p>
            <w:pPr>
              <w:pStyle w:val="201"/>
              <w:spacing w:before="13" w:line="360" w:lineRule="auto"/>
              <w:ind w:left="105" w:leftChars="50" w:right="105" w:rightChars="50" w:firstLine="508"/>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5" w:leftChars="50" w:right="105" w:rightChars="50" w:firstLine="508"/>
              <w:jc w:val="center"/>
              <w:rPr>
                <w:rFonts w:ascii="宋体" w:hAnsi="宋体" w:eastAsia="宋体"/>
                <w:b/>
                <w:color w:val="auto"/>
                <w:w w:val="105"/>
                <w:sz w:val="24"/>
                <w:highlight w:val="none"/>
              </w:rPr>
            </w:pPr>
            <w:r>
              <w:rPr>
                <w:rFonts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lang w:eastAsia="zh-CN"/>
              </w:rPr>
            </w:pPr>
            <w:r>
              <w:rPr>
                <w:rFonts w:hint="eastAsia" w:ascii="宋体" w:hAnsi="宋体" w:eastAsia="宋体"/>
                <w:color w:val="auto"/>
                <w:sz w:val="24"/>
                <w:highlight w:val="none"/>
                <w:lang w:eastAsia="zh-CN"/>
              </w:rPr>
              <w:t>突发公共卫生事件管理</w:t>
            </w:r>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支持提供突发公共卫生事件报告卡上报、修改、删除、查询、查看功能。</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支持医院可以根据实际情况上报突发公共卫生事件。</w:t>
            </w:r>
          </w:p>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hint="eastAsia" w:ascii="宋体" w:hAnsi="宋体" w:eastAsia="宋体"/>
                <w:color w:val="auto"/>
                <w:spacing w:val="-1"/>
                <w:sz w:val="24"/>
                <w:highlight w:val="none"/>
                <w:lang w:eastAsia="zh-CN"/>
              </w:rPr>
              <w:t>突发公共卫生事件报告卡信息支持包括填报信息、事件名称、事件类别、事件等级、报告地区、发生地区、事件发生场所、感染部门、事件信息来源、事件信息来源详细、事件波及的地域范围、新报告病例数、新报告死亡数、排除病例数、累计报告病例数、事件发生时间、主要症状、主要体征、主要措施与效果等。</w:t>
            </w:r>
          </w:p>
        </w:tc>
      </w:tr>
    </w:tbl>
    <w:p>
      <w:pPr>
        <w:pStyle w:val="6"/>
        <w:numPr>
          <w:ilvl w:val="3"/>
          <w:numId w:val="8"/>
        </w:numPr>
        <w:spacing w:before="280" w:after="290" w:line="376" w:lineRule="auto"/>
        <w:rPr>
          <w:rFonts w:ascii="宋体" w:hAnsi="宋体"/>
          <w:color w:val="auto"/>
          <w:sz w:val="24"/>
          <w:szCs w:val="24"/>
          <w:highlight w:val="none"/>
        </w:rPr>
      </w:pPr>
      <w:bookmarkStart w:id="911" w:name="_Toc126933944"/>
      <w:bookmarkStart w:id="912" w:name="_Toc29519"/>
      <w:r>
        <w:rPr>
          <w:rFonts w:hint="eastAsia" w:ascii="宋体" w:hAnsi="宋体"/>
          <w:color w:val="auto"/>
          <w:sz w:val="24"/>
          <w:szCs w:val="24"/>
          <w:highlight w:val="none"/>
        </w:rPr>
        <w:t>健康教育管理</w:t>
      </w:r>
      <w:bookmarkEnd w:id="911"/>
      <w:bookmarkEnd w:id="912"/>
    </w:p>
    <w:p>
      <w:pPr>
        <w:pStyle w:val="8"/>
        <w:ind w:firstLine="480"/>
        <w:rPr>
          <w:rFonts w:ascii="宋体" w:hAnsi="宋体"/>
          <w:color w:val="auto"/>
          <w:szCs w:val="24"/>
          <w:highlight w:val="none"/>
        </w:rPr>
      </w:pPr>
      <w:r>
        <w:rPr>
          <w:rFonts w:hint="eastAsia" w:ascii="宋体" w:hAnsi="宋体"/>
          <w:color w:val="auto"/>
          <w:szCs w:val="24"/>
          <w:highlight w:val="none"/>
        </w:rPr>
        <w:t>需满足以下功能：</w:t>
      </w:r>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left="105" w:leftChars="50" w:right="105" w:rightChars="50" w:firstLine="508"/>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5" w:leftChars="50" w:right="105" w:rightChars="50" w:firstLine="508"/>
              <w:jc w:val="center"/>
              <w:rPr>
                <w:rFonts w:ascii="宋体" w:hAnsi="宋体" w:eastAsia="宋体"/>
                <w:b/>
                <w:color w:val="auto"/>
                <w:w w:val="105"/>
                <w:sz w:val="24"/>
                <w:highlight w:val="none"/>
              </w:rPr>
            </w:pPr>
            <w:r>
              <w:rPr>
                <w:rFonts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rPr>
            </w:pPr>
            <w:r>
              <w:rPr>
                <w:rFonts w:hint="eastAsia" w:ascii="宋体" w:hAnsi="宋体" w:eastAsia="宋体"/>
                <w:color w:val="auto"/>
                <w:sz w:val="24"/>
                <w:highlight w:val="none"/>
              </w:rPr>
              <w:t>健康教育管理</w:t>
            </w:r>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支持对来院就诊的患者，提供健康教育与健康促进服务。</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支持为其提供健康处方、个体健康教育服务。</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支持包括多群体提供健康教育、健教计划管理、健康素养评估等服务。</w:t>
            </w:r>
          </w:p>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hint="eastAsia" w:ascii="宋体" w:hAnsi="宋体" w:eastAsia="宋体"/>
                <w:color w:val="auto"/>
                <w:spacing w:val="-1"/>
                <w:sz w:val="24"/>
                <w:highlight w:val="none"/>
                <w:lang w:eastAsia="zh-CN"/>
              </w:rPr>
              <w:t>支持包括健康计划管理、健康教育资源、健康教育登记、健康教育处方、健康促进单位、健康素养评估、群体健教/个体健教、报表查看等功能。</w:t>
            </w:r>
          </w:p>
        </w:tc>
      </w:tr>
    </w:tbl>
    <w:p>
      <w:pPr>
        <w:pStyle w:val="5"/>
        <w:numPr>
          <w:ilvl w:val="2"/>
          <w:numId w:val="8"/>
        </w:numPr>
        <w:autoSpaceDE/>
        <w:autoSpaceDN/>
        <w:adjustRightInd/>
        <w:spacing w:before="260" w:after="260" w:line="416" w:lineRule="auto"/>
        <w:jc w:val="both"/>
        <w:rPr>
          <w:rFonts w:hAnsi="宋体"/>
          <w:color w:val="auto"/>
          <w:szCs w:val="24"/>
          <w:highlight w:val="none"/>
        </w:rPr>
      </w:pPr>
      <w:bookmarkStart w:id="913" w:name="_Toc138247825"/>
      <w:bookmarkStart w:id="914" w:name="_Toc126933945"/>
      <w:bookmarkStart w:id="915" w:name="_Toc1582391741"/>
      <w:bookmarkStart w:id="916" w:name="_Toc26837"/>
      <w:r>
        <w:rPr>
          <w:rFonts w:hint="eastAsia" w:hAnsi="宋体"/>
          <w:color w:val="auto"/>
          <w:szCs w:val="24"/>
          <w:highlight w:val="none"/>
        </w:rPr>
        <w:t>公共卫生管理服务平台</w:t>
      </w:r>
      <w:bookmarkEnd w:id="913"/>
      <w:bookmarkEnd w:id="914"/>
      <w:bookmarkEnd w:id="915"/>
      <w:bookmarkEnd w:id="916"/>
    </w:p>
    <w:p>
      <w:pPr>
        <w:pStyle w:val="6"/>
        <w:numPr>
          <w:ilvl w:val="3"/>
          <w:numId w:val="8"/>
        </w:numPr>
        <w:spacing w:before="280" w:after="290" w:line="376" w:lineRule="auto"/>
        <w:rPr>
          <w:rFonts w:ascii="宋体" w:hAnsi="宋体"/>
          <w:color w:val="auto"/>
          <w:sz w:val="24"/>
          <w:szCs w:val="24"/>
          <w:highlight w:val="none"/>
        </w:rPr>
      </w:pPr>
      <w:bookmarkStart w:id="917" w:name="_Toc9201"/>
      <w:bookmarkStart w:id="918" w:name="_Toc126933946"/>
      <w:r>
        <w:rPr>
          <w:rFonts w:hint="eastAsia" w:ascii="宋体" w:hAnsi="宋体"/>
          <w:color w:val="auto"/>
          <w:sz w:val="24"/>
          <w:szCs w:val="24"/>
          <w:highlight w:val="none"/>
        </w:rPr>
        <w:t>数据资源服务中心</w:t>
      </w:r>
      <w:bookmarkEnd w:id="917"/>
      <w:bookmarkEnd w:id="918"/>
    </w:p>
    <w:p>
      <w:pPr>
        <w:pStyle w:val="8"/>
        <w:ind w:firstLine="480"/>
        <w:rPr>
          <w:rFonts w:ascii="宋体" w:hAnsi="宋体"/>
          <w:color w:val="auto"/>
          <w:szCs w:val="24"/>
          <w:highlight w:val="none"/>
        </w:rPr>
      </w:pPr>
      <w:r>
        <w:rPr>
          <w:rFonts w:hint="eastAsia" w:ascii="宋体" w:hAnsi="宋体"/>
          <w:color w:val="auto"/>
          <w:szCs w:val="24"/>
          <w:highlight w:val="none"/>
        </w:rPr>
        <w:t>需满足以下功能</w:t>
      </w:r>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left="105" w:leftChars="50" w:right="105" w:rightChars="50" w:firstLine="508"/>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5" w:leftChars="50" w:right="105" w:rightChars="50" w:firstLine="508"/>
              <w:jc w:val="center"/>
              <w:rPr>
                <w:rFonts w:ascii="宋体" w:hAnsi="宋体" w:eastAsia="宋体"/>
                <w:b/>
                <w:color w:val="auto"/>
                <w:w w:val="105"/>
                <w:sz w:val="24"/>
                <w:highlight w:val="none"/>
              </w:rPr>
            </w:pPr>
            <w:r>
              <w:rPr>
                <w:rFonts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rPr>
            </w:pPr>
            <w:bookmarkStart w:id="919" w:name="_Toc126933947"/>
            <w:r>
              <w:rPr>
                <w:rFonts w:hint="eastAsia" w:ascii="宋体" w:hAnsi="宋体" w:eastAsia="宋体"/>
                <w:color w:val="auto"/>
                <w:sz w:val="24"/>
                <w:highlight w:val="none"/>
              </w:rPr>
              <w:t>电子疾病档案库</w:t>
            </w:r>
            <w:bookmarkEnd w:id="919"/>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w:t>
            </w:r>
            <w:r>
              <w:rPr>
                <w:rFonts w:ascii="宋体" w:hAnsi="宋体" w:eastAsia="宋体"/>
                <w:color w:val="auto"/>
                <w:spacing w:val="-1"/>
                <w:sz w:val="24"/>
                <w:highlight w:val="none"/>
                <w:lang w:eastAsia="zh-CN"/>
              </w:rPr>
              <w:t>遵循国家《疾病预防控制业务信息系统建设指导方案》要求，建立电子疾病档案 (EDR) 管理子系统。</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w:t>
            </w:r>
            <w:r>
              <w:rPr>
                <w:rFonts w:ascii="宋体" w:hAnsi="宋体" w:eastAsia="宋体"/>
                <w:color w:val="auto"/>
                <w:spacing w:val="-1"/>
                <w:sz w:val="24"/>
                <w:highlight w:val="none"/>
                <w:lang w:eastAsia="zh-CN"/>
              </w:rPr>
              <w:t>建立以人为核心的索引服务，授权用户通过索引号调取个人疾病档案，按授权提供档案或其部分信息的查看、修改等功能。</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w:t>
            </w:r>
            <w:r>
              <w:rPr>
                <w:rFonts w:ascii="宋体" w:hAnsi="宋体" w:eastAsia="宋体"/>
                <w:color w:val="auto"/>
                <w:spacing w:val="-1"/>
                <w:sz w:val="24"/>
                <w:highlight w:val="none"/>
                <w:lang w:eastAsia="zh-CN"/>
              </w:rPr>
              <w:t>提供未建立档案病人的建档，即建档过程中配套的增、删、改、查等功能。提供档案的查重、归并及其它管理过程中配套的相关功能。</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w:t>
            </w:r>
            <w:r>
              <w:rPr>
                <w:rFonts w:ascii="宋体" w:hAnsi="宋体" w:eastAsia="宋体"/>
                <w:color w:val="auto"/>
                <w:spacing w:val="-1"/>
                <w:sz w:val="24"/>
                <w:highlight w:val="none"/>
                <w:lang w:eastAsia="zh-CN"/>
              </w:rPr>
              <w:t>通过数据服务，汇聚整合医疗机构、</w:t>
            </w:r>
            <w:r>
              <w:rPr>
                <w:rFonts w:hint="eastAsia" w:ascii="宋体" w:hAnsi="宋体" w:eastAsia="宋体"/>
                <w:color w:val="auto"/>
                <w:spacing w:val="-1"/>
                <w:sz w:val="24"/>
                <w:highlight w:val="none"/>
                <w:lang w:eastAsia="zh-CN"/>
              </w:rPr>
              <w:t>智慧公共卫生管理服务</w:t>
            </w:r>
            <w:r>
              <w:rPr>
                <w:rFonts w:ascii="宋体" w:hAnsi="宋体" w:eastAsia="宋体"/>
                <w:color w:val="auto"/>
                <w:spacing w:val="-1"/>
                <w:sz w:val="24"/>
                <w:highlight w:val="none"/>
                <w:lang w:eastAsia="zh-CN"/>
              </w:rPr>
              <w:t>平台等疾病数据</w:t>
            </w:r>
            <w:r>
              <w:rPr>
                <w:rFonts w:hint="eastAsia" w:ascii="宋体" w:hAnsi="宋体" w:eastAsia="宋体"/>
                <w:color w:val="auto"/>
                <w:spacing w:val="-1"/>
                <w:sz w:val="24"/>
                <w:highlight w:val="none"/>
                <w:lang w:eastAsia="zh-CN"/>
              </w:rPr>
              <w:t>。</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w:t>
            </w:r>
            <w:r>
              <w:rPr>
                <w:rFonts w:ascii="宋体" w:hAnsi="宋体" w:eastAsia="宋体"/>
                <w:color w:val="auto"/>
                <w:spacing w:val="-1"/>
                <w:sz w:val="24"/>
                <w:highlight w:val="none"/>
                <w:lang w:eastAsia="zh-CN"/>
              </w:rPr>
              <w:t>构建支撑疾控业务的电子疾病档案 (EDR) ，包括个人基本信息、体检筛查、疾病报告、临床检验、病原检测、治疗随访、随访管理、流行病学、死亡原因监测等信息，实现疾病信息的共享、整合、存储、更新、服务。</w:t>
            </w:r>
          </w:p>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hint="eastAsia" w:ascii="宋体" w:hAnsi="宋体" w:eastAsia="宋体"/>
                <w:color w:val="auto"/>
                <w:spacing w:val="-1"/>
                <w:sz w:val="24"/>
                <w:highlight w:val="none"/>
                <w:lang w:eastAsia="zh-CN"/>
              </w:rPr>
              <w:t>支持</w:t>
            </w:r>
            <w:r>
              <w:rPr>
                <w:rFonts w:ascii="宋体" w:hAnsi="宋体" w:eastAsia="宋体"/>
                <w:color w:val="auto"/>
                <w:spacing w:val="-1"/>
                <w:sz w:val="24"/>
                <w:highlight w:val="none"/>
                <w:lang w:eastAsia="zh-CN"/>
              </w:rPr>
              <w:t>构建与平台相关一致的索引 (MPI) 和基础编码，以满足电子疾病档案库数据采集、管理、更新、服务，为业务提供支持。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lang w:eastAsia="zh-CN"/>
              </w:rPr>
            </w:pPr>
            <w:bookmarkStart w:id="920" w:name="_Toc126933948"/>
            <w:r>
              <w:rPr>
                <w:rFonts w:ascii="宋体" w:hAnsi="宋体" w:eastAsia="宋体"/>
                <w:color w:val="auto"/>
                <w:sz w:val="24"/>
                <w:highlight w:val="none"/>
              </w:rPr>
              <w:t>传染病数据库</w:t>
            </w:r>
            <w:bookmarkEnd w:id="920"/>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w:t>
            </w:r>
            <w:r>
              <w:rPr>
                <w:rFonts w:ascii="宋体" w:hAnsi="宋体" w:eastAsia="宋体"/>
                <w:color w:val="auto"/>
                <w:spacing w:val="-1"/>
                <w:sz w:val="24"/>
                <w:highlight w:val="none"/>
                <w:lang w:eastAsia="zh-CN"/>
              </w:rPr>
              <w:t>以电子病历 (EMR) 和电子健康档案 (EHR) 为基础，抽取传染病监测数据建立电子疾病档案 (EDR) 。</w:t>
            </w:r>
          </w:p>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ascii="宋体" w:hAnsi="宋体" w:eastAsia="宋体"/>
                <w:color w:val="auto"/>
                <w:spacing w:val="-1"/>
                <w:sz w:val="24"/>
                <w:highlight w:val="none"/>
                <w:lang w:eastAsia="zh-CN"/>
              </w:rPr>
              <w:t>电子疾病档案的重要组成内容</w:t>
            </w:r>
            <w:r>
              <w:rPr>
                <w:rFonts w:hint="eastAsia" w:ascii="宋体" w:hAnsi="宋体" w:eastAsia="宋体"/>
                <w:color w:val="auto"/>
                <w:spacing w:val="-1"/>
                <w:sz w:val="24"/>
                <w:highlight w:val="none"/>
                <w:lang w:eastAsia="zh-CN"/>
              </w:rPr>
              <w:t>支持</w:t>
            </w:r>
            <w:r>
              <w:rPr>
                <w:rFonts w:ascii="宋体" w:hAnsi="宋体" w:eastAsia="宋体"/>
                <w:color w:val="auto"/>
                <w:spacing w:val="-1"/>
                <w:sz w:val="24"/>
                <w:highlight w:val="none"/>
                <w:lang w:eastAsia="zh-CN"/>
              </w:rPr>
              <w:t>包括个人基本信息、体检筛查、传染病报告、临床检验、病原检测、治疗随访、随访管理、流行病学等记录信息。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lang w:eastAsia="zh-CN"/>
              </w:rPr>
            </w:pPr>
            <w:bookmarkStart w:id="921" w:name="_Toc126933949"/>
            <w:r>
              <w:rPr>
                <w:rFonts w:ascii="宋体" w:hAnsi="宋体" w:eastAsia="宋体"/>
                <w:color w:val="auto"/>
                <w:sz w:val="24"/>
                <w:highlight w:val="none"/>
              </w:rPr>
              <w:t>慢性病数据库</w:t>
            </w:r>
            <w:bookmarkEnd w:id="921"/>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w:t>
            </w:r>
            <w:r>
              <w:rPr>
                <w:rFonts w:ascii="宋体" w:hAnsi="宋体" w:eastAsia="宋体"/>
                <w:color w:val="auto"/>
                <w:spacing w:val="-1"/>
                <w:sz w:val="24"/>
                <w:highlight w:val="none"/>
                <w:lang w:eastAsia="zh-CN"/>
              </w:rPr>
              <w:t>以电子疾病档案 (EDR) 为基础，主要涵盖疾病有高血压、糖尿病、脑卒中、急性心梗、肿瘤、慢性 阻塞性肺病等重点慢性病</w:t>
            </w:r>
            <w:r>
              <w:rPr>
                <w:rFonts w:hint="eastAsia" w:ascii="宋体" w:hAnsi="宋体" w:eastAsia="宋体"/>
                <w:color w:val="auto"/>
                <w:spacing w:val="-1"/>
                <w:sz w:val="24"/>
                <w:highlight w:val="none"/>
                <w:lang w:eastAsia="zh-CN"/>
              </w:rPr>
              <w:t>。</w:t>
            </w:r>
          </w:p>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hint="eastAsia" w:ascii="宋体" w:hAnsi="宋体" w:eastAsia="宋体"/>
                <w:color w:val="auto"/>
                <w:spacing w:val="-1"/>
                <w:sz w:val="24"/>
                <w:highlight w:val="none"/>
                <w:lang w:eastAsia="zh-CN"/>
              </w:rPr>
              <w:t>支持</w:t>
            </w:r>
            <w:r>
              <w:rPr>
                <w:rFonts w:ascii="宋体" w:hAnsi="宋体" w:eastAsia="宋体"/>
                <w:color w:val="auto"/>
                <w:spacing w:val="-1"/>
                <w:sz w:val="24"/>
                <w:highlight w:val="none"/>
                <w:lang w:eastAsia="zh-CN"/>
              </w:rPr>
              <w:t>包括个人基本信息、体检筛查史、临床检验 结果信息、慢病报告信息、治疗随访和随访管理、死因等信息。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lang w:eastAsia="zh-CN"/>
              </w:rPr>
            </w:pPr>
            <w:bookmarkStart w:id="922" w:name="_Toc126933950"/>
            <w:r>
              <w:rPr>
                <w:rFonts w:ascii="宋体" w:hAnsi="宋体" w:eastAsia="宋体"/>
                <w:color w:val="auto"/>
                <w:sz w:val="24"/>
                <w:highlight w:val="none"/>
              </w:rPr>
              <w:t>综合管理基础数据</w:t>
            </w:r>
            <w:r>
              <w:rPr>
                <w:rFonts w:ascii="宋体" w:hAnsi="宋体" w:eastAsia="宋体"/>
                <w:color w:val="auto"/>
                <w:spacing w:val="6"/>
                <w:sz w:val="24"/>
                <w:highlight w:val="none"/>
              </w:rPr>
              <w:t>库</w:t>
            </w:r>
            <w:bookmarkEnd w:id="922"/>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w:t>
            </w:r>
            <w:r>
              <w:rPr>
                <w:rFonts w:ascii="宋体" w:hAnsi="宋体" w:eastAsia="宋体"/>
                <w:color w:val="auto"/>
                <w:spacing w:val="-1"/>
                <w:sz w:val="24"/>
                <w:highlight w:val="none"/>
                <w:lang w:eastAsia="zh-CN"/>
              </w:rPr>
              <w:t>支撑综合管理业务核心的信息采集、管理及决策支持。</w:t>
            </w:r>
          </w:p>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hint="eastAsia" w:ascii="宋体" w:hAnsi="宋体" w:eastAsia="宋体"/>
                <w:color w:val="auto"/>
                <w:spacing w:val="-1"/>
                <w:sz w:val="24"/>
                <w:highlight w:val="none"/>
                <w:lang w:eastAsia="zh-CN"/>
              </w:rPr>
              <w:t>支持</w:t>
            </w:r>
            <w:r>
              <w:rPr>
                <w:rFonts w:ascii="宋体" w:hAnsi="宋体" w:eastAsia="宋体"/>
                <w:color w:val="auto"/>
                <w:spacing w:val="-1"/>
                <w:sz w:val="24"/>
                <w:highlight w:val="none"/>
                <w:lang w:eastAsia="zh-CN"/>
              </w:rPr>
              <w:t>包括：机构基本情况、检验能力、人员设备、财务收支及实验室等相关信息。其中人力、设备等数据采用接口方式从相关系统中抽取。</w:t>
            </w:r>
          </w:p>
        </w:tc>
      </w:tr>
    </w:tbl>
    <w:p>
      <w:pPr>
        <w:pStyle w:val="6"/>
        <w:numPr>
          <w:ilvl w:val="3"/>
          <w:numId w:val="8"/>
        </w:numPr>
        <w:spacing w:before="280" w:after="290" w:line="376" w:lineRule="auto"/>
        <w:rPr>
          <w:rFonts w:ascii="宋体" w:hAnsi="宋体"/>
          <w:color w:val="auto"/>
          <w:sz w:val="24"/>
          <w:szCs w:val="24"/>
          <w:highlight w:val="none"/>
        </w:rPr>
      </w:pPr>
      <w:bookmarkStart w:id="923" w:name="_Toc126933951"/>
      <w:bookmarkStart w:id="924" w:name="_Toc11017"/>
      <w:r>
        <w:rPr>
          <w:rFonts w:hint="eastAsia" w:ascii="宋体" w:hAnsi="宋体"/>
          <w:color w:val="auto"/>
          <w:sz w:val="24"/>
          <w:szCs w:val="24"/>
          <w:highlight w:val="none"/>
        </w:rPr>
        <w:t>数据采集交换服务</w:t>
      </w:r>
      <w:bookmarkEnd w:id="923"/>
      <w:bookmarkEnd w:id="924"/>
    </w:p>
    <w:p>
      <w:pPr>
        <w:pStyle w:val="8"/>
        <w:ind w:firstLine="480"/>
        <w:rPr>
          <w:rFonts w:ascii="宋体" w:hAnsi="宋体"/>
          <w:color w:val="auto"/>
          <w:szCs w:val="24"/>
          <w:highlight w:val="none"/>
        </w:rPr>
      </w:pPr>
      <w:r>
        <w:rPr>
          <w:rFonts w:hint="eastAsia" w:ascii="宋体" w:hAnsi="宋体"/>
          <w:color w:val="auto"/>
          <w:szCs w:val="24"/>
          <w:highlight w:val="none"/>
        </w:rPr>
        <w:t>需满足以下功能：</w:t>
      </w:r>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left="105" w:leftChars="50" w:right="105" w:rightChars="50" w:firstLine="508"/>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5" w:leftChars="50" w:right="105" w:rightChars="50" w:firstLine="508"/>
              <w:jc w:val="center"/>
              <w:rPr>
                <w:rFonts w:ascii="宋体" w:hAnsi="宋体" w:eastAsia="宋体"/>
                <w:b/>
                <w:color w:val="auto"/>
                <w:w w:val="105"/>
                <w:sz w:val="24"/>
                <w:highlight w:val="none"/>
              </w:rPr>
            </w:pPr>
            <w:r>
              <w:rPr>
                <w:rFonts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rPr>
            </w:pPr>
            <w:bookmarkStart w:id="925" w:name="_Toc126933952"/>
            <w:r>
              <w:rPr>
                <w:rFonts w:hint="eastAsia" w:ascii="宋体" w:hAnsi="宋体" w:eastAsia="宋体"/>
                <w:color w:val="auto"/>
                <w:sz w:val="24"/>
                <w:highlight w:val="none"/>
              </w:rPr>
              <w:t>数据采集管理</w:t>
            </w:r>
            <w:bookmarkEnd w:id="925"/>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统一数据采集与交换支持包括多种接入方式，包含但不限于数据表、前置库、实时通信、文件、数据分发等，在进行新系统接入时，支持按照新系统的交换需求与特性，择优选取适当的最佳的接入方式。</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平台在数据传输过程中支持对数据进行加密，能够实现同步和异步的数据传输方式，支持即时传输、定时传输、手工启动传输等。</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支持多种数据格式、多种数据交换周期交换需求。</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支持提供数据交换正确性核实功能，便于平台管理人员监控数据的及时性和正确性。</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多种工作方式来适应不同的应用场景，包含但不限于基于文档的批量数据采集、基于中间库的批量数据采集、基于服务的业务协同、应用与平台的交互等，其中不同的工作方式可通过具体的技术应用实现，例如 ETL、以 ESB 为核心的服务（如 Web service）、API 接口、数据缓冲区（中间库、文件等）、FTP、HTTP 等等。</w:t>
            </w:r>
          </w:p>
          <w:p>
            <w:pPr>
              <w:pStyle w:val="201"/>
              <w:widowControl/>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1 采集交换技术方案</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支持扩展和提供多种数据采集方式、强化数据的采集、不断支撑区域医疗业务开展过程中的数据共享应用。</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采集交换技术需包含：ETL采集方式、服务总线、消息采集方式、文件采集方式。</w:t>
            </w:r>
          </w:p>
          <w:p>
            <w:pPr>
              <w:pStyle w:val="201"/>
              <w:widowControl/>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2 数据采集交换内容</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数据的采集交换使用调阅流程支持：一是需要将机构前置机采集到的相关数据上传到公共卫生管理服务平台，二是平台将上传数据进行合理性校验后存储，并根据数据特点进行适当转换、管理和分发；三是各医疗卫生机构内部系统对存储在数据资源服务中心的数据进行调阅及下载利用。</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主要采集交换的内容支持包括：疾病控制数据、疾病管理数据、健康危害因素数据、死亡数据、各类报卡数据。</w:t>
            </w:r>
          </w:p>
          <w:p>
            <w:pPr>
              <w:pStyle w:val="201"/>
              <w:widowControl/>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3 数据采集过程管理</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数据采集过程支持包括前置采集、数据转换、数据分发、数据集成。</w:t>
            </w:r>
          </w:p>
          <w:p>
            <w:pPr>
              <w:pStyle w:val="201"/>
              <w:widowControl/>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4 数据上报管理</w:t>
            </w:r>
          </w:p>
          <w:p>
            <w:pPr>
              <w:pStyle w:val="201"/>
              <w:widowControl/>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数据上报管理支持提供服务注册、上报监控、上报日志功能。</w:t>
            </w:r>
          </w:p>
          <w:p>
            <w:pPr>
              <w:pStyle w:val="201"/>
              <w:widowControl/>
              <w:spacing w:before="6" w:line="360" w:lineRule="auto"/>
              <w:ind w:right="105" w:rightChars="50" w:firstLine="482"/>
              <w:rPr>
                <w:rFonts w:ascii="宋体" w:hAnsi="宋体" w:eastAsia="宋体"/>
                <w:b/>
                <w:bCs/>
                <w:color w:val="auto"/>
                <w:sz w:val="24"/>
                <w:highlight w:val="none"/>
                <w:lang w:eastAsia="zh-CN"/>
              </w:rPr>
            </w:pPr>
            <w:r>
              <w:rPr>
                <w:rFonts w:ascii="宋体" w:hAnsi="宋体" w:eastAsia="宋体"/>
                <w:b/>
                <w:bCs/>
                <w:color w:val="auto"/>
                <w:sz w:val="24"/>
                <w:highlight w:val="none"/>
                <w:lang w:eastAsia="zh-CN"/>
              </w:rPr>
              <w:t></w:t>
            </w:r>
            <w:r>
              <w:rPr>
                <w:rFonts w:ascii="宋体" w:hAnsi="宋体" w:eastAsia="宋体"/>
                <w:b/>
                <w:bCs/>
                <w:color w:val="auto"/>
                <w:sz w:val="24"/>
                <w:highlight w:val="none"/>
                <w:lang w:eastAsia="zh-CN"/>
              </w:rPr>
              <w:tab/>
            </w:r>
            <w:r>
              <w:rPr>
                <w:rFonts w:hint="eastAsia" w:ascii="宋体" w:hAnsi="宋体" w:eastAsia="宋体"/>
                <w:b/>
                <w:bCs/>
                <w:color w:val="auto"/>
                <w:sz w:val="24"/>
                <w:highlight w:val="none"/>
                <w:lang w:eastAsia="zh-CN"/>
              </w:rPr>
              <w:t>服务注册</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服务注册支持实现服务接口的注册，包括传染病、慢病等给国家、省、市上报接口注册。</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功能支持包括服务注册新增、修改、删除、查询、查看、启用、禁用。</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服务注册内容支持包括服务代码、服务名称、服务类别、服务类型、服务地址、服务状态、通讯状态等信息。</w:t>
            </w:r>
          </w:p>
          <w:p>
            <w:pPr>
              <w:pStyle w:val="201"/>
              <w:widowControl/>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上报监控</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上报监控支持对上报的数据进行健康，支持包括查询、查看上报数据状态、数据详细信息。</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主要信息支持包括服务代码、服务名称、业务时间、上报时间、重试次数、上报状态等。</w:t>
            </w:r>
          </w:p>
          <w:p>
            <w:pPr>
              <w:pStyle w:val="201"/>
              <w:widowControl/>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上报日志</w:t>
            </w:r>
          </w:p>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hint="eastAsia" w:ascii="宋体" w:hAnsi="宋体" w:eastAsia="宋体"/>
                <w:color w:val="auto"/>
                <w:spacing w:val="-1"/>
                <w:sz w:val="24"/>
                <w:highlight w:val="none"/>
                <w:lang w:eastAsia="zh-CN"/>
              </w:rPr>
              <w:t>上报日志支持查询、查看上报日志信息，支持包括服务代码、服务名称、上报时间、上报消息、响应时间、响应消息、状态等信息。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lang w:eastAsia="zh-CN"/>
              </w:rPr>
            </w:pPr>
            <w:bookmarkStart w:id="926" w:name="_Toc126933953"/>
            <w:r>
              <w:rPr>
                <w:rFonts w:ascii="宋体" w:hAnsi="宋体" w:eastAsia="宋体"/>
                <w:color w:val="auto"/>
                <w:sz w:val="24"/>
                <w:highlight w:val="none"/>
              </w:rPr>
              <w:t>数据标准服务</w:t>
            </w:r>
            <w:bookmarkEnd w:id="926"/>
          </w:p>
        </w:tc>
        <w:tc>
          <w:tcPr>
            <w:tcW w:w="6622" w:type="dxa"/>
            <w:vAlign w:val="center"/>
          </w:tcPr>
          <w:p>
            <w:pPr>
              <w:pStyle w:val="201"/>
              <w:widowControl/>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数据标准管理支持提供数据集、主数据、卫生标准、规则管理等数据资源注册、资源查询、资源获取等增加、修改和更新。</w:t>
            </w:r>
          </w:p>
          <w:p>
            <w:pPr>
              <w:pStyle w:val="201"/>
              <w:widowControl/>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1 标准服务</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标准服务支持对平台的数据标准提供标准化管理服务，支持包含：数据集、卫生标准管理、主数据管理、规则管理、HL7管理等功能。</w:t>
            </w:r>
          </w:p>
          <w:p>
            <w:pPr>
              <w:pStyle w:val="201"/>
              <w:widowControl/>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2 主数据管理</w:t>
            </w:r>
          </w:p>
          <w:p>
            <w:pPr>
              <w:pStyle w:val="201"/>
              <w:numPr>
                <w:ilvl w:val="0"/>
                <w:numId w:val="9"/>
              </w:numPr>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主</w:t>
            </w:r>
            <w:r>
              <w:rPr>
                <w:rFonts w:hint="eastAsia" w:ascii="宋体" w:hAnsi="宋体" w:eastAsia="宋体"/>
                <w:color w:val="auto"/>
                <w:spacing w:val="-1"/>
                <w:sz w:val="24"/>
                <w:highlight w:val="none"/>
                <w:lang w:eastAsia="zh-CN"/>
              </w:rPr>
              <w:t>数据管理系统支持设计一套维护不同数据对象一致性和完整性的数据治理工具。包含：元数据管理、主数据维护、数据字典维护、数据同步服务。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lang w:eastAsia="zh-CN"/>
              </w:rPr>
            </w:pPr>
            <w:bookmarkStart w:id="927" w:name="_Toc126933954"/>
            <w:r>
              <w:rPr>
                <w:rFonts w:hint="eastAsia" w:ascii="宋体" w:hAnsi="宋体" w:eastAsia="宋体"/>
                <w:color w:val="auto"/>
                <w:sz w:val="24"/>
                <w:highlight w:val="none"/>
              </w:rPr>
              <w:t>数据质量管理</w:t>
            </w:r>
            <w:bookmarkEnd w:id="927"/>
          </w:p>
        </w:tc>
        <w:tc>
          <w:tcPr>
            <w:tcW w:w="6622" w:type="dxa"/>
            <w:vAlign w:val="center"/>
          </w:tcPr>
          <w:p>
            <w:pPr>
              <w:pStyle w:val="201"/>
              <w:widowControl/>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1 数据治理</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数据治理控制支持包含：节点监控、数据交换、数据校验、指标校验四部分内容。</w:t>
            </w:r>
          </w:p>
          <w:p>
            <w:pPr>
              <w:pStyle w:val="201"/>
              <w:widowControl/>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2 数据采集动态监管系统和质量分析系统</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数据采集动态监管和质量分析系统支持从完整性、一致性、规范性和及时性维度对数据质量进行分析和评估。</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支持包含：数据质量评分功能、采集数据监控、采集数据质量评价。</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评分权重管理支持维护数据质量评分指标和权重；</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数据范围管理支持维护各个机构上传数据集的数量；</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日数据质量分析支持按日对机构上传数据进行质量分析；</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综合数据质量支持按照统计日期，对本周/上周/本月/上月/本季度/上季度，进行机构评分排名。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lang w:eastAsia="zh-CN"/>
              </w:rPr>
            </w:pPr>
            <w:bookmarkStart w:id="928" w:name="_Toc126933955"/>
            <w:bookmarkStart w:id="929" w:name="_Toc97538659"/>
            <w:r>
              <w:rPr>
                <w:rFonts w:hint="eastAsia" w:ascii="宋体" w:hAnsi="宋体" w:eastAsia="宋体"/>
                <w:color w:val="auto"/>
                <w:sz w:val="24"/>
                <w:highlight w:val="none"/>
              </w:rPr>
              <w:t>预警预测管理</w:t>
            </w:r>
            <w:bookmarkEnd w:id="928"/>
            <w:bookmarkEnd w:id="929"/>
          </w:p>
        </w:tc>
        <w:tc>
          <w:tcPr>
            <w:tcW w:w="6622" w:type="dxa"/>
            <w:vAlign w:val="center"/>
          </w:tcPr>
          <w:p>
            <w:pPr>
              <w:pStyle w:val="201"/>
              <w:widowControl/>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1 预警模型配置</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预警模型配置功能支持包括查询、查看、新增、修改、删除、启用、禁用预警模型。</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预警模型支持按病种维护分传染病和食源性疾病。</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预警方式支持平台消息、短信、平台消息+短信。</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监测的时间段支持：日、周、月、季度、年份。</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预警值类型支持：绝对值预警、环比预警、同比预警。</w:t>
            </w:r>
          </w:p>
          <w:p>
            <w:pPr>
              <w:pStyle w:val="201"/>
              <w:widowControl/>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2 预警定时任务</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预警定时任务支持包括日、周、月、季、年。支持执行、暂停、恢复、修改、删除功能。</w:t>
            </w:r>
          </w:p>
          <w:p>
            <w:pPr>
              <w:pStyle w:val="201"/>
              <w:widowControl/>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定时任务说明：</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（1）支持立即执行“日预警任务”，扫描系统日期前一天上报的传染病、食源性疾病，满足预警模型的发送预警消息。</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（2）支持立即执行“周预警任务”，扫描系统日期前一天所在的一周上报的传染病、食源性疾病，满足预警模型的发送预警消息。</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（3）支持立即执行“月预警任务”，扫描系统日期前一天所在的一个月上报的传染病、食源性疾病，满足预警模型的发送预警消息。</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（4）支持立即执行“季预警任务”，扫描系统日期前一天所在的一个季度上报的传染病、食源性疾病，满足预警模型的发送预警消息。</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（5）支持立即执行“年预警任务”，扫描系统日期前一天所在的年份上报的传染病、食源性疾病，满足预警模型的发送预警消息。</w:t>
            </w:r>
          </w:p>
          <w:p>
            <w:pPr>
              <w:pStyle w:val="201"/>
              <w:widowControl/>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3 预警消息查看</w:t>
            </w:r>
          </w:p>
          <w:p>
            <w:pPr>
              <w:pStyle w:val="201"/>
              <w:numPr>
                <w:ilvl w:val="0"/>
                <w:numId w:val="9"/>
              </w:numPr>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ab/>
            </w:r>
            <w:r>
              <w:rPr>
                <w:rFonts w:hint="eastAsia" w:ascii="宋体" w:hAnsi="宋体" w:eastAsia="宋体"/>
                <w:color w:val="auto"/>
                <w:spacing w:val="-1"/>
                <w:sz w:val="24"/>
                <w:highlight w:val="none"/>
                <w:lang w:eastAsia="zh-CN"/>
              </w:rPr>
              <w:t>预警信息查看功能支持包括查询、查看发送的预警消息，以及预警报卡查看。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
                <w:bCs/>
                <w:color w:val="auto"/>
                <w:sz w:val="24"/>
                <w:highlight w:val="none"/>
                <w:lang w:eastAsia="zh-CN"/>
              </w:rPr>
            </w:pPr>
            <w:bookmarkStart w:id="930" w:name="_Toc126933956"/>
            <w:bookmarkStart w:id="931" w:name="_Toc97538667"/>
            <w:r>
              <w:rPr>
                <w:rFonts w:hint="eastAsia" w:ascii="宋体" w:hAnsi="宋体" w:eastAsia="宋体"/>
                <w:color w:val="auto"/>
                <w:sz w:val="24"/>
                <w:highlight w:val="none"/>
              </w:rPr>
              <w:t>平台监控管理</w:t>
            </w:r>
            <w:bookmarkEnd w:id="930"/>
            <w:bookmarkEnd w:id="931"/>
          </w:p>
        </w:tc>
        <w:tc>
          <w:tcPr>
            <w:tcW w:w="6622" w:type="dxa"/>
            <w:vAlign w:val="center"/>
          </w:tcPr>
          <w:p>
            <w:pPr>
              <w:pStyle w:val="201"/>
              <w:widowControl/>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平台监控管理支持提供服务监控、操作日志监控、报卡监控、漏报筛查功能。</w:t>
            </w:r>
          </w:p>
          <w:p>
            <w:pPr>
              <w:pStyle w:val="201"/>
              <w:widowControl/>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1 服务监控</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服务监控模块支持包括服务注册、客户端注册、服务监控、客户端监控、日志监控功能。</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ascii="宋体" w:hAnsi="宋体" w:eastAsia="宋体"/>
                <w:color w:val="auto"/>
                <w:spacing w:val="-1"/>
                <w:sz w:val="24"/>
                <w:highlight w:val="none"/>
                <w:lang w:eastAsia="zh-CN"/>
              </w:rPr>
              <w:t></w:t>
            </w:r>
            <w:r>
              <w:rPr>
                <w:rFonts w:ascii="宋体" w:hAnsi="宋体" w:eastAsia="宋体"/>
                <w:color w:val="auto"/>
                <w:spacing w:val="-1"/>
                <w:sz w:val="24"/>
                <w:highlight w:val="none"/>
                <w:lang w:eastAsia="zh-CN"/>
              </w:rPr>
              <w:tab/>
            </w:r>
            <w:r>
              <w:rPr>
                <w:rFonts w:hint="eastAsia" w:ascii="宋体" w:hAnsi="宋体" w:eastAsia="宋体"/>
                <w:color w:val="auto"/>
                <w:spacing w:val="-1"/>
                <w:sz w:val="24"/>
                <w:highlight w:val="none"/>
                <w:lang w:eastAsia="zh-CN"/>
              </w:rPr>
              <w:t>服务注册支持查询、查看、新增、修改、删除、启用、停用服务，查看的信息支持包括服务代码、服务类型、服务名称、服务</w:t>
            </w:r>
            <w:r>
              <w:rPr>
                <w:rFonts w:ascii="宋体" w:hAnsi="宋体" w:eastAsia="宋体"/>
                <w:color w:val="auto"/>
                <w:spacing w:val="-1"/>
                <w:sz w:val="24"/>
                <w:highlight w:val="none"/>
                <w:lang w:eastAsia="zh-CN"/>
              </w:rPr>
              <w:t>URL</w:t>
            </w:r>
            <w:r>
              <w:rPr>
                <w:rFonts w:hint="eastAsia" w:ascii="宋体" w:hAnsi="宋体" w:eastAsia="宋体"/>
                <w:color w:val="auto"/>
                <w:spacing w:val="-1"/>
                <w:sz w:val="24"/>
                <w:highlight w:val="none"/>
                <w:lang w:eastAsia="zh-CN"/>
              </w:rPr>
              <w:t>、备注、状态。</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ascii="宋体" w:hAnsi="宋体" w:eastAsia="宋体"/>
                <w:color w:val="auto"/>
                <w:spacing w:val="-1"/>
                <w:sz w:val="24"/>
                <w:highlight w:val="none"/>
                <w:lang w:eastAsia="zh-CN"/>
              </w:rPr>
              <w:t></w:t>
            </w:r>
            <w:r>
              <w:rPr>
                <w:rFonts w:ascii="宋体" w:hAnsi="宋体" w:eastAsia="宋体"/>
                <w:color w:val="auto"/>
                <w:spacing w:val="-1"/>
                <w:sz w:val="24"/>
                <w:highlight w:val="none"/>
                <w:lang w:eastAsia="zh-CN"/>
              </w:rPr>
              <w:tab/>
            </w:r>
            <w:r>
              <w:rPr>
                <w:rFonts w:hint="eastAsia" w:ascii="宋体" w:hAnsi="宋体" w:eastAsia="宋体"/>
                <w:color w:val="auto"/>
                <w:spacing w:val="-1"/>
                <w:sz w:val="24"/>
                <w:highlight w:val="none"/>
                <w:lang w:eastAsia="zh-CN"/>
              </w:rPr>
              <w:t>客户端注册支持查询、查看、修改、删除客户端注册信息，查看的信息支持包括客户端</w:t>
            </w:r>
            <w:r>
              <w:rPr>
                <w:rFonts w:ascii="宋体" w:hAnsi="宋体" w:eastAsia="宋体"/>
                <w:color w:val="auto"/>
                <w:spacing w:val="-1"/>
                <w:sz w:val="24"/>
                <w:highlight w:val="none"/>
                <w:lang w:eastAsia="zh-CN"/>
              </w:rPr>
              <w:t>IP</w:t>
            </w:r>
            <w:r>
              <w:rPr>
                <w:rFonts w:hint="eastAsia" w:ascii="宋体" w:hAnsi="宋体" w:eastAsia="宋体"/>
                <w:color w:val="auto"/>
                <w:spacing w:val="-1"/>
                <w:sz w:val="24"/>
                <w:highlight w:val="none"/>
                <w:lang w:eastAsia="zh-CN"/>
              </w:rPr>
              <w:t>、所属机构、状态、关联服务等。</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ascii="宋体" w:hAnsi="宋体" w:eastAsia="宋体"/>
                <w:color w:val="auto"/>
                <w:spacing w:val="-1"/>
                <w:sz w:val="24"/>
                <w:highlight w:val="none"/>
                <w:lang w:eastAsia="zh-CN"/>
              </w:rPr>
              <w:t></w:t>
            </w:r>
            <w:r>
              <w:rPr>
                <w:rFonts w:ascii="宋体" w:hAnsi="宋体" w:eastAsia="宋体"/>
                <w:color w:val="auto"/>
                <w:spacing w:val="-1"/>
                <w:sz w:val="24"/>
                <w:highlight w:val="none"/>
                <w:lang w:eastAsia="zh-CN"/>
              </w:rPr>
              <w:tab/>
            </w:r>
            <w:r>
              <w:rPr>
                <w:rFonts w:hint="eastAsia" w:ascii="宋体" w:hAnsi="宋体" w:eastAsia="宋体"/>
                <w:color w:val="auto"/>
                <w:spacing w:val="-1"/>
                <w:sz w:val="24"/>
                <w:highlight w:val="none"/>
                <w:lang w:eastAsia="zh-CN"/>
              </w:rPr>
              <w:t>服务监控支持查询、查看服务状态。</w:t>
            </w:r>
          </w:p>
          <w:p>
            <w:pPr>
              <w:pStyle w:val="201"/>
              <w:numPr>
                <w:ilvl w:val="0"/>
                <w:numId w:val="9"/>
              </w:numPr>
              <w:spacing w:before="6" w:line="360" w:lineRule="auto"/>
              <w:ind w:right="105" w:rightChars="50" w:firstLine="482"/>
              <w:rPr>
                <w:rFonts w:ascii="宋体" w:hAnsi="宋体" w:eastAsia="宋体"/>
                <w:color w:val="auto"/>
                <w:spacing w:val="-1"/>
                <w:sz w:val="24"/>
                <w:highlight w:val="none"/>
                <w:lang w:eastAsia="zh-CN"/>
              </w:rPr>
            </w:pPr>
            <w:r>
              <w:rPr>
                <w:rFonts w:ascii="宋体" w:hAnsi="宋体" w:eastAsia="宋体"/>
                <w:b/>
                <w:bCs/>
                <w:color w:val="auto"/>
                <w:sz w:val="24"/>
                <w:highlight w:val="none"/>
                <w:lang w:eastAsia="zh-CN"/>
              </w:rPr>
              <w:t></w:t>
            </w:r>
            <w:r>
              <w:rPr>
                <w:rFonts w:ascii="宋体" w:hAnsi="宋体" w:eastAsia="宋体"/>
                <w:b/>
                <w:bCs/>
                <w:color w:val="auto"/>
                <w:sz w:val="24"/>
                <w:highlight w:val="none"/>
                <w:lang w:eastAsia="zh-CN"/>
              </w:rPr>
              <w:tab/>
            </w:r>
            <w:r>
              <w:rPr>
                <w:rFonts w:hint="eastAsia" w:ascii="宋体" w:hAnsi="宋体" w:eastAsia="宋体"/>
                <w:color w:val="auto"/>
                <w:spacing w:val="-1"/>
                <w:sz w:val="24"/>
                <w:highlight w:val="none"/>
                <w:lang w:eastAsia="zh-CN"/>
              </w:rPr>
              <w:t>客户端监控页面支持查询、查看调用服务的客户端状态，查看的信息支持包括机构编码、机构名称、客户端</w:t>
            </w:r>
            <w:r>
              <w:rPr>
                <w:rFonts w:ascii="宋体" w:hAnsi="宋体" w:eastAsia="宋体"/>
                <w:color w:val="auto"/>
                <w:spacing w:val="-1"/>
                <w:sz w:val="24"/>
                <w:highlight w:val="none"/>
                <w:lang w:eastAsia="zh-CN"/>
              </w:rPr>
              <w:t>IP</w:t>
            </w:r>
            <w:r>
              <w:rPr>
                <w:rFonts w:hint="eastAsia" w:ascii="宋体" w:hAnsi="宋体" w:eastAsia="宋体"/>
                <w:color w:val="auto"/>
                <w:spacing w:val="-1"/>
                <w:sz w:val="24"/>
                <w:highlight w:val="none"/>
                <w:lang w:eastAsia="zh-CN"/>
              </w:rPr>
              <w:t>、访问次数。</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ascii="宋体" w:hAnsi="宋体" w:eastAsia="宋体"/>
                <w:color w:val="auto"/>
                <w:spacing w:val="-1"/>
                <w:sz w:val="24"/>
                <w:highlight w:val="none"/>
                <w:lang w:eastAsia="zh-CN"/>
              </w:rPr>
              <w:t></w:t>
            </w:r>
            <w:r>
              <w:rPr>
                <w:rFonts w:ascii="宋体" w:hAnsi="宋体" w:eastAsia="宋体"/>
                <w:color w:val="auto"/>
                <w:spacing w:val="-1"/>
                <w:sz w:val="24"/>
                <w:highlight w:val="none"/>
                <w:lang w:eastAsia="zh-CN"/>
              </w:rPr>
              <w:tab/>
            </w:r>
            <w:r>
              <w:rPr>
                <w:rFonts w:hint="eastAsia" w:ascii="宋体" w:hAnsi="宋体" w:eastAsia="宋体"/>
                <w:color w:val="auto"/>
                <w:spacing w:val="-1"/>
                <w:sz w:val="24"/>
                <w:highlight w:val="none"/>
                <w:lang w:eastAsia="zh-CN"/>
              </w:rPr>
              <w:t>日志监控支持查询、查看服务调用日志，查看的信息支持包括接口名称、请求时间、请求内容、响应时间、响应内容、响应状态。</w:t>
            </w:r>
          </w:p>
          <w:p>
            <w:pPr>
              <w:pStyle w:val="201"/>
              <w:widowControl/>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2 操作日志监控</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操作日志监控支持查询、查看各业务模块操作日志，查看的内容支持包括序号、操作者、机构、IP、请求地址、模块名称、功能名称、具体操作、操作时间、备注。</w:t>
            </w:r>
          </w:p>
          <w:p>
            <w:pPr>
              <w:pStyle w:val="201"/>
              <w:widowControl/>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3 报卡监控</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报卡监控支持显示慢病、传染病、食源性疾病医生站报卡监控记录，提醒上报未上报，在该模块可以进行补卡，支持查询、查看、删除报卡监控记录。</w:t>
            </w:r>
          </w:p>
          <w:p>
            <w:pPr>
              <w:pStyle w:val="201"/>
              <w:widowControl/>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4 漏报筛查监控</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诊断漏报筛查支持包括诊断漏报记录查询、诊断漏报记录查看、漏报报卡补报、已经补报报卡查看等功能。</w:t>
            </w:r>
          </w:p>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hint="eastAsia" w:ascii="宋体" w:hAnsi="宋体" w:eastAsia="宋体"/>
                <w:color w:val="auto"/>
                <w:spacing w:val="-1"/>
                <w:sz w:val="24"/>
                <w:highlight w:val="none"/>
                <w:lang w:eastAsia="zh-CN"/>
              </w:rPr>
              <w:t>支持根据疾病类型、诊断日期、患者姓名、身份证号查询漏报记录。</w:t>
            </w:r>
          </w:p>
        </w:tc>
      </w:tr>
    </w:tbl>
    <w:p>
      <w:pPr>
        <w:pStyle w:val="8"/>
        <w:ind w:firstLine="480"/>
        <w:rPr>
          <w:rFonts w:ascii="宋体" w:hAnsi="宋体"/>
          <w:color w:val="auto"/>
          <w:szCs w:val="24"/>
          <w:highlight w:val="none"/>
        </w:rPr>
      </w:pPr>
    </w:p>
    <w:p>
      <w:pPr>
        <w:pStyle w:val="6"/>
        <w:numPr>
          <w:ilvl w:val="3"/>
          <w:numId w:val="8"/>
        </w:numPr>
        <w:spacing w:before="280" w:after="290" w:line="376" w:lineRule="auto"/>
        <w:rPr>
          <w:rFonts w:ascii="宋体" w:hAnsi="宋体"/>
          <w:color w:val="auto"/>
          <w:sz w:val="24"/>
          <w:szCs w:val="24"/>
          <w:highlight w:val="none"/>
        </w:rPr>
      </w:pPr>
      <w:bookmarkStart w:id="932" w:name="_Toc2606"/>
      <w:bookmarkStart w:id="933" w:name="_Toc126933957"/>
      <w:r>
        <w:rPr>
          <w:rFonts w:hint="eastAsia" w:ascii="宋体" w:hAnsi="宋体"/>
          <w:color w:val="auto"/>
          <w:sz w:val="24"/>
          <w:szCs w:val="24"/>
          <w:highlight w:val="none"/>
        </w:rPr>
        <w:t>公共卫生基础平台</w:t>
      </w:r>
      <w:bookmarkEnd w:id="932"/>
      <w:bookmarkEnd w:id="933"/>
    </w:p>
    <w:p>
      <w:pPr>
        <w:pStyle w:val="8"/>
        <w:ind w:firstLine="476"/>
        <w:rPr>
          <w:rFonts w:ascii="宋体" w:hAnsi="宋体" w:cs="仿宋"/>
          <w:color w:val="auto"/>
          <w:spacing w:val="-1"/>
          <w:szCs w:val="24"/>
          <w:highlight w:val="none"/>
        </w:rPr>
      </w:pPr>
      <w:r>
        <w:rPr>
          <w:rFonts w:hint="eastAsia" w:ascii="宋体" w:hAnsi="宋体" w:cs="仿宋"/>
          <w:color w:val="auto"/>
          <w:spacing w:val="-1"/>
          <w:szCs w:val="24"/>
          <w:highlight w:val="none"/>
        </w:rPr>
        <w:t>公共卫生基础平台支持提供卫生资源管理、居民信息合并管理、术语字典管理、权限管理、模版管理、消息管理、短信管理、任务调度管理、公告管理、参数设置、档案设置、慢病设置、传染病设置、项目初始化设置功能，由系统管理员维护。</w:t>
      </w:r>
    </w:p>
    <w:p>
      <w:pPr>
        <w:pStyle w:val="8"/>
        <w:ind w:firstLine="476"/>
        <w:rPr>
          <w:rFonts w:ascii="宋体" w:hAnsi="宋体"/>
          <w:color w:val="auto"/>
          <w:szCs w:val="24"/>
          <w:highlight w:val="none"/>
        </w:rPr>
      </w:pPr>
      <w:r>
        <w:rPr>
          <w:rFonts w:hint="eastAsia" w:ascii="宋体" w:hAnsi="宋体" w:cs="仿宋"/>
          <w:color w:val="auto"/>
          <w:spacing w:val="-1"/>
          <w:szCs w:val="24"/>
          <w:highlight w:val="none"/>
        </w:rPr>
        <w:t>需满足以下功能：</w:t>
      </w:r>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left="105" w:leftChars="50" w:right="105" w:rightChars="50" w:firstLine="508"/>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5" w:leftChars="50" w:right="105" w:rightChars="50" w:firstLine="508"/>
              <w:jc w:val="center"/>
              <w:rPr>
                <w:rFonts w:ascii="宋体" w:hAnsi="宋体" w:eastAsia="宋体"/>
                <w:b/>
                <w:color w:val="auto"/>
                <w:w w:val="105"/>
                <w:sz w:val="24"/>
                <w:highlight w:val="none"/>
              </w:rPr>
            </w:pPr>
            <w:r>
              <w:rPr>
                <w:rFonts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59"/>
              <w:rPr>
                <w:rFonts w:ascii="宋体" w:hAnsi="宋体" w:eastAsia="宋体"/>
                <w:b/>
                <w:bCs/>
                <w:color w:val="auto"/>
                <w:sz w:val="24"/>
                <w:highlight w:val="none"/>
              </w:rPr>
            </w:pPr>
            <w:bookmarkStart w:id="934" w:name="_Toc97538673"/>
            <w:bookmarkStart w:id="935" w:name="_Toc126933958"/>
            <w:r>
              <w:rPr>
                <w:rFonts w:hint="eastAsia" w:ascii="宋体" w:hAnsi="宋体" w:eastAsia="宋体"/>
                <w:color w:val="auto"/>
                <w:w w:val="95"/>
                <w:sz w:val="24"/>
                <w:highlight w:val="none"/>
              </w:rPr>
              <w:t>卫生资源管理</w:t>
            </w:r>
            <w:bookmarkEnd w:id="934"/>
            <w:bookmarkEnd w:id="935"/>
          </w:p>
        </w:tc>
        <w:tc>
          <w:tcPr>
            <w:tcW w:w="6622" w:type="dxa"/>
            <w:vAlign w:val="center"/>
          </w:tcPr>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hint="eastAsia" w:ascii="宋体" w:hAnsi="宋体" w:eastAsia="宋体"/>
                <w:color w:val="auto"/>
                <w:spacing w:val="-1"/>
                <w:sz w:val="24"/>
                <w:highlight w:val="none"/>
                <w:lang w:eastAsia="zh-CN"/>
              </w:rPr>
              <w:t>卫生资源管理支持提供医疗机构管理、医务人员管理、机构科室管理、行政区划管理、机构区划管理功能，能够支持提供新增、修改、查询、删除等功能。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59"/>
              <w:rPr>
                <w:rFonts w:ascii="宋体" w:hAnsi="宋体" w:eastAsia="宋体"/>
                <w:b/>
                <w:bCs/>
                <w:color w:val="auto"/>
                <w:sz w:val="24"/>
                <w:highlight w:val="none"/>
                <w:lang w:eastAsia="zh-CN"/>
              </w:rPr>
            </w:pPr>
            <w:bookmarkStart w:id="936" w:name="_Toc97538674"/>
            <w:bookmarkStart w:id="937" w:name="_Toc126933959"/>
            <w:r>
              <w:rPr>
                <w:rFonts w:hint="eastAsia" w:ascii="宋体" w:hAnsi="宋体" w:eastAsia="宋体"/>
                <w:color w:val="auto"/>
                <w:w w:val="95"/>
                <w:sz w:val="24"/>
                <w:highlight w:val="none"/>
              </w:rPr>
              <w:t>居民信息管理</w:t>
            </w:r>
            <w:bookmarkEnd w:id="936"/>
            <w:bookmarkEnd w:id="937"/>
          </w:p>
        </w:tc>
        <w:tc>
          <w:tcPr>
            <w:tcW w:w="6622" w:type="dxa"/>
            <w:vAlign w:val="center"/>
          </w:tcPr>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hint="eastAsia" w:ascii="宋体" w:hAnsi="宋体" w:eastAsia="宋体"/>
                <w:color w:val="auto"/>
                <w:spacing w:val="-1"/>
                <w:sz w:val="24"/>
                <w:highlight w:val="none"/>
                <w:lang w:eastAsia="zh-CN"/>
              </w:rPr>
              <w:t>居民信息管理支持通过个人主索引实现居民信息的唯一识别管理，支持包括查询、查看居民主记录、原记录，合并、拆分居民原记录功能。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59"/>
              <w:rPr>
                <w:rFonts w:ascii="宋体" w:hAnsi="宋体" w:eastAsia="宋体"/>
                <w:b/>
                <w:bCs/>
                <w:color w:val="auto"/>
                <w:sz w:val="24"/>
                <w:highlight w:val="none"/>
                <w:lang w:eastAsia="zh-CN"/>
              </w:rPr>
            </w:pPr>
            <w:bookmarkStart w:id="938" w:name="_Toc126933960"/>
            <w:bookmarkStart w:id="939" w:name="_Toc97538675"/>
            <w:r>
              <w:rPr>
                <w:rFonts w:hint="eastAsia" w:ascii="宋体" w:hAnsi="宋体" w:eastAsia="宋体"/>
                <w:color w:val="auto"/>
                <w:w w:val="95"/>
                <w:sz w:val="24"/>
                <w:highlight w:val="none"/>
              </w:rPr>
              <w:t>术语字典管理</w:t>
            </w:r>
            <w:bookmarkEnd w:id="938"/>
            <w:bookmarkEnd w:id="939"/>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术语字典管理支持提供字典管理、字典下载、药品管理、疾病管理功能。</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术语字典管理支持包括字典编码、字典名称、字典分类、字典状态，同时需支持字典下载，同时需支持新增、修改、删除、变化跟踪功能。</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药品管理支持包括药物级别、申报编码、通用名、药物类别、商品名、剂型、规格、生产企业、状态信息，同时需支持新增、修改、删除、变化跟踪功能。</w:t>
            </w:r>
          </w:p>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hint="eastAsia" w:ascii="宋体" w:hAnsi="宋体" w:eastAsia="宋体"/>
                <w:color w:val="auto"/>
                <w:spacing w:val="-1"/>
                <w:sz w:val="24"/>
                <w:highlight w:val="none"/>
                <w:lang w:eastAsia="zh-CN"/>
              </w:rPr>
              <w:t>疾病管理支持包括疾病主要编码、疾病附加编码、疾病名称、状态等信息，同时需支持新增、修改、删除、变化跟踪功能。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59"/>
              <w:rPr>
                <w:rFonts w:ascii="宋体" w:hAnsi="宋体" w:eastAsia="宋体"/>
                <w:b/>
                <w:bCs/>
                <w:color w:val="auto"/>
                <w:sz w:val="24"/>
                <w:highlight w:val="none"/>
                <w:lang w:eastAsia="zh-CN"/>
              </w:rPr>
            </w:pPr>
            <w:bookmarkStart w:id="940" w:name="_Toc97538676"/>
            <w:bookmarkStart w:id="941" w:name="_Toc126933961"/>
            <w:r>
              <w:rPr>
                <w:rFonts w:hint="eastAsia" w:ascii="宋体" w:hAnsi="宋体" w:eastAsia="宋体"/>
                <w:color w:val="auto"/>
                <w:w w:val="95"/>
                <w:sz w:val="24"/>
                <w:highlight w:val="none"/>
              </w:rPr>
              <w:t>用户权限管理</w:t>
            </w:r>
            <w:bookmarkEnd w:id="940"/>
            <w:bookmarkEnd w:id="941"/>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支持提供用户管理、角色权限管理功能。</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用户管理支持提供用户基本信息管理，支持包括用户名、姓名、性别、机构、固定电话、启用状态等信息，支持增、删、改、查、密码重置操作。</w:t>
            </w:r>
          </w:p>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hint="eastAsia" w:ascii="宋体" w:hAnsi="宋体" w:eastAsia="宋体"/>
                <w:color w:val="auto"/>
                <w:spacing w:val="-1"/>
                <w:sz w:val="24"/>
                <w:highlight w:val="none"/>
                <w:lang w:eastAsia="zh-CN"/>
              </w:rPr>
              <w:t>角色权限管理支持提供角色和权限的配置管理，支持包括角色设置、角色描述、权限菜单配置操作。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59"/>
              <w:rPr>
                <w:rFonts w:ascii="宋体" w:hAnsi="宋体" w:eastAsia="宋体"/>
                <w:b/>
                <w:bCs/>
                <w:color w:val="auto"/>
                <w:sz w:val="24"/>
                <w:highlight w:val="none"/>
                <w:lang w:eastAsia="zh-CN"/>
              </w:rPr>
            </w:pPr>
            <w:bookmarkStart w:id="942" w:name="_Toc97538677"/>
            <w:bookmarkStart w:id="943" w:name="_Toc126933962"/>
            <w:r>
              <w:rPr>
                <w:rFonts w:hint="eastAsia" w:ascii="宋体" w:hAnsi="宋体" w:eastAsia="宋体"/>
                <w:color w:val="auto"/>
                <w:w w:val="95"/>
                <w:sz w:val="24"/>
                <w:highlight w:val="none"/>
              </w:rPr>
              <w:t>模版管理</w:t>
            </w:r>
            <w:bookmarkEnd w:id="942"/>
            <w:bookmarkEnd w:id="943"/>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rPr>
            </w:pPr>
            <w:r>
              <w:rPr>
                <w:rFonts w:hint="eastAsia" w:ascii="宋体" w:hAnsi="宋体" w:eastAsia="宋体"/>
                <w:color w:val="auto"/>
                <w:spacing w:val="-1"/>
                <w:sz w:val="24"/>
                <w:highlight w:val="none"/>
              </w:rPr>
              <w:t>模板管理支持提供消息模版和短信模版管理功能。</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消息模版管理支持模板业务分类、模板分类、消息标题、消息内容、发送方、接收方、更新人、更新时间等信息管理功能。</w:t>
            </w:r>
          </w:p>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hint="eastAsia" w:ascii="宋体" w:hAnsi="宋体" w:eastAsia="宋体"/>
                <w:color w:val="auto"/>
                <w:spacing w:val="-1"/>
                <w:sz w:val="24"/>
                <w:highlight w:val="none"/>
                <w:lang w:eastAsia="zh-CN"/>
              </w:rPr>
              <w:t>短信模板管理支持模板业务分类、模板名称、内容、业务类型、更新人、更新时间等信息管理功能。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59"/>
              <w:rPr>
                <w:rFonts w:ascii="宋体" w:hAnsi="宋体" w:eastAsia="宋体"/>
                <w:b/>
                <w:bCs/>
                <w:color w:val="auto"/>
                <w:sz w:val="24"/>
                <w:highlight w:val="none"/>
                <w:lang w:eastAsia="zh-CN"/>
              </w:rPr>
            </w:pPr>
            <w:bookmarkStart w:id="944" w:name="_Toc97538678"/>
            <w:bookmarkStart w:id="945" w:name="_Toc126933963"/>
            <w:r>
              <w:rPr>
                <w:rFonts w:hint="eastAsia" w:ascii="宋体" w:hAnsi="宋体" w:eastAsia="宋体"/>
                <w:color w:val="auto"/>
                <w:w w:val="95"/>
                <w:sz w:val="24"/>
                <w:highlight w:val="none"/>
              </w:rPr>
              <w:t>消息管理</w:t>
            </w:r>
            <w:bookmarkEnd w:id="944"/>
            <w:bookmarkEnd w:id="945"/>
          </w:p>
        </w:tc>
        <w:tc>
          <w:tcPr>
            <w:tcW w:w="6622" w:type="dxa"/>
            <w:vAlign w:val="center"/>
          </w:tcPr>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hint="eastAsia" w:ascii="宋体" w:hAnsi="宋体" w:eastAsia="宋体"/>
                <w:color w:val="auto"/>
                <w:spacing w:val="-1"/>
                <w:sz w:val="24"/>
                <w:highlight w:val="none"/>
                <w:lang w:eastAsia="zh-CN"/>
              </w:rPr>
              <w:t>系统消息管理支持对消息进行监管，支持提供系统消息查询、查看、标记已读功能。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59"/>
              <w:rPr>
                <w:rFonts w:ascii="宋体" w:hAnsi="宋体" w:eastAsia="宋体"/>
                <w:b/>
                <w:bCs/>
                <w:color w:val="auto"/>
                <w:sz w:val="24"/>
                <w:highlight w:val="none"/>
                <w:lang w:eastAsia="zh-CN"/>
              </w:rPr>
            </w:pPr>
            <w:bookmarkStart w:id="946" w:name="_Toc126933964"/>
            <w:bookmarkStart w:id="947" w:name="_Toc97538679"/>
            <w:r>
              <w:rPr>
                <w:rFonts w:hint="eastAsia" w:ascii="宋体" w:hAnsi="宋体" w:eastAsia="宋体"/>
                <w:color w:val="auto"/>
                <w:w w:val="95"/>
                <w:sz w:val="24"/>
                <w:highlight w:val="none"/>
              </w:rPr>
              <w:t>短信管理</w:t>
            </w:r>
            <w:bookmarkEnd w:id="946"/>
            <w:bookmarkEnd w:id="947"/>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rPr>
            </w:pPr>
            <w:r>
              <w:rPr>
                <w:rFonts w:hint="eastAsia" w:ascii="宋体" w:hAnsi="宋体" w:eastAsia="宋体"/>
                <w:color w:val="auto"/>
                <w:spacing w:val="-1"/>
                <w:sz w:val="24"/>
                <w:highlight w:val="none"/>
              </w:rPr>
              <w:t>短信管理支持提供短信配置、短信日志功能。</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短信配置支持针对短信服务进行配置描述，包括配置描述、发送值、更新时间等服务。</w:t>
            </w:r>
          </w:p>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hint="eastAsia" w:ascii="宋体" w:hAnsi="宋体" w:eastAsia="宋体"/>
                <w:color w:val="auto"/>
                <w:spacing w:val="-1"/>
                <w:sz w:val="24"/>
                <w:highlight w:val="none"/>
                <w:lang w:eastAsia="zh-CN"/>
              </w:rPr>
              <w:t xml:space="preserve">短信日志支持针对短信内容进行日志监控，包括短信的业务类型、接收人姓名、手机号码， </w:t>
            </w:r>
            <w:r>
              <w:rPr>
                <w:rFonts w:ascii="宋体" w:hAnsi="宋体" w:eastAsia="宋体"/>
                <w:color w:val="auto"/>
                <w:spacing w:val="-1"/>
                <w:sz w:val="24"/>
                <w:highlight w:val="none"/>
                <w:lang w:eastAsia="zh-CN"/>
              </w:rPr>
              <w:t>短信内容、发送时间、发送结果、操作等信息的查看</w:t>
            </w:r>
            <w:r>
              <w:rPr>
                <w:rFonts w:hint="eastAsia" w:ascii="宋体" w:hAnsi="宋体" w:eastAsia="宋体"/>
                <w:color w:val="auto"/>
                <w:spacing w:val="-1"/>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59"/>
              <w:rPr>
                <w:rFonts w:ascii="宋体" w:hAnsi="宋体" w:eastAsia="宋体"/>
                <w:b/>
                <w:bCs/>
                <w:color w:val="auto"/>
                <w:sz w:val="24"/>
                <w:highlight w:val="none"/>
                <w:lang w:eastAsia="zh-CN"/>
              </w:rPr>
            </w:pPr>
            <w:bookmarkStart w:id="948" w:name="_Toc126933965"/>
            <w:bookmarkStart w:id="949" w:name="_Toc97538680"/>
            <w:r>
              <w:rPr>
                <w:rFonts w:hint="eastAsia" w:ascii="宋体" w:hAnsi="宋体" w:eastAsia="宋体"/>
                <w:color w:val="auto"/>
                <w:w w:val="95"/>
                <w:sz w:val="24"/>
                <w:highlight w:val="none"/>
              </w:rPr>
              <w:t>任务调度管理</w:t>
            </w:r>
            <w:bookmarkEnd w:id="948"/>
            <w:bookmarkEnd w:id="949"/>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任务调度管理支持提供任务调度管理功能，支持提供定时任务配置管理、执行记录查看功能。</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定时任务配置功能支持提供任务描述、任务实例、执行状态、任务执行操作等功能。</w:t>
            </w:r>
          </w:p>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hint="eastAsia" w:ascii="宋体" w:hAnsi="宋体" w:eastAsia="宋体"/>
                <w:color w:val="auto"/>
                <w:spacing w:val="-1"/>
                <w:sz w:val="24"/>
                <w:highlight w:val="none"/>
                <w:lang w:eastAsia="zh-CN"/>
              </w:rPr>
              <w:t>执行记录功能支持提供对定时任务配置的记录进行管理，包括任务描述、任务实例、任务参数、开始时间、执行耗时、异常消息、异常详细信息。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59"/>
              <w:rPr>
                <w:rFonts w:ascii="宋体" w:hAnsi="宋体" w:eastAsia="宋体"/>
                <w:b/>
                <w:bCs/>
                <w:color w:val="auto"/>
                <w:sz w:val="24"/>
                <w:highlight w:val="none"/>
                <w:lang w:eastAsia="zh-CN"/>
              </w:rPr>
            </w:pPr>
            <w:bookmarkStart w:id="950" w:name="_Toc97538681"/>
            <w:bookmarkStart w:id="951" w:name="_Toc126933966"/>
            <w:r>
              <w:rPr>
                <w:rFonts w:hint="eastAsia" w:ascii="宋体" w:hAnsi="宋体" w:eastAsia="宋体"/>
                <w:color w:val="auto"/>
                <w:w w:val="95"/>
                <w:sz w:val="24"/>
                <w:highlight w:val="none"/>
              </w:rPr>
              <w:t>公告管理</w:t>
            </w:r>
            <w:bookmarkEnd w:id="950"/>
            <w:bookmarkEnd w:id="951"/>
          </w:p>
        </w:tc>
        <w:tc>
          <w:tcPr>
            <w:tcW w:w="6622" w:type="dxa"/>
            <w:vAlign w:val="center"/>
          </w:tcPr>
          <w:p>
            <w:pPr>
              <w:pStyle w:val="201"/>
              <w:numPr>
                <w:ilvl w:val="0"/>
                <w:numId w:val="9"/>
              </w:numPr>
              <w:spacing w:before="6" w:line="360" w:lineRule="auto"/>
              <w:ind w:right="105" w:rightChars="50" w:firstLine="478"/>
              <w:rPr>
                <w:rFonts w:ascii="宋体" w:hAnsi="宋体" w:eastAsia="宋体"/>
                <w:b/>
                <w:bCs/>
                <w:color w:val="auto"/>
                <w:sz w:val="24"/>
                <w:highlight w:val="none"/>
                <w:lang w:eastAsia="zh-CN"/>
              </w:rPr>
            </w:pPr>
            <w:r>
              <w:rPr>
                <w:rFonts w:hint="eastAsia" w:ascii="宋体" w:hAnsi="宋体" w:eastAsia="宋体"/>
                <w:color w:val="auto"/>
                <w:spacing w:val="-1"/>
                <w:sz w:val="24"/>
                <w:highlight w:val="none"/>
                <w:lang w:eastAsia="zh-CN"/>
              </w:rPr>
              <w:t>公告管理支持提供通知公告查询、查看、新增、修改、删除功能，主要信息支持包括公告标题、发布日期、显示状态、操作等信息。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59"/>
              <w:rPr>
                <w:rFonts w:ascii="宋体" w:hAnsi="宋体" w:eastAsia="宋体"/>
                <w:b/>
                <w:bCs/>
                <w:color w:val="auto"/>
                <w:sz w:val="24"/>
                <w:highlight w:val="none"/>
                <w:lang w:eastAsia="zh-CN"/>
              </w:rPr>
            </w:pPr>
            <w:bookmarkStart w:id="952" w:name="_Toc126933967"/>
            <w:bookmarkStart w:id="953" w:name="_Toc97538682"/>
            <w:r>
              <w:rPr>
                <w:rFonts w:hint="eastAsia" w:ascii="宋体" w:hAnsi="宋体" w:eastAsia="宋体"/>
                <w:color w:val="auto"/>
                <w:w w:val="95"/>
                <w:sz w:val="24"/>
                <w:highlight w:val="none"/>
              </w:rPr>
              <w:t>参数设置</w:t>
            </w:r>
            <w:bookmarkEnd w:id="952"/>
            <w:bookmarkEnd w:id="953"/>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参数设置支持提供传染病保密等级设置、档案疾病控制角色设置功能。</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传染病保密等级设置支持对传染病保密等级进行管理，包括设置可见（隐藏敏感信息），不可见。</w:t>
            </w:r>
          </w:p>
          <w:p>
            <w:pPr>
              <w:pStyle w:val="201"/>
              <w:numPr>
                <w:ilvl w:val="0"/>
                <w:numId w:val="9"/>
              </w:numPr>
              <w:spacing w:before="6" w:line="360" w:lineRule="auto"/>
              <w:ind w:right="105" w:rightChars="50" w:firstLine="478"/>
              <w:rPr>
                <w:rFonts w:ascii="宋体" w:hAnsi="宋体" w:eastAsia="宋体"/>
                <w:color w:val="auto"/>
                <w:sz w:val="24"/>
                <w:highlight w:val="none"/>
                <w:lang w:eastAsia="zh-CN"/>
              </w:rPr>
            </w:pPr>
            <w:r>
              <w:rPr>
                <w:rFonts w:hint="eastAsia" w:ascii="宋体" w:hAnsi="宋体" w:eastAsia="宋体"/>
                <w:color w:val="auto"/>
                <w:spacing w:val="-1"/>
                <w:sz w:val="24"/>
                <w:highlight w:val="none"/>
                <w:lang w:eastAsia="zh-CN"/>
              </w:rPr>
              <w:t>档</w:t>
            </w:r>
            <w:r>
              <w:rPr>
                <w:rFonts w:hint="eastAsia" w:ascii="宋体" w:hAnsi="宋体" w:eastAsia="宋体"/>
                <w:color w:val="auto"/>
                <w:sz w:val="24"/>
                <w:highlight w:val="none"/>
                <w:lang w:eastAsia="zh-CN"/>
              </w:rPr>
              <w:t>案疾病控制角色设置支持对疾病控制的访问权限进行设置。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59"/>
              <w:rPr>
                <w:rFonts w:ascii="宋体" w:hAnsi="宋体" w:eastAsia="宋体"/>
                <w:b/>
                <w:bCs/>
                <w:color w:val="auto"/>
                <w:sz w:val="24"/>
                <w:highlight w:val="none"/>
                <w:lang w:eastAsia="zh-CN"/>
              </w:rPr>
            </w:pPr>
            <w:bookmarkStart w:id="954" w:name="_Toc97538683"/>
            <w:bookmarkStart w:id="955" w:name="_Toc126933968"/>
            <w:r>
              <w:rPr>
                <w:rFonts w:hint="eastAsia" w:ascii="宋体" w:hAnsi="宋体" w:eastAsia="宋体"/>
                <w:color w:val="auto"/>
                <w:w w:val="95"/>
                <w:sz w:val="24"/>
                <w:highlight w:val="none"/>
              </w:rPr>
              <w:t>慢病设置</w:t>
            </w:r>
            <w:bookmarkEnd w:id="954"/>
            <w:bookmarkEnd w:id="955"/>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慢病设置支持提供慢病上报疾病设置、慢病随访设置、慢病上报流程设置。</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慢病上报疾病设置支持慢病上报服务，包括疾病大类名称、疾病小类名称、ICD编码等信息，支持多疾病绑定上报。</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慢病随访设置主要是针对慢病随访规则进行设置，支持包括慢病随访是否显示【删除】按钮、慢病随访计划自动生成规则、高血压和糖尿病随访次数设置、脑卒中和冠心病随访次数设置等规则。</w:t>
            </w:r>
          </w:p>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慢病上报流程设置支持对慢病上报审核流程进行配置，慢病上报是否需要疾控审批。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59"/>
              <w:rPr>
                <w:rFonts w:ascii="宋体" w:hAnsi="宋体" w:eastAsia="宋体"/>
                <w:color w:val="auto"/>
                <w:w w:val="95"/>
                <w:sz w:val="24"/>
                <w:highlight w:val="none"/>
              </w:rPr>
            </w:pPr>
            <w:bookmarkStart w:id="956" w:name="_Toc126933969"/>
            <w:bookmarkStart w:id="957" w:name="_Toc97538684"/>
            <w:r>
              <w:rPr>
                <w:rFonts w:hint="eastAsia" w:ascii="宋体" w:hAnsi="宋体" w:eastAsia="宋体"/>
                <w:color w:val="auto"/>
                <w:w w:val="95"/>
                <w:sz w:val="24"/>
                <w:highlight w:val="none"/>
              </w:rPr>
              <w:t>传染病设置</w:t>
            </w:r>
            <w:bookmarkEnd w:id="956"/>
            <w:bookmarkEnd w:id="957"/>
          </w:p>
        </w:tc>
        <w:tc>
          <w:tcPr>
            <w:tcW w:w="6622" w:type="dxa"/>
            <w:vAlign w:val="center"/>
          </w:tcPr>
          <w:p>
            <w:pPr>
              <w:pStyle w:val="201"/>
              <w:numPr>
                <w:ilvl w:val="0"/>
                <w:numId w:val="9"/>
              </w:numPr>
              <w:spacing w:before="6" w:line="360" w:lineRule="auto"/>
              <w:ind w:right="105" w:rightChars="50" w:firstLine="478"/>
              <w:rPr>
                <w:rFonts w:ascii="宋体" w:hAnsi="宋体" w:eastAsia="宋体"/>
                <w:color w:val="auto"/>
                <w:spacing w:val="-1"/>
                <w:sz w:val="24"/>
                <w:highlight w:val="none"/>
                <w:lang w:eastAsia="zh-CN"/>
              </w:rPr>
            </w:pPr>
            <w:r>
              <w:rPr>
                <w:rFonts w:hint="eastAsia" w:ascii="宋体" w:hAnsi="宋体" w:eastAsia="宋体"/>
                <w:color w:val="auto"/>
                <w:spacing w:val="-1"/>
                <w:sz w:val="24"/>
                <w:highlight w:val="none"/>
                <w:lang w:eastAsia="zh-CN"/>
              </w:rPr>
              <w:t>系统支持提供传染病外部上报疾病设置、报审时效设置、流调权限设置功能。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59"/>
              <w:rPr>
                <w:rFonts w:ascii="宋体" w:hAnsi="宋体" w:eastAsia="宋体"/>
                <w:color w:val="auto"/>
                <w:w w:val="95"/>
                <w:sz w:val="24"/>
                <w:highlight w:val="none"/>
              </w:rPr>
            </w:pPr>
            <w:bookmarkStart w:id="958" w:name="_Toc126933970"/>
            <w:bookmarkStart w:id="959" w:name="_Toc97538685"/>
            <w:r>
              <w:rPr>
                <w:rFonts w:hint="eastAsia" w:ascii="宋体" w:hAnsi="宋体" w:eastAsia="宋体"/>
                <w:color w:val="auto"/>
                <w:w w:val="95"/>
                <w:sz w:val="24"/>
                <w:highlight w:val="none"/>
              </w:rPr>
              <w:t>项目初始化设置</w:t>
            </w:r>
            <w:bookmarkEnd w:id="958"/>
            <w:bookmarkEnd w:id="959"/>
          </w:p>
        </w:tc>
        <w:tc>
          <w:tcPr>
            <w:tcW w:w="6622" w:type="dxa"/>
            <w:vAlign w:val="center"/>
          </w:tcPr>
          <w:p>
            <w:pPr>
              <w:pStyle w:val="201"/>
              <w:numPr>
                <w:ilvl w:val="0"/>
                <w:numId w:val="9"/>
              </w:numPr>
              <w:spacing w:before="6" w:line="360" w:lineRule="auto"/>
              <w:ind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系</w:t>
            </w:r>
            <w:r>
              <w:rPr>
                <w:rFonts w:hint="eastAsia" w:ascii="宋体" w:hAnsi="宋体" w:eastAsia="宋体"/>
                <w:color w:val="auto"/>
                <w:spacing w:val="-1"/>
                <w:sz w:val="24"/>
                <w:highlight w:val="none"/>
                <w:lang w:eastAsia="zh-CN"/>
              </w:rPr>
              <w:t>统支持提供用户初始密码设置、版本号设置、版权所有设置、项目信息设置功能。</w:t>
            </w:r>
          </w:p>
        </w:tc>
      </w:tr>
    </w:tbl>
    <w:p>
      <w:pPr>
        <w:pStyle w:val="8"/>
        <w:ind w:firstLine="480"/>
        <w:rPr>
          <w:rFonts w:ascii="宋体" w:hAnsi="宋体"/>
          <w:color w:val="auto"/>
          <w:szCs w:val="24"/>
          <w:highlight w:val="none"/>
        </w:rPr>
      </w:pPr>
    </w:p>
    <w:p>
      <w:pPr>
        <w:pStyle w:val="6"/>
        <w:numPr>
          <w:ilvl w:val="3"/>
          <w:numId w:val="8"/>
        </w:numPr>
        <w:spacing w:before="280" w:after="290" w:line="376" w:lineRule="auto"/>
        <w:rPr>
          <w:rFonts w:ascii="宋体" w:hAnsi="宋体"/>
          <w:color w:val="auto"/>
          <w:sz w:val="24"/>
          <w:szCs w:val="24"/>
          <w:highlight w:val="none"/>
        </w:rPr>
      </w:pPr>
      <w:bookmarkStart w:id="960" w:name="_Toc126933971"/>
      <w:bookmarkStart w:id="961" w:name="_Toc30311"/>
      <w:r>
        <w:rPr>
          <w:rFonts w:hint="eastAsia" w:ascii="宋体" w:hAnsi="宋体"/>
          <w:color w:val="auto"/>
          <w:sz w:val="24"/>
          <w:szCs w:val="24"/>
          <w:highlight w:val="none"/>
        </w:rPr>
        <w:t>平台外部接口</w:t>
      </w:r>
      <w:bookmarkEnd w:id="960"/>
      <w:bookmarkEnd w:id="961"/>
    </w:p>
    <w:p>
      <w:pPr>
        <w:pStyle w:val="8"/>
        <w:ind w:firstLine="480"/>
        <w:rPr>
          <w:rFonts w:ascii="宋体" w:hAnsi="宋体"/>
          <w:color w:val="auto"/>
          <w:szCs w:val="24"/>
          <w:highlight w:val="none"/>
        </w:rPr>
      </w:pPr>
      <w:r>
        <w:rPr>
          <w:rFonts w:hint="eastAsia" w:ascii="宋体" w:hAnsi="宋体"/>
          <w:color w:val="auto"/>
          <w:szCs w:val="24"/>
          <w:highlight w:val="none"/>
        </w:rPr>
        <w:t>需满足以下功能：</w:t>
      </w:r>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left="105" w:leftChars="50" w:right="105" w:rightChars="50" w:firstLine="508"/>
              <w:jc w:val="center"/>
              <w:rPr>
                <w:rFonts w:ascii="宋体" w:hAnsi="宋体" w:eastAsia="宋体"/>
                <w:color w:val="auto"/>
                <w:w w:val="105"/>
                <w:sz w:val="24"/>
                <w:highlight w:val="none"/>
              </w:rPr>
            </w:pPr>
            <w:r>
              <w:rPr>
                <w:rFonts w:hint="eastAsia" w:ascii="宋体" w:hAnsi="宋体" w:eastAsia="宋体"/>
                <w:color w:val="auto"/>
                <w:w w:val="105"/>
                <w:sz w:val="24"/>
                <w:highlight w:val="none"/>
              </w:rPr>
              <w:t>功能模块</w:t>
            </w:r>
          </w:p>
        </w:tc>
        <w:tc>
          <w:tcPr>
            <w:tcW w:w="6622" w:type="dxa"/>
            <w:shd w:val="clear" w:color="auto" w:fill="4472C4"/>
            <w:vAlign w:val="center"/>
          </w:tcPr>
          <w:p>
            <w:pPr>
              <w:pStyle w:val="201"/>
              <w:spacing w:before="13" w:line="360" w:lineRule="auto"/>
              <w:ind w:left="105" w:leftChars="50" w:right="105" w:rightChars="50" w:firstLine="508"/>
              <w:jc w:val="center"/>
              <w:rPr>
                <w:rFonts w:ascii="宋体" w:hAnsi="宋体" w:eastAsia="宋体"/>
                <w:color w:val="auto"/>
                <w:w w:val="105"/>
                <w:sz w:val="24"/>
                <w:highlight w:val="none"/>
              </w:rPr>
            </w:pPr>
            <w:r>
              <w:rPr>
                <w:rFonts w:ascii="宋体" w:hAnsi="宋体" w:eastAsia="宋体"/>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Cs/>
                <w:color w:val="auto"/>
                <w:sz w:val="24"/>
                <w:highlight w:val="none"/>
              </w:rPr>
            </w:pPr>
            <w:bookmarkStart w:id="962" w:name="_Toc126933972"/>
            <w:r>
              <w:rPr>
                <w:rFonts w:hint="eastAsia" w:ascii="宋体" w:hAnsi="宋体" w:eastAsia="宋体"/>
                <w:color w:val="auto"/>
                <w:sz w:val="24"/>
                <w:highlight w:val="none"/>
              </w:rPr>
              <w:t>国家直报系统对接</w:t>
            </w:r>
            <w:bookmarkEnd w:id="962"/>
          </w:p>
        </w:tc>
        <w:tc>
          <w:tcPr>
            <w:tcW w:w="6622" w:type="dxa"/>
            <w:vAlign w:val="center"/>
          </w:tcPr>
          <w:p>
            <w:pPr>
              <w:pStyle w:val="201"/>
              <w:widowControl/>
              <w:autoSpaceDE/>
              <w:autoSpaceDN/>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color w:val="auto"/>
                <w:sz w:val="24"/>
                <w:highlight w:val="none"/>
                <w:lang w:eastAsia="zh-CN"/>
              </w:rPr>
              <w:t>公共卫生管理服务平台支持与</w:t>
            </w:r>
            <w:r>
              <w:rPr>
                <w:rFonts w:hint="eastAsia" w:ascii="宋体" w:hAnsi="宋体" w:eastAsia="宋体"/>
                <w:color w:val="auto"/>
                <w:sz w:val="24"/>
                <w:highlight w:val="none"/>
                <w:lang w:val="zh-CN" w:eastAsia="zh-CN"/>
              </w:rPr>
              <w:t>国家传染病报告信息管理系统对接，实现传染病报告数据的上传。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105" w:leftChars="50" w:right="105" w:rightChars="50" w:firstLine="482"/>
              <w:rPr>
                <w:rFonts w:ascii="宋体" w:hAnsi="宋体" w:eastAsia="宋体"/>
                <w:bCs/>
                <w:color w:val="auto"/>
                <w:sz w:val="24"/>
                <w:highlight w:val="none"/>
                <w:lang w:eastAsia="zh-CN"/>
              </w:rPr>
            </w:pPr>
            <w:r>
              <w:rPr>
                <w:rFonts w:hint="eastAsia" w:ascii="宋体" w:hAnsi="宋体" w:eastAsia="宋体"/>
                <w:color w:val="auto"/>
                <w:sz w:val="24"/>
                <w:highlight w:val="none"/>
              </w:rPr>
              <w:t>区关联业务系统对接</w:t>
            </w:r>
          </w:p>
        </w:tc>
        <w:tc>
          <w:tcPr>
            <w:tcW w:w="6622" w:type="dxa"/>
            <w:vAlign w:val="center"/>
          </w:tcPr>
          <w:p>
            <w:pPr>
              <w:pStyle w:val="201"/>
              <w:widowControl/>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1 与疾控实验室信息系统对接</w:t>
            </w:r>
          </w:p>
          <w:p>
            <w:pPr>
              <w:pStyle w:val="201"/>
              <w:widowControl/>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公共卫生管理服务平台支持与疾控实验室信息对接，获取相关检查检验数据，实现数据的调用。</w:t>
            </w:r>
          </w:p>
          <w:p>
            <w:pPr>
              <w:pStyle w:val="201"/>
              <w:widowControl/>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2 与喀什地区全民健康信息平台对接</w:t>
            </w:r>
          </w:p>
          <w:p>
            <w:pPr>
              <w:pStyle w:val="201"/>
              <w:widowControl/>
              <w:autoSpaceDE/>
              <w:autoSpaceDN/>
              <w:spacing w:before="6" w:line="360" w:lineRule="auto"/>
              <w:ind w:right="105" w:rightChars="50" w:firstLine="482"/>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公共卫生管理服务平台支持与喀什地区全民健康信息平台对接，实现健康卫生数据的互联互通。</w:t>
            </w:r>
          </w:p>
        </w:tc>
      </w:tr>
    </w:tbl>
    <w:p>
      <w:pPr>
        <w:pStyle w:val="6"/>
        <w:numPr>
          <w:ilvl w:val="3"/>
          <w:numId w:val="8"/>
        </w:numPr>
        <w:spacing w:before="280" w:after="290" w:line="376" w:lineRule="auto"/>
        <w:rPr>
          <w:rFonts w:ascii="宋体" w:hAnsi="宋体"/>
          <w:color w:val="auto"/>
          <w:sz w:val="24"/>
          <w:szCs w:val="24"/>
          <w:highlight w:val="none"/>
          <w:lang w:eastAsia="zh-Hans"/>
        </w:rPr>
      </w:pPr>
      <w:bookmarkStart w:id="963" w:name="_Toc8177"/>
      <w:r>
        <w:rPr>
          <w:rFonts w:hint="eastAsia" w:ascii="宋体" w:hAnsi="宋体"/>
          <w:color w:val="auto"/>
          <w:sz w:val="24"/>
          <w:szCs w:val="24"/>
          <w:highlight w:val="none"/>
          <w:lang w:eastAsia="zh-Hans"/>
        </w:rPr>
        <w:t>消毒机器人</w:t>
      </w:r>
      <w:bookmarkEnd w:id="963"/>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44"/>
        <w:gridCol w:w="69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344" w:type="dxa"/>
            <w:vAlign w:val="center"/>
          </w:tcPr>
          <w:p>
            <w:pPr>
              <w:widowControl/>
              <w:jc w:val="left"/>
              <w:rPr>
                <w:rFonts w:ascii="宋体" w:hAnsi="宋体"/>
                <w:b/>
                <w:bCs/>
                <w:color w:val="auto"/>
                <w:sz w:val="24"/>
                <w:highlight w:val="none"/>
              </w:rPr>
            </w:pPr>
            <w:r>
              <w:rPr>
                <w:rFonts w:ascii="宋体" w:hAnsi="宋体" w:cs="宋体"/>
                <w:color w:val="auto"/>
                <w:kern w:val="0"/>
                <w:sz w:val="24"/>
                <w:highlight w:val="none"/>
                <w:lang w:bidi="ar"/>
              </w:rPr>
              <w:t>序号</w:t>
            </w:r>
          </w:p>
        </w:tc>
        <w:tc>
          <w:tcPr>
            <w:tcW w:w="6974" w:type="dxa"/>
            <w:vAlign w:val="center"/>
          </w:tcPr>
          <w:p>
            <w:pPr>
              <w:widowControl/>
              <w:jc w:val="left"/>
              <w:rPr>
                <w:rFonts w:ascii="宋体" w:hAnsi="宋体"/>
                <w:color w:val="auto"/>
                <w:sz w:val="24"/>
                <w:highlight w:val="none"/>
              </w:rPr>
            </w:pPr>
            <w:r>
              <w:rPr>
                <w:rFonts w:hint="eastAsia" w:ascii="宋体" w:hAnsi="宋体" w:cs="宋体"/>
                <w:color w:val="auto"/>
                <w:kern w:val="0"/>
                <w:sz w:val="24"/>
                <w:highlight w:val="none"/>
                <w:lang w:bidi="ar"/>
              </w:rPr>
              <w:t>功能</w:t>
            </w:r>
            <w:r>
              <w:rPr>
                <w:rFonts w:ascii="宋体" w:hAnsi="宋体" w:cs="宋体"/>
                <w:color w:val="auto"/>
                <w:kern w:val="0"/>
                <w:sz w:val="24"/>
                <w:highlight w:val="none"/>
                <w:lang w:bidi="ar"/>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344" w:type="dxa"/>
            <w:vAlign w:val="center"/>
          </w:tcPr>
          <w:p>
            <w:pPr>
              <w:widowControl/>
              <w:jc w:val="left"/>
              <w:rPr>
                <w:rFonts w:ascii="宋体" w:hAnsi="宋体" w:cs="宋体"/>
                <w:color w:val="auto"/>
                <w:kern w:val="0"/>
                <w:sz w:val="24"/>
                <w:highlight w:val="none"/>
                <w:lang w:bidi="ar"/>
              </w:rPr>
            </w:pPr>
            <w:r>
              <w:rPr>
                <w:rFonts w:ascii="宋体" w:hAnsi="宋体" w:cs="宋体"/>
                <w:color w:val="auto"/>
                <w:kern w:val="0"/>
                <w:sz w:val="24"/>
                <w:highlight w:val="none"/>
                <w:lang w:bidi="ar"/>
              </w:rPr>
              <w:t>1</w:t>
            </w:r>
          </w:p>
        </w:tc>
        <w:tc>
          <w:tcPr>
            <w:tcW w:w="6974" w:type="dxa"/>
            <w:vAlign w:val="center"/>
          </w:tcPr>
          <w:p>
            <w:pPr>
              <w:widowControl/>
              <w:jc w:val="left"/>
              <w:rPr>
                <w:rFonts w:ascii="宋体" w:hAnsi="宋体" w:cs="宋体"/>
                <w:color w:val="auto"/>
                <w:kern w:val="0"/>
                <w:sz w:val="24"/>
                <w:highlight w:val="none"/>
                <w:lang w:eastAsia="zh-Hans" w:bidi="ar"/>
              </w:rPr>
            </w:pPr>
            <w:r>
              <w:rPr>
                <w:rFonts w:hint="eastAsia" w:ascii="宋体" w:hAnsi="宋体" w:cs="宋体"/>
                <w:color w:val="auto"/>
                <w:kern w:val="0"/>
                <w:sz w:val="24"/>
                <w:highlight w:val="none"/>
                <w:lang w:eastAsia="zh-Hans" w:bidi="ar"/>
              </w:rPr>
              <w:t>数量</w:t>
            </w:r>
            <w:r>
              <w:rPr>
                <w:rFonts w:ascii="宋体" w:hAnsi="宋体" w:cs="宋体"/>
                <w:color w:val="auto"/>
                <w:kern w:val="0"/>
                <w:sz w:val="24"/>
                <w:highlight w:val="none"/>
                <w:lang w:eastAsia="zh-Hans" w:bidi="ar"/>
              </w:rPr>
              <w:t>3</w:t>
            </w:r>
            <w:r>
              <w:rPr>
                <w:rFonts w:hint="eastAsia" w:ascii="宋体" w:hAnsi="宋体" w:cs="宋体"/>
                <w:color w:val="auto"/>
                <w:kern w:val="0"/>
                <w:sz w:val="24"/>
                <w:highlight w:val="none"/>
                <w:lang w:eastAsia="zh-Hans" w:bidi="ar"/>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344" w:type="dxa"/>
            <w:vAlign w:val="center"/>
          </w:tcPr>
          <w:p>
            <w:pPr>
              <w:widowControl/>
              <w:jc w:val="left"/>
              <w:rPr>
                <w:rFonts w:ascii="宋体" w:hAnsi="宋体" w:cs="宋体"/>
                <w:color w:val="auto"/>
                <w:kern w:val="0"/>
                <w:sz w:val="24"/>
                <w:highlight w:val="none"/>
                <w:lang w:bidi="ar"/>
              </w:rPr>
            </w:pPr>
            <w:r>
              <w:rPr>
                <w:rFonts w:ascii="宋体" w:hAnsi="宋体" w:cs="宋体"/>
                <w:color w:val="auto"/>
                <w:kern w:val="0"/>
                <w:sz w:val="24"/>
                <w:highlight w:val="none"/>
                <w:lang w:bidi="ar"/>
              </w:rPr>
              <w:t>2</w:t>
            </w:r>
          </w:p>
        </w:tc>
        <w:tc>
          <w:tcPr>
            <w:tcW w:w="6974" w:type="dxa"/>
            <w:vAlign w:val="center"/>
          </w:tcPr>
          <w:p>
            <w:pPr>
              <w:widowControl/>
              <w:jc w:val="left"/>
              <w:rPr>
                <w:rFonts w:ascii="宋体" w:hAnsi="宋体"/>
                <w:color w:val="auto"/>
                <w:sz w:val="24"/>
                <w:highlight w:val="none"/>
              </w:rPr>
            </w:pPr>
            <w:r>
              <w:rPr>
                <w:rFonts w:ascii="宋体" w:hAnsi="宋体" w:cs="宋体"/>
                <w:color w:val="auto"/>
                <w:kern w:val="0"/>
                <w:sz w:val="24"/>
                <w:highlight w:val="none"/>
                <w:lang w:bidi="ar"/>
              </w:rPr>
              <w:t xml:space="preserve">适用场景：各病区、手术室、CT室等室内密闭空间 </w:t>
            </w:r>
          </w:p>
          <w:p>
            <w:pPr>
              <w:widowControl/>
              <w:jc w:val="left"/>
              <w:rPr>
                <w:rFonts w:ascii="宋体" w:hAnsi="宋体"/>
                <w:color w:val="auto"/>
                <w:sz w:val="24"/>
                <w:highlight w:val="none"/>
              </w:rPr>
            </w:pPr>
            <w:r>
              <w:rPr>
                <w:rFonts w:ascii="宋体" w:hAnsi="宋体" w:cs="宋体"/>
                <w:color w:val="auto"/>
                <w:kern w:val="0"/>
                <w:sz w:val="24"/>
                <w:highlight w:val="none"/>
                <w:lang w:bidi="ar"/>
              </w:rPr>
              <w:t>2 消毒方式：考虑到高效及兼容，紫外线灯消毒与消毒液雾化消毒方式</w:t>
            </w:r>
            <w:r>
              <w:rPr>
                <w:rFonts w:hint="eastAsia" w:ascii="宋体" w:hAnsi="宋体" w:cs="宋体"/>
                <w:color w:val="auto"/>
                <w:kern w:val="0"/>
                <w:sz w:val="24"/>
                <w:highlight w:val="none"/>
                <w:lang w:bidi="ar"/>
              </w:rPr>
              <w:t>需</w:t>
            </w:r>
            <w:r>
              <w:rPr>
                <w:rFonts w:ascii="宋体" w:hAnsi="宋体" w:cs="宋体"/>
                <w:color w:val="auto"/>
                <w:kern w:val="0"/>
                <w:sz w:val="24"/>
                <w:highlight w:val="none"/>
                <w:lang w:bidi="ar"/>
              </w:rPr>
              <w:t xml:space="preserve">同时具备 </w:t>
            </w:r>
          </w:p>
          <w:p>
            <w:pPr>
              <w:widowControl/>
              <w:jc w:val="left"/>
              <w:rPr>
                <w:rFonts w:ascii="宋体" w:hAnsi="宋体"/>
                <w:color w:val="auto"/>
                <w:sz w:val="24"/>
                <w:highlight w:val="none"/>
              </w:rPr>
            </w:pPr>
            <w:r>
              <w:rPr>
                <w:rFonts w:ascii="宋体" w:hAnsi="宋体" w:cs="宋体"/>
                <w:color w:val="auto"/>
                <w:kern w:val="0"/>
                <w:sz w:val="24"/>
                <w:highlight w:val="none"/>
                <w:lang w:bidi="ar"/>
              </w:rPr>
              <w:t xml:space="preserve">3消毒液容积：根据消毒大面积场所需要，有效容积至少10升 </w:t>
            </w:r>
          </w:p>
          <w:p>
            <w:pPr>
              <w:widowControl/>
              <w:jc w:val="left"/>
              <w:rPr>
                <w:rFonts w:ascii="宋体" w:hAnsi="宋体"/>
                <w:color w:val="auto"/>
                <w:sz w:val="24"/>
                <w:highlight w:val="none"/>
              </w:rPr>
            </w:pPr>
            <w:r>
              <w:rPr>
                <w:rFonts w:ascii="宋体" w:hAnsi="宋体" w:cs="宋体"/>
                <w:color w:val="auto"/>
                <w:kern w:val="0"/>
                <w:sz w:val="24"/>
                <w:highlight w:val="none"/>
                <w:lang w:bidi="ar"/>
              </w:rPr>
              <w:t xml:space="preserve">4 液位控制：高低液位报警功能 </w:t>
            </w:r>
          </w:p>
          <w:p>
            <w:pPr>
              <w:widowControl/>
              <w:jc w:val="left"/>
              <w:rPr>
                <w:rFonts w:ascii="宋体" w:hAnsi="宋体"/>
                <w:color w:val="auto"/>
                <w:sz w:val="24"/>
                <w:highlight w:val="none"/>
              </w:rPr>
            </w:pPr>
            <w:r>
              <w:rPr>
                <w:rFonts w:ascii="宋体" w:hAnsi="宋体" w:cs="宋体"/>
                <w:color w:val="auto"/>
                <w:kern w:val="0"/>
                <w:sz w:val="24"/>
                <w:highlight w:val="none"/>
                <w:lang w:bidi="ar"/>
              </w:rPr>
              <w:t xml:space="preserve">5 雾化颗粒：&lt;10µm </w:t>
            </w:r>
          </w:p>
          <w:p>
            <w:pPr>
              <w:widowControl/>
              <w:jc w:val="left"/>
              <w:rPr>
                <w:rFonts w:ascii="宋体" w:hAnsi="宋体"/>
                <w:color w:val="auto"/>
                <w:sz w:val="24"/>
                <w:highlight w:val="none"/>
              </w:rPr>
            </w:pPr>
            <w:r>
              <w:rPr>
                <w:rFonts w:ascii="宋体" w:hAnsi="宋体" w:cs="宋体"/>
                <w:color w:val="auto"/>
                <w:kern w:val="0"/>
                <w:sz w:val="24"/>
                <w:highlight w:val="none"/>
                <w:lang w:bidi="ar"/>
              </w:rPr>
              <w:t xml:space="preserve">6 雾化效率：雾化效率500-1500g/h </w:t>
            </w:r>
          </w:p>
          <w:p>
            <w:pPr>
              <w:widowControl/>
              <w:jc w:val="left"/>
              <w:rPr>
                <w:rFonts w:ascii="宋体" w:hAnsi="宋体"/>
                <w:color w:val="auto"/>
                <w:sz w:val="24"/>
                <w:highlight w:val="none"/>
              </w:rPr>
            </w:pPr>
            <w:r>
              <w:rPr>
                <w:rFonts w:ascii="宋体" w:hAnsi="宋体" w:cs="宋体"/>
                <w:color w:val="auto"/>
                <w:kern w:val="0"/>
                <w:sz w:val="24"/>
                <w:highlight w:val="none"/>
                <w:lang w:bidi="ar"/>
              </w:rPr>
              <w:t xml:space="preserve">7 雾量：为保证兼容各种场景使用，雾量可调节 </w:t>
            </w:r>
          </w:p>
          <w:p>
            <w:pPr>
              <w:widowControl/>
              <w:jc w:val="left"/>
              <w:rPr>
                <w:rFonts w:ascii="宋体" w:hAnsi="宋体"/>
                <w:color w:val="auto"/>
                <w:sz w:val="24"/>
                <w:highlight w:val="none"/>
              </w:rPr>
            </w:pPr>
            <w:r>
              <w:rPr>
                <w:rFonts w:ascii="宋体" w:hAnsi="宋体" w:cs="宋体"/>
                <w:color w:val="auto"/>
                <w:kern w:val="0"/>
                <w:sz w:val="24"/>
                <w:highlight w:val="none"/>
                <w:lang w:bidi="ar"/>
              </w:rPr>
              <w:t xml:space="preserve">8 雾化喷头数：≥6组 </w:t>
            </w:r>
          </w:p>
          <w:p>
            <w:pPr>
              <w:widowControl/>
              <w:jc w:val="left"/>
              <w:rPr>
                <w:rFonts w:ascii="宋体" w:hAnsi="宋体"/>
                <w:color w:val="auto"/>
                <w:sz w:val="24"/>
                <w:highlight w:val="none"/>
              </w:rPr>
            </w:pPr>
            <w:r>
              <w:rPr>
                <w:rFonts w:ascii="宋体" w:hAnsi="宋体" w:cs="宋体"/>
                <w:color w:val="auto"/>
                <w:kern w:val="0"/>
                <w:sz w:val="24"/>
                <w:highlight w:val="none"/>
                <w:lang w:bidi="ar"/>
              </w:rPr>
              <w:t xml:space="preserve">9 紫外线灯功率：每只不小于30W </w:t>
            </w:r>
          </w:p>
          <w:p>
            <w:pPr>
              <w:widowControl/>
              <w:jc w:val="left"/>
              <w:rPr>
                <w:rFonts w:ascii="宋体" w:hAnsi="宋体"/>
                <w:color w:val="auto"/>
                <w:sz w:val="24"/>
                <w:highlight w:val="none"/>
              </w:rPr>
            </w:pPr>
            <w:r>
              <w:rPr>
                <w:rFonts w:ascii="宋体" w:hAnsi="宋体" w:cs="宋体"/>
                <w:color w:val="auto"/>
                <w:kern w:val="0"/>
                <w:sz w:val="24"/>
                <w:highlight w:val="none"/>
                <w:lang w:bidi="ar"/>
              </w:rPr>
              <w:t xml:space="preserve">10 紫外照辐度: ≥200µW/c㎡（1m处测量）并有相关检验报告 </w:t>
            </w:r>
          </w:p>
          <w:p>
            <w:pPr>
              <w:widowControl/>
              <w:jc w:val="left"/>
              <w:rPr>
                <w:rFonts w:ascii="宋体" w:hAnsi="宋体"/>
                <w:color w:val="auto"/>
                <w:sz w:val="24"/>
                <w:highlight w:val="none"/>
              </w:rPr>
            </w:pPr>
            <w:r>
              <w:rPr>
                <w:rFonts w:ascii="宋体" w:hAnsi="宋体" w:cs="宋体"/>
                <w:color w:val="auto"/>
                <w:kern w:val="0"/>
                <w:sz w:val="24"/>
                <w:highlight w:val="none"/>
                <w:lang w:bidi="ar"/>
              </w:rPr>
              <w:t xml:space="preserve">11 紫外线灯组数：至少4组 </w:t>
            </w:r>
          </w:p>
          <w:p>
            <w:pPr>
              <w:widowControl/>
              <w:jc w:val="left"/>
              <w:rPr>
                <w:rFonts w:ascii="宋体" w:hAnsi="宋体"/>
                <w:color w:val="auto"/>
                <w:sz w:val="24"/>
                <w:highlight w:val="none"/>
              </w:rPr>
            </w:pPr>
            <w:r>
              <w:rPr>
                <w:rFonts w:ascii="宋体" w:hAnsi="宋体" w:cs="宋体"/>
                <w:color w:val="auto"/>
                <w:kern w:val="0"/>
                <w:sz w:val="24"/>
                <w:highlight w:val="none"/>
                <w:lang w:bidi="ar"/>
              </w:rPr>
              <w:t xml:space="preserve">12 紫外消毒角度：机身1米外，360度可照射到 </w:t>
            </w:r>
          </w:p>
          <w:p>
            <w:pPr>
              <w:widowControl/>
              <w:jc w:val="left"/>
              <w:rPr>
                <w:rFonts w:ascii="宋体" w:hAnsi="宋体"/>
                <w:color w:val="auto"/>
                <w:sz w:val="24"/>
                <w:highlight w:val="none"/>
              </w:rPr>
            </w:pPr>
            <w:r>
              <w:rPr>
                <w:rFonts w:ascii="宋体" w:hAnsi="宋体" w:cs="宋体"/>
                <w:color w:val="auto"/>
                <w:kern w:val="0"/>
                <w:sz w:val="24"/>
                <w:highlight w:val="none"/>
                <w:lang w:bidi="ar"/>
              </w:rPr>
              <w:t xml:space="preserve">13 主要功能：自主消毒、自主乘梯、自动避让、自动充电等 </w:t>
            </w:r>
          </w:p>
          <w:p>
            <w:pPr>
              <w:widowControl/>
              <w:jc w:val="left"/>
              <w:rPr>
                <w:rFonts w:ascii="宋体" w:hAnsi="宋体"/>
                <w:color w:val="auto"/>
                <w:sz w:val="24"/>
                <w:highlight w:val="none"/>
              </w:rPr>
            </w:pPr>
            <w:r>
              <w:rPr>
                <w:rFonts w:ascii="宋体" w:hAnsi="宋体" w:cs="宋体"/>
                <w:color w:val="auto"/>
                <w:kern w:val="0"/>
                <w:sz w:val="24"/>
                <w:highlight w:val="none"/>
                <w:lang w:bidi="ar"/>
              </w:rPr>
              <w:t xml:space="preserve">14 消毒模式：路径模式（沿路过氧化氢喷雾消毒），定点模式（紫外线定点照射消杀），双重模 </w:t>
            </w:r>
          </w:p>
          <w:p>
            <w:pPr>
              <w:widowControl/>
              <w:jc w:val="left"/>
              <w:rPr>
                <w:rFonts w:ascii="宋体" w:hAnsi="宋体"/>
                <w:color w:val="auto"/>
                <w:sz w:val="24"/>
                <w:highlight w:val="none"/>
              </w:rPr>
            </w:pPr>
            <w:r>
              <w:rPr>
                <w:rFonts w:ascii="宋体" w:hAnsi="宋体" w:cs="宋体"/>
                <w:color w:val="auto"/>
                <w:kern w:val="0"/>
                <w:sz w:val="24"/>
                <w:highlight w:val="none"/>
                <w:lang w:bidi="ar"/>
              </w:rPr>
              <w:t xml:space="preserve">式（定点同时开启过氧化氢喷雾及紫外灯照射） </w:t>
            </w:r>
          </w:p>
          <w:p>
            <w:pPr>
              <w:widowControl/>
              <w:jc w:val="left"/>
              <w:rPr>
                <w:rFonts w:ascii="宋体" w:hAnsi="宋体" w:cs="宋体"/>
                <w:color w:val="auto"/>
                <w:kern w:val="0"/>
                <w:sz w:val="24"/>
                <w:highlight w:val="none"/>
                <w:lang w:bidi="ar"/>
              </w:rPr>
            </w:pPr>
            <w:r>
              <w:rPr>
                <w:rFonts w:ascii="宋体" w:hAnsi="宋体" w:cs="宋体"/>
                <w:color w:val="auto"/>
                <w:kern w:val="0"/>
                <w:sz w:val="24"/>
                <w:highlight w:val="none"/>
                <w:lang w:bidi="ar"/>
              </w:rPr>
              <w:t>15 安全模式：3m内检测到有移动物体，自动关闭紫外，以减少对人员伤害。功能可通过系统设置开启与关闭。</w:t>
            </w:r>
          </w:p>
          <w:p>
            <w:pPr>
              <w:widowControl/>
              <w:jc w:val="left"/>
              <w:rPr>
                <w:rFonts w:ascii="宋体" w:hAnsi="宋体"/>
                <w:color w:val="auto"/>
                <w:sz w:val="24"/>
                <w:highlight w:val="none"/>
                <w:lang w:eastAsia="zh-Hans"/>
              </w:rPr>
            </w:pPr>
            <w:r>
              <w:rPr>
                <w:rFonts w:ascii="宋体" w:hAnsi="宋体" w:cs="宋体"/>
                <w:color w:val="auto"/>
                <w:kern w:val="0"/>
                <w:sz w:val="24"/>
                <w:highlight w:val="none"/>
                <w:lang w:bidi="ar"/>
              </w:rPr>
              <w:t>17产品尺寸：考虑到机身稳定性整机高度不得高于1400mm；考虑到消毒效果机身高度不得低于 1300mm；需要在狭小环境中灵活转向，需采用圆形整机，直径不超过510mm，不低于490mm</w:t>
            </w:r>
            <w:r>
              <w:rPr>
                <w:rFonts w:hint="eastAsia" w:ascii="宋体" w:hAnsi="宋体" w:cs="宋体"/>
                <w:color w:val="auto"/>
                <w:kern w:val="0"/>
                <w:sz w:val="24"/>
                <w:highlight w:val="none"/>
                <w:lang w:eastAsia="zh-Hans" w:bidi="ar"/>
              </w:rPr>
              <w:t>。</w:t>
            </w:r>
          </w:p>
          <w:p>
            <w:pPr>
              <w:widowControl/>
              <w:jc w:val="left"/>
              <w:rPr>
                <w:rFonts w:ascii="宋体" w:hAnsi="宋体"/>
                <w:color w:val="auto"/>
                <w:sz w:val="24"/>
                <w:highlight w:val="none"/>
              </w:rPr>
            </w:pPr>
            <w:r>
              <w:rPr>
                <w:rFonts w:ascii="宋体" w:hAnsi="宋体" w:cs="宋体"/>
                <w:color w:val="auto"/>
                <w:kern w:val="0"/>
                <w:sz w:val="24"/>
                <w:highlight w:val="none"/>
                <w:lang w:bidi="ar"/>
              </w:rPr>
              <w:t xml:space="preserve">18 材质：采用ABS医用洁净材质 </w:t>
            </w:r>
          </w:p>
          <w:p>
            <w:pPr>
              <w:widowControl/>
              <w:jc w:val="left"/>
              <w:rPr>
                <w:rFonts w:ascii="宋体" w:hAnsi="宋体"/>
                <w:color w:val="auto"/>
                <w:sz w:val="24"/>
                <w:highlight w:val="none"/>
              </w:rPr>
            </w:pPr>
            <w:r>
              <w:rPr>
                <w:rFonts w:ascii="宋体" w:hAnsi="宋体" w:cs="宋体"/>
                <w:color w:val="auto"/>
                <w:kern w:val="0"/>
                <w:sz w:val="24"/>
                <w:highlight w:val="none"/>
                <w:lang w:bidi="ar"/>
              </w:rPr>
              <w:t xml:space="preserve">19 导航方式：激光SLAM+惯性导航+视觉导航 </w:t>
            </w:r>
          </w:p>
          <w:p>
            <w:pPr>
              <w:widowControl/>
              <w:jc w:val="left"/>
              <w:rPr>
                <w:rFonts w:ascii="宋体" w:hAnsi="宋体"/>
                <w:color w:val="auto"/>
                <w:sz w:val="24"/>
                <w:highlight w:val="none"/>
              </w:rPr>
            </w:pPr>
            <w:r>
              <w:rPr>
                <w:rFonts w:ascii="宋体" w:hAnsi="宋体" w:cs="宋体"/>
                <w:color w:val="auto"/>
                <w:kern w:val="0"/>
                <w:sz w:val="24"/>
                <w:highlight w:val="none"/>
                <w:lang w:bidi="ar"/>
              </w:rPr>
              <w:t xml:space="preserve">20 运行速度：支持前向运动，最大速度不小于0.8米/秒 </w:t>
            </w:r>
          </w:p>
          <w:p>
            <w:pPr>
              <w:widowControl/>
              <w:jc w:val="left"/>
              <w:rPr>
                <w:rFonts w:ascii="宋体" w:hAnsi="宋体"/>
                <w:color w:val="auto"/>
                <w:sz w:val="24"/>
                <w:highlight w:val="none"/>
              </w:rPr>
            </w:pPr>
            <w:r>
              <w:rPr>
                <w:rFonts w:ascii="宋体" w:hAnsi="宋体" w:cs="宋体"/>
                <w:color w:val="auto"/>
                <w:kern w:val="0"/>
                <w:sz w:val="24"/>
                <w:highlight w:val="none"/>
                <w:lang w:bidi="ar"/>
              </w:rPr>
              <w:t xml:space="preserve">21 转弯半径：支持原地旋转 </w:t>
            </w:r>
          </w:p>
          <w:p>
            <w:pPr>
              <w:widowControl/>
              <w:jc w:val="left"/>
              <w:rPr>
                <w:rFonts w:ascii="宋体" w:hAnsi="宋体"/>
                <w:color w:val="auto"/>
                <w:sz w:val="24"/>
                <w:highlight w:val="none"/>
              </w:rPr>
            </w:pPr>
            <w:r>
              <w:rPr>
                <w:rFonts w:ascii="宋体" w:hAnsi="宋体" w:cs="宋体"/>
                <w:color w:val="auto"/>
                <w:kern w:val="0"/>
                <w:sz w:val="24"/>
                <w:highlight w:val="none"/>
                <w:lang w:bidi="ar"/>
              </w:rPr>
              <w:t xml:space="preserve">22 爬坡能力：爬坡能力≥3° </w:t>
            </w:r>
          </w:p>
          <w:p>
            <w:pPr>
              <w:widowControl/>
              <w:jc w:val="left"/>
              <w:rPr>
                <w:rFonts w:ascii="宋体" w:hAnsi="宋体"/>
                <w:color w:val="auto"/>
                <w:sz w:val="24"/>
                <w:highlight w:val="none"/>
                <w:lang w:eastAsia="zh-Hans"/>
              </w:rPr>
            </w:pPr>
            <w:r>
              <w:rPr>
                <w:rFonts w:ascii="宋体" w:hAnsi="宋体" w:cs="宋体"/>
                <w:color w:val="auto"/>
                <w:kern w:val="0"/>
                <w:sz w:val="24"/>
                <w:highlight w:val="none"/>
                <w:lang w:bidi="ar"/>
              </w:rPr>
              <w:t>23 驱动方式：双轮差速驱动、轮毂电机、内置编码器，精度不低于4096线</w:t>
            </w:r>
            <w:r>
              <w:rPr>
                <w:rFonts w:hint="eastAsia" w:ascii="宋体" w:hAnsi="宋体" w:cs="宋体"/>
                <w:color w:val="auto"/>
                <w:kern w:val="0"/>
                <w:sz w:val="24"/>
                <w:highlight w:val="none"/>
                <w:lang w:eastAsia="zh-Hans" w:bidi="ar"/>
              </w:rPr>
              <w:t>。</w:t>
            </w:r>
          </w:p>
          <w:p>
            <w:pPr>
              <w:widowControl/>
              <w:jc w:val="left"/>
              <w:rPr>
                <w:rFonts w:ascii="宋体" w:hAnsi="宋体"/>
                <w:color w:val="auto"/>
                <w:sz w:val="24"/>
                <w:highlight w:val="none"/>
              </w:rPr>
            </w:pPr>
            <w:r>
              <w:rPr>
                <w:rFonts w:ascii="宋体" w:hAnsi="宋体" w:cs="宋体"/>
                <w:color w:val="auto"/>
                <w:kern w:val="0"/>
                <w:sz w:val="24"/>
                <w:highlight w:val="none"/>
                <w:lang w:bidi="ar"/>
              </w:rPr>
              <w:t xml:space="preserve">24 避障方式：多种避障复合方式，提高安全性，支持激光雷达避障+立体视觉避障 </w:t>
            </w:r>
          </w:p>
          <w:p>
            <w:pPr>
              <w:widowControl/>
              <w:jc w:val="left"/>
              <w:rPr>
                <w:rFonts w:ascii="宋体" w:hAnsi="宋体"/>
                <w:color w:val="auto"/>
                <w:sz w:val="24"/>
                <w:highlight w:val="none"/>
              </w:rPr>
            </w:pPr>
            <w:r>
              <w:rPr>
                <w:rFonts w:ascii="宋体" w:hAnsi="宋体" w:cs="宋体"/>
                <w:color w:val="auto"/>
                <w:kern w:val="0"/>
                <w:sz w:val="24"/>
                <w:highlight w:val="none"/>
                <w:lang w:bidi="ar"/>
              </w:rPr>
              <w:t xml:space="preserve">25 人机交互：机身配置7寸触摸显示屏，Android系统交互 </w:t>
            </w:r>
          </w:p>
          <w:p>
            <w:pPr>
              <w:widowControl/>
              <w:jc w:val="left"/>
              <w:rPr>
                <w:rFonts w:ascii="宋体" w:hAnsi="宋体"/>
                <w:color w:val="auto"/>
                <w:sz w:val="24"/>
                <w:highlight w:val="none"/>
              </w:rPr>
            </w:pPr>
            <w:r>
              <w:rPr>
                <w:rFonts w:ascii="宋体" w:hAnsi="宋体" w:cs="宋体"/>
                <w:color w:val="auto"/>
                <w:kern w:val="0"/>
                <w:sz w:val="24"/>
                <w:highlight w:val="none"/>
                <w:lang w:bidi="ar"/>
              </w:rPr>
              <w:t xml:space="preserve">26 通信方式：支持Wi-Fi/4G </w:t>
            </w:r>
          </w:p>
          <w:p>
            <w:pPr>
              <w:widowControl/>
              <w:jc w:val="left"/>
              <w:rPr>
                <w:rFonts w:ascii="宋体" w:hAnsi="宋体"/>
                <w:color w:val="auto"/>
                <w:sz w:val="24"/>
                <w:highlight w:val="none"/>
              </w:rPr>
            </w:pPr>
            <w:r>
              <w:rPr>
                <w:rFonts w:ascii="宋体" w:hAnsi="宋体" w:cs="宋体"/>
                <w:color w:val="auto"/>
                <w:kern w:val="0"/>
                <w:sz w:val="24"/>
                <w:highlight w:val="none"/>
                <w:lang w:bidi="ar"/>
              </w:rPr>
              <w:t xml:space="preserve">27 充电方式：支持自动回充及人工充电 </w:t>
            </w:r>
          </w:p>
          <w:p>
            <w:pPr>
              <w:widowControl/>
              <w:jc w:val="left"/>
              <w:rPr>
                <w:rFonts w:ascii="宋体" w:hAnsi="宋体"/>
                <w:color w:val="auto"/>
                <w:sz w:val="24"/>
                <w:highlight w:val="none"/>
              </w:rPr>
            </w:pPr>
            <w:r>
              <w:rPr>
                <w:rFonts w:ascii="宋体" w:hAnsi="宋体" w:cs="宋体"/>
                <w:color w:val="auto"/>
                <w:kern w:val="0"/>
                <w:sz w:val="24"/>
                <w:highlight w:val="none"/>
                <w:lang w:bidi="ar"/>
              </w:rPr>
              <w:t xml:space="preserve">28电池容量：不低于48V/15Ah </w:t>
            </w:r>
          </w:p>
          <w:p>
            <w:pPr>
              <w:widowControl/>
              <w:jc w:val="left"/>
              <w:rPr>
                <w:rFonts w:ascii="宋体" w:hAnsi="宋体"/>
                <w:color w:val="auto"/>
                <w:sz w:val="24"/>
                <w:highlight w:val="none"/>
              </w:rPr>
            </w:pPr>
            <w:r>
              <w:rPr>
                <w:rFonts w:ascii="宋体" w:hAnsi="宋体" w:cs="宋体"/>
                <w:color w:val="auto"/>
                <w:kern w:val="0"/>
                <w:sz w:val="24"/>
                <w:highlight w:val="none"/>
                <w:lang w:bidi="ar"/>
              </w:rPr>
              <w:t xml:space="preserve">29 续航时间：单消毒模式下，不低于4小时 </w:t>
            </w:r>
          </w:p>
          <w:p>
            <w:pPr>
              <w:widowControl/>
              <w:jc w:val="left"/>
              <w:rPr>
                <w:rFonts w:ascii="宋体" w:hAnsi="宋体"/>
                <w:color w:val="auto"/>
                <w:sz w:val="24"/>
                <w:highlight w:val="none"/>
              </w:rPr>
            </w:pPr>
            <w:r>
              <w:rPr>
                <w:rFonts w:ascii="宋体" w:hAnsi="宋体" w:cs="宋体"/>
                <w:color w:val="auto"/>
                <w:kern w:val="0"/>
                <w:sz w:val="24"/>
                <w:highlight w:val="none"/>
                <w:lang w:bidi="ar"/>
              </w:rPr>
              <w:t xml:space="preserve">30 充电时间：100%电量充电时间不超过5小时 </w:t>
            </w:r>
          </w:p>
          <w:p>
            <w:pPr>
              <w:widowControl/>
              <w:jc w:val="left"/>
              <w:rPr>
                <w:rFonts w:ascii="宋体" w:hAnsi="宋体"/>
                <w:color w:val="auto"/>
                <w:sz w:val="24"/>
                <w:highlight w:val="none"/>
              </w:rPr>
            </w:pPr>
            <w:r>
              <w:rPr>
                <w:rFonts w:ascii="宋体" w:hAnsi="宋体" w:cs="宋体"/>
                <w:color w:val="auto"/>
                <w:kern w:val="0"/>
                <w:sz w:val="24"/>
                <w:highlight w:val="none"/>
                <w:lang w:bidi="ar"/>
              </w:rPr>
              <w:t xml:space="preserve">31 待机时间：不低于24小时 </w:t>
            </w:r>
          </w:p>
          <w:p>
            <w:pPr>
              <w:widowControl/>
              <w:jc w:val="left"/>
              <w:rPr>
                <w:rFonts w:ascii="宋体" w:hAnsi="宋体"/>
                <w:color w:val="auto"/>
                <w:sz w:val="24"/>
                <w:highlight w:val="none"/>
              </w:rPr>
            </w:pPr>
            <w:r>
              <w:rPr>
                <w:rFonts w:ascii="宋体" w:hAnsi="宋体" w:cs="宋体"/>
                <w:color w:val="auto"/>
                <w:kern w:val="0"/>
                <w:sz w:val="24"/>
                <w:highlight w:val="none"/>
                <w:lang w:bidi="ar"/>
              </w:rPr>
              <w:t xml:space="preserve">32 激光雷达：保证整机高精度导航，需配备激光导航，探测距离不低于20米 </w:t>
            </w:r>
          </w:p>
          <w:p>
            <w:pPr>
              <w:widowControl/>
              <w:jc w:val="left"/>
              <w:rPr>
                <w:rFonts w:ascii="宋体" w:hAnsi="宋体"/>
                <w:color w:val="auto"/>
                <w:sz w:val="24"/>
                <w:highlight w:val="none"/>
              </w:rPr>
            </w:pPr>
            <w:r>
              <w:rPr>
                <w:rFonts w:ascii="宋体" w:hAnsi="宋体" w:cs="宋体"/>
                <w:color w:val="auto"/>
                <w:kern w:val="0"/>
                <w:sz w:val="24"/>
                <w:highlight w:val="none"/>
                <w:lang w:bidi="ar"/>
              </w:rPr>
              <w:t xml:space="preserve">33 立体视觉：至少一组立体视觉，负责障碍探测 </w:t>
            </w:r>
          </w:p>
          <w:p>
            <w:pPr>
              <w:widowControl/>
              <w:jc w:val="left"/>
              <w:rPr>
                <w:rFonts w:ascii="宋体" w:hAnsi="宋体"/>
                <w:color w:val="auto"/>
                <w:sz w:val="24"/>
                <w:highlight w:val="none"/>
              </w:rPr>
            </w:pPr>
            <w:r>
              <w:rPr>
                <w:rFonts w:ascii="宋体" w:hAnsi="宋体" w:cs="宋体"/>
                <w:color w:val="auto"/>
                <w:kern w:val="0"/>
                <w:sz w:val="24"/>
                <w:highlight w:val="none"/>
                <w:lang w:bidi="ar"/>
              </w:rPr>
              <w:t xml:space="preserve">34 碰撞传感：需具有碰撞检测面板，在发生轻度接触时整机运行立即停止 </w:t>
            </w:r>
          </w:p>
          <w:p>
            <w:pPr>
              <w:widowControl/>
              <w:jc w:val="left"/>
              <w:rPr>
                <w:rFonts w:ascii="宋体" w:hAnsi="宋体"/>
                <w:color w:val="auto"/>
                <w:sz w:val="24"/>
                <w:highlight w:val="none"/>
              </w:rPr>
            </w:pPr>
            <w:r>
              <w:rPr>
                <w:rFonts w:ascii="宋体" w:hAnsi="宋体" w:cs="宋体"/>
                <w:color w:val="auto"/>
                <w:kern w:val="0"/>
                <w:sz w:val="24"/>
                <w:highlight w:val="none"/>
                <w:lang w:bidi="ar"/>
              </w:rPr>
              <w:t xml:space="preserve">35 安全触边：需具有防压脚安全触边，以保证行人安全 </w:t>
            </w:r>
          </w:p>
          <w:p>
            <w:pPr>
              <w:widowControl/>
              <w:jc w:val="left"/>
              <w:rPr>
                <w:rFonts w:ascii="宋体" w:hAnsi="宋体"/>
                <w:color w:val="auto"/>
                <w:sz w:val="24"/>
                <w:highlight w:val="none"/>
              </w:rPr>
            </w:pPr>
            <w:r>
              <w:rPr>
                <w:rFonts w:ascii="宋体" w:hAnsi="宋体" w:cs="宋体"/>
                <w:color w:val="auto"/>
                <w:kern w:val="0"/>
                <w:sz w:val="24"/>
                <w:highlight w:val="none"/>
                <w:lang w:bidi="ar"/>
              </w:rPr>
              <w:t xml:space="preserve">36 声光提醒：运行状态支持4种状态提示（待机、运行、警示、缺液等） </w:t>
            </w:r>
          </w:p>
          <w:p>
            <w:pPr>
              <w:widowControl/>
              <w:jc w:val="left"/>
              <w:rPr>
                <w:rFonts w:ascii="宋体" w:hAnsi="宋体"/>
                <w:color w:val="auto"/>
                <w:sz w:val="24"/>
                <w:highlight w:val="none"/>
              </w:rPr>
            </w:pPr>
            <w:r>
              <w:rPr>
                <w:rFonts w:ascii="宋体" w:hAnsi="宋体" w:cs="宋体"/>
                <w:color w:val="auto"/>
                <w:kern w:val="0"/>
                <w:sz w:val="24"/>
                <w:highlight w:val="none"/>
                <w:lang w:bidi="ar"/>
              </w:rPr>
              <w:t xml:space="preserve">37 警示方式：声光，指示灯 </w:t>
            </w:r>
          </w:p>
          <w:p>
            <w:pPr>
              <w:widowControl/>
              <w:jc w:val="left"/>
              <w:rPr>
                <w:rFonts w:ascii="宋体" w:hAnsi="宋体"/>
                <w:color w:val="auto"/>
                <w:sz w:val="24"/>
                <w:highlight w:val="none"/>
              </w:rPr>
            </w:pPr>
            <w:r>
              <w:rPr>
                <w:rFonts w:ascii="宋体" w:hAnsi="宋体" w:cs="宋体"/>
                <w:color w:val="auto"/>
                <w:kern w:val="0"/>
                <w:sz w:val="24"/>
                <w:highlight w:val="none"/>
                <w:lang w:bidi="ar"/>
              </w:rPr>
              <w:t xml:space="preserve">38 支持自动前往目标地点完成定点消毒任务，完成定点消毒任务后自动返回原点 </w:t>
            </w:r>
          </w:p>
          <w:p>
            <w:pPr>
              <w:widowControl/>
              <w:jc w:val="left"/>
              <w:rPr>
                <w:rFonts w:ascii="宋体" w:hAnsi="宋体"/>
                <w:color w:val="auto"/>
                <w:sz w:val="24"/>
                <w:highlight w:val="none"/>
              </w:rPr>
            </w:pPr>
            <w:r>
              <w:rPr>
                <w:rFonts w:ascii="宋体" w:hAnsi="宋体" w:cs="宋体"/>
                <w:color w:val="auto"/>
                <w:kern w:val="0"/>
                <w:sz w:val="24"/>
                <w:highlight w:val="none"/>
                <w:lang w:bidi="ar"/>
              </w:rPr>
              <w:t xml:space="preserve">39 支持多定点消毒任务排队执行，一个任务结束后自动前往下一任务点执行，支持任务预约 </w:t>
            </w:r>
          </w:p>
          <w:p>
            <w:pPr>
              <w:widowControl/>
              <w:jc w:val="left"/>
              <w:rPr>
                <w:rFonts w:ascii="宋体" w:hAnsi="宋体"/>
                <w:color w:val="auto"/>
                <w:sz w:val="24"/>
                <w:highlight w:val="none"/>
              </w:rPr>
            </w:pPr>
            <w:r>
              <w:rPr>
                <w:rFonts w:ascii="宋体" w:hAnsi="宋体" w:cs="宋体"/>
                <w:color w:val="auto"/>
                <w:kern w:val="0"/>
                <w:sz w:val="24"/>
                <w:highlight w:val="none"/>
                <w:lang w:bidi="ar"/>
              </w:rPr>
              <w:t xml:space="preserve">40 支持升级到对自动门开关控制 </w:t>
            </w:r>
          </w:p>
          <w:p>
            <w:pPr>
              <w:widowControl/>
              <w:jc w:val="left"/>
              <w:rPr>
                <w:rFonts w:ascii="宋体" w:hAnsi="宋体"/>
                <w:color w:val="auto"/>
                <w:sz w:val="24"/>
                <w:highlight w:val="none"/>
              </w:rPr>
            </w:pPr>
            <w:r>
              <w:rPr>
                <w:rFonts w:ascii="宋体" w:hAnsi="宋体" w:cs="宋体"/>
                <w:color w:val="auto"/>
                <w:kern w:val="0"/>
                <w:sz w:val="24"/>
                <w:highlight w:val="none"/>
                <w:lang w:bidi="ar"/>
              </w:rPr>
              <w:t xml:space="preserve">41 支持升级到对闸机开关控制 </w:t>
            </w:r>
          </w:p>
          <w:p>
            <w:pPr>
              <w:widowControl/>
              <w:jc w:val="left"/>
              <w:rPr>
                <w:rFonts w:ascii="宋体" w:hAnsi="宋体"/>
                <w:color w:val="auto"/>
                <w:sz w:val="24"/>
                <w:highlight w:val="none"/>
              </w:rPr>
            </w:pPr>
            <w:r>
              <w:rPr>
                <w:rFonts w:ascii="宋体" w:hAnsi="宋体" w:cs="宋体"/>
                <w:color w:val="auto"/>
                <w:kern w:val="0"/>
                <w:sz w:val="24"/>
                <w:highlight w:val="none"/>
                <w:lang w:bidi="ar"/>
              </w:rPr>
              <w:t xml:space="preserve">42 门控模块控制距离：不小于1km </w:t>
            </w:r>
          </w:p>
          <w:p>
            <w:pPr>
              <w:widowControl/>
              <w:jc w:val="left"/>
              <w:rPr>
                <w:rFonts w:ascii="宋体" w:hAnsi="宋体"/>
                <w:color w:val="auto"/>
                <w:sz w:val="24"/>
                <w:highlight w:val="none"/>
              </w:rPr>
            </w:pPr>
            <w:r>
              <w:rPr>
                <w:rFonts w:ascii="宋体" w:hAnsi="宋体" w:cs="宋体"/>
                <w:color w:val="auto"/>
                <w:kern w:val="0"/>
                <w:sz w:val="24"/>
                <w:highlight w:val="none"/>
                <w:lang w:bidi="ar"/>
              </w:rPr>
              <w:t xml:space="preserve">43 门控模块容灾措施：支持延时自动恢复 </w:t>
            </w:r>
          </w:p>
          <w:p>
            <w:pPr>
              <w:widowControl/>
              <w:jc w:val="left"/>
              <w:rPr>
                <w:rFonts w:ascii="宋体" w:hAnsi="宋体" w:cs="宋体"/>
                <w:color w:val="auto"/>
                <w:kern w:val="0"/>
                <w:sz w:val="24"/>
                <w:highlight w:val="none"/>
                <w:lang w:bidi="ar"/>
              </w:rPr>
            </w:pPr>
            <w:r>
              <w:rPr>
                <w:rFonts w:ascii="宋体" w:hAnsi="宋体" w:cs="宋体"/>
                <w:color w:val="auto"/>
                <w:kern w:val="0"/>
                <w:sz w:val="24"/>
                <w:highlight w:val="none"/>
                <w:lang w:bidi="ar"/>
              </w:rPr>
              <w:t>44 状态管理：可以获取整机的运行状态数据，电量信息，里程信息，在线状态信息，运行时长信息，版本信息等</w:t>
            </w:r>
          </w:p>
          <w:p>
            <w:pPr>
              <w:widowControl/>
              <w:jc w:val="left"/>
              <w:rPr>
                <w:rFonts w:ascii="宋体" w:hAnsi="宋体"/>
                <w:color w:val="auto"/>
                <w:sz w:val="24"/>
                <w:highlight w:val="none"/>
              </w:rPr>
            </w:pPr>
            <w:r>
              <w:rPr>
                <w:rFonts w:ascii="宋体" w:hAnsi="宋体" w:cs="宋体"/>
                <w:color w:val="auto"/>
                <w:kern w:val="0"/>
                <w:sz w:val="24"/>
                <w:highlight w:val="none"/>
                <w:lang w:bidi="ar"/>
              </w:rPr>
              <w:t xml:space="preserve">45 配置管理：可配置整机的运行的目标点位信息、可运行线路信息等 </w:t>
            </w:r>
          </w:p>
          <w:p>
            <w:pPr>
              <w:widowControl/>
              <w:jc w:val="left"/>
              <w:rPr>
                <w:rFonts w:ascii="宋体" w:hAnsi="宋体"/>
                <w:color w:val="auto"/>
                <w:sz w:val="24"/>
                <w:highlight w:val="none"/>
              </w:rPr>
            </w:pPr>
            <w:r>
              <w:rPr>
                <w:rFonts w:ascii="宋体" w:hAnsi="宋体" w:cs="宋体"/>
                <w:color w:val="auto"/>
                <w:kern w:val="0"/>
                <w:sz w:val="24"/>
                <w:highlight w:val="none"/>
                <w:lang w:bidi="ar"/>
              </w:rPr>
              <w:t xml:space="preserve">46 升级管理：可配置升级程序，并让整机自动升级到最新程序 </w:t>
            </w:r>
          </w:p>
          <w:p>
            <w:pPr>
              <w:widowControl/>
              <w:jc w:val="left"/>
              <w:rPr>
                <w:rFonts w:ascii="宋体" w:hAnsi="宋体"/>
                <w:color w:val="auto"/>
                <w:sz w:val="24"/>
                <w:highlight w:val="none"/>
              </w:rPr>
            </w:pPr>
            <w:r>
              <w:rPr>
                <w:rFonts w:ascii="宋体" w:hAnsi="宋体" w:cs="宋体"/>
                <w:color w:val="auto"/>
                <w:kern w:val="0"/>
                <w:sz w:val="24"/>
                <w:highlight w:val="none"/>
                <w:lang w:bidi="ar"/>
              </w:rPr>
              <w:t xml:space="preserve">47 业务记录：可查询整机的业务记录，包括任务编号，任务开始时间，任务结束时间等 </w:t>
            </w:r>
          </w:p>
          <w:p>
            <w:pPr>
              <w:widowControl/>
              <w:jc w:val="left"/>
              <w:rPr>
                <w:rFonts w:ascii="宋体" w:hAnsi="宋体" w:cs="宋体"/>
                <w:color w:val="auto"/>
                <w:kern w:val="0"/>
                <w:sz w:val="24"/>
                <w:highlight w:val="none"/>
                <w:lang w:eastAsia="zh-Hans" w:bidi="ar"/>
              </w:rPr>
            </w:pPr>
            <w:r>
              <w:rPr>
                <w:rFonts w:ascii="宋体" w:hAnsi="宋体" w:cs="宋体"/>
                <w:color w:val="auto"/>
                <w:kern w:val="0"/>
                <w:sz w:val="24"/>
                <w:highlight w:val="none"/>
                <w:lang w:bidi="ar"/>
              </w:rPr>
              <w:t>48 数据统计：可查询整机的日统计信息，周统计信息，月统计信息以及累计统计信息</w:t>
            </w:r>
          </w:p>
        </w:tc>
      </w:tr>
    </w:tbl>
    <w:p>
      <w:pPr>
        <w:pStyle w:val="4"/>
        <w:keepNext w:val="0"/>
        <w:keepLines w:val="0"/>
        <w:numPr>
          <w:ilvl w:val="1"/>
          <w:numId w:val="8"/>
        </w:numPr>
        <w:tabs>
          <w:tab w:val="left" w:pos="720"/>
          <w:tab w:val="clear" w:pos="576"/>
        </w:tabs>
        <w:autoSpaceDE/>
        <w:autoSpaceDN/>
        <w:adjustRightInd/>
        <w:spacing w:before="0" w:line="240" w:lineRule="auto"/>
        <w:jc w:val="both"/>
        <w:rPr>
          <w:rFonts w:ascii="宋体" w:hAnsi="宋体"/>
          <w:color w:val="auto"/>
          <w:sz w:val="24"/>
          <w:highlight w:val="none"/>
        </w:rPr>
      </w:pPr>
      <w:bookmarkStart w:id="964" w:name="_Toc30500"/>
      <w:bookmarkStart w:id="965" w:name="_Toc138247826"/>
      <w:bookmarkStart w:id="966" w:name="_Toc7766"/>
      <w:bookmarkStart w:id="967" w:name="_Toc820506539"/>
      <w:r>
        <w:rPr>
          <w:rFonts w:hint="eastAsia" w:ascii="宋体" w:hAnsi="宋体"/>
          <w:color w:val="auto"/>
          <w:sz w:val="24"/>
          <w:highlight w:val="none"/>
        </w:rPr>
        <w:t>区域监管平台</w:t>
      </w:r>
      <w:bookmarkEnd w:id="964"/>
      <w:bookmarkEnd w:id="965"/>
      <w:bookmarkEnd w:id="966"/>
      <w:bookmarkEnd w:id="967"/>
    </w:p>
    <w:p>
      <w:pPr>
        <w:pStyle w:val="5"/>
        <w:numPr>
          <w:ilvl w:val="2"/>
          <w:numId w:val="8"/>
        </w:numPr>
        <w:tabs>
          <w:tab w:val="clear" w:pos="720"/>
        </w:tabs>
        <w:autoSpaceDE/>
        <w:autoSpaceDN/>
        <w:adjustRightInd/>
        <w:spacing w:before="260" w:after="260" w:line="416" w:lineRule="auto"/>
        <w:jc w:val="both"/>
        <w:rPr>
          <w:rFonts w:hAnsi="宋体"/>
          <w:color w:val="auto"/>
          <w:szCs w:val="24"/>
          <w:highlight w:val="none"/>
        </w:rPr>
      </w:pPr>
      <w:bookmarkStart w:id="968" w:name="_Toc1260903586"/>
      <w:bookmarkStart w:id="969" w:name="_Toc23238"/>
      <w:bookmarkStart w:id="970" w:name="_Toc138247827"/>
      <w:r>
        <w:rPr>
          <w:rFonts w:hint="eastAsia" w:hAnsi="宋体"/>
          <w:color w:val="auto"/>
          <w:szCs w:val="24"/>
          <w:highlight w:val="none"/>
        </w:rPr>
        <w:t>区域监管数据治理平台</w:t>
      </w:r>
      <w:bookmarkEnd w:id="968"/>
      <w:bookmarkEnd w:id="969"/>
      <w:bookmarkEnd w:id="970"/>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left="105" w:leftChars="50" w:right="105" w:rightChars="50" w:firstLine="508"/>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5" w:leftChars="50" w:right="105" w:rightChars="50" w:firstLine="508"/>
              <w:jc w:val="center"/>
              <w:rPr>
                <w:rFonts w:ascii="宋体" w:hAnsi="宋体" w:eastAsia="宋体"/>
                <w:b/>
                <w:color w:val="auto"/>
                <w:w w:val="105"/>
                <w:sz w:val="24"/>
                <w:highlight w:val="none"/>
              </w:rPr>
            </w:pPr>
            <w:r>
              <w:rPr>
                <w:rFonts w:hint="eastAsia"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firstLine="482"/>
              <w:rPr>
                <w:rFonts w:ascii="宋体" w:hAnsi="宋体" w:eastAsia="宋体"/>
                <w:b/>
                <w:bCs/>
                <w:color w:val="auto"/>
                <w:sz w:val="24"/>
                <w:highlight w:val="none"/>
              </w:rPr>
            </w:pPr>
            <w:r>
              <w:rPr>
                <w:rFonts w:hint="eastAsia" w:ascii="宋体" w:hAnsi="宋体" w:eastAsia="宋体"/>
                <w:b/>
                <w:bCs/>
                <w:color w:val="auto"/>
                <w:sz w:val="24"/>
                <w:highlight w:val="none"/>
              </w:rPr>
              <w:t>专病数据归集</w:t>
            </w:r>
          </w:p>
        </w:tc>
        <w:tc>
          <w:tcPr>
            <w:tcW w:w="6622" w:type="dxa"/>
            <w:vAlign w:val="center"/>
          </w:tcPr>
          <w:p>
            <w:pPr>
              <w:pStyle w:val="201"/>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采集病种相关疾病及患者数据，通过ETL抽取、数据清洗、处理等技术治理，形成完整、精准、可用的数据，用于科研分析、临床应用等</w:t>
            </w:r>
          </w:p>
          <w:p>
            <w:pPr>
              <w:pStyle w:val="201"/>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管理专病数据整合所需的数据来源信息ip、端口、数据库名称、账号、密码等连接信息。支持查询、新增、修改、删除、禁用（启用）等操作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firstLine="482"/>
              <w:rPr>
                <w:rFonts w:ascii="宋体" w:hAnsi="宋体" w:eastAsia="宋体"/>
                <w:b/>
                <w:bCs/>
                <w:color w:val="auto"/>
                <w:sz w:val="24"/>
                <w:highlight w:val="none"/>
              </w:rPr>
            </w:pPr>
            <w:r>
              <w:rPr>
                <w:rFonts w:hint="eastAsia" w:ascii="宋体" w:hAnsi="宋体" w:eastAsia="宋体"/>
                <w:b/>
                <w:bCs/>
                <w:color w:val="auto"/>
                <w:sz w:val="24"/>
                <w:highlight w:val="none"/>
              </w:rPr>
              <w:t>专病标准数据集</w:t>
            </w:r>
          </w:p>
        </w:tc>
        <w:tc>
          <w:tcPr>
            <w:tcW w:w="6622" w:type="dxa"/>
            <w:vAlign w:val="center"/>
          </w:tcPr>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数据模型：管理数据模型的创建、查询、修改、删除</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支持对专病库的字段、采集路径、计算规则等进行管理，形成专病标准数据集，供系统其他模块调用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firstLine="482"/>
              <w:rPr>
                <w:rFonts w:ascii="宋体" w:hAnsi="宋体" w:eastAsia="宋体"/>
                <w:b/>
                <w:bCs/>
                <w:color w:val="auto"/>
                <w:sz w:val="24"/>
                <w:highlight w:val="none"/>
              </w:rPr>
            </w:pPr>
            <w:r>
              <w:rPr>
                <w:rFonts w:hint="eastAsia" w:ascii="宋体" w:hAnsi="宋体" w:eastAsia="宋体"/>
                <w:b/>
                <w:bCs/>
                <w:color w:val="auto"/>
                <w:sz w:val="24"/>
                <w:highlight w:val="none"/>
              </w:rPr>
              <w:t>数据后结构化处理</w:t>
            </w:r>
          </w:p>
        </w:tc>
        <w:tc>
          <w:tcPr>
            <w:tcW w:w="6622" w:type="dxa"/>
            <w:vAlign w:val="center"/>
          </w:tcPr>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加工入院记录、出院记录等电子病历文本，形成结构化、标准化数据</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支持影像报告解析：能够支持对CT、MR、PET-CT等影像学检查报告进行信息的结构化表达</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支持心电报告解析：能够对重点疾病心电报告进行文本解析</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支持对重点疾病手术记录的文本解析和结构化提取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firstLine="482"/>
              <w:rPr>
                <w:rFonts w:ascii="宋体" w:hAnsi="宋体" w:eastAsia="宋体"/>
                <w:b/>
                <w:bCs/>
                <w:color w:val="auto"/>
                <w:sz w:val="24"/>
                <w:highlight w:val="none"/>
              </w:rPr>
            </w:pPr>
            <w:r>
              <w:rPr>
                <w:rFonts w:hint="eastAsia" w:ascii="宋体" w:hAnsi="宋体" w:eastAsia="宋体"/>
                <w:b/>
                <w:bCs/>
                <w:color w:val="auto"/>
                <w:sz w:val="24"/>
                <w:highlight w:val="none"/>
              </w:rPr>
              <w:t>专病归一化处理</w:t>
            </w:r>
          </w:p>
        </w:tc>
        <w:tc>
          <w:tcPr>
            <w:tcW w:w="6622" w:type="dxa"/>
            <w:vAlign w:val="center"/>
          </w:tcPr>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针对诊断、药品、检验、检查等提供同义词转换、近义词转换及提供归一规则，并提交数据报告，以便院方优化原始数据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firstLine="482"/>
              <w:rPr>
                <w:rFonts w:ascii="宋体" w:hAnsi="宋体" w:eastAsia="宋体"/>
                <w:b/>
                <w:bCs/>
                <w:color w:val="auto"/>
                <w:sz w:val="24"/>
                <w:highlight w:val="none"/>
              </w:rPr>
            </w:pPr>
            <w:r>
              <w:rPr>
                <w:rFonts w:hint="eastAsia" w:ascii="宋体" w:hAnsi="宋体" w:eastAsia="宋体"/>
                <w:b/>
                <w:bCs/>
                <w:color w:val="auto"/>
                <w:sz w:val="24"/>
                <w:highlight w:val="none"/>
              </w:rPr>
              <w:t>任务</w:t>
            </w:r>
            <w:r>
              <w:rPr>
                <w:rFonts w:hint="eastAsia" w:ascii="宋体" w:hAnsi="宋体" w:eastAsia="宋体"/>
                <w:b/>
                <w:bCs/>
                <w:color w:val="auto"/>
                <w:sz w:val="24"/>
                <w:highlight w:val="none"/>
                <w:lang w:eastAsia="zh-CN"/>
              </w:rPr>
              <w:t>调度</w:t>
            </w:r>
            <w:r>
              <w:rPr>
                <w:rFonts w:hint="eastAsia" w:ascii="宋体" w:hAnsi="宋体" w:eastAsia="宋体"/>
                <w:b/>
                <w:bCs/>
                <w:color w:val="auto"/>
                <w:sz w:val="24"/>
                <w:highlight w:val="none"/>
              </w:rPr>
              <w:t>管理</w:t>
            </w:r>
          </w:p>
        </w:tc>
        <w:tc>
          <w:tcPr>
            <w:tcW w:w="6622" w:type="dxa"/>
            <w:vAlign w:val="center"/>
          </w:tcPr>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管理专病数据整合和数据处理的所有任务的执行与调度，可配置任务中的子任务和执行时间</w:t>
            </w:r>
          </w:p>
        </w:tc>
      </w:tr>
    </w:tbl>
    <w:p>
      <w:pPr>
        <w:rPr>
          <w:color w:val="auto"/>
          <w:highlight w:val="none"/>
        </w:rPr>
      </w:pPr>
    </w:p>
    <w:p>
      <w:pPr>
        <w:rPr>
          <w:color w:val="auto"/>
          <w:highlight w:val="none"/>
        </w:rPr>
      </w:pPr>
    </w:p>
    <w:p>
      <w:pPr>
        <w:pStyle w:val="5"/>
        <w:numPr>
          <w:ilvl w:val="2"/>
          <w:numId w:val="8"/>
        </w:numPr>
        <w:tabs>
          <w:tab w:val="clear" w:pos="720"/>
        </w:tabs>
        <w:autoSpaceDE/>
        <w:autoSpaceDN/>
        <w:adjustRightInd/>
        <w:spacing w:before="260" w:after="260" w:line="416" w:lineRule="auto"/>
        <w:jc w:val="both"/>
        <w:rPr>
          <w:rFonts w:hAnsi="宋体"/>
          <w:color w:val="auto"/>
          <w:szCs w:val="24"/>
          <w:highlight w:val="none"/>
        </w:rPr>
      </w:pPr>
      <w:bookmarkStart w:id="971" w:name="_Toc7540"/>
      <w:bookmarkStart w:id="972" w:name="_Toc25815"/>
      <w:bookmarkStart w:id="973" w:name="_Toc138247828"/>
      <w:bookmarkStart w:id="974" w:name="_Toc28420"/>
      <w:bookmarkStart w:id="975" w:name="_Toc1565"/>
      <w:bookmarkStart w:id="976" w:name="_Toc637941306"/>
      <w:r>
        <w:rPr>
          <w:rFonts w:hint="eastAsia" w:hAnsi="宋体"/>
          <w:color w:val="auto"/>
          <w:szCs w:val="24"/>
          <w:highlight w:val="none"/>
        </w:rPr>
        <w:t>三级医院区域疾病数据分析平台</w:t>
      </w:r>
      <w:bookmarkEnd w:id="971"/>
      <w:bookmarkEnd w:id="972"/>
      <w:bookmarkEnd w:id="973"/>
      <w:bookmarkEnd w:id="974"/>
      <w:bookmarkEnd w:id="975"/>
      <w:bookmarkEnd w:id="976"/>
    </w:p>
    <w:p>
      <w:pPr>
        <w:pStyle w:val="6"/>
        <w:numPr>
          <w:ilvl w:val="3"/>
          <w:numId w:val="8"/>
        </w:numPr>
        <w:spacing w:before="280" w:after="290" w:line="376" w:lineRule="auto"/>
        <w:rPr>
          <w:rFonts w:ascii="宋体" w:hAnsi="宋体"/>
          <w:color w:val="auto"/>
          <w:sz w:val="24"/>
          <w:szCs w:val="24"/>
          <w:highlight w:val="none"/>
        </w:rPr>
      </w:pPr>
      <w:bookmarkStart w:id="977" w:name="_Toc2962"/>
      <w:r>
        <w:rPr>
          <w:rFonts w:hint="eastAsia" w:ascii="宋体" w:hAnsi="宋体"/>
          <w:color w:val="auto"/>
          <w:sz w:val="24"/>
          <w:szCs w:val="24"/>
          <w:highlight w:val="none"/>
        </w:rPr>
        <w:t>三级医院区域疾病数据汇聚中心</w:t>
      </w:r>
      <w:bookmarkEnd w:id="977"/>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left="105" w:leftChars="50" w:right="105" w:rightChars="50" w:firstLine="508"/>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5" w:leftChars="50" w:right="105" w:rightChars="50" w:firstLine="508"/>
              <w:jc w:val="center"/>
              <w:rPr>
                <w:rFonts w:ascii="宋体" w:hAnsi="宋体" w:eastAsia="宋体"/>
                <w:b/>
                <w:color w:val="auto"/>
                <w:w w:val="105"/>
                <w:sz w:val="24"/>
                <w:highlight w:val="none"/>
              </w:rPr>
            </w:pPr>
            <w:r>
              <w:rPr>
                <w:rFonts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cs="华文仿宋"/>
                <w:b/>
                <w:color w:val="auto"/>
                <w:sz w:val="24"/>
                <w:highlight w:val="none"/>
                <w:lang w:eastAsia="zh-CN" w:bidi="ar"/>
              </w:rPr>
              <w:t>三级医院区域疾病数据整合</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数据源配置：</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配置数据来源，可选择不同区域、医疗机构的诊疗数据作为数据来源</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采集管理</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可新增、编辑、删除采集规则</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可自定义规则对数据进行脱敏处理</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3.</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可设置采集频率</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数据权限：</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配置医疗机构数据访问权限，可指定角色访问</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数据日志：</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采集数据执行结果日志列表，显示采集规则、采集时间、采集频率、采集状态等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cs="华文仿宋"/>
                <w:b/>
                <w:color w:val="auto"/>
                <w:sz w:val="24"/>
                <w:highlight w:val="none"/>
                <w:lang w:eastAsia="zh-CN" w:bidi="ar"/>
              </w:rPr>
              <w:t>三级医院区域疾病数据治理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数据治理：</w:t>
            </w:r>
            <w:r>
              <w:rPr>
                <w:rFonts w:hint="eastAsia" w:ascii="宋体" w:hAnsi="宋体" w:eastAsia="宋体"/>
                <w:color w:val="auto"/>
                <w:sz w:val="24"/>
                <w:highlight w:val="none"/>
                <w:lang w:eastAsia="zh-CN"/>
              </w:rPr>
              <w:t>通过ETL抽取、清洗、处理等，支持数据集成及整合过程的标准化：实现数据的集成，通过各种数据治理手段，结合标准的医疗术语的标准规范管理，实现数据的标准化、结构化，并实现数据治理过程中的完整性、自洽性、一致性。形成完整、可用的数据源；</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数据展示：</w:t>
            </w:r>
            <w:r>
              <w:rPr>
                <w:rFonts w:hint="eastAsia" w:ascii="宋体" w:hAnsi="宋体" w:eastAsia="宋体"/>
                <w:color w:val="auto"/>
                <w:kern w:val="0"/>
                <w:sz w:val="24"/>
                <w:highlight w:val="none"/>
                <w:lang w:eastAsia="zh-CN"/>
              </w:rPr>
              <w:t>支持可</w:t>
            </w:r>
            <w:r>
              <w:rPr>
                <w:rFonts w:hint="eastAsia" w:ascii="宋体" w:hAnsi="宋体" w:eastAsia="宋体"/>
                <w:color w:val="auto"/>
                <w:sz w:val="24"/>
                <w:highlight w:val="none"/>
                <w:lang w:eastAsia="zh-CN"/>
              </w:rPr>
              <w:t>展示各各医疗机构疾病数据概况、数据趋势概况等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firstLine="482"/>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三级医院区域专病数据检索</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模糊检索</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1.支持通过关键字（患者姓名、住院号、ICD编码等）进行模糊检索，系统可从区域疾病数据库可提取相关病历信息并进行列表展示</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2.支持对检索结果中的关键词进行标红高亮显示</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3.支持对检索条件保存为指定名称的数据集</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高级检索：</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可选择配置多个查询条件进行（and/or/not，关键词包含或不包含，精确数值类型条件大于/等于/小于）组合查询</w:t>
            </w:r>
            <w:r>
              <w:rPr>
                <w:rFonts w:hint="eastAsia" w:ascii="宋体" w:hAnsi="宋体" w:eastAsia="宋体" w:cs="华文仿宋"/>
                <w:color w:val="auto"/>
                <w:sz w:val="24"/>
                <w:highlight w:val="none"/>
                <w:lang w:eastAsia="zh-CN" w:bidi="ar"/>
              </w:rPr>
              <w:t>。</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结果展示：</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根据标签或关键字进入下级页面浏览相关信息，可查看结果详情，患者基本信息、检查报告、诊断结果等</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数据导出：</w:t>
            </w:r>
            <w:r>
              <w:rPr>
                <w:rFonts w:hint="eastAsia" w:ascii="宋体" w:hAnsi="宋体" w:eastAsia="宋体"/>
                <w:color w:val="auto"/>
                <w:sz w:val="24"/>
                <w:highlight w:val="none"/>
                <w:lang w:eastAsia="zh-CN"/>
              </w:rPr>
              <w:t>支持将通过检索的数据结果按照自定义模板配置导出患者信息以csv格式进行保存。数据导出之前必须在系统中按流程进行审批，审批通过后，按权限获取数据，系统在导出数据之前自动进行脱敏处理。</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数据集：</w:t>
            </w:r>
            <w:r>
              <w:rPr>
                <w:rFonts w:hint="eastAsia" w:ascii="宋体" w:hAnsi="宋体" w:eastAsia="宋体"/>
                <w:color w:val="auto"/>
                <w:sz w:val="24"/>
                <w:highlight w:val="none"/>
                <w:lang w:eastAsia="zh-CN"/>
              </w:rPr>
              <w:t>支持列表展示历史检索并保存的自定义条件数据集，可直达检索数据结果详情列表页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firstLine="482"/>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任务管理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任务列表：</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可添加、编辑、停止任务</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执行日志：</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查看任务执行日志列表，包括任务执行状态、执行时间、执行规则。</w:t>
            </w:r>
          </w:p>
        </w:tc>
      </w:tr>
    </w:tbl>
    <w:p>
      <w:pPr>
        <w:rPr>
          <w:color w:val="auto"/>
          <w:highlight w:val="none"/>
        </w:rPr>
      </w:pPr>
    </w:p>
    <w:p>
      <w:pPr>
        <w:pStyle w:val="21"/>
        <w:ind w:firstLine="0" w:firstLineChars="0"/>
        <w:rPr>
          <w:color w:val="auto"/>
          <w:highlight w:val="none"/>
        </w:rPr>
      </w:pPr>
    </w:p>
    <w:p>
      <w:pPr>
        <w:pStyle w:val="6"/>
        <w:numPr>
          <w:ilvl w:val="3"/>
          <w:numId w:val="8"/>
        </w:numPr>
        <w:spacing w:before="280" w:after="290" w:line="376" w:lineRule="auto"/>
        <w:rPr>
          <w:rFonts w:ascii="宋体" w:hAnsi="宋体"/>
          <w:color w:val="auto"/>
          <w:sz w:val="24"/>
          <w:szCs w:val="24"/>
          <w:highlight w:val="none"/>
        </w:rPr>
      </w:pPr>
      <w:bookmarkStart w:id="978" w:name="_Toc1591"/>
      <w:r>
        <w:rPr>
          <w:rFonts w:hint="eastAsia" w:ascii="宋体" w:hAnsi="宋体"/>
          <w:color w:val="auto"/>
          <w:sz w:val="24"/>
          <w:szCs w:val="24"/>
          <w:highlight w:val="none"/>
        </w:rPr>
        <w:t>三级医院区域专病数据质控中心</w:t>
      </w:r>
      <w:bookmarkEnd w:id="978"/>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right="105" w:rightChars="50" w:firstLine="508"/>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5" w:leftChars="50" w:right="105" w:rightChars="50" w:firstLine="508"/>
              <w:jc w:val="center"/>
              <w:rPr>
                <w:rFonts w:ascii="宋体" w:hAnsi="宋体" w:eastAsia="宋体"/>
                <w:b/>
                <w:color w:val="auto"/>
                <w:w w:val="105"/>
                <w:sz w:val="24"/>
                <w:highlight w:val="none"/>
              </w:rPr>
            </w:pPr>
            <w:r>
              <w:rPr>
                <w:rFonts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cs="华文仿宋"/>
                <w:b/>
                <w:color w:val="auto"/>
                <w:sz w:val="24"/>
                <w:highlight w:val="none"/>
                <w:lang w:eastAsia="zh-CN" w:bidi="ar"/>
              </w:rPr>
              <w:t>三级医院区域质控规则管理</w:t>
            </w:r>
          </w:p>
        </w:tc>
        <w:tc>
          <w:tcPr>
            <w:tcW w:w="6622" w:type="dxa"/>
            <w:vAlign w:val="center"/>
          </w:tcPr>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对数据的完整性、规范性、一致性、准确性、唯一性规则的新增、修改、删除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firstLine="482"/>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三级医院区域质控任务管理</w:t>
            </w:r>
          </w:p>
        </w:tc>
        <w:tc>
          <w:tcPr>
            <w:tcW w:w="6622" w:type="dxa"/>
            <w:vAlign w:val="center"/>
          </w:tcPr>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任务管理：管理质量规则任务的新增、编辑、删除，查看任务的状态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0" w:right="105" w:rightChars="50" w:firstLine="482"/>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三级医院区域数据质控</w:t>
            </w:r>
          </w:p>
        </w:tc>
        <w:tc>
          <w:tcPr>
            <w:tcW w:w="6622" w:type="dxa"/>
            <w:vAlign w:val="center"/>
          </w:tcPr>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支持查看质控任务列表；</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支持查看质控任务执行详情；</w:t>
            </w:r>
          </w:p>
          <w:p>
            <w:pPr>
              <w:pStyle w:val="201"/>
              <w:numPr>
                <w:ilvl w:val="0"/>
                <w:numId w:val="9"/>
              </w:numPr>
              <w:spacing w:before="6" w:line="360" w:lineRule="auto"/>
              <w:ind w:left="452" w:right="105" w:rightChars="50" w:firstLine="482"/>
              <w:rPr>
                <w:rFonts w:ascii="宋体" w:hAnsi="宋体"/>
                <w:color w:val="auto"/>
                <w:sz w:val="24"/>
                <w:highlight w:val="none"/>
                <w:lang w:eastAsia="zh-CN"/>
              </w:rPr>
            </w:pPr>
            <w:r>
              <w:rPr>
                <w:rFonts w:hint="eastAsia" w:ascii="宋体" w:hAnsi="宋体" w:eastAsia="宋体"/>
                <w:color w:val="auto"/>
                <w:sz w:val="24"/>
                <w:highlight w:val="none"/>
                <w:lang w:eastAsia="zh-CN"/>
              </w:rPr>
              <w:t>支持手动执行质控任务；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left="0" w:right="105" w:rightChars="50" w:firstLine="482"/>
              <w:rPr>
                <w:rFonts w:ascii="宋体" w:hAnsi="宋体" w:eastAsia="宋体"/>
                <w:b/>
                <w:bCs/>
                <w:color w:val="auto"/>
                <w:sz w:val="24"/>
                <w:highlight w:val="none"/>
                <w:lang w:eastAsia="zh-CN"/>
              </w:rPr>
            </w:pPr>
            <w:r>
              <w:rPr>
                <w:rFonts w:hint="eastAsia" w:ascii="宋体" w:hAnsi="宋体" w:eastAsia="宋体" w:cs="华文仿宋"/>
                <w:b/>
                <w:color w:val="auto"/>
                <w:sz w:val="24"/>
                <w:highlight w:val="none"/>
                <w:lang w:eastAsia="zh-CN" w:bidi="ar"/>
              </w:rPr>
              <w:t>三级医院</w:t>
            </w:r>
            <w:r>
              <w:rPr>
                <w:rFonts w:hint="eastAsia" w:ascii="宋体" w:hAnsi="宋体" w:eastAsia="宋体"/>
                <w:b/>
                <w:bCs/>
                <w:color w:val="auto"/>
                <w:sz w:val="24"/>
                <w:highlight w:val="none"/>
                <w:lang w:eastAsia="zh-CN"/>
              </w:rPr>
              <w:t>区域质控报告</w:t>
            </w:r>
          </w:p>
        </w:tc>
        <w:tc>
          <w:tcPr>
            <w:tcW w:w="6622" w:type="dxa"/>
            <w:vAlign w:val="center"/>
          </w:tcPr>
          <w:p>
            <w:pPr>
              <w:pStyle w:val="201"/>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质量报告：统计分析某个时间段内各种规则在数据处理过程中数据的质量情况</w:t>
            </w:r>
          </w:p>
          <w:p>
            <w:pPr>
              <w:pStyle w:val="201"/>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问题统计：统计在数据处理过程中的规则校验出现的各种错误和问题</w:t>
            </w:r>
          </w:p>
        </w:tc>
      </w:tr>
    </w:tbl>
    <w:p>
      <w:pPr>
        <w:rPr>
          <w:color w:val="auto"/>
          <w:highlight w:val="none"/>
        </w:rPr>
      </w:pPr>
    </w:p>
    <w:p>
      <w:pPr>
        <w:pStyle w:val="6"/>
        <w:numPr>
          <w:ilvl w:val="3"/>
          <w:numId w:val="8"/>
        </w:numPr>
        <w:spacing w:before="280" w:after="290" w:line="376" w:lineRule="auto"/>
        <w:rPr>
          <w:rFonts w:ascii="宋体" w:hAnsi="宋体"/>
          <w:color w:val="auto"/>
          <w:sz w:val="24"/>
          <w:szCs w:val="24"/>
          <w:highlight w:val="none"/>
        </w:rPr>
      </w:pPr>
      <w:bookmarkStart w:id="979" w:name="_Toc20718"/>
      <w:r>
        <w:rPr>
          <w:rFonts w:hint="eastAsia" w:ascii="宋体" w:hAnsi="宋体"/>
          <w:color w:val="auto"/>
          <w:sz w:val="24"/>
          <w:szCs w:val="24"/>
          <w:highlight w:val="none"/>
        </w:rPr>
        <w:t>三级医院区域疾病数据管控中心</w:t>
      </w:r>
      <w:bookmarkEnd w:id="979"/>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right="105" w:rightChars="50" w:firstLine="508"/>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5" w:leftChars="50" w:right="105" w:rightChars="50" w:firstLine="508"/>
              <w:jc w:val="center"/>
              <w:rPr>
                <w:rFonts w:ascii="宋体" w:hAnsi="宋体" w:eastAsia="宋体"/>
                <w:b/>
                <w:color w:val="auto"/>
                <w:w w:val="105"/>
                <w:sz w:val="24"/>
                <w:highlight w:val="none"/>
              </w:rPr>
            </w:pPr>
            <w:r>
              <w:rPr>
                <w:rFonts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4" w:hRule="atLeast"/>
          <w:jc w:val="center"/>
        </w:trPr>
        <w:tc>
          <w:tcPr>
            <w:tcW w:w="1696" w:type="dxa"/>
            <w:vAlign w:val="center"/>
          </w:tcPr>
          <w:p>
            <w:pPr>
              <w:pStyle w:val="201"/>
              <w:spacing w:before="6" w:line="360" w:lineRule="auto"/>
              <w:ind w:left="0" w:right="105" w:rightChars="50" w:firstLine="482"/>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三级医院区域疾病数据指标管理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指标计算：</w:t>
            </w:r>
            <w:r>
              <w:rPr>
                <w:rFonts w:hint="eastAsia" w:ascii="宋体" w:hAnsi="宋体" w:eastAsia="宋体"/>
                <w:color w:val="auto"/>
                <w:sz w:val="24"/>
                <w:highlight w:val="none"/>
                <w:lang w:eastAsia="zh-CN"/>
              </w:rPr>
              <w:t>支持按已配置的计算规则执行计算任务</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指标配置：支持</w:t>
            </w:r>
            <w:r>
              <w:rPr>
                <w:rFonts w:hint="eastAsia" w:ascii="宋体" w:hAnsi="宋体" w:eastAsia="宋体"/>
                <w:color w:val="auto"/>
                <w:sz w:val="24"/>
                <w:highlight w:val="none"/>
                <w:lang w:eastAsia="zh-CN"/>
              </w:rPr>
              <w:t>定义区域疾病分析指标及其采集来源、计算规则。指标选择根据《公立医院高质量发展评价指标（试行）》、《国家三级公立医院绩效考核操作手册（2022）》、《三级医院评审标准(2022年版)实施细则》、《二级医院评审标准(2022年版)实施细则》等文件，包括但不限于以下指标：</w:t>
            </w:r>
          </w:p>
          <w:p>
            <w:pPr>
              <w:pStyle w:val="42"/>
              <w:ind w:firstLine="480" w:firstLineChars="200"/>
              <w:rPr>
                <w:rFonts w:ascii="宋体" w:hAnsi="宋体" w:cs="仿宋"/>
                <w:color w:val="auto"/>
                <w:sz w:val="24"/>
                <w:highlight w:val="none"/>
              </w:rPr>
            </w:pPr>
            <w:r>
              <w:rPr>
                <w:rFonts w:hint="eastAsia" w:ascii="宋体" w:hAnsi="宋体" w:cs="仿宋"/>
                <w:color w:val="auto"/>
                <w:sz w:val="24"/>
                <w:highlight w:val="none"/>
              </w:rPr>
              <w:t xml:space="preserve">1.门诊人次数与出院人次数比 </w:t>
            </w:r>
          </w:p>
          <w:p>
            <w:pPr>
              <w:pStyle w:val="42"/>
              <w:ind w:firstLine="480" w:firstLineChars="200"/>
              <w:rPr>
                <w:rFonts w:ascii="宋体" w:hAnsi="宋体" w:cs="仿宋"/>
                <w:color w:val="auto"/>
                <w:sz w:val="24"/>
                <w:highlight w:val="none"/>
              </w:rPr>
            </w:pPr>
            <w:r>
              <w:rPr>
                <w:rFonts w:hint="eastAsia" w:ascii="宋体" w:hAnsi="宋体" w:cs="仿宋"/>
                <w:color w:val="auto"/>
                <w:sz w:val="24"/>
                <w:highlight w:val="none"/>
              </w:rPr>
              <w:t>2.下转患者人次数（门急诊、住院）</w:t>
            </w:r>
          </w:p>
          <w:p>
            <w:pPr>
              <w:pStyle w:val="42"/>
              <w:ind w:firstLine="480" w:firstLineChars="200"/>
              <w:rPr>
                <w:rFonts w:ascii="宋体" w:hAnsi="宋体" w:cs="仿宋"/>
                <w:color w:val="auto"/>
                <w:sz w:val="24"/>
                <w:highlight w:val="none"/>
              </w:rPr>
            </w:pPr>
            <w:r>
              <w:rPr>
                <w:rFonts w:hint="eastAsia" w:ascii="宋体" w:hAnsi="宋体" w:cs="仿宋"/>
                <w:color w:val="auto"/>
                <w:sz w:val="24"/>
                <w:highlight w:val="none"/>
              </w:rPr>
              <w:t>3.日间手术占择期手术比例</w:t>
            </w:r>
          </w:p>
          <w:p>
            <w:pPr>
              <w:pStyle w:val="42"/>
              <w:ind w:firstLine="480" w:firstLineChars="200"/>
              <w:rPr>
                <w:rFonts w:ascii="宋体" w:hAnsi="宋体" w:cs="仿宋"/>
                <w:color w:val="auto"/>
                <w:sz w:val="24"/>
                <w:highlight w:val="none"/>
              </w:rPr>
            </w:pPr>
            <w:r>
              <w:rPr>
                <w:rFonts w:hint="eastAsia" w:ascii="宋体" w:hAnsi="宋体" w:cs="仿宋"/>
                <w:color w:val="auto"/>
                <w:sz w:val="24"/>
                <w:highlight w:val="none"/>
              </w:rPr>
              <w:t>4.出院患者手术占比</w:t>
            </w:r>
          </w:p>
          <w:p>
            <w:pPr>
              <w:pStyle w:val="42"/>
              <w:ind w:firstLine="480" w:firstLineChars="200"/>
              <w:rPr>
                <w:rFonts w:ascii="宋体" w:hAnsi="宋体" w:cs="仿宋"/>
                <w:color w:val="auto"/>
                <w:sz w:val="24"/>
                <w:highlight w:val="none"/>
              </w:rPr>
            </w:pPr>
            <w:r>
              <w:rPr>
                <w:rFonts w:hint="eastAsia" w:ascii="宋体" w:hAnsi="宋体" w:cs="仿宋"/>
                <w:color w:val="auto"/>
                <w:sz w:val="24"/>
                <w:highlight w:val="none"/>
              </w:rPr>
              <w:t>5.出院患者微创手术占比</w:t>
            </w:r>
          </w:p>
          <w:p>
            <w:pPr>
              <w:pStyle w:val="42"/>
              <w:ind w:firstLine="480" w:firstLineChars="200"/>
              <w:rPr>
                <w:rFonts w:ascii="宋体" w:hAnsi="宋体" w:cs="仿宋"/>
                <w:color w:val="auto"/>
                <w:sz w:val="24"/>
                <w:highlight w:val="none"/>
              </w:rPr>
            </w:pPr>
            <w:r>
              <w:rPr>
                <w:rFonts w:hint="eastAsia" w:ascii="宋体" w:hAnsi="宋体" w:cs="仿宋"/>
                <w:color w:val="auto"/>
                <w:sz w:val="24"/>
                <w:highlight w:val="none"/>
              </w:rPr>
              <w:t>6.出院患者四级手术比例</w:t>
            </w:r>
          </w:p>
          <w:p>
            <w:pPr>
              <w:pStyle w:val="42"/>
              <w:ind w:firstLine="240"/>
              <w:rPr>
                <w:rFonts w:ascii="宋体" w:hAnsi="宋体" w:cs="仿宋"/>
                <w:color w:val="auto"/>
                <w:sz w:val="24"/>
                <w:highlight w:val="none"/>
              </w:rPr>
            </w:pPr>
            <w:r>
              <w:rPr>
                <w:rFonts w:hint="eastAsia" w:ascii="宋体" w:hAnsi="宋体" w:cs="仿宋"/>
                <w:color w:val="auto"/>
                <w:sz w:val="24"/>
                <w:highlight w:val="none"/>
              </w:rPr>
              <w:t xml:space="preserve">  7.专科能力指数</w:t>
            </w:r>
          </w:p>
          <w:p>
            <w:pPr>
              <w:pStyle w:val="42"/>
              <w:ind w:firstLine="240"/>
              <w:rPr>
                <w:rFonts w:ascii="宋体" w:hAnsi="宋体"/>
                <w:color w:val="auto"/>
                <w:sz w:val="24"/>
                <w:highlight w:val="none"/>
              </w:rPr>
            </w:pPr>
            <w:r>
              <w:rPr>
                <w:rFonts w:hint="eastAsia" w:ascii="宋体" w:hAnsi="宋体" w:cs="仿宋"/>
                <w:color w:val="auto"/>
                <w:sz w:val="24"/>
                <w:highlight w:val="none"/>
              </w:rPr>
              <w:t xml:space="preserve">  8.住院患者重点监测病种覆盖率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left="0"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可视化</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结果展示：</w:t>
            </w:r>
            <w:r>
              <w:rPr>
                <w:rFonts w:hint="eastAsia" w:ascii="宋体" w:hAnsi="宋体" w:eastAsia="宋体"/>
                <w:color w:val="auto"/>
                <w:sz w:val="24"/>
                <w:highlight w:val="none"/>
                <w:lang w:eastAsia="zh-CN"/>
              </w:rPr>
              <w:t>支持对计算结果可视化显示，将配置好的图表视图及绑定数据结果进行展示</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配置管理：</w:t>
            </w:r>
            <w:r>
              <w:rPr>
                <w:rFonts w:hint="eastAsia" w:ascii="宋体" w:hAnsi="宋体" w:eastAsia="宋体"/>
                <w:color w:val="auto"/>
                <w:sz w:val="24"/>
                <w:highlight w:val="none"/>
                <w:lang w:eastAsia="zh-CN"/>
              </w:rPr>
              <w:t>支持自定义配置可视化图表，包括：</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1.视图创建：新增图表名称，可配置图标维度和指标、指定查询数据脚本、上传缩略图、图表类型（折线、饼图、柱状图、仪表盘、词云图）</w:t>
            </w:r>
          </w:p>
          <w:p>
            <w:pPr>
              <w:pStyle w:val="201"/>
              <w:widowControl/>
              <w:spacing w:before="6" w:line="360" w:lineRule="auto"/>
              <w:ind w:left="120" w:right="105" w:rightChars="50" w:firstLine="240" w:firstLineChars="100"/>
              <w:rPr>
                <w:rFonts w:ascii="宋体" w:hAnsi="宋体" w:eastAsia="宋体"/>
                <w:b/>
                <w:bCs/>
                <w:color w:val="auto"/>
                <w:sz w:val="24"/>
                <w:highlight w:val="none"/>
                <w:lang w:eastAsia="zh-CN"/>
              </w:rPr>
            </w:pPr>
            <w:r>
              <w:rPr>
                <w:rFonts w:hint="eastAsia" w:ascii="宋体" w:hAnsi="宋体" w:eastAsia="宋体"/>
                <w:color w:val="auto"/>
                <w:sz w:val="24"/>
                <w:highlight w:val="none"/>
                <w:lang w:eastAsia="zh-CN"/>
              </w:rPr>
              <w:t>2.视图维护：支持参数更新编辑、删除</w:t>
            </w:r>
          </w:p>
        </w:tc>
      </w:tr>
    </w:tbl>
    <w:p>
      <w:pPr>
        <w:rPr>
          <w:rFonts w:ascii="宋体" w:hAnsi="宋体"/>
          <w:color w:val="auto"/>
          <w:sz w:val="24"/>
          <w:highlight w:val="none"/>
        </w:rPr>
      </w:pPr>
    </w:p>
    <w:p>
      <w:pPr>
        <w:pStyle w:val="5"/>
        <w:numPr>
          <w:ilvl w:val="2"/>
          <w:numId w:val="8"/>
        </w:numPr>
        <w:tabs>
          <w:tab w:val="clear" w:pos="720"/>
        </w:tabs>
        <w:autoSpaceDE/>
        <w:autoSpaceDN/>
        <w:adjustRightInd/>
        <w:spacing w:before="260" w:after="260" w:line="416" w:lineRule="auto"/>
        <w:jc w:val="both"/>
        <w:rPr>
          <w:rFonts w:hAnsi="宋体"/>
          <w:color w:val="auto"/>
          <w:szCs w:val="24"/>
          <w:highlight w:val="none"/>
        </w:rPr>
      </w:pPr>
      <w:bookmarkStart w:id="980" w:name="_Toc28101"/>
      <w:bookmarkStart w:id="981" w:name="_Toc1641164118"/>
      <w:bookmarkStart w:id="982" w:name="_Toc138247829"/>
      <w:r>
        <w:rPr>
          <w:rFonts w:hint="eastAsia" w:hAnsi="宋体"/>
          <w:color w:val="auto"/>
          <w:szCs w:val="24"/>
          <w:highlight w:val="none"/>
        </w:rPr>
        <w:t>二级医院区域疾病数据分析平台</w:t>
      </w:r>
      <w:bookmarkEnd w:id="980"/>
      <w:bookmarkEnd w:id="981"/>
      <w:bookmarkEnd w:id="982"/>
    </w:p>
    <w:p>
      <w:pPr>
        <w:pStyle w:val="6"/>
        <w:numPr>
          <w:ilvl w:val="3"/>
          <w:numId w:val="8"/>
        </w:numPr>
        <w:spacing w:before="280" w:after="290" w:line="376" w:lineRule="auto"/>
        <w:rPr>
          <w:rFonts w:ascii="宋体" w:hAnsi="宋体"/>
          <w:color w:val="auto"/>
          <w:sz w:val="24"/>
          <w:szCs w:val="24"/>
          <w:highlight w:val="none"/>
        </w:rPr>
      </w:pPr>
      <w:bookmarkStart w:id="983" w:name="_Toc22906"/>
      <w:r>
        <w:rPr>
          <w:rFonts w:hint="eastAsia" w:ascii="宋体" w:hAnsi="宋体"/>
          <w:color w:val="auto"/>
          <w:sz w:val="24"/>
          <w:szCs w:val="24"/>
          <w:highlight w:val="none"/>
        </w:rPr>
        <w:t>三级医院区域医疗质量数据质控中心</w:t>
      </w:r>
      <w:bookmarkEnd w:id="983"/>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right="105" w:rightChars="50" w:firstLine="508"/>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5" w:leftChars="50" w:right="105" w:rightChars="50" w:firstLine="508"/>
              <w:jc w:val="center"/>
              <w:rPr>
                <w:rFonts w:ascii="宋体" w:hAnsi="宋体" w:eastAsia="宋体"/>
                <w:b/>
                <w:color w:val="auto"/>
                <w:w w:val="105"/>
                <w:sz w:val="24"/>
                <w:highlight w:val="none"/>
              </w:rPr>
            </w:pPr>
            <w:r>
              <w:rPr>
                <w:rFonts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cs="华文仿宋"/>
                <w:b/>
                <w:color w:val="auto"/>
                <w:sz w:val="24"/>
                <w:highlight w:val="none"/>
                <w:lang w:eastAsia="zh-CN" w:bidi="ar"/>
              </w:rPr>
              <w:t>三级医院区域质控规则管理</w:t>
            </w:r>
          </w:p>
        </w:tc>
        <w:tc>
          <w:tcPr>
            <w:tcW w:w="6622" w:type="dxa"/>
            <w:vAlign w:val="center"/>
          </w:tcPr>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对数据的完整性、规范性、一致性、准确性、唯一性规则的新增、修改、删除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firstLine="482"/>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三级医院区域质控任务管理</w:t>
            </w:r>
          </w:p>
        </w:tc>
        <w:tc>
          <w:tcPr>
            <w:tcW w:w="6622" w:type="dxa"/>
            <w:vAlign w:val="center"/>
          </w:tcPr>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任务管理：管理质量规则任务的新增、编辑、删除，查看任务的状态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0" w:right="105" w:rightChars="50" w:firstLine="482"/>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三级医院区域数据质控</w:t>
            </w:r>
          </w:p>
        </w:tc>
        <w:tc>
          <w:tcPr>
            <w:tcW w:w="6622" w:type="dxa"/>
            <w:vAlign w:val="center"/>
          </w:tcPr>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支持查看质控任务列表；</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支持查看质控任务执行详情；</w:t>
            </w:r>
          </w:p>
          <w:p>
            <w:pPr>
              <w:pStyle w:val="201"/>
              <w:numPr>
                <w:ilvl w:val="0"/>
                <w:numId w:val="9"/>
              </w:numPr>
              <w:spacing w:before="6" w:line="360" w:lineRule="auto"/>
              <w:ind w:left="452" w:right="105" w:rightChars="50" w:firstLine="482"/>
              <w:rPr>
                <w:rFonts w:ascii="宋体" w:hAnsi="宋体"/>
                <w:color w:val="auto"/>
                <w:sz w:val="24"/>
                <w:highlight w:val="none"/>
                <w:lang w:eastAsia="zh-CN"/>
              </w:rPr>
            </w:pPr>
            <w:r>
              <w:rPr>
                <w:rFonts w:hint="eastAsia" w:ascii="宋体" w:hAnsi="宋体" w:eastAsia="宋体"/>
                <w:color w:val="auto"/>
                <w:sz w:val="24"/>
                <w:highlight w:val="none"/>
                <w:lang w:eastAsia="zh-CN"/>
              </w:rPr>
              <w:t>支持手工执行质控任务；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left="0" w:right="105" w:rightChars="50" w:firstLine="482"/>
              <w:rPr>
                <w:rFonts w:ascii="宋体" w:hAnsi="宋体" w:eastAsia="宋体"/>
                <w:b/>
                <w:bCs/>
                <w:color w:val="auto"/>
                <w:sz w:val="24"/>
                <w:highlight w:val="none"/>
                <w:lang w:eastAsia="zh-CN"/>
              </w:rPr>
            </w:pPr>
            <w:r>
              <w:rPr>
                <w:rFonts w:hint="eastAsia" w:ascii="宋体" w:hAnsi="宋体" w:eastAsia="宋体" w:cs="华文仿宋"/>
                <w:b/>
                <w:color w:val="auto"/>
                <w:sz w:val="24"/>
                <w:highlight w:val="none"/>
                <w:lang w:eastAsia="zh-CN" w:bidi="ar"/>
              </w:rPr>
              <w:t>三级医院</w:t>
            </w:r>
            <w:r>
              <w:rPr>
                <w:rFonts w:hint="eastAsia" w:ascii="宋体" w:hAnsi="宋体" w:eastAsia="宋体"/>
                <w:b/>
                <w:bCs/>
                <w:color w:val="auto"/>
                <w:sz w:val="24"/>
                <w:highlight w:val="none"/>
                <w:lang w:eastAsia="zh-CN"/>
              </w:rPr>
              <w:t>区域质控报告</w:t>
            </w:r>
          </w:p>
        </w:tc>
        <w:tc>
          <w:tcPr>
            <w:tcW w:w="6622" w:type="dxa"/>
            <w:vAlign w:val="center"/>
          </w:tcPr>
          <w:p>
            <w:pPr>
              <w:pStyle w:val="201"/>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质量报告：统计分析某个时间段内各种规则在数据处理过程中数据的质量情况</w:t>
            </w:r>
          </w:p>
          <w:p>
            <w:pPr>
              <w:pStyle w:val="201"/>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问题统计：统计在数据处理过程中的规则校验出现的各种错误和问题</w:t>
            </w:r>
          </w:p>
        </w:tc>
      </w:tr>
    </w:tbl>
    <w:p>
      <w:pPr>
        <w:rPr>
          <w:color w:val="auto"/>
          <w:highlight w:val="none"/>
        </w:rPr>
      </w:pPr>
    </w:p>
    <w:p>
      <w:pPr>
        <w:pStyle w:val="6"/>
        <w:numPr>
          <w:ilvl w:val="3"/>
          <w:numId w:val="8"/>
        </w:numPr>
        <w:spacing w:before="280" w:after="290" w:line="376" w:lineRule="auto"/>
        <w:rPr>
          <w:rFonts w:ascii="宋体" w:hAnsi="宋体"/>
          <w:color w:val="auto"/>
          <w:sz w:val="24"/>
          <w:szCs w:val="24"/>
          <w:highlight w:val="none"/>
        </w:rPr>
      </w:pPr>
      <w:bookmarkStart w:id="984" w:name="_Toc25629"/>
      <w:r>
        <w:rPr>
          <w:rFonts w:hint="eastAsia" w:hAnsi="宋体"/>
          <w:color w:val="auto"/>
          <w:sz w:val="24"/>
          <w:szCs w:val="24"/>
          <w:highlight w:val="none"/>
        </w:rPr>
        <w:t>二</w:t>
      </w:r>
      <w:r>
        <w:rPr>
          <w:rFonts w:hint="eastAsia" w:ascii="宋体" w:hAnsi="宋体"/>
          <w:color w:val="auto"/>
          <w:sz w:val="24"/>
          <w:szCs w:val="24"/>
          <w:highlight w:val="none"/>
        </w:rPr>
        <w:t>级医院区域疾病数据汇聚中心</w:t>
      </w:r>
      <w:bookmarkEnd w:id="984"/>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left="105" w:leftChars="50" w:right="105" w:rightChars="50" w:firstLine="508"/>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5" w:leftChars="50" w:right="105" w:rightChars="50" w:firstLine="508"/>
              <w:jc w:val="center"/>
              <w:rPr>
                <w:rFonts w:ascii="宋体" w:hAnsi="宋体" w:eastAsia="宋体"/>
                <w:b/>
                <w:color w:val="auto"/>
                <w:w w:val="105"/>
                <w:sz w:val="24"/>
                <w:highlight w:val="none"/>
              </w:rPr>
            </w:pPr>
            <w:r>
              <w:rPr>
                <w:rFonts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cs="华文仿宋"/>
                <w:b/>
                <w:color w:val="auto"/>
                <w:sz w:val="24"/>
                <w:highlight w:val="none"/>
                <w:lang w:eastAsia="zh-CN" w:bidi="ar"/>
              </w:rPr>
              <w:t>二级医院区域疾病数据整合</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数据源配置：</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配置数据来源，可选择不同区域、医疗机构的诊疗数据作为数据来源</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采集管理</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可新增、编辑、删除采集规则</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可自定义规则对数据进行脱敏处理</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3.</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可设置采集频率</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数据权限：</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配置医疗机构数据访问权限，可指定角色访问</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数据日志：</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采集数据执行结果日志列表，显示采集规则、采集时间、采集频率、采集状态等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cs="华文仿宋"/>
                <w:b/>
                <w:color w:val="auto"/>
                <w:sz w:val="24"/>
                <w:highlight w:val="none"/>
                <w:lang w:eastAsia="zh-CN" w:bidi="ar"/>
              </w:rPr>
              <w:t>二级医院区域疾病数据治理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数据治理：</w:t>
            </w:r>
            <w:r>
              <w:rPr>
                <w:rFonts w:hint="eastAsia" w:ascii="宋体" w:hAnsi="宋体" w:eastAsia="宋体"/>
                <w:color w:val="auto"/>
                <w:sz w:val="24"/>
                <w:highlight w:val="none"/>
                <w:lang w:eastAsia="zh-CN"/>
              </w:rPr>
              <w:t>通过ETL抽取、清洗、处理等，支持数据集成及整合过程的标准化：实现数据的集成，通过各种数据治理手段，结合标准的医疗术语的标准规范管理，实现数据的标准化、结构化，并实现数据治理过程中的完整性、自洽性、一致性。形成完整、可用的数据源；</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数据展示：</w:t>
            </w:r>
            <w:r>
              <w:rPr>
                <w:rFonts w:hint="eastAsia" w:ascii="宋体" w:hAnsi="宋体" w:eastAsia="宋体"/>
                <w:color w:val="auto"/>
                <w:kern w:val="0"/>
                <w:sz w:val="24"/>
                <w:highlight w:val="none"/>
                <w:lang w:eastAsia="zh-CN"/>
              </w:rPr>
              <w:t>支持可</w:t>
            </w:r>
            <w:r>
              <w:rPr>
                <w:rFonts w:hint="eastAsia" w:ascii="宋体" w:hAnsi="宋体" w:eastAsia="宋体"/>
                <w:color w:val="auto"/>
                <w:sz w:val="24"/>
                <w:highlight w:val="none"/>
                <w:lang w:eastAsia="zh-CN"/>
              </w:rPr>
              <w:t>展示各各医疗机构疾病数据概况、数据趋势概况等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firstLine="482"/>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二级医院区域专病数据检索</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模糊检索</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1.支持通过关键字（患者姓名、住院号、ICD编码等）进行模糊检索，系统可从区域疾病数据库可提取相关病历信息并进行列表展示</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2.支持对检索结果中的关键词进行标红高亮显示</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3.支持对检索条件保存为指定名称的数据集</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高级检索：</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可选择配置多个查询条件进行（and/or/not，关键词包含或不包含，精确数值类型条件大于/等于/小于）组合查询</w:t>
            </w:r>
            <w:r>
              <w:rPr>
                <w:rFonts w:hint="eastAsia" w:ascii="宋体" w:hAnsi="宋体" w:eastAsia="宋体" w:cs="华文仿宋"/>
                <w:color w:val="auto"/>
                <w:sz w:val="24"/>
                <w:highlight w:val="none"/>
                <w:lang w:eastAsia="zh-CN" w:bidi="ar"/>
              </w:rPr>
              <w:t>。</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结果展示：</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根据标签或关键字进入下级页面浏览相关信息，可查看结果详情，患者基本信息、检查报告、诊断结果等</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数据导出：</w:t>
            </w:r>
            <w:r>
              <w:rPr>
                <w:rFonts w:hint="eastAsia" w:ascii="宋体" w:hAnsi="宋体" w:eastAsia="宋体"/>
                <w:color w:val="auto"/>
                <w:sz w:val="24"/>
                <w:highlight w:val="none"/>
                <w:lang w:eastAsia="zh-CN"/>
              </w:rPr>
              <w:t>支持将通过检索的数据结果按照自定义模板配置导出患者信息以csv格式进行保存。数据导出之前必须在系统中按流程进行审批，审批通过后，按权限获取数据，系统在导出数据之前自动进行脱敏处理。</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数据集：</w:t>
            </w:r>
            <w:r>
              <w:rPr>
                <w:rFonts w:hint="eastAsia" w:ascii="宋体" w:hAnsi="宋体" w:eastAsia="宋体"/>
                <w:color w:val="auto"/>
                <w:sz w:val="24"/>
                <w:highlight w:val="none"/>
                <w:lang w:eastAsia="zh-CN"/>
              </w:rPr>
              <w:t>支持列表展示历史检索并保存的自定义条件数据集，可直达检索数据结果详情列表页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firstLine="482"/>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任务管理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任务列表：</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可添加、编辑、停止任务</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执行日志：</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查看任务执行日志列表，包括任务执行状态、执行时间、执行规则。</w:t>
            </w:r>
          </w:p>
        </w:tc>
      </w:tr>
    </w:tbl>
    <w:p>
      <w:pPr>
        <w:rPr>
          <w:color w:val="auto"/>
          <w:highlight w:val="none"/>
        </w:rPr>
      </w:pPr>
    </w:p>
    <w:p>
      <w:pPr>
        <w:pStyle w:val="21"/>
        <w:ind w:firstLine="0" w:firstLineChars="0"/>
        <w:rPr>
          <w:color w:val="auto"/>
          <w:highlight w:val="none"/>
        </w:rPr>
      </w:pPr>
    </w:p>
    <w:p>
      <w:pPr>
        <w:pStyle w:val="6"/>
        <w:numPr>
          <w:ilvl w:val="3"/>
          <w:numId w:val="8"/>
        </w:numPr>
        <w:spacing w:before="280" w:after="290" w:line="376" w:lineRule="auto"/>
        <w:rPr>
          <w:rFonts w:ascii="宋体" w:hAnsi="宋体"/>
          <w:color w:val="auto"/>
          <w:sz w:val="24"/>
          <w:szCs w:val="24"/>
          <w:highlight w:val="none"/>
        </w:rPr>
      </w:pPr>
      <w:bookmarkStart w:id="985" w:name="_Toc23970"/>
      <w:r>
        <w:rPr>
          <w:rFonts w:hint="eastAsia" w:hAnsi="宋体"/>
          <w:color w:val="auto"/>
          <w:sz w:val="24"/>
          <w:szCs w:val="24"/>
          <w:highlight w:val="none"/>
        </w:rPr>
        <w:t>二</w:t>
      </w:r>
      <w:r>
        <w:rPr>
          <w:rFonts w:hint="eastAsia" w:ascii="宋体" w:hAnsi="宋体"/>
          <w:color w:val="auto"/>
          <w:sz w:val="24"/>
          <w:szCs w:val="24"/>
          <w:highlight w:val="none"/>
        </w:rPr>
        <w:t>级医院区域专病数据质控中心</w:t>
      </w:r>
      <w:bookmarkEnd w:id="985"/>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right="105" w:rightChars="50" w:firstLine="508"/>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5" w:leftChars="50" w:right="105" w:rightChars="50" w:firstLine="508"/>
              <w:jc w:val="center"/>
              <w:rPr>
                <w:rFonts w:ascii="宋体" w:hAnsi="宋体" w:eastAsia="宋体"/>
                <w:b/>
                <w:color w:val="auto"/>
                <w:w w:val="105"/>
                <w:sz w:val="24"/>
                <w:highlight w:val="none"/>
              </w:rPr>
            </w:pPr>
            <w:r>
              <w:rPr>
                <w:rFonts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cs="华文仿宋"/>
                <w:b/>
                <w:color w:val="auto"/>
                <w:sz w:val="24"/>
                <w:highlight w:val="none"/>
                <w:lang w:eastAsia="zh-CN" w:bidi="ar"/>
              </w:rPr>
              <w:t>二级医院区域质控规则管理</w:t>
            </w:r>
          </w:p>
        </w:tc>
        <w:tc>
          <w:tcPr>
            <w:tcW w:w="6622" w:type="dxa"/>
            <w:vAlign w:val="center"/>
          </w:tcPr>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对数据的完整性、规范性、一致性、准确性、唯一性规则的新增、修改、删除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firstLine="482"/>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二级医院区域质控任务管理</w:t>
            </w:r>
          </w:p>
        </w:tc>
        <w:tc>
          <w:tcPr>
            <w:tcW w:w="6622" w:type="dxa"/>
            <w:vAlign w:val="center"/>
          </w:tcPr>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任务管理：管理质量规则任务的新增、编辑、删除，查看任务的状态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0" w:right="105" w:rightChars="50" w:firstLine="482"/>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二级医院区域数据质控</w:t>
            </w:r>
          </w:p>
        </w:tc>
        <w:tc>
          <w:tcPr>
            <w:tcW w:w="6622" w:type="dxa"/>
            <w:vAlign w:val="center"/>
          </w:tcPr>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支持查看质控任务列表；</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支持查看质控任务执行详情；</w:t>
            </w:r>
          </w:p>
          <w:p>
            <w:pPr>
              <w:pStyle w:val="201"/>
              <w:numPr>
                <w:ilvl w:val="0"/>
                <w:numId w:val="9"/>
              </w:numPr>
              <w:spacing w:before="6" w:line="360" w:lineRule="auto"/>
              <w:ind w:left="452" w:right="105" w:rightChars="50" w:firstLine="482"/>
              <w:rPr>
                <w:rFonts w:ascii="宋体" w:hAnsi="宋体"/>
                <w:color w:val="auto"/>
                <w:sz w:val="24"/>
                <w:highlight w:val="none"/>
                <w:lang w:eastAsia="zh-CN"/>
              </w:rPr>
            </w:pPr>
            <w:r>
              <w:rPr>
                <w:rFonts w:hint="eastAsia" w:ascii="宋体" w:hAnsi="宋体" w:eastAsia="宋体"/>
                <w:color w:val="auto"/>
                <w:sz w:val="24"/>
                <w:highlight w:val="none"/>
                <w:lang w:eastAsia="zh-CN"/>
              </w:rPr>
              <w:t>支持手动执行质控任务；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left="0" w:right="105" w:rightChars="50" w:firstLine="482"/>
              <w:rPr>
                <w:rFonts w:ascii="宋体" w:hAnsi="宋体" w:eastAsia="宋体"/>
                <w:b/>
                <w:bCs/>
                <w:color w:val="auto"/>
                <w:sz w:val="24"/>
                <w:highlight w:val="none"/>
                <w:lang w:eastAsia="zh-CN"/>
              </w:rPr>
            </w:pPr>
            <w:r>
              <w:rPr>
                <w:rFonts w:hint="eastAsia" w:ascii="宋体" w:hAnsi="宋体" w:eastAsia="宋体" w:cs="华文仿宋"/>
                <w:b/>
                <w:color w:val="auto"/>
                <w:sz w:val="24"/>
                <w:highlight w:val="none"/>
                <w:lang w:eastAsia="zh-CN" w:bidi="ar"/>
              </w:rPr>
              <w:t>二级医院</w:t>
            </w:r>
            <w:r>
              <w:rPr>
                <w:rFonts w:hint="eastAsia" w:ascii="宋体" w:hAnsi="宋体" w:eastAsia="宋体"/>
                <w:b/>
                <w:bCs/>
                <w:color w:val="auto"/>
                <w:sz w:val="24"/>
                <w:highlight w:val="none"/>
                <w:lang w:eastAsia="zh-CN"/>
              </w:rPr>
              <w:t>区域质控报告</w:t>
            </w:r>
          </w:p>
        </w:tc>
        <w:tc>
          <w:tcPr>
            <w:tcW w:w="6622" w:type="dxa"/>
            <w:vAlign w:val="center"/>
          </w:tcPr>
          <w:p>
            <w:pPr>
              <w:pStyle w:val="201"/>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质量报告：统计分析某个时间段内各种规则在数据处理过程中数据的质量情况</w:t>
            </w:r>
          </w:p>
          <w:p>
            <w:pPr>
              <w:pStyle w:val="201"/>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问题统计：统计在数据处理过程中的规则校验出现的各种错误和问题</w:t>
            </w:r>
          </w:p>
        </w:tc>
      </w:tr>
    </w:tbl>
    <w:p>
      <w:pPr>
        <w:rPr>
          <w:color w:val="auto"/>
          <w:highlight w:val="none"/>
        </w:rPr>
      </w:pPr>
    </w:p>
    <w:p>
      <w:pPr>
        <w:pStyle w:val="6"/>
        <w:numPr>
          <w:ilvl w:val="3"/>
          <w:numId w:val="8"/>
        </w:numPr>
        <w:spacing w:before="280" w:after="290" w:line="376" w:lineRule="auto"/>
        <w:rPr>
          <w:rFonts w:ascii="宋体" w:hAnsi="宋体"/>
          <w:color w:val="auto"/>
          <w:sz w:val="24"/>
          <w:szCs w:val="24"/>
          <w:highlight w:val="none"/>
        </w:rPr>
      </w:pPr>
      <w:bookmarkStart w:id="986" w:name="_Toc23738"/>
      <w:r>
        <w:rPr>
          <w:rFonts w:hint="eastAsia" w:hAnsi="宋体"/>
          <w:color w:val="auto"/>
          <w:sz w:val="24"/>
          <w:szCs w:val="24"/>
          <w:highlight w:val="none"/>
        </w:rPr>
        <w:t>二</w:t>
      </w:r>
      <w:r>
        <w:rPr>
          <w:rFonts w:hint="eastAsia" w:ascii="宋体" w:hAnsi="宋体"/>
          <w:color w:val="auto"/>
          <w:sz w:val="24"/>
          <w:szCs w:val="24"/>
          <w:highlight w:val="none"/>
        </w:rPr>
        <w:t>级医院区域疾病数据管控中心</w:t>
      </w:r>
      <w:bookmarkEnd w:id="986"/>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right="105" w:rightChars="50" w:firstLine="508"/>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5" w:leftChars="50" w:right="105" w:rightChars="50" w:firstLine="508"/>
              <w:jc w:val="center"/>
              <w:rPr>
                <w:rFonts w:ascii="宋体" w:hAnsi="宋体" w:eastAsia="宋体"/>
                <w:b/>
                <w:color w:val="auto"/>
                <w:w w:val="105"/>
                <w:sz w:val="24"/>
                <w:highlight w:val="none"/>
              </w:rPr>
            </w:pPr>
            <w:r>
              <w:rPr>
                <w:rFonts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0" w:right="105" w:rightChars="50" w:firstLine="482"/>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二级医院区域疾病数据指标管理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指标计算：</w:t>
            </w:r>
            <w:r>
              <w:rPr>
                <w:rFonts w:hint="eastAsia" w:ascii="宋体" w:hAnsi="宋体" w:eastAsia="宋体"/>
                <w:color w:val="auto"/>
                <w:sz w:val="24"/>
                <w:highlight w:val="none"/>
                <w:lang w:eastAsia="zh-CN"/>
              </w:rPr>
              <w:t>支持按已配置的计算规则执行计算任务</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指标配置：支持</w:t>
            </w:r>
            <w:r>
              <w:rPr>
                <w:rFonts w:hint="eastAsia" w:ascii="宋体" w:hAnsi="宋体" w:eastAsia="宋体"/>
                <w:color w:val="auto"/>
                <w:sz w:val="24"/>
                <w:highlight w:val="none"/>
                <w:lang w:eastAsia="zh-CN"/>
              </w:rPr>
              <w:t>定义区域疾病分析指标及其采集来源、计算规则。指标选择根据《公立医院高质量发展评价指标（试行）》、《国家三级公立医院绩效考核操作手册（2022）》、《三级医院评审标准(2022年版)实施细则》、《二级医院评审标准(2022年版)实施细则》等文件，包括但不限于以下指标：</w:t>
            </w:r>
          </w:p>
          <w:p>
            <w:pPr>
              <w:pStyle w:val="42"/>
              <w:tabs>
                <w:tab w:val="left" w:pos="567"/>
              </w:tabs>
              <w:ind w:firstLine="480" w:firstLineChars="200"/>
              <w:rPr>
                <w:rFonts w:ascii="宋体" w:hAnsi="宋体" w:cs="仿宋"/>
                <w:color w:val="auto"/>
                <w:sz w:val="24"/>
                <w:highlight w:val="none"/>
              </w:rPr>
            </w:pPr>
            <w:r>
              <w:rPr>
                <w:rFonts w:hint="eastAsia" w:ascii="宋体" w:hAnsi="宋体" w:cs="仿宋"/>
                <w:color w:val="auto"/>
                <w:sz w:val="24"/>
                <w:highlight w:val="none"/>
              </w:rPr>
              <w:t xml:space="preserve">1.门诊人次数与出院人次数比 </w:t>
            </w:r>
          </w:p>
          <w:p>
            <w:pPr>
              <w:pStyle w:val="42"/>
              <w:tabs>
                <w:tab w:val="left" w:pos="567"/>
              </w:tabs>
              <w:ind w:firstLine="480" w:firstLineChars="200"/>
              <w:rPr>
                <w:rFonts w:ascii="宋体" w:hAnsi="宋体" w:cs="仿宋"/>
                <w:color w:val="auto"/>
                <w:sz w:val="24"/>
                <w:highlight w:val="none"/>
              </w:rPr>
            </w:pPr>
            <w:r>
              <w:rPr>
                <w:rFonts w:hint="eastAsia" w:ascii="宋体" w:hAnsi="宋体" w:cs="仿宋"/>
                <w:color w:val="auto"/>
                <w:sz w:val="24"/>
                <w:highlight w:val="none"/>
              </w:rPr>
              <w:t>2.下转患者人次数（门急诊、住院）</w:t>
            </w:r>
          </w:p>
          <w:p>
            <w:pPr>
              <w:pStyle w:val="42"/>
              <w:tabs>
                <w:tab w:val="left" w:pos="567"/>
              </w:tabs>
              <w:ind w:firstLine="480" w:firstLineChars="200"/>
              <w:rPr>
                <w:rFonts w:ascii="宋体" w:hAnsi="宋体" w:cs="仿宋"/>
                <w:color w:val="auto"/>
                <w:sz w:val="24"/>
                <w:highlight w:val="none"/>
              </w:rPr>
            </w:pPr>
            <w:r>
              <w:rPr>
                <w:rFonts w:hint="eastAsia" w:ascii="宋体" w:hAnsi="宋体" w:cs="仿宋"/>
                <w:color w:val="auto"/>
                <w:sz w:val="24"/>
                <w:highlight w:val="none"/>
              </w:rPr>
              <w:t>3.日间手术占择期手术比例</w:t>
            </w:r>
          </w:p>
          <w:p>
            <w:pPr>
              <w:pStyle w:val="42"/>
              <w:tabs>
                <w:tab w:val="left" w:pos="567"/>
              </w:tabs>
              <w:ind w:firstLine="480" w:firstLineChars="200"/>
              <w:rPr>
                <w:rFonts w:ascii="宋体" w:hAnsi="宋体" w:cs="仿宋"/>
                <w:color w:val="auto"/>
                <w:sz w:val="24"/>
                <w:highlight w:val="none"/>
              </w:rPr>
            </w:pPr>
            <w:r>
              <w:rPr>
                <w:rFonts w:hint="eastAsia" w:ascii="宋体" w:hAnsi="宋体" w:cs="仿宋"/>
                <w:color w:val="auto"/>
                <w:sz w:val="24"/>
                <w:highlight w:val="none"/>
              </w:rPr>
              <w:t>4.出院患者手术占比</w:t>
            </w:r>
          </w:p>
          <w:p>
            <w:pPr>
              <w:pStyle w:val="42"/>
              <w:tabs>
                <w:tab w:val="left" w:pos="567"/>
              </w:tabs>
              <w:ind w:firstLine="480" w:firstLineChars="200"/>
              <w:rPr>
                <w:rFonts w:ascii="宋体" w:hAnsi="宋体" w:cs="仿宋"/>
                <w:color w:val="auto"/>
                <w:sz w:val="24"/>
                <w:highlight w:val="none"/>
              </w:rPr>
            </w:pPr>
            <w:r>
              <w:rPr>
                <w:rFonts w:hint="eastAsia" w:ascii="宋体" w:hAnsi="宋体" w:cs="仿宋"/>
                <w:color w:val="auto"/>
                <w:sz w:val="24"/>
                <w:highlight w:val="none"/>
              </w:rPr>
              <w:t>5.出院患者微创手术占比</w:t>
            </w:r>
          </w:p>
          <w:p>
            <w:pPr>
              <w:pStyle w:val="42"/>
              <w:tabs>
                <w:tab w:val="left" w:pos="567"/>
              </w:tabs>
              <w:ind w:firstLine="480" w:firstLineChars="200"/>
              <w:rPr>
                <w:rFonts w:ascii="宋体" w:hAnsi="宋体" w:cs="仿宋"/>
                <w:color w:val="auto"/>
                <w:sz w:val="24"/>
                <w:highlight w:val="none"/>
              </w:rPr>
            </w:pPr>
            <w:r>
              <w:rPr>
                <w:rFonts w:hint="eastAsia" w:ascii="宋体" w:hAnsi="宋体" w:cs="仿宋"/>
                <w:color w:val="auto"/>
                <w:sz w:val="24"/>
                <w:highlight w:val="none"/>
              </w:rPr>
              <w:t>6.出院患者四级手术比例</w:t>
            </w:r>
          </w:p>
          <w:p>
            <w:pPr>
              <w:pStyle w:val="42"/>
              <w:tabs>
                <w:tab w:val="left" w:pos="567"/>
              </w:tabs>
              <w:ind w:firstLine="240"/>
              <w:rPr>
                <w:rFonts w:ascii="宋体" w:hAnsi="宋体" w:cs="仿宋"/>
                <w:color w:val="auto"/>
                <w:sz w:val="24"/>
                <w:highlight w:val="none"/>
              </w:rPr>
            </w:pPr>
            <w:r>
              <w:rPr>
                <w:rFonts w:hint="eastAsia" w:ascii="宋体" w:hAnsi="宋体" w:cs="仿宋"/>
                <w:color w:val="auto"/>
                <w:sz w:val="24"/>
                <w:highlight w:val="none"/>
              </w:rPr>
              <w:t xml:space="preserve">  7.专科能力指数</w:t>
            </w:r>
          </w:p>
          <w:p>
            <w:pPr>
              <w:pStyle w:val="42"/>
              <w:tabs>
                <w:tab w:val="left" w:pos="567"/>
              </w:tabs>
              <w:ind w:firstLine="240"/>
              <w:rPr>
                <w:rFonts w:ascii="宋体" w:hAnsi="宋体"/>
                <w:color w:val="auto"/>
                <w:sz w:val="24"/>
                <w:highlight w:val="none"/>
              </w:rPr>
            </w:pPr>
            <w:r>
              <w:rPr>
                <w:rFonts w:hint="eastAsia" w:ascii="宋体" w:hAnsi="宋体" w:cs="仿宋"/>
                <w:color w:val="auto"/>
                <w:sz w:val="24"/>
                <w:highlight w:val="none"/>
              </w:rPr>
              <w:t xml:space="preserve">  8.住院患者重点监测病种覆盖率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left="0"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可视化</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结果展示：</w:t>
            </w:r>
            <w:r>
              <w:rPr>
                <w:rFonts w:hint="eastAsia" w:ascii="宋体" w:hAnsi="宋体" w:eastAsia="宋体"/>
                <w:color w:val="auto"/>
                <w:sz w:val="24"/>
                <w:highlight w:val="none"/>
                <w:lang w:eastAsia="zh-CN"/>
              </w:rPr>
              <w:t>支持对计算结果可视化显示，将配置好的图表视图及绑定数据结果进行展示</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配置管理：</w:t>
            </w:r>
            <w:r>
              <w:rPr>
                <w:rFonts w:hint="eastAsia" w:ascii="宋体" w:hAnsi="宋体" w:eastAsia="宋体"/>
                <w:color w:val="auto"/>
                <w:sz w:val="24"/>
                <w:highlight w:val="none"/>
                <w:lang w:eastAsia="zh-CN"/>
              </w:rPr>
              <w:t>支持自定义配置可视化图表，包括：</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1.视图创建：新增图表名称，可配置图标维度和指标、指定查询数据脚本、上传缩略图、图表类型（折线、饼图、柱状图、仪表盘、词云图）</w:t>
            </w:r>
          </w:p>
          <w:p>
            <w:pPr>
              <w:pStyle w:val="201"/>
              <w:widowControl/>
              <w:spacing w:before="6" w:line="360" w:lineRule="auto"/>
              <w:ind w:left="120" w:right="105" w:rightChars="50" w:firstLine="240" w:firstLineChars="100"/>
              <w:rPr>
                <w:rFonts w:ascii="宋体" w:hAnsi="宋体" w:eastAsia="宋体"/>
                <w:b/>
                <w:bCs/>
                <w:color w:val="auto"/>
                <w:sz w:val="24"/>
                <w:highlight w:val="none"/>
                <w:lang w:eastAsia="zh-CN"/>
              </w:rPr>
            </w:pPr>
            <w:r>
              <w:rPr>
                <w:rFonts w:hint="eastAsia" w:ascii="宋体" w:hAnsi="宋体" w:eastAsia="宋体"/>
                <w:color w:val="auto"/>
                <w:sz w:val="24"/>
                <w:highlight w:val="none"/>
                <w:lang w:eastAsia="zh-CN"/>
              </w:rPr>
              <w:t>2.视图维护：支持参数更新编辑、删除</w:t>
            </w:r>
          </w:p>
        </w:tc>
      </w:tr>
    </w:tbl>
    <w:p>
      <w:pPr>
        <w:pStyle w:val="21"/>
        <w:ind w:firstLine="480"/>
        <w:rPr>
          <w:color w:val="auto"/>
          <w:highlight w:val="none"/>
        </w:rPr>
      </w:pPr>
    </w:p>
    <w:p>
      <w:pPr>
        <w:pStyle w:val="5"/>
        <w:numPr>
          <w:ilvl w:val="2"/>
          <w:numId w:val="8"/>
        </w:numPr>
        <w:tabs>
          <w:tab w:val="clear" w:pos="720"/>
        </w:tabs>
        <w:autoSpaceDE/>
        <w:autoSpaceDN/>
        <w:adjustRightInd/>
        <w:spacing w:before="260" w:after="260" w:line="416" w:lineRule="auto"/>
        <w:jc w:val="both"/>
        <w:rPr>
          <w:rFonts w:hAnsi="宋体"/>
          <w:color w:val="auto"/>
          <w:szCs w:val="24"/>
          <w:highlight w:val="none"/>
        </w:rPr>
      </w:pPr>
      <w:bookmarkStart w:id="987" w:name="_Toc18263"/>
      <w:bookmarkStart w:id="988" w:name="_Toc28358"/>
      <w:bookmarkStart w:id="989" w:name="_Toc765369158"/>
      <w:bookmarkStart w:id="990" w:name="_Toc138247830"/>
      <w:bookmarkStart w:id="991" w:name="_Toc4377"/>
      <w:bookmarkStart w:id="992" w:name="_Toc13480"/>
      <w:r>
        <w:rPr>
          <w:rFonts w:hint="eastAsia" w:hAnsi="宋体"/>
          <w:color w:val="auto"/>
          <w:szCs w:val="24"/>
          <w:highlight w:val="none"/>
        </w:rPr>
        <w:t>三级医院区域医疗质量数据监管平台</w:t>
      </w:r>
      <w:bookmarkEnd w:id="987"/>
      <w:bookmarkEnd w:id="988"/>
      <w:bookmarkEnd w:id="989"/>
      <w:bookmarkEnd w:id="990"/>
      <w:bookmarkEnd w:id="991"/>
      <w:bookmarkEnd w:id="992"/>
    </w:p>
    <w:p>
      <w:pPr>
        <w:pStyle w:val="6"/>
        <w:numPr>
          <w:ilvl w:val="3"/>
          <w:numId w:val="8"/>
        </w:numPr>
        <w:spacing w:before="280" w:after="290" w:line="376" w:lineRule="auto"/>
        <w:rPr>
          <w:rFonts w:ascii="宋体" w:hAnsi="宋体"/>
          <w:color w:val="auto"/>
          <w:sz w:val="24"/>
          <w:szCs w:val="24"/>
          <w:highlight w:val="none"/>
        </w:rPr>
      </w:pPr>
      <w:bookmarkStart w:id="993" w:name="_Toc9384"/>
      <w:r>
        <w:rPr>
          <w:rFonts w:hint="eastAsia" w:ascii="宋体" w:hAnsi="宋体"/>
          <w:color w:val="auto"/>
          <w:sz w:val="24"/>
          <w:szCs w:val="24"/>
          <w:highlight w:val="none"/>
        </w:rPr>
        <w:t>三级医院区域医疗质量数据汇聚中心</w:t>
      </w:r>
      <w:bookmarkEnd w:id="993"/>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left="105" w:leftChars="50" w:right="105" w:rightChars="50" w:firstLine="508"/>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5" w:leftChars="50" w:right="105" w:rightChars="50" w:firstLine="508"/>
              <w:jc w:val="center"/>
              <w:rPr>
                <w:rFonts w:ascii="宋体" w:hAnsi="宋体" w:eastAsia="宋体"/>
                <w:b/>
                <w:color w:val="auto"/>
                <w:w w:val="105"/>
                <w:sz w:val="24"/>
                <w:highlight w:val="none"/>
              </w:rPr>
            </w:pPr>
            <w:r>
              <w:rPr>
                <w:rFonts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cs="华文仿宋"/>
                <w:b/>
                <w:color w:val="auto"/>
                <w:sz w:val="24"/>
                <w:highlight w:val="none"/>
                <w:lang w:eastAsia="zh-CN" w:bidi="ar"/>
              </w:rPr>
              <w:t>三级医院区域医疗质量数据整合</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数据源配置：</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配置数据来源，可选择不同区域、医疗机构的医疗质量数据作为数据来源</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采集管理</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可新增、编辑、删除采集规则</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可自定义规则对数据进行脱敏处理</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3.</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可设置采集频率</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数据权限：</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配置医疗机构数据访问权限，可指定角色访问</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数据日志：</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采集数据执行结果日志列表，显示采集规则、采集时间、采集频率、采集状态等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cs="华文仿宋"/>
                <w:b/>
                <w:color w:val="auto"/>
                <w:sz w:val="24"/>
                <w:highlight w:val="none"/>
                <w:lang w:eastAsia="zh-CN" w:bidi="ar"/>
              </w:rPr>
              <w:t>三级医院区域医疗质量数据治理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数据治理：</w:t>
            </w:r>
            <w:r>
              <w:rPr>
                <w:rFonts w:hint="eastAsia" w:ascii="宋体" w:hAnsi="宋体" w:eastAsia="宋体"/>
                <w:color w:val="auto"/>
                <w:sz w:val="24"/>
                <w:highlight w:val="none"/>
                <w:lang w:eastAsia="zh-CN"/>
              </w:rPr>
              <w:t>通过ETL抽取、清洗、处理等，支持数据集成及整合过程的标准化：实现数据的集成，通过各种数据治理手段，结合标准的医疗术语的标准规范管理，实现数据的标准化、结构化，并实现数据治理过程中的完整性、自洽性、一致性。形成完整、可用的数据源；</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数据展示：</w:t>
            </w:r>
            <w:r>
              <w:rPr>
                <w:rFonts w:hint="eastAsia" w:ascii="宋体" w:hAnsi="宋体" w:eastAsia="宋体"/>
                <w:color w:val="auto"/>
                <w:kern w:val="0"/>
                <w:sz w:val="24"/>
                <w:highlight w:val="none"/>
                <w:lang w:eastAsia="zh-CN"/>
              </w:rPr>
              <w:t>支持可</w:t>
            </w:r>
            <w:r>
              <w:rPr>
                <w:rFonts w:hint="eastAsia" w:ascii="宋体" w:hAnsi="宋体" w:eastAsia="宋体"/>
                <w:color w:val="auto"/>
                <w:sz w:val="24"/>
                <w:highlight w:val="none"/>
                <w:lang w:eastAsia="zh-CN"/>
              </w:rPr>
              <w:t>展示各各医疗机构医疗质量数据概况、数据趋势概况等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firstLine="482"/>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三级医院区域医疗质量数据检索</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模糊检索</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1.支持通过关键字（患者姓名、住院号、ICD编码等）进行模糊检索，系统可从区域医疗质量数据库可提取相关病历信息并进行列表展示</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2.支持对检索结果中的关键词进行标红高亮显示</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3.支持对检索条件保存为指定名称的数据集</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高级检索：</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可选择配置多个查询条件进行（and/or/not，关键词包含或不包含，精确数值类型条件大于/等于/小于）组合查询</w:t>
            </w:r>
            <w:r>
              <w:rPr>
                <w:rFonts w:hint="eastAsia" w:ascii="宋体" w:hAnsi="宋体" w:eastAsia="宋体" w:cs="华文仿宋"/>
                <w:color w:val="auto"/>
                <w:sz w:val="24"/>
                <w:highlight w:val="none"/>
                <w:lang w:eastAsia="zh-CN" w:bidi="ar"/>
              </w:rPr>
              <w:t>。</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结果展示：</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根据标签或关键字进入下级页面浏览相关信息，可查看结果详情，患者基本信息、检查报告、诊断结果等</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数据导出：</w:t>
            </w:r>
            <w:r>
              <w:rPr>
                <w:rFonts w:hint="eastAsia" w:ascii="宋体" w:hAnsi="宋体" w:eastAsia="宋体"/>
                <w:color w:val="auto"/>
                <w:sz w:val="24"/>
                <w:highlight w:val="none"/>
                <w:lang w:eastAsia="zh-CN"/>
              </w:rPr>
              <w:t>支持将通过检索的数据结果按照自定义模板配置导出患者信息以csv格式进行保存。数据导出之前必须在系统中按流程进行审批，审批通过后，按权限获取数据，系统在导出数据之前自动进行脱敏处理。</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数据集：</w:t>
            </w:r>
            <w:r>
              <w:rPr>
                <w:rFonts w:hint="eastAsia" w:ascii="宋体" w:hAnsi="宋体" w:eastAsia="宋体"/>
                <w:color w:val="auto"/>
                <w:sz w:val="24"/>
                <w:highlight w:val="none"/>
                <w:lang w:eastAsia="zh-CN"/>
              </w:rPr>
              <w:t>支持列表展示历史检索并保存的自定义条件数据集，可直达检索数据结果详情列表页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firstLine="482"/>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任务管理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任务列表：</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可添加、编辑、停止任务</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执行日志：</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查看任务执行日志列表，包括任务执行状态、执行时间、执行规则。</w:t>
            </w:r>
          </w:p>
        </w:tc>
      </w:tr>
    </w:tbl>
    <w:p>
      <w:pPr>
        <w:rPr>
          <w:color w:val="auto"/>
          <w:highlight w:val="none"/>
        </w:rPr>
      </w:pPr>
    </w:p>
    <w:p>
      <w:pPr>
        <w:pStyle w:val="6"/>
        <w:numPr>
          <w:ilvl w:val="3"/>
          <w:numId w:val="8"/>
        </w:numPr>
        <w:spacing w:before="280" w:after="290" w:line="376" w:lineRule="auto"/>
        <w:rPr>
          <w:rFonts w:ascii="宋体" w:hAnsi="宋体"/>
          <w:color w:val="auto"/>
          <w:sz w:val="24"/>
          <w:szCs w:val="24"/>
          <w:highlight w:val="none"/>
        </w:rPr>
      </w:pPr>
      <w:bookmarkStart w:id="994" w:name="_Toc18168"/>
      <w:r>
        <w:rPr>
          <w:rFonts w:hint="eastAsia" w:ascii="宋体" w:hAnsi="宋体"/>
          <w:color w:val="auto"/>
          <w:sz w:val="24"/>
          <w:szCs w:val="24"/>
          <w:highlight w:val="none"/>
        </w:rPr>
        <w:t>三级医院区域医疗机构运营管控中心</w:t>
      </w:r>
      <w:bookmarkEnd w:id="994"/>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right="105" w:rightChars="50" w:firstLine="508"/>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tabs>
                <w:tab w:val="left" w:pos="969"/>
                <w:tab w:val="center" w:pos="3623"/>
              </w:tabs>
              <w:spacing w:before="13" w:line="360" w:lineRule="auto"/>
              <w:ind w:left="105" w:leftChars="50" w:right="105" w:rightChars="50" w:firstLine="508"/>
              <w:jc w:val="center"/>
              <w:rPr>
                <w:rFonts w:ascii="宋体" w:hAnsi="宋体" w:eastAsia="宋体"/>
                <w:b/>
                <w:color w:val="auto"/>
                <w:w w:val="105"/>
                <w:sz w:val="24"/>
                <w:highlight w:val="none"/>
              </w:rPr>
            </w:pPr>
            <w:r>
              <w:rPr>
                <w:rFonts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firstLine="482"/>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三级医院运营指标管理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指标计算：</w:t>
            </w:r>
            <w:r>
              <w:rPr>
                <w:rFonts w:hint="eastAsia" w:ascii="宋体" w:hAnsi="宋体" w:eastAsia="宋体"/>
                <w:color w:val="auto"/>
                <w:sz w:val="24"/>
                <w:highlight w:val="none"/>
                <w:lang w:eastAsia="zh-CN"/>
              </w:rPr>
              <w:t>支持按已配置的计算规则执行计算任务</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指标配置：</w:t>
            </w:r>
            <w:r>
              <w:rPr>
                <w:rFonts w:hint="eastAsia" w:ascii="宋体" w:hAnsi="宋体" w:eastAsia="宋体"/>
                <w:color w:val="auto"/>
                <w:sz w:val="24"/>
                <w:highlight w:val="none"/>
                <w:lang w:eastAsia="zh-CN"/>
              </w:rPr>
              <w:t>定义区域医疗质量分析指标及其采集来源、计算规则。指标选择根据《公立医院高质量发展评价指标（试行）》、《国家三级公立医院绩效考核操作手册（2022）》、《三级医院评审标准(2022年版)实施细则》、《二级医院评审标准(2022年版)实施细则》等文件，包括但不限于以下指标：</w:t>
            </w:r>
          </w:p>
          <w:p>
            <w:pPr>
              <w:pStyle w:val="42"/>
              <w:tabs>
                <w:tab w:val="left" w:pos="567"/>
              </w:tabs>
              <w:ind w:firstLine="480" w:firstLineChars="200"/>
              <w:rPr>
                <w:rFonts w:ascii="宋体" w:hAnsi="宋体" w:cs="仿宋"/>
                <w:color w:val="auto"/>
                <w:sz w:val="24"/>
                <w:highlight w:val="none"/>
              </w:rPr>
            </w:pPr>
            <w:r>
              <w:rPr>
                <w:rFonts w:hint="eastAsia" w:ascii="宋体" w:hAnsi="宋体" w:cs="仿宋"/>
                <w:color w:val="auto"/>
                <w:sz w:val="24"/>
                <w:highlight w:val="none"/>
              </w:rPr>
              <w:t>1.手术患者并发症发生率</w:t>
            </w:r>
          </w:p>
          <w:p>
            <w:pPr>
              <w:pStyle w:val="42"/>
              <w:tabs>
                <w:tab w:val="left" w:pos="567"/>
              </w:tabs>
              <w:ind w:firstLine="480" w:firstLineChars="200"/>
              <w:rPr>
                <w:rFonts w:ascii="宋体" w:hAnsi="宋体" w:cs="仿宋"/>
                <w:color w:val="auto"/>
                <w:sz w:val="24"/>
                <w:highlight w:val="none"/>
              </w:rPr>
            </w:pPr>
            <w:r>
              <w:rPr>
                <w:rFonts w:hint="eastAsia" w:ascii="宋体" w:hAnsi="宋体" w:cs="仿宋"/>
                <w:color w:val="auto"/>
                <w:sz w:val="24"/>
                <w:highlight w:val="none"/>
              </w:rPr>
              <w:t>2.类切口手术部位感染率</w:t>
            </w:r>
          </w:p>
          <w:p>
            <w:pPr>
              <w:pStyle w:val="42"/>
              <w:tabs>
                <w:tab w:val="left" w:pos="567"/>
              </w:tabs>
              <w:ind w:firstLine="480" w:firstLineChars="200"/>
              <w:rPr>
                <w:rFonts w:ascii="宋体" w:hAnsi="宋体" w:cs="仿宋"/>
                <w:color w:val="auto"/>
                <w:sz w:val="24"/>
                <w:highlight w:val="none"/>
              </w:rPr>
            </w:pPr>
            <w:r>
              <w:rPr>
                <w:rFonts w:hint="eastAsia" w:ascii="宋体" w:hAnsi="宋体" w:cs="仿宋"/>
                <w:color w:val="auto"/>
                <w:sz w:val="24"/>
                <w:highlight w:val="none"/>
              </w:rPr>
              <w:t>3.单病种质量控制</w:t>
            </w:r>
          </w:p>
          <w:p>
            <w:pPr>
              <w:pStyle w:val="42"/>
              <w:tabs>
                <w:tab w:val="left" w:pos="567"/>
              </w:tabs>
              <w:ind w:firstLine="720" w:firstLineChars="300"/>
              <w:rPr>
                <w:rFonts w:ascii="宋体" w:hAnsi="宋体" w:cs="仿宋"/>
                <w:color w:val="auto"/>
                <w:sz w:val="24"/>
                <w:highlight w:val="none"/>
              </w:rPr>
            </w:pPr>
            <w:r>
              <w:rPr>
                <w:rFonts w:hint="eastAsia" w:ascii="宋体" w:hAnsi="宋体" w:cs="仿宋"/>
                <w:color w:val="auto"/>
                <w:sz w:val="24"/>
                <w:highlight w:val="none"/>
              </w:rPr>
              <w:t>1）单病种例数</w:t>
            </w:r>
          </w:p>
          <w:p>
            <w:pPr>
              <w:pStyle w:val="42"/>
              <w:tabs>
                <w:tab w:val="left" w:pos="567"/>
              </w:tabs>
              <w:ind w:firstLine="720" w:firstLineChars="300"/>
              <w:rPr>
                <w:rFonts w:ascii="宋体" w:hAnsi="宋体" w:cs="仿宋"/>
                <w:color w:val="auto"/>
                <w:sz w:val="24"/>
                <w:highlight w:val="none"/>
              </w:rPr>
            </w:pPr>
            <w:r>
              <w:rPr>
                <w:rFonts w:ascii="宋体" w:hAnsi="宋体" w:cs="仿宋"/>
                <w:color w:val="auto"/>
                <w:sz w:val="24"/>
                <w:highlight w:val="none"/>
              </w:rPr>
              <w:t>2</w:t>
            </w:r>
            <w:r>
              <w:rPr>
                <w:rFonts w:hint="eastAsia" w:ascii="宋体" w:hAnsi="宋体" w:cs="仿宋"/>
                <w:color w:val="auto"/>
                <w:sz w:val="24"/>
                <w:highlight w:val="none"/>
              </w:rPr>
              <w:t>）平均住院日</w:t>
            </w:r>
          </w:p>
          <w:p>
            <w:pPr>
              <w:pStyle w:val="42"/>
              <w:tabs>
                <w:tab w:val="left" w:pos="567"/>
              </w:tabs>
              <w:ind w:firstLine="720" w:firstLineChars="300"/>
              <w:rPr>
                <w:rFonts w:ascii="宋体" w:hAnsi="宋体" w:cs="仿宋"/>
                <w:color w:val="auto"/>
                <w:sz w:val="24"/>
                <w:highlight w:val="none"/>
              </w:rPr>
            </w:pPr>
            <w:r>
              <w:rPr>
                <w:rFonts w:ascii="宋体" w:hAnsi="宋体" w:cs="仿宋"/>
                <w:color w:val="auto"/>
                <w:sz w:val="24"/>
                <w:highlight w:val="none"/>
              </w:rPr>
              <w:t>3</w:t>
            </w:r>
            <w:r>
              <w:rPr>
                <w:rFonts w:hint="eastAsia" w:ascii="宋体" w:hAnsi="宋体" w:cs="仿宋"/>
                <w:color w:val="auto"/>
                <w:sz w:val="24"/>
                <w:highlight w:val="none"/>
              </w:rPr>
              <w:t>）次均费用</w:t>
            </w:r>
          </w:p>
          <w:p>
            <w:pPr>
              <w:pStyle w:val="42"/>
              <w:tabs>
                <w:tab w:val="left" w:pos="567"/>
              </w:tabs>
              <w:ind w:firstLine="720" w:firstLineChars="300"/>
              <w:rPr>
                <w:rFonts w:ascii="宋体" w:hAnsi="宋体" w:cs="仿宋"/>
                <w:color w:val="auto"/>
                <w:sz w:val="24"/>
                <w:highlight w:val="none"/>
              </w:rPr>
            </w:pPr>
            <w:r>
              <w:rPr>
                <w:rFonts w:ascii="宋体" w:hAnsi="宋体" w:cs="仿宋"/>
                <w:color w:val="auto"/>
                <w:sz w:val="24"/>
                <w:highlight w:val="none"/>
              </w:rPr>
              <w:t>4</w:t>
            </w:r>
            <w:r>
              <w:rPr>
                <w:rFonts w:hint="eastAsia" w:ascii="宋体" w:hAnsi="宋体" w:cs="仿宋"/>
                <w:color w:val="auto"/>
                <w:sz w:val="24"/>
                <w:highlight w:val="none"/>
              </w:rPr>
              <w:t>）病死率</w:t>
            </w:r>
          </w:p>
          <w:p>
            <w:pPr>
              <w:pStyle w:val="42"/>
              <w:tabs>
                <w:tab w:val="left" w:pos="567"/>
              </w:tabs>
              <w:ind w:firstLine="480" w:firstLineChars="200"/>
              <w:rPr>
                <w:rFonts w:ascii="宋体" w:hAnsi="宋体" w:cs="仿宋"/>
                <w:color w:val="auto"/>
                <w:sz w:val="24"/>
                <w:highlight w:val="none"/>
              </w:rPr>
            </w:pPr>
            <w:r>
              <w:rPr>
                <w:rFonts w:hint="eastAsia" w:ascii="宋体" w:hAnsi="宋体" w:cs="仿宋"/>
                <w:color w:val="auto"/>
                <w:sz w:val="24"/>
                <w:highlight w:val="none"/>
              </w:rPr>
              <w:t>4.大型医用设备检查阳性率</w:t>
            </w:r>
          </w:p>
          <w:p>
            <w:pPr>
              <w:pStyle w:val="42"/>
              <w:tabs>
                <w:tab w:val="left" w:pos="567"/>
              </w:tabs>
              <w:ind w:firstLine="480" w:firstLineChars="200"/>
              <w:rPr>
                <w:rFonts w:ascii="宋体" w:hAnsi="宋体" w:cs="仿宋"/>
                <w:color w:val="auto"/>
                <w:sz w:val="24"/>
                <w:highlight w:val="none"/>
              </w:rPr>
            </w:pPr>
            <w:r>
              <w:rPr>
                <w:rFonts w:hint="eastAsia" w:ascii="宋体" w:hAnsi="宋体" w:cs="仿宋"/>
                <w:color w:val="auto"/>
                <w:sz w:val="24"/>
                <w:highlight w:val="none"/>
              </w:rPr>
              <w:t>5.低风险组病例死亡率</w:t>
            </w:r>
          </w:p>
          <w:p>
            <w:pPr>
              <w:pStyle w:val="42"/>
              <w:tabs>
                <w:tab w:val="left" w:pos="567"/>
              </w:tabs>
              <w:ind w:firstLine="240"/>
              <w:rPr>
                <w:rFonts w:ascii="宋体" w:hAnsi="宋体" w:cs="仿宋"/>
                <w:color w:val="auto"/>
                <w:sz w:val="24"/>
                <w:highlight w:val="none"/>
              </w:rPr>
            </w:pPr>
            <w:r>
              <w:rPr>
                <w:rFonts w:hint="eastAsia" w:ascii="宋体" w:hAnsi="宋体" w:cs="仿宋"/>
                <w:color w:val="auto"/>
                <w:sz w:val="24"/>
                <w:highlight w:val="none"/>
              </w:rPr>
              <w:t xml:space="preserve">  6.医疗质量指数</w:t>
            </w:r>
          </w:p>
          <w:p>
            <w:pPr>
              <w:pStyle w:val="42"/>
              <w:tabs>
                <w:tab w:val="left" w:pos="567"/>
              </w:tabs>
              <w:ind w:firstLine="240"/>
              <w:rPr>
                <w:rFonts w:ascii="宋体" w:hAnsi="宋体"/>
                <w:color w:val="auto"/>
                <w:sz w:val="24"/>
                <w:highlight w:val="none"/>
              </w:rPr>
            </w:pPr>
            <w:r>
              <w:rPr>
                <w:rFonts w:hint="eastAsia" w:ascii="宋体" w:hAnsi="宋体" w:cs="仿宋"/>
                <w:color w:val="auto"/>
                <w:sz w:val="24"/>
                <w:highlight w:val="none"/>
              </w:rPr>
              <w:t xml:space="preserve">  7.时间消耗指数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firstLine="482"/>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三级医院运营数据中心</w:t>
            </w:r>
          </w:p>
        </w:tc>
        <w:tc>
          <w:tcPr>
            <w:tcW w:w="6622" w:type="dxa"/>
            <w:vAlign w:val="center"/>
          </w:tcPr>
          <w:p>
            <w:pPr>
              <w:widowControl/>
              <w:numPr>
                <w:ilvl w:val="0"/>
                <w:numId w:val="37"/>
              </w:numPr>
              <w:jc w:val="left"/>
              <w:rPr>
                <w:rFonts w:ascii="宋体" w:hAnsi="宋体" w:cs="仿宋"/>
                <w:b/>
                <w:bCs/>
                <w:color w:val="auto"/>
                <w:kern w:val="0"/>
                <w:sz w:val="24"/>
                <w:highlight w:val="none"/>
                <w:lang w:bidi="ar"/>
              </w:rPr>
            </w:pPr>
            <w:r>
              <w:rPr>
                <w:rFonts w:hint="eastAsia" w:ascii="宋体" w:hAnsi="宋体" w:cs="仿宋"/>
                <w:b/>
                <w:bCs/>
                <w:color w:val="auto"/>
                <w:kern w:val="0"/>
                <w:sz w:val="24"/>
                <w:highlight w:val="none"/>
                <w:lang w:bidi="ar"/>
              </w:rPr>
              <w:t>运营数据分析</w:t>
            </w:r>
          </w:p>
          <w:p>
            <w:pPr>
              <w:widowControl/>
              <w:jc w:val="left"/>
              <w:rPr>
                <w:rFonts w:ascii="宋体" w:hAnsi="宋体" w:cs="仿宋"/>
                <w:color w:val="auto"/>
                <w:kern w:val="0"/>
                <w:sz w:val="24"/>
                <w:highlight w:val="none"/>
                <w:lang w:bidi="ar"/>
              </w:rPr>
            </w:pPr>
            <w:r>
              <w:rPr>
                <w:rFonts w:hint="eastAsia" w:ascii="宋体" w:hAnsi="宋体" w:cs="仿宋"/>
                <w:color w:val="auto"/>
                <w:kern w:val="0"/>
                <w:sz w:val="24"/>
                <w:highlight w:val="none"/>
                <w:lang w:bidi="ar"/>
              </w:rPr>
              <w:t>对区域内医疗机构运营状况进行分析。包括但不限于以下指标内容：</w:t>
            </w:r>
          </w:p>
          <w:p>
            <w:pPr>
              <w:widowControl/>
              <w:jc w:val="left"/>
              <w:rPr>
                <w:rFonts w:ascii="宋体" w:hAnsi="宋体" w:cs="仿宋"/>
                <w:color w:val="auto"/>
                <w:kern w:val="0"/>
                <w:sz w:val="24"/>
                <w:highlight w:val="none"/>
                <w:lang w:bidi="ar"/>
              </w:rPr>
            </w:pPr>
            <w:r>
              <w:rPr>
                <w:rFonts w:hint="eastAsia" w:ascii="宋体" w:hAnsi="宋体" w:cs="仿宋"/>
                <w:color w:val="auto"/>
                <w:kern w:val="0"/>
                <w:sz w:val="24"/>
                <w:highlight w:val="none"/>
                <w:lang w:bidi="ar"/>
              </w:rPr>
              <w:t>县外省内医院门诊人次</w:t>
            </w:r>
          </w:p>
          <w:p>
            <w:pPr>
              <w:widowControl/>
              <w:jc w:val="left"/>
              <w:rPr>
                <w:rFonts w:ascii="宋体" w:hAnsi="宋体" w:cs="仿宋"/>
                <w:color w:val="auto"/>
                <w:kern w:val="0"/>
                <w:sz w:val="24"/>
                <w:highlight w:val="none"/>
                <w:lang w:bidi="ar"/>
              </w:rPr>
            </w:pPr>
            <w:r>
              <w:rPr>
                <w:rFonts w:hint="eastAsia" w:ascii="宋体" w:hAnsi="宋体" w:cs="仿宋"/>
                <w:color w:val="auto"/>
                <w:kern w:val="0"/>
                <w:sz w:val="24"/>
                <w:highlight w:val="none"/>
                <w:lang w:bidi="ar"/>
              </w:rPr>
              <w:t>县外省内门诊增长率（%）</w:t>
            </w:r>
          </w:p>
          <w:p>
            <w:pPr>
              <w:widowControl/>
              <w:jc w:val="left"/>
              <w:rPr>
                <w:rFonts w:ascii="宋体" w:hAnsi="宋体" w:cs="仿宋"/>
                <w:color w:val="auto"/>
                <w:kern w:val="0"/>
                <w:sz w:val="24"/>
                <w:highlight w:val="none"/>
                <w:lang w:bidi="ar"/>
              </w:rPr>
            </w:pPr>
            <w:r>
              <w:rPr>
                <w:rFonts w:hint="eastAsia" w:ascii="宋体" w:hAnsi="宋体" w:cs="仿宋"/>
                <w:color w:val="auto"/>
                <w:kern w:val="0"/>
                <w:sz w:val="24"/>
                <w:highlight w:val="none"/>
                <w:lang w:bidi="ar"/>
              </w:rPr>
              <w:t>县外省内住院人次</w:t>
            </w:r>
          </w:p>
          <w:p>
            <w:pPr>
              <w:widowControl/>
              <w:jc w:val="left"/>
              <w:rPr>
                <w:rFonts w:ascii="宋体" w:hAnsi="宋体" w:cs="仿宋"/>
                <w:color w:val="auto"/>
                <w:kern w:val="0"/>
                <w:sz w:val="24"/>
                <w:highlight w:val="none"/>
                <w:lang w:bidi="ar"/>
              </w:rPr>
            </w:pPr>
            <w:r>
              <w:rPr>
                <w:rFonts w:hint="eastAsia" w:ascii="宋体" w:hAnsi="宋体" w:cs="仿宋"/>
                <w:color w:val="auto"/>
                <w:kern w:val="0"/>
                <w:sz w:val="24"/>
                <w:highlight w:val="none"/>
                <w:lang w:bidi="ar"/>
              </w:rPr>
              <w:t>县外省内住院增长率（%）</w:t>
            </w:r>
          </w:p>
          <w:p>
            <w:pPr>
              <w:widowControl/>
              <w:jc w:val="left"/>
              <w:rPr>
                <w:rFonts w:ascii="宋体" w:hAnsi="宋体" w:cs="仿宋"/>
                <w:color w:val="auto"/>
                <w:kern w:val="0"/>
                <w:sz w:val="24"/>
                <w:highlight w:val="none"/>
                <w:lang w:bidi="ar"/>
              </w:rPr>
            </w:pPr>
            <w:r>
              <w:rPr>
                <w:rFonts w:hint="eastAsia" w:ascii="宋体" w:hAnsi="宋体" w:cs="仿宋"/>
                <w:color w:val="auto"/>
                <w:kern w:val="0"/>
                <w:sz w:val="24"/>
                <w:highlight w:val="none"/>
                <w:lang w:bidi="ar"/>
              </w:rPr>
              <w:t>省外医院门诊人次</w:t>
            </w:r>
          </w:p>
          <w:p>
            <w:pPr>
              <w:widowControl/>
              <w:jc w:val="left"/>
              <w:rPr>
                <w:rFonts w:ascii="宋体" w:hAnsi="宋体" w:cs="仿宋"/>
                <w:color w:val="auto"/>
                <w:kern w:val="0"/>
                <w:sz w:val="24"/>
                <w:highlight w:val="none"/>
                <w:lang w:bidi="ar"/>
              </w:rPr>
            </w:pPr>
            <w:r>
              <w:rPr>
                <w:rFonts w:hint="eastAsia" w:ascii="宋体" w:hAnsi="宋体" w:cs="仿宋"/>
                <w:color w:val="auto"/>
                <w:kern w:val="0"/>
                <w:sz w:val="24"/>
                <w:highlight w:val="none"/>
                <w:lang w:bidi="ar"/>
              </w:rPr>
              <w:t>省外门诊增长率（%）</w:t>
            </w:r>
          </w:p>
          <w:p>
            <w:pPr>
              <w:widowControl/>
              <w:jc w:val="left"/>
              <w:rPr>
                <w:rFonts w:ascii="宋体" w:hAnsi="宋体" w:cs="仿宋"/>
                <w:color w:val="auto"/>
                <w:kern w:val="0"/>
                <w:sz w:val="24"/>
                <w:highlight w:val="none"/>
                <w:lang w:bidi="ar"/>
              </w:rPr>
            </w:pPr>
            <w:r>
              <w:rPr>
                <w:rFonts w:hint="eastAsia" w:ascii="宋体" w:hAnsi="宋体" w:cs="仿宋"/>
                <w:color w:val="auto"/>
                <w:kern w:val="0"/>
                <w:sz w:val="24"/>
                <w:highlight w:val="none"/>
                <w:lang w:bidi="ar"/>
              </w:rPr>
              <w:t>省外住院人次</w:t>
            </w:r>
          </w:p>
          <w:p>
            <w:pPr>
              <w:widowControl/>
              <w:jc w:val="left"/>
              <w:rPr>
                <w:rFonts w:ascii="宋体" w:hAnsi="宋体" w:cs="仿宋"/>
                <w:color w:val="auto"/>
                <w:kern w:val="0"/>
                <w:sz w:val="24"/>
                <w:highlight w:val="none"/>
                <w:lang w:bidi="ar"/>
              </w:rPr>
            </w:pPr>
            <w:r>
              <w:rPr>
                <w:rFonts w:hint="eastAsia" w:ascii="宋体" w:hAnsi="宋体" w:cs="仿宋"/>
                <w:color w:val="auto"/>
                <w:kern w:val="0"/>
                <w:sz w:val="24"/>
                <w:highlight w:val="none"/>
                <w:lang w:bidi="ar"/>
              </w:rPr>
              <w:t>省外住院增长率（%）</w:t>
            </w:r>
          </w:p>
          <w:p>
            <w:pPr>
              <w:widowControl/>
              <w:jc w:val="left"/>
              <w:rPr>
                <w:rFonts w:ascii="宋体" w:hAnsi="宋体" w:cs="仿宋"/>
                <w:color w:val="auto"/>
                <w:kern w:val="0"/>
                <w:sz w:val="24"/>
                <w:highlight w:val="none"/>
                <w:lang w:bidi="ar"/>
              </w:rPr>
            </w:pPr>
            <w:r>
              <w:rPr>
                <w:rFonts w:hint="eastAsia" w:ascii="宋体" w:hAnsi="宋体" w:cs="仿宋"/>
                <w:color w:val="auto"/>
                <w:kern w:val="0"/>
                <w:sz w:val="24"/>
                <w:highlight w:val="none"/>
                <w:lang w:bidi="ar"/>
              </w:rPr>
              <w:t>县域医共体内基层医院首诊人次</w:t>
            </w:r>
          </w:p>
          <w:p>
            <w:pPr>
              <w:widowControl/>
              <w:jc w:val="left"/>
              <w:rPr>
                <w:rFonts w:ascii="宋体" w:hAnsi="宋体" w:cs="仿宋"/>
                <w:color w:val="auto"/>
                <w:kern w:val="0"/>
                <w:sz w:val="24"/>
                <w:highlight w:val="none"/>
                <w:lang w:bidi="ar"/>
              </w:rPr>
            </w:pPr>
            <w:r>
              <w:rPr>
                <w:rFonts w:hint="eastAsia" w:ascii="宋体" w:hAnsi="宋体" w:cs="仿宋"/>
                <w:color w:val="auto"/>
                <w:kern w:val="0"/>
                <w:sz w:val="24"/>
                <w:highlight w:val="none"/>
                <w:lang w:bidi="ar"/>
              </w:rPr>
              <w:t>基层医院首诊率（%）</w:t>
            </w:r>
          </w:p>
          <w:p>
            <w:pPr>
              <w:widowControl/>
              <w:jc w:val="left"/>
              <w:rPr>
                <w:rFonts w:ascii="宋体" w:hAnsi="宋体" w:cs="仿宋"/>
                <w:color w:val="auto"/>
                <w:kern w:val="0"/>
                <w:sz w:val="24"/>
                <w:highlight w:val="none"/>
                <w:lang w:bidi="ar"/>
              </w:rPr>
            </w:pPr>
            <w:r>
              <w:rPr>
                <w:rFonts w:hint="eastAsia" w:ascii="宋体" w:hAnsi="宋体" w:cs="仿宋"/>
                <w:color w:val="auto"/>
                <w:kern w:val="0"/>
                <w:sz w:val="24"/>
                <w:highlight w:val="none"/>
                <w:lang w:bidi="ar"/>
              </w:rPr>
              <w:t>门诊上转人次</w:t>
            </w:r>
          </w:p>
          <w:p>
            <w:pPr>
              <w:widowControl/>
              <w:jc w:val="left"/>
              <w:rPr>
                <w:rFonts w:ascii="宋体" w:hAnsi="宋体" w:cs="仿宋"/>
                <w:color w:val="auto"/>
                <w:kern w:val="0"/>
                <w:sz w:val="24"/>
                <w:highlight w:val="none"/>
                <w:lang w:bidi="ar"/>
              </w:rPr>
            </w:pPr>
            <w:r>
              <w:rPr>
                <w:rFonts w:hint="eastAsia" w:ascii="宋体" w:hAnsi="宋体" w:cs="仿宋"/>
                <w:color w:val="auto"/>
                <w:kern w:val="0"/>
                <w:sz w:val="24"/>
                <w:highlight w:val="none"/>
                <w:lang w:bidi="ar"/>
              </w:rPr>
              <w:t>门诊上转履约人次</w:t>
            </w:r>
          </w:p>
          <w:p>
            <w:pPr>
              <w:widowControl/>
              <w:jc w:val="left"/>
              <w:rPr>
                <w:rFonts w:ascii="宋体" w:hAnsi="宋体" w:cs="仿宋"/>
                <w:color w:val="auto"/>
                <w:kern w:val="0"/>
                <w:sz w:val="24"/>
                <w:highlight w:val="none"/>
                <w:lang w:bidi="ar"/>
              </w:rPr>
            </w:pPr>
            <w:r>
              <w:rPr>
                <w:rFonts w:hint="eastAsia" w:ascii="宋体" w:hAnsi="宋体" w:cs="仿宋"/>
                <w:color w:val="auto"/>
                <w:kern w:val="0"/>
                <w:sz w:val="24"/>
                <w:highlight w:val="none"/>
                <w:lang w:bidi="ar"/>
              </w:rPr>
              <w:t>门诊上转履约率（%）</w:t>
            </w:r>
          </w:p>
          <w:p>
            <w:pPr>
              <w:widowControl/>
              <w:jc w:val="left"/>
              <w:rPr>
                <w:rFonts w:ascii="宋体" w:hAnsi="宋体" w:cs="仿宋"/>
                <w:color w:val="auto"/>
                <w:kern w:val="0"/>
                <w:sz w:val="24"/>
                <w:highlight w:val="none"/>
                <w:lang w:bidi="ar"/>
              </w:rPr>
            </w:pPr>
            <w:r>
              <w:rPr>
                <w:rFonts w:hint="eastAsia" w:ascii="宋体" w:hAnsi="宋体" w:cs="仿宋"/>
                <w:color w:val="auto"/>
                <w:kern w:val="0"/>
                <w:sz w:val="24"/>
                <w:highlight w:val="none"/>
                <w:lang w:bidi="ar"/>
              </w:rPr>
              <w:t>住院转诊人次</w:t>
            </w:r>
          </w:p>
          <w:p>
            <w:pPr>
              <w:widowControl/>
              <w:jc w:val="left"/>
              <w:rPr>
                <w:rFonts w:ascii="宋体" w:hAnsi="宋体" w:cs="仿宋"/>
                <w:color w:val="auto"/>
                <w:kern w:val="0"/>
                <w:sz w:val="24"/>
                <w:highlight w:val="none"/>
                <w:lang w:bidi="ar"/>
              </w:rPr>
            </w:pPr>
            <w:r>
              <w:rPr>
                <w:rFonts w:hint="eastAsia" w:ascii="宋体" w:hAnsi="宋体" w:cs="仿宋"/>
                <w:color w:val="auto"/>
                <w:kern w:val="0"/>
                <w:sz w:val="24"/>
                <w:highlight w:val="none"/>
                <w:lang w:bidi="ar"/>
              </w:rPr>
              <w:t>住院转诊履约人次</w:t>
            </w:r>
          </w:p>
          <w:p>
            <w:pPr>
              <w:widowControl/>
              <w:jc w:val="left"/>
              <w:rPr>
                <w:rFonts w:ascii="宋体" w:hAnsi="宋体" w:cs="仿宋"/>
                <w:color w:val="auto"/>
                <w:kern w:val="0"/>
                <w:sz w:val="24"/>
                <w:highlight w:val="none"/>
                <w:lang w:bidi="ar"/>
              </w:rPr>
            </w:pPr>
            <w:r>
              <w:rPr>
                <w:rFonts w:hint="eastAsia" w:ascii="宋体" w:hAnsi="宋体" w:cs="仿宋"/>
                <w:color w:val="auto"/>
                <w:kern w:val="0"/>
                <w:sz w:val="24"/>
                <w:highlight w:val="none"/>
                <w:lang w:bidi="ar"/>
              </w:rPr>
              <w:t>住院转诊履约率</w:t>
            </w:r>
          </w:p>
          <w:p>
            <w:pPr>
              <w:widowControl/>
              <w:jc w:val="left"/>
              <w:rPr>
                <w:rFonts w:ascii="宋体" w:hAnsi="宋体" w:cs="仿宋"/>
                <w:color w:val="auto"/>
                <w:kern w:val="0"/>
                <w:sz w:val="24"/>
                <w:highlight w:val="none"/>
                <w:lang w:bidi="ar"/>
              </w:rPr>
            </w:pPr>
            <w:r>
              <w:rPr>
                <w:rFonts w:hint="eastAsia" w:ascii="宋体" w:hAnsi="宋体" w:cs="仿宋"/>
                <w:color w:val="auto"/>
                <w:kern w:val="0"/>
                <w:sz w:val="24"/>
                <w:highlight w:val="none"/>
                <w:lang w:bidi="ar"/>
              </w:rPr>
              <w:t>区域内出院人次</w:t>
            </w:r>
          </w:p>
          <w:p>
            <w:pPr>
              <w:widowControl/>
              <w:jc w:val="left"/>
              <w:rPr>
                <w:rFonts w:ascii="宋体" w:hAnsi="宋体" w:cs="仿宋"/>
                <w:color w:val="auto"/>
                <w:kern w:val="0"/>
                <w:sz w:val="24"/>
                <w:highlight w:val="none"/>
                <w:lang w:bidi="ar"/>
              </w:rPr>
            </w:pPr>
            <w:r>
              <w:rPr>
                <w:rFonts w:hint="eastAsia" w:ascii="宋体" w:hAnsi="宋体" w:cs="仿宋"/>
                <w:color w:val="auto"/>
                <w:kern w:val="0"/>
                <w:sz w:val="24"/>
                <w:highlight w:val="none"/>
                <w:lang w:bidi="ar"/>
              </w:rPr>
              <w:t>基层出院人次</w:t>
            </w:r>
          </w:p>
          <w:p>
            <w:pPr>
              <w:widowControl/>
              <w:jc w:val="left"/>
              <w:rPr>
                <w:rFonts w:ascii="宋体" w:hAnsi="宋体" w:cs="仿宋"/>
                <w:color w:val="auto"/>
                <w:kern w:val="0"/>
                <w:sz w:val="24"/>
                <w:highlight w:val="none"/>
                <w:lang w:bidi="ar"/>
              </w:rPr>
            </w:pPr>
            <w:r>
              <w:rPr>
                <w:rFonts w:hint="eastAsia" w:ascii="宋体" w:hAnsi="宋体" w:cs="仿宋"/>
                <w:color w:val="auto"/>
                <w:kern w:val="0"/>
                <w:sz w:val="24"/>
                <w:highlight w:val="none"/>
                <w:lang w:bidi="ar"/>
              </w:rPr>
              <w:t>县级医院出院人次</w:t>
            </w:r>
          </w:p>
          <w:p>
            <w:pPr>
              <w:widowControl/>
              <w:jc w:val="left"/>
              <w:rPr>
                <w:rFonts w:ascii="宋体" w:hAnsi="宋体" w:cs="仿宋"/>
                <w:color w:val="auto"/>
                <w:kern w:val="0"/>
                <w:sz w:val="24"/>
                <w:highlight w:val="none"/>
                <w:lang w:bidi="ar"/>
              </w:rPr>
            </w:pPr>
            <w:r>
              <w:rPr>
                <w:rFonts w:hint="eastAsia" w:ascii="宋体" w:hAnsi="宋体" w:cs="仿宋"/>
                <w:color w:val="auto"/>
                <w:kern w:val="0"/>
                <w:sz w:val="24"/>
                <w:highlight w:val="none"/>
                <w:lang w:bidi="ar"/>
              </w:rPr>
              <w:t>出院随访人次</w:t>
            </w:r>
          </w:p>
          <w:p>
            <w:pPr>
              <w:widowControl/>
              <w:jc w:val="left"/>
              <w:rPr>
                <w:rFonts w:ascii="宋体" w:hAnsi="宋体" w:cs="仿宋"/>
                <w:color w:val="auto"/>
                <w:kern w:val="0"/>
                <w:sz w:val="24"/>
                <w:highlight w:val="none"/>
                <w:lang w:bidi="ar"/>
              </w:rPr>
            </w:pPr>
            <w:r>
              <w:rPr>
                <w:rFonts w:hint="eastAsia" w:ascii="宋体" w:hAnsi="宋体" w:cs="仿宋"/>
                <w:color w:val="auto"/>
                <w:kern w:val="0"/>
                <w:sz w:val="24"/>
                <w:highlight w:val="none"/>
                <w:lang w:bidi="ar"/>
              </w:rPr>
              <w:t>出院随访率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firstLine="482"/>
              <w:rPr>
                <w:rFonts w:ascii="宋体" w:hAnsi="宋体" w:eastAsia="宋体" w:cs="华文仿宋"/>
                <w:b/>
                <w:color w:val="auto"/>
                <w:sz w:val="24"/>
                <w:highlight w:val="none"/>
                <w:lang w:bidi="ar"/>
              </w:rPr>
            </w:pPr>
            <w:r>
              <w:rPr>
                <w:rFonts w:hint="eastAsia" w:ascii="宋体" w:hAnsi="宋体" w:eastAsia="宋体" w:cs="华文仿宋"/>
                <w:b/>
                <w:color w:val="auto"/>
                <w:sz w:val="24"/>
                <w:highlight w:val="none"/>
                <w:lang w:bidi="ar"/>
              </w:rPr>
              <w:t>可视化</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结果展示：</w:t>
            </w:r>
            <w:r>
              <w:rPr>
                <w:rFonts w:hint="eastAsia" w:ascii="宋体" w:hAnsi="宋体" w:eastAsia="宋体"/>
                <w:color w:val="auto"/>
                <w:sz w:val="24"/>
                <w:highlight w:val="none"/>
                <w:lang w:eastAsia="zh-CN"/>
              </w:rPr>
              <w:t>支持对计算结果可视化显示，将配置好的图表视图及绑定数据结果进行展示</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配置管理：</w:t>
            </w:r>
            <w:r>
              <w:rPr>
                <w:rFonts w:hint="eastAsia" w:ascii="宋体" w:hAnsi="宋体" w:eastAsia="宋体"/>
                <w:color w:val="auto"/>
                <w:sz w:val="24"/>
                <w:highlight w:val="none"/>
                <w:lang w:eastAsia="zh-CN"/>
              </w:rPr>
              <w:t>支持自定义配置可视化图表，包括：</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1.视图创建：新增图表名称，可配置图标维度和指标、指定查询数据脚本、上传缩略图、图表类型（折线、饼图、柱状图、仪表盘、词云图）</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2.视图维护：支持参数更新编辑、删除</w:t>
            </w:r>
          </w:p>
        </w:tc>
      </w:tr>
    </w:tbl>
    <w:p>
      <w:pPr>
        <w:rPr>
          <w:color w:val="auto"/>
          <w:highlight w:val="none"/>
        </w:rPr>
      </w:pPr>
    </w:p>
    <w:p>
      <w:pPr>
        <w:pStyle w:val="5"/>
        <w:numPr>
          <w:ilvl w:val="2"/>
          <w:numId w:val="8"/>
        </w:numPr>
        <w:tabs>
          <w:tab w:val="clear" w:pos="720"/>
        </w:tabs>
        <w:autoSpaceDE/>
        <w:autoSpaceDN/>
        <w:adjustRightInd/>
        <w:spacing w:before="260" w:after="260" w:line="416" w:lineRule="auto"/>
        <w:jc w:val="both"/>
        <w:rPr>
          <w:rFonts w:hAnsi="宋体"/>
          <w:color w:val="auto"/>
          <w:szCs w:val="24"/>
          <w:highlight w:val="none"/>
        </w:rPr>
      </w:pPr>
      <w:bookmarkStart w:id="995" w:name="_Toc132392976"/>
      <w:bookmarkStart w:id="996" w:name="_Toc138247831"/>
      <w:bookmarkStart w:id="997" w:name="_Toc15368"/>
      <w:r>
        <w:rPr>
          <w:rFonts w:hint="eastAsia" w:hAnsi="宋体"/>
          <w:color w:val="auto"/>
          <w:szCs w:val="24"/>
          <w:highlight w:val="none"/>
        </w:rPr>
        <w:t>二级医院区域医疗质量数据监管平台</w:t>
      </w:r>
      <w:bookmarkEnd w:id="995"/>
      <w:bookmarkEnd w:id="996"/>
      <w:bookmarkEnd w:id="997"/>
    </w:p>
    <w:p>
      <w:pPr>
        <w:pStyle w:val="6"/>
        <w:numPr>
          <w:ilvl w:val="3"/>
          <w:numId w:val="8"/>
        </w:numPr>
        <w:spacing w:before="280" w:after="290" w:line="376" w:lineRule="auto"/>
        <w:rPr>
          <w:rFonts w:ascii="宋体" w:hAnsi="宋体"/>
          <w:color w:val="auto"/>
          <w:sz w:val="24"/>
          <w:szCs w:val="24"/>
          <w:highlight w:val="none"/>
        </w:rPr>
      </w:pPr>
      <w:bookmarkStart w:id="998" w:name="_Toc28680"/>
      <w:r>
        <w:rPr>
          <w:rFonts w:hint="eastAsia" w:hAnsi="宋体"/>
          <w:color w:val="auto"/>
          <w:sz w:val="24"/>
          <w:szCs w:val="24"/>
          <w:highlight w:val="none"/>
        </w:rPr>
        <w:t>二</w:t>
      </w:r>
      <w:r>
        <w:rPr>
          <w:rFonts w:hint="eastAsia" w:ascii="宋体" w:hAnsi="宋体"/>
          <w:color w:val="auto"/>
          <w:sz w:val="24"/>
          <w:szCs w:val="24"/>
          <w:highlight w:val="none"/>
        </w:rPr>
        <w:t>级医院区域医疗质量数据汇聚中心</w:t>
      </w:r>
      <w:bookmarkEnd w:id="998"/>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left="105" w:leftChars="50" w:right="105" w:rightChars="50" w:firstLine="508"/>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5" w:leftChars="50" w:right="105" w:rightChars="50" w:firstLine="508"/>
              <w:jc w:val="center"/>
              <w:rPr>
                <w:rFonts w:ascii="宋体" w:hAnsi="宋体" w:eastAsia="宋体"/>
                <w:b/>
                <w:color w:val="auto"/>
                <w:w w:val="105"/>
                <w:sz w:val="24"/>
                <w:highlight w:val="none"/>
              </w:rPr>
            </w:pPr>
            <w:r>
              <w:rPr>
                <w:rFonts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cs="华文仿宋"/>
                <w:b/>
                <w:color w:val="auto"/>
                <w:sz w:val="24"/>
                <w:highlight w:val="none"/>
                <w:lang w:eastAsia="zh-CN" w:bidi="ar"/>
              </w:rPr>
              <w:t>二级医院区域医疗质量数据整合</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数据源配置：</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配置数据来源，可选择不同区域、医疗机构的医疗质量数据作为数据来源</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采集管理</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可新增、编辑、删除采集规则</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可自定义规则对数据进行脱敏处理</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3.</w:t>
            </w:r>
            <w:r>
              <w:rPr>
                <w:rFonts w:hint="eastAsia" w:ascii="宋体" w:hAnsi="宋体" w:eastAsia="宋体"/>
                <w:color w:val="auto"/>
                <w:kern w:val="0"/>
                <w:sz w:val="24"/>
                <w:highlight w:val="none"/>
                <w:lang w:eastAsia="zh-CN"/>
              </w:rPr>
              <w:t xml:space="preserve"> 支持</w:t>
            </w:r>
            <w:r>
              <w:rPr>
                <w:rFonts w:hint="eastAsia" w:ascii="宋体" w:hAnsi="宋体" w:eastAsia="宋体"/>
                <w:color w:val="auto"/>
                <w:sz w:val="24"/>
                <w:highlight w:val="none"/>
                <w:lang w:eastAsia="zh-CN"/>
              </w:rPr>
              <w:t>可设置采集频率</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数据权限：</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配置医疗机构数据访问权限，可指定角色访问</w:t>
            </w:r>
          </w:p>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数据日志：</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采集数据执行结果日志列表，显示采集规则、采集时间、采集频率、采集状态等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cs="华文仿宋"/>
                <w:b/>
                <w:color w:val="auto"/>
                <w:sz w:val="24"/>
                <w:highlight w:val="none"/>
                <w:lang w:eastAsia="zh-CN" w:bidi="ar"/>
              </w:rPr>
              <w:t>二级医院区域医疗质量数据治理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b/>
                <w:bCs/>
                <w:color w:val="auto"/>
                <w:sz w:val="24"/>
                <w:highlight w:val="none"/>
                <w:lang w:eastAsia="zh-CN"/>
              </w:rPr>
              <w:t>数据治理：</w:t>
            </w:r>
            <w:r>
              <w:rPr>
                <w:rFonts w:hint="eastAsia" w:ascii="宋体" w:hAnsi="宋体" w:eastAsia="宋体"/>
                <w:color w:val="auto"/>
                <w:sz w:val="24"/>
                <w:highlight w:val="none"/>
                <w:lang w:eastAsia="zh-CN"/>
              </w:rPr>
              <w:t>通过ETL抽取、清洗、处理等，支持数据集成及整合过程的标准化：实现数据的集成，通过各种数据治理手段，结合标准的医疗术语的标准规范管理，实现数据的标准化、结构化，并实现数据治理过程中的完整性、自洽性、一致性。形成完整、可用的数据源；</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数据展示：</w:t>
            </w:r>
            <w:r>
              <w:rPr>
                <w:rFonts w:hint="eastAsia" w:ascii="宋体" w:hAnsi="宋体" w:eastAsia="宋体"/>
                <w:color w:val="auto"/>
                <w:kern w:val="0"/>
                <w:sz w:val="24"/>
                <w:highlight w:val="none"/>
                <w:lang w:eastAsia="zh-CN"/>
              </w:rPr>
              <w:t>支持可</w:t>
            </w:r>
            <w:r>
              <w:rPr>
                <w:rFonts w:hint="eastAsia" w:ascii="宋体" w:hAnsi="宋体" w:eastAsia="宋体"/>
                <w:color w:val="auto"/>
                <w:sz w:val="24"/>
                <w:highlight w:val="none"/>
                <w:lang w:eastAsia="zh-CN"/>
              </w:rPr>
              <w:t>展示各各医疗机构医疗质量数据概况、数据趋势概况等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firstLine="482"/>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二级医院区域医疗质量数据检索</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模糊检索</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1.支持通过关键字（患者姓名、住院号、ICD编码等）进行模糊检索，系统可从区域医疗质量数据库可提取相关病历信息并进行列表展示</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2.支持对检索结果中的关键词进行标红高亮显示</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3.支持对检索条件保存为指定名称的数据集</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高级检索：</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可选择配置多个查询条件进行（and/or/not，关键词包含或不包含，精确数值类型条件大于/等于/小于）组合查询</w:t>
            </w:r>
            <w:r>
              <w:rPr>
                <w:rFonts w:hint="eastAsia" w:ascii="宋体" w:hAnsi="宋体" w:eastAsia="宋体" w:cs="华文仿宋"/>
                <w:color w:val="auto"/>
                <w:sz w:val="24"/>
                <w:highlight w:val="none"/>
                <w:lang w:eastAsia="zh-CN" w:bidi="ar"/>
              </w:rPr>
              <w:t>。</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结果展示：</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根据标签或关键字进入下级页面浏览相关信息，可查看结果详情，患者基本信息、检查报告、诊断结果等</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数据导出：</w:t>
            </w:r>
            <w:r>
              <w:rPr>
                <w:rFonts w:hint="eastAsia" w:ascii="宋体" w:hAnsi="宋体" w:eastAsia="宋体"/>
                <w:color w:val="auto"/>
                <w:sz w:val="24"/>
                <w:highlight w:val="none"/>
                <w:lang w:eastAsia="zh-CN"/>
              </w:rPr>
              <w:t>支持将通过检索的数据结果按照自定义模板配置导出患者信息以csv格式进行保存。数据导出之前必须在系统中按流程进行审批，审批通过后，按权限获取数据，系统在导出数据之前自动进行脱敏处理。</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数据集：</w:t>
            </w:r>
            <w:r>
              <w:rPr>
                <w:rFonts w:hint="eastAsia" w:ascii="宋体" w:hAnsi="宋体" w:eastAsia="宋体"/>
                <w:color w:val="auto"/>
                <w:sz w:val="24"/>
                <w:highlight w:val="none"/>
                <w:lang w:eastAsia="zh-CN"/>
              </w:rPr>
              <w:t>支持列表展示历史检索并保存的自定义条件数据集，可直达检索数据结果详情列表页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right="105" w:rightChars="50" w:firstLine="482"/>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任务管理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任务列表：</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可添加、编辑、停止任务</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执行日志：</w:t>
            </w: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查看任务执行日志列表，包括任务执行状态、执行时间、执行规则。</w:t>
            </w:r>
          </w:p>
        </w:tc>
      </w:tr>
    </w:tbl>
    <w:p>
      <w:pPr>
        <w:rPr>
          <w:color w:val="auto"/>
          <w:highlight w:val="none"/>
        </w:rPr>
      </w:pPr>
    </w:p>
    <w:p>
      <w:pPr>
        <w:pStyle w:val="6"/>
        <w:numPr>
          <w:ilvl w:val="3"/>
          <w:numId w:val="8"/>
        </w:numPr>
        <w:spacing w:before="280" w:after="290" w:line="376" w:lineRule="auto"/>
        <w:rPr>
          <w:rFonts w:ascii="宋体" w:hAnsi="宋体"/>
          <w:color w:val="auto"/>
          <w:sz w:val="24"/>
          <w:szCs w:val="24"/>
          <w:highlight w:val="none"/>
        </w:rPr>
      </w:pPr>
      <w:bookmarkStart w:id="999" w:name="_Toc25833"/>
      <w:r>
        <w:rPr>
          <w:rFonts w:hint="eastAsia" w:hAnsi="宋体"/>
          <w:color w:val="auto"/>
          <w:sz w:val="24"/>
          <w:szCs w:val="24"/>
          <w:highlight w:val="none"/>
        </w:rPr>
        <w:t>二</w:t>
      </w:r>
      <w:r>
        <w:rPr>
          <w:rFonts w:hint="eastAsia" w:ascii="宋体" w:hAnsi="宋体"/>
          <w:color w:val="auto"/>
          <w:sz w:val="24"/>
          <w:szCs w:val="24"/>
          <w:highlight w:val="none"/>
        </w:rPr>
        <w:t>级医院区域医疗质量数据质控中心</w:t>
      </w:r>
      <w:bookmarkEnd w:id="999"/>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right="105" w:rightChars="50" w:firstLine="508"/>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spacing w:before="13" w:line="360" w:lineRule="auto"/>
              <w:ind w:left="105" w:leftChars="50" w:right="105" w:rightChars="50" w:firstLine="508"/>
              <w:jc w:val="center"/>
              <w:rPr>
                <w:rFonts w:ascii="宋体" w:hAnsi="宋体" w:eastAsia="宋体"/>
                <w:b/>
                <w:color w:val="auto"/>
                <w:w w:val="105"/>
                <w:sz w:val="24"/>
                <w:highlight w:val="none"/>
              </w:rPr>
            </w:pPr>
            <w:r>
              <w:rPr>
                <w:rFonts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firstLine="482"/>
              <w:rPr>
                <w:rFonts w:ascii="宋体" w:hAnsi="宋体" w:eastAsia="宋体"/>
                <w:b/>
                <w:bCs/>
                <w:color w:val="auto"/>
                <w:sz w:val="24"/>
                <w:highlight w:val="none"/>
                <w:lang w:eastAsia="zh-CN"/>
              </w:rPr>
            </w:pPr>
            <w:r>
              <w:rPr>
                <w:rFonts w:hint="eastAsia" w:ascii="宋体" w:hAnsi="宋体" w:eastAsia="宋体" w:cs="华文仿宋"/>
                <w:b/>
                <w:color w:val="auto"/>
                <w:sz w:val="24"/>
                <w:highlight w:val="none"/>
                <w:lang w:eastAsia="zh-CN" w:bidi="ar"/>
              </w:rPr>
              <w:t>二级医院区域质控规则管理</w:t>
            </w:r>
          </w:p>
        </w:tc>
        <w:tc>
          <w:tcPr>
            <w:tcW w:w="6622" w:type="dxa"/>
            <w:vAlign w:val="center"/>
          </w:tcPr>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对数据的完整性、规范性、一致性、准确性、唯一性规则的新增、修改、删除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firstLine="482"/>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二级医院区域质控任务管理</w:t>
            </w:r>
          </w:p>
        </w:tc>
        <w:tc>
          <w:tcPr>
            <w:tcW w:w="6622" w:type="dxa"/>
            <w:vAlign w:val="center"/>
          </w:tcPr>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任务管理：管理质量规则任务的新增、编辑、删除，查看任务的状态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left="0" w:right="105" w:rightChars="50" w:firstLine="482"/>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二级医院区域数据质控</w:t>
            </w:r>
          </w:p>
        </w:tc>
        <w:tc>
          <w:tcPr>
            <w:tcW w:w="6622" w:type="dxa"/>
            <w:vAlign w:val="center"/>
          </w:tcPr>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支持查看质控任务列表；</w:t>
            </w:r>
          </w:p>
          <w:p>
            <w:pPr>
              <w:pStyle w:val="201"/>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支持查看质控任务执行详情；</w:t>
            </w:r>
          </w:p>
          <w:p>
            <w:pPr>
              <w:pStyle w:val="201"/>
              <w:numPr>
                <w:ilvl w:val="0"/>
                <w:numId w:val="9"/>
              </w:numPr>
              <w:spacing w:before="6" w:line="360" w:lineRule="auto"/>
              <w:ind w:left="452" w:right="105" w:rightChars="50" w:firstLine="482"/>
              <w:rPr>
                <w:rFonts w:ascii="宋体" w:hAnsi="宋体"/>
                <w:color w:val="auto"/>
                <w:sz w:val="24"/>
                <w:highlight w:val="none"/>
                <w:lang w:eastAsia="zh-CN"/>
              </w:rPr>
            </w:pPr>
            <w:r>
              <w:rPr>
                <w:rFonts w:hint="eastAsia" w:ascii="宋体" w:hAnsi="宋体" w:eastAsia="宋体"/>
                <w:color w:val="auto"/>
                <w:sz w:val="24"/>
                <w:highlight w:val="none"/>
                <w:lang w:eastAsia="zh-CN"/>
              </w:rPr>
              <w:t>支持手工执行质控任务；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widowControl/>
              <w:spacing w:before="6" w:line="360" w:lineRule="auto"/>
              <w:ind w:left="0" w:right="105" w:rightChars="50" w:firstLine="482"/>
              <w:rPr>
                <w:rFonts w:ascii="宋体" w:hAnsi="宋体" w:eastAsia="宋体"/>
                <w:b/>
                <w:bCs/>
                <w:color w:val="auto"/>
                <w:sz w:val="24"/>
                <w:highlight w:val="none"/>
                <w:lang w:eastAsia="zh-CN"/>
              </w:rPr>
            </w:pPr>
            <w:r>
              <w:rPr>
                <w:rFonts w:hint="eastAsia" w:ascii="宋体" w:hAnsi="宋体" w:eastAsia="宋体" w:cs="华文仿宋"/>
                <w:b/>
                <w:color w:val="auto"/>
                <w:sz w:val="24"/>
                <w:highlight w:val="none"/>
                <w:lang w:eastAsia="zh-CN" w:bidi="ar"/>
              </w:rPr>
              <w:t>二级医院</w:t>
            </w:r>
            <w:r>
              <w:rPr>
                <w:rFonts w:hint="eastAsia" w:ascii="宋体" w:hAnsi="宋体" w:eastAsia="宋体"/>
                <w:b/>
                <w:bCs/>
                <w:color w:val="auto"/>
                <w:sz w:val="24"/>
                <w:highlight w:val="none"/>
                <w:lang w:eastAsia="zh-CN"/>
              </w:rPr>
              <w:t>区域质控报告</w:t>
            </w:r>
          </w:p>
        </w:tc>
        <w:tc>
          <w:tcPr>
            <w:tcW w:w="6622" w:type="dxa"/>
            <w:vAlign w:val="center"/>
          </w:tcPr>
          <w:p>
            <w:pPr>
              <w:pStyle w:val="201"/>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质量报告：统计分析某个时间段内各种规则在数据处理过程中数据的质量情况</w:t>
            </w:r>
          </w:p>
          <w:p>
            <w:pPr>
              <w:pStyle w:val="201"/>
              <w:numPr>
                <w:ilvl w:val="0"/>
                <w:numId w:val="9"/>
              </w:numPr>
              <w:spacing w:before="6" w:line="360" w:lineRule="auto"/>
              <w:ind w:left="452" w:right="105" w:rightChars="50" w:firstLine="482"/>
              <w:rPr>
                <w:rFonts w:ascii="宋体" w:hAnsi="宋体" w:eastAsia="宋体"/>
                <w:b/>
                <w:bCs/>
                <w:color w:val="auto"/>
                <w:sz w:val="24"/>
                <w:highlight w:val="none"/>
                <w:lang w:eastAsia="zh-CN"/>
              </w:rPr>
            </w:pPr>
            <w:r>
              <w:rPr>
                <w:rFonts w:hint="eastAsia" w:ascii="宋体" w:hAnsi="宋体" w:eastAsia="宋体"/>
                <w:color w:val="auto"/>
                <w:kern w:val="0"/>
                <w:sz w:val="24"/>
                <w:highlight w:val="none"/>
                <w:lang w:eastAsia="zh-CN"/>
              </w:rPr>
              <w:t>支持</w:t>
            </w:r>
            <w:r>
              <w:rPr>
                <w:rFonts w:hint="eastAsia" w:ascii="宋体" w:hAnsi="宋体" w:eastAsia="宋体"/>
                <w:color w:val="auto"/>
                <w:sz w:val="24"/>
                <w:highlight w:val="none"/>
                <w:lang w:eastAsia="zh-CN"/>
              </w:rPr>
              <w:t>问题统计：统计在数据处理过程中的规则校验出现的各种错误和问题</w:t>
            </w:r>
          </w:p>
        </w:tc>
      </w:tr>
    </w:tbl>
    <w:p>
      <w:pPr>
        <w:rPr>
          <w:color w:val="auto"/>
          <w:highlight w:val="none"/>
        </w:rPr>
      </w:pPr>
    </w:p>
    <w:p>
      <w:pPr>
        <w:pStyle w:val="6"/>
        <w:numPr>
          <w:ilvl w:val="3"/>
          <w:numId w:val="8"/>
        </w:numPr>
        <w:spacing w:before="280" w:after="290" w:line="376" w:lineRule="auto"/>
        <w:rPr>
          <w:rFonts w:ascii="宋体" w:hAnsi="宋体"/>
          <w:color w:val="auto"/>
          <w:sz w:val="24"/>
          <w:szCs w:val="24"/>
          <w:highlight w:val="none"/>
        </w:rPr>
      </w:pPr>
      <w:bookmarkStart w:id="1000" w:name="_Toc13398"/>
      <w:r>
        <w:rPr>
          <w:rFonts w:hint="eastAsia" w:hAnsi="宋体"/>
          <w:color w:val="auto"/>
          <w:sz w:val="24"/>
          <w:szCs w:val="24"/>
          <w:highlight w:val="none"/>
        </w:rPr>
        <w:t>二</w:t>
      </w:r>
      <w:r>
        <w:rPr>
          <w:rFonts w:hint="eastAsia" w:ascii="宋体" w:hAnsi="宋体"/>
          <w:color w:val="auto"/>
          <w:sz w:val="24"/>
          <w:szCs w:val="24"/>
          <w:highlight w:val="none"/>
        </w:rPr>
        <w:t>级医院区域医疗机构运营管控中心</w:t>
      </w:r>
      <w:bookmarkEnd w:id="1000"/>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right="105" w:rightChars="50" w:firstLine="508"/>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tabs>
                <w:tab w:val="left" w:pos="969"/>
                <w:tab w:val="center" w:pos="3623"/>
              </w:tabs>
              <w:spacing w:before="13" w:line="360" w:lineRule="auto"/>
              <w:ind w:left="105" w:leftChars="50" w:right="105" w:rightChars="50" w:firstLine="508"/>
              <w:jc w:val="center"/>
              <w:rPr>
                <w:rFonts w:ascii="宋体" w:hAnsi="宋体" w:eastAsia="宋体"/>
                <w:b/>
                <w:color w:val="auto"/>
                <w:w w:val="105"/>
                <w:sz w:val="24"/>
                <w:highlight w:val="none"/>
              </w:rPr>
            </w:pPr>
            <w:r>
              <w:rPr>
                <w:rFonts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firstLine="482"/>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二级医院运营指标管理</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指标计算：</w:t>
            </w:r>
            <w:r>
              <w:rPr>
                <w:rFonts w:hint="eastAsia" w:ascii="宋体" w:hAnsi="宋体" w:eastAsia="宋体"/>
                <w:color w:val="auto"/>
                <w:sz w:val="24"/>
                <w:highlight w:val="none"/>
                <w:lang w:eastAsia="zh-CN"/>
              </w:rPr>
              <w:t>支持按已配置的计算规则执行计算任务</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指标配置：</w:t>
            </w:r>
            <w:r>
              <w:rPr>
                <w:rFonts w:hint="eastAsia" w:ascii="宋体" w:hAnsi="宋体" w:eastAsia="宋体"/>
                <w:color w:val="auto"/>
                <w:sz w:val="24"/>
                <w:highlight w:val="none"/>
                <w:lang w:eastAsia="zh-CN"/>
              </w:rPr>
              <w:t>定义区域医疗质量分析指标及其采集来源、计算规则。指标选择根据《公立医院高质量发展评价指标（试行）》、《国家三级公立医院绩效考核操作手册（2022）》、《三级医院评审标准(2022年版)实施细则》、《二级医院评审标准(2022年版)实施细则》等文件，包括但不限于以下指标：</w:t>
            </w:r>
          </w:p>
          <w:p>
            <w:pPr>
              <w:pStyle w:val="42"/>
              <w:tabs>
                <w:tab w:val="left" w:pos="567"/>
              </w:tabs>
              <w:ind w:firstLine="480" w:firstLineChars="200"/>
              <w:rPr>
                <w:rFonts w:ascii="宋体" w:hAnsi="宋体" w:cs="仿宋"/>
                <w:color w:val="auto"/>
                <w:sz w:val="24"/>
                <w:highlight w:val="none"/>
              </w:rPr>
            </w:pPr>
            <w:r>
              <w:rPr>
                <w:rFonts w:hint="eastAsia" w:ascii="宋体" w:hAnsi="宋体" w:cs="仿宋"/>
                <w:color w:val="auto"/>
                <w:sz w:val="24"/>
                <w:highlight w:val="none"/>
              </w:rPr>
              <w:t>1.手术患者并发症发生率</w:t>
            </w:r>
          </w:p>
          <w:p>
            <w:pPr>
              <w:pStyle w:val="42"/>
              <w:tabs>
                <w:tab w:val="left" w:pos="567"/>
              </w:tabs>
              <w:ind w:firstLine="480" w:firstLineChars="200"/>
              <w:rPr>
                <w:rFonts w:ascii="宋体" w:hAnsi="宋体" w:cs="仿宋"/>
                <w:color w:val="auto"/>
                <w:sz w:val="24"/>
                <w:highlight w:val="none"/>
              </w:rPr>
            </w:pPr>
            <w:r>
              <w:rPr>
                <w:rFonts w:hint="eastAsia" w:ascii="宋体" w:hAnsi="宋体" w:cs="仿宋"/>
                <w:color w:val="auto"/>
                <w:sz w:val="24"/>
                <w:highlight w:val="none"/>
              </w:rPr>
              <w:t>2.类切口手术部位感染率</w:t>
            </w:r>
          </w:p>
          <w:p>
            <w:pPr>
              <w:pStyle w:val="42"/>
              <w:tabs>
                <w:tab w:val="left" w:pos="567"/>
              </w:tabs>
              <w:ind w:firstLine="480" w:firstLineChars="200"/>
              <w:rPr>
                <w:rFonts w:ascii="宋体" w:hAnsi="宋体" w:cs="仿宋"/>
                <w:color w:val="auto"/>
                <w:sz w:val="24"/>
                <w:highlight w:val="none"/>
              </w:rPr>
            </w:pPr>
            <w:r>
              <w:rPr>
                <w:rFonts w:hint="eastAsia" w:ascii="宋体" w:hAnsi="宋体" w:cs="仿宋"/>
                <w:color w:val="auto"/>
                <w:sz w:val="24"/>
                <w:highlight w:val="none"/>
              </w:rPr>
              <w:t>3.单病种质量控制</w:t>
            </w:r>
          </w:p>
          <w:p>
            <w:pPr>
              <w:pStyle w:val="42"/>
              <w:tabs>
                <w:tab w:val="left" w:pos="567"/>
              </w:tabs>
              <w:ind w:firstLine="720" w:firstLineChars="300"/>
              <w:rPr>
                <w:rFonts w:ascii="宋体" w:hAnsi="宋体" w:cs="仿宋"/>
                <w:color w:val="auto"/>
                <w:sz w:val="24"/>
                <w:highlight w:val="none"/>
              </w:rPr>
            </w:pPr>
            <w:r>
              <w:rPr>
                <w:rFonts w:hint="eastAsia" w:ascii="宋体" w:hAnsi="宋体" w:cs="仿宋"/>
                <w:color w:val="auto"/>
                <w:sz w:val="24"/>
                <w:highlight w:val="none"/>
              </w:rPr>
              <w:t>1）单病种例数</w:t>
            </w:r>
          </w:p>
          <w:p>
            <w:pPr>
              <w:pStyle w:val="42"/>
              <w:tabs>
                <w:tab w:val="left" w:pos="567"/>
              </w:tabs>
              <w:ind w:firstLine="720" w:firstLineChars="300"/>
              <w:rPr>
                <w:rFonts w:ascii="宋体" w:hAnsi="宋体" w:cs="仿宋"/>
                <w:color w:val="auto"/>
                <w:sz w:val="24"/>
                <w:highlight w:val="none"/>
              </w:rPr>
            </w:pPr>
            <w:r>
              <w:rPr>
                <w:rFonts w:ascii="宋体" w:hAnsi="宋体" w:cs="仿宋"/>
                <w:color w:val="auto"/>
                <w:sz w:val="24"/>
                <w:highlight w:val="none"/>
              </w:rPr>
              <w:t>2</w:t>
            </w:r>
            <w:r>
              <w:rPr>
                <w:rFonts w:hint="eastAsia" w:ascii="宋体" w:hAnsi="宋体" w:cs="仿宋"/>
                <w:color w:val="auto"/>
                <w:sz w:val="24"/>
                <w:highlight w:val="none"/>
              </w:rPr>
              <w:t>）平均住院日</w:t>
            </w:r>
          </w:p>
          <w:p>
            <w:pPr>
              <w:pStyle w:val="42"/>
              <w:tabs>
                <w:tab w:val="left" w:pos="567"/>
              </w:tabs>
              <w:ind w:firstLine="720" w:firstLineChars="300"/>
              <w:rPr>
                <w:rFonts w:ascii="宋体" w:hAnsi="宋体" w:cs="仿宋"/>
                <w:color w:val="auto"/>
                <w:sz w:val="24"/>
                <w:highlight w:val="none"/>
              </w:rPr>
            </w:pPr>
            <w:r>
              <w:rPr>
                <w:rFonts w:ascii="宋体" w:hAnsi="宋体" w:cs="仿宋"/>
                <w:color w:val="auto"/>
                <w:sz w:val="24"/>
                <w:highlight w:val="none"/>
              </w:rPr>
              <w:t>3</w:t>
            </w:r>
            <w:r>
              <w:rPr>
                <w:rFonts w:hint="eastAsia" w:ascii="宋体" w:hAnsi="宋体" w:cs="仿宋"/>
                <w:color w:val="auto"/>
                <w:sz w:val="24"/>
                <w:highlight w:val="none"/>
              </w:rPr>
              <w:t>）次均费用</w:t>
            </w:r>
          </w:p>
          <w:p>
            <w:pPr>
              <w:pStyle w:val="42"/>
              <w:tabs>
                <w:tab w:val="left" w:pos="567"/>
              </w:tabs>
              <w:ind w:firstLine="720" w:firstLineChars="300"/>
              <w:rPr>
                <w:rFonts w:ascii="宋体" w:hAnsi="宋体" w:cs="仿宋"/>
                <w:color w:val="auto"/>
                <w:sz w:val="24"/>
                <w:highlight w:val="none"/>
              </w:rPr>
            </w:pPr>
            <w:r>
              <w:rPr>
                <w:rFonts w:ascii="宋体" w:hAnsi="宋体" w:cs="仿宋"/>
                <w:color w:val="auto"/>
                <w:sz w:val="24"/>
                <w:highlight w:val="none"/>
              </w:rPr>
              <w:t>4</w:t>
            </w:r>
            <w:r>
              <w:rPr>
                <w:rFonts w:hint="eastAsia" w:ascii="宋体" w:hAnsi="宋体" w:cs="仿宋"/>
                <w:color w:val="auto"/>
                <w:sz w:val="24"/>
                <w:highlight w:val="none"/>
              </w:rPr>
              <w:t>）病死率</w:t>
            </w:r>
          </w:p>
          <w:p>
            <w:pPr>
              <w:pStyle w:val="42"/>
              <w:tabs>
                <w:tab w:val="left" w:pos="567"/>
              </w:tabs>
              <w:ind w:firstLine="480" w:firstLineChars="200"/>
              <w:rPr>
                <w:rFonts w:ascii="宋体" w:hAnsi="宋体" w:cs="仿宋"/>
                <w:color w:val="auto"/>
                <w:sz w:val="24"/>
                <w:highlight w:val="none"/>
              </w:rPr>
            </w:pPr>
            <w:r>
              <w:rPr>
                <w:rFonts w:hint="eastAsia" w:ascii="宋体" w:hAnsi="宋体" w:cs="仿宋"/>
                <w:color w:val="auto"/>
                <w:sz w:val="24"/>
                <w:highlight w:val="none"/>
              </w:rPr>
              <w:t>4.大型医用设备检查阳性率</w:t>
            </w:r>
          </w:p>
          <w:p>
            <w:pPr>
              <w:pStyle w:val="42"/>
              <w:tabs>
                <w:tab w:val="left" w:pos="567"/>
              </w:tabs>
              <w:ind w:firstLine="480" w:firstLineChars="200"/>
              <w:rPr>
                <w:rFonts w:ascii="宋体" w:hAnsi="宋体" w:cs="仿宋"/>
                <w:color w:val="auto"/>
                <w:sz w:val="24"/>
                <w:highlight w:val="none"/>
              </w:rPr>
            </w:pPr>
            <w:r>
              <w:rPr>
                <w:rFonts w:hint="eastAsia" w:ascii="宋体" w:hAnsi="宋体" w:cs="仿宋"/>
                <w:color w:val="auto"/>
                <w:sz w:val="24"/>
                <w:highlight w:val="none"/>
              </w:rPr>
              <w:t>5.低风险组病例死亡率</w:t>
            </w:r>
          </w:p>
          <w:p>
            <w:pPr>
              <w:pStyle w:val="42"/>
              <w:tabs>
                <w:tab w:val="left" w:pos="567"/>
              </w:tabs>
              <w:ind w:firstLine="240"/>
              <w:rPr>
                <w:rFonts w:ascii="宋体" w:hAnsi="宋体" w:cs="仿宋"/>
                <w:color w:val="auto"/>
                <w:sz w:val="24"/>
                <w:highlight w:val="none"/>
              </w:rPr>
            </w:pPr>
            <w:r>
              <w:rPr>
                <w:rFonts w:hint="eastAsia" w:ascii="宋体" w:hAnsi="宋体" w:cs="仿宋"/>
                <w:color w:val="auto"/>
                <w:sz w:val="24"/>
                <w:highlight w:val="none"/>
              </w:rPr>
              <w:t xml:space="preserve">  6.医疗质量指数</w:t>
            </w:r>
          </w:p>
          <w:p>
            <w:pPr>
              <w:pStyle w:val="42"/>
              <w:tabs>
                <w:tab w:val="left" w:pos="567"/>
              </w:tabs>
              <w:ind w:firstLine="240"/>
              <w:rPr>
                <w:rFonts w:ascii="宋体" w:hAnsi="宋体"/>
                <w:color w:val="auto"/>
                <w:sz w:val="24"/>
                <w:highlight w:val="none"/>
              </w:rPr>
            </w:pPr>
            <w:r>
              <w:rPr>
                <w:rFonts w:hint="eastAsia" w:ascii="宋体" w:hAnsi="宋体" w:cs="仿宋"/>
                <w:color w:val="auto"/>
                <w:sz w:val="24"/>
                <w:highlight w:val="none"/>
              </w:rPr>
              <w:t xml:space="preserve">  7.时间消耗指数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firstLine="482"/>
              <w:rPr>
                <w:rFonts w:ascii="宋体" w:hAnsi="宋体" w:eastAsia="宋体" w:cs="华文仿宋"/>
                <w:b/>
                <w:color w:val="auto"/>
                <w:sz w:val="24"/>
                <w:highlight w:val="none"/>
                <w:lang w:eastAsia="zh-CN" w:bidi="ar"/>
              </w:rPr>
            </w:pPr>
            <w:r>
              <w:rPr>
                <w:rFonts w:hint="eastAsia" w:ascii="宋体" w:hAnsi="宋体" w:eastAsia="宋体" w:cs="华文仿宋"/>
                <w:b/>
                <w:color w:val="auto"/>
                <w:sz w:val="24"/>
                <w:highlight w:val="none"/>
                <w:lang w:eastAsia="zh-CN" w:bidi="ar"/>
              </w:rPr>
              <w:t>二级医院运营数据中心</w:t>
            </w:r>
          </w:p>
        </w:tc>
        <w:tc>
          <w:tcPr>
            <w:tcW w:w="6622" w:type="dxa"/>
            <w:vAlign w:val="center"/>
          </w:tcPr>
          <w:p>
            <w:pPr>
              <w:widowControl/>
              <w:numPr>
                <w:ilvl w:val="0"/>
                <w:numId w:val="37"/>
              </w:numPr>
              <w:jc w:val="left"/>
              <w:rPr>
                <w:rFonts w:ascii="宋体" w:hAnsi="宋体" w:cs="仿宋"/>
                <w:b/>
                <w:bCs/>
                <w:color w:val="auto"/>
                <w:kern w:val="0"/>
                <w:sz w:val="24"/>
                <w:highlight w:val="none"/>
                <w:lang w:bidi="ar"/>
              </w:rPr>
            </w:pPr>
            <w:r>
              <w:rPr>
                <w:rFonts w:hint="eastAsia" w:ascii="宋体" w:hAnsi="宋体" w:cs="仿宋"/>
                <w:b/>
                <w:bCs/>
                <w:color w:val="auto"/>
                <w:kern w:val="0"/>
                <w:sz w:val="24"/>
                <w:highlight w:val="none"/>
                <w:lang w:bidi="ar"/>
              </w:rPr>
              <w:t>运营数据分析</w:t>
            </w:r>
          </w:p>
          <w:p>
            <w:pPr>
              <w:widowControl/>
              <w:jc w:val="left"/>
              <w:rPr>
                <w:rFonts w:ascii="宋体" w:hAnsi="宋体" w:cs="仿宋"/>
                <w:color w:val="auto"/>
                <w:kern w:val="0"/>
                <w:sz w:val="24"/>
                <w:highlight w:val="none"/>
                <w:lang w:bidi="ar"/>
              </w:rPr>
            </w:pPr>
            <w:r>
              <w:rPr>
                <w:rFonts w:hint="eastAsia" w:ascii="宋体" w:hAnsi="宋体" w:cs="仿宋"/>
                <w:color w:val="auto"/>
                <w:kern w:val="0"/>
                <w:sz w:val="24"/>
                <w:highlight w:val="none"/>
                <w:lang w:bidi="ar"/>
              </w:rPr>
              <w:t>对区域内医疗机构运营状况进行分析。包括但不限于以下指标内容：</w:t>
            </w:r>
          </w:p>
          <w:p>
            <w:pPr>
              <w:widowControl/>
              <w:jc w:val="left"/>
              <w:rPr>
                <w:rFonts w:ascii="宋体" w:hAnsi="宋体" w:cs="仿宋"/>
                <w:color w:val="auto"/>
                <w:kern w:val="0"/>
                <w:sz w:val="24"/>
                <w:highlight w:val="none"/>
                <w:lang w:bidi="ar"/>
              </w:rPr>
            </w:pPr>
            <w:r>
              <w:rPr>
                <w:rFonts w:hint="eastAsia" w:ascii="宋体" w:hAnsi="宋体" w:cs="仿宋"/>
                <w:color w:val="auto"/>
                <w:kern w:val="0"/>
                <w:sz w:val="24"/>
                <w:highlight w:val="none"/>
                <w:lang w:bidi="ar"/>
              </w:rPr>
              <w:t>县外省内医院门诊人次</w:t>
            </w:r>
          </w:p>
          <w:p>
            <w:pPr>
              <w:widowControl/>
              <w:jc w:val="left"/>
              <w:rPr>
                <w:rFonts w:ascii="宋体" w:hAnsi="宋体" w:cs="仿宋"/>
                <w:color w:val="auto"/>
                <w:kern w:val="0"/>
                <w:sz w:val="24"/>
                <w:highlight w:val="none"/>
                <w:lang w:bidi="ar"/>
              </w:rPr>
            </w:pPr>
            <w:r>
              <w:rPr>
                <w:rFonts w:hint="eastAsia" w:ascii="宋体" w:hAnsi="宋体" w:cs="仿宋"/>
                <w:color w:val="auto"/>
                <w:kern w:val="0"/>
                <w:sz w:val="24"/>
                <w:highlight w:val="none"/>
                <w:lang w:bidi="ar"/>
              </w:rPr>
              <w:t>县外省内门诊增长率（%）</w:t>
            </w:r>
          </w:p>
          <w:p>
            <w:pPr>
              <w:widowControl/>
              <w:jc w:val="left"/>
              <w:rPr>
                <w:rFonts w:ascii="宋体" w:hAnsi="宋体" w:cs="仿宋"/>
                <w:color w:val="auto"/>
                <w:kern w:val="0"/>
                <w:sz w:val="24"/>
                <w:highlight w:val="none"/>
                <w:lang w:bidi="ar"/>
              </w:rPr>
            </w:pPr>
            <w:r>
              <w:rPr>
                <w:rFonts w:hint="eastAsia" w:ascii="宋体" w:hAnsi="宋体" w:cs="仿宋"/>
                <w:color w:val="auto"/>
                <w:kern w:val="0"/>
                <w:sz w:val="24"/>
                <w:highlight w:val="none"/>
                <w:lang w:bidi="ar"/>
              </w:rPr>
              <w:t>县外省内住院人次</w:t>
            </w:r>
          </w:p>
          <w:p>
            <w:pPr>
              <w:widowControl/>
              <w:jc w:val="left"/>
              <w:rPr>
                <w:rFonts w:ascii="宋体" w:hAnsi="宋体" w:cs="仿宋"/>
                <w:color w:val="auto"/>
                <w:kern w:val="0"/>
                <w:sz w:val="24"/>
                <w:highlight w:val="none"/>
                <w:lang w:bidi="ar"/>
              </w:rPr>
            </w:pPr>
            <w:r>
              <w:rPr>
                <w:rFonts w:hint="eastAsia" w:ascii="宋体" w:hAnsi="宋体" w:cs="仿宋"/>
                <w:color w:val="auto"/>
                <w:kern w:val="0"/>
                <w:sz w:val="24"/>
                <w:highlight w:val="none"/>
                <w:lang w:bidi="ar"/>
              </w:rPr>
              <w:t>县外省内住院增长率（%）</w:t>
            </w:r>
          </w:p>
          <w:p>
            <w:pPr>
              <w:widowControl/>
              <w:jc w:val="left"/>
              <w:rPr>
                <w:rFonts w:ascii="宋体" w:hAnsi="宋体" w:cs="仿宋"/>
                <w:color w:val="auto"/>
                <w:kern w:val="0"/>
                <w:sz w:val="24"/>
                <w:highlight w:val="none"/>
                <w:lang w:bidi="ar"/>
              </w:rPr>
            </w:pPr>
            <w:r>
              <w:rPr>
                <w:rFonts w:hint="eastAsia" w:ascii="宋体" w:hAnsi="宋体" w:cs="仿宋"/>
                <w:color w:val="auto"/>
                <w:kern w:val="0"/>
                <w:sz w:val="24"/>
                <w:highlight w:val="none"/>
                <w:lang w:bidi="ar"/>
              </w:rPr>
              <w:t>省外医院门诊人次</w:t>
            </w:r>
          </w:p>
          <w:p>
            <w:pPr>
              <w:widowControl/>
              <w:jc w:val="left"/>
              <w:rPr>
                <w:rFonts w:ascii="宋体" w:hAnsi="宋体" w:cs="仿宋"/>
                <w:color w:val="auto"/>
                <w:kern w:val="0"/>
                <w:sz w:val="24"/>
                <w:highlight w:val="none"/>
                <w:lang w:bidi="ar"/>
              </w:rPr>
            </w:pPr>
            <w:r>
              <w:rPr>
                <w:rFonts w:hint="eastAsia" w:ascii="宋体" w:hAnsi="宋体" w:cs="仿宋"/>
                <w:color w:val="auto"/>
                <w:kern w:val="0"/>
                <w:sz w:val="24"/>
                <w:highlight w:val="none"/>
                <w:lang w:bidi="ar"/>
              </w:rPr>
              <w:t>省外门诊增长率（%）</w:t>
            </w:r>
          </w:p>
          <w:p>
            <w:pPr>
              <w:widowControl/>
              <w:jc w:val="left"/>
              <w:rPr>
                <w:rFonts w:ascii="宋体" w:hAnsi="宋体" w:cs="仿宋"/>
                <w:color w:val="auto"/>
                <w:kern w:val="0"/>
                <w:sz w:val="24"/>
                <w:highlight w:val="none"/>
                <w:lang w:bidi="ar"/>
              </w:rPr>
            </w:pPr>
            <w:r>
              <w:rPr>
                <w:rFonts w:hint="eastAsia" w:ascii="宋体" w:hAnsi="宋体" w:cs="仿宋"/>
                <w:color w:val="auto"/>
                <w:kern w:val="0"/>
                <w:sz w:val="24"/>
                <w:highlight w:val="none"/>
                <w:lang w:bidi="ar"/>
              </w:rPr>
              <w:t>省外住院人次</w:t>
            </w:r>
          </w:p>
          <w:p>
            <w:pPr>
              <w:widowControl/>
              <w:jc w:val="left"/>
              <w:rPr>
                <w:rFonts w:ascii="宋体" w:hAnsi="宋体" w:cs="仿宋"/>
                <w:color w:val="auto"/>
                <w:kern w:val="0"/>
                <w:sz w:val="24"/>
                <w:highlight w:val="none"/>
                <w:lang w:bidi="ar"/>
              </w:rPr>
            </w:pPr>
            <w:r>
              <w:rPr>
                <w:rFonts w:hint="eastAsia" w:ascii="宋体" w:hAnsi="宋体" w:cs="仿宋"/>
                <w:color w:val="auto"/>
                <w:kern w:val="0"/>
                <w:sz w:val="24"/>
                <w:highlight w:val="none"/>
                <w:lang w:bidi="ar"/>
              </w:rPr>
              <w:t>省外住院增长率（%）</w:t>
            </w:r>
          </w:p>
          <w:p>
            <w:pPr>
              <w:widowControl/>
              <w:jc w:val="left"/>
              <w:rPr>
                <w:rFonts w:ascii="宋体" w:hAnsi="宋体" w:cs="仿宋"/>
                <w:color w:val="auto"/>
                <w:kern w:val="0"/>
                <w:sz w:val="24"/>
                <w:highlight w:val="none"/>
                <w:lang w:bidi="ar"/>
              </w:rPr>
            </w:pPr>
            <w:r>
              <w:rPr>
                <w:rFonts w:hint="eastAsia" w:ascii="宋体" w:hAnsi="宋体" w:cs="仿宋"/>
                <w:color w:val="auto"/>
                <w:kern w:val="0"/>
                <w:sz w:val="24"/>
                <w:highlight w:val="none"/>
                <w:lang w:bidi="ar"/>
              </w:rPr>
              <w:t>县域医共体内基层医院首诊人次</w:t>
            </w:r>
          </w:p>
          <w:p>
            <w:pPr>
              <w:widowControl/>
              <w:jc w:val="left"/>
              <w:rPr>
                <w:rFonts w:ascii="宋体" w:hAnsi="宋体" w:cs="仿宋"/>
                <w:color w:val="auto"/>
                <w:kern w:val="0"/>
                <w:sz w:val="24"/>
                <w:highlight w:val="none"/>
                <w:lang w:bidi="ar"/>
              </w:rPr>
            </w:pPr>
            <w:r>
              <w:rPr>
                <w:rFonts w:hint="eastAsia" w:ascii="宋体" w:hAnsi="宋体" w:cs="仿宋"/>
                <w:color w:val="auto"/>
                <w:kern w:val="0"/>
                <w:sz w:val="24"/>
                <w:highlight w:val="none"/>
                <w:lang w:bidi="ar"/>
              </w:rPr>
              <w:t>基层医院首诊率（%）</w:t>
            </w:r>
          </w:p>
          <w:p>
            <w:pPr>
              <w:widowControl/>
              <w:jc w:val="left"/>
              <w:rPr>
                <w:rFonts w:ascii="宋体" w:hAnsi="宋体" w:cs="仿宋"/>
                <w:color w:val="auto"/>
                <w:kern w:val="0"/>
                <w:sz w:val="24"/>
                <w:highlight w:val="none"/>
                <w:lang w:bidi="ar"/>
              </w:rPr>
            </w:pPr>
            <w:r>
              <w:rPr>
                <w:rFonts w:hint="eastAsia" w:ascii="宋体" w:hAnsi="宋体" w:cs="仿宋"/>
                <w:color w:val="auto"/>
                <w:kern w:val="0"/>
                <w:sz w:val="24"/>
                <w:highlight w:val="none"/>
                <w:lang w:bidi="ar"/>
              </w:rPr>
              <w:t>门诊上转人次</w:t>
            </w:r>
          </w:p>
          <w:p>
            <w:pPr>
              <w:widowControl/>
              <w:jc w:val="left"/>
              <w:rPr>
                <w:rFonts w:ascii="宋体" w:hAnsi="宋体" w:cs="仿宋"/>
                <w:color w:val="auto"/>
                <w:kern w:val="0"/>
                <w:sz w:val="24"/>
                <w:highlight w:val="none"/>
                <w:lang w:bidi="ar"/>
              </w:rPr>
            </w:pPr>
            <w:r>
              <w:rPr>
                <w:rFonts w:hint="eastAsia" w:ascii="宋体" w:hAnsi="宋体" w:cs="仿宋"/>
                <w:color w:val="auto"/>
                <w:kern w:val="0"/>
                <w:sz w:val="24"/>
                <w:highlight w:val="none"/>
                <w:lang w:bidi="ar"/>
              </w:rPr>
              <w:t>门诊上转履约人次</w:t>
            </w:r>
          </w:p>
          <w:p>
            <w:pPr>
              <w:widowControl/>
              <w:jc w:val="left"/>
              <w:rPr>
                <w:rFonts w:ascii="宋体" w:hAnsi="宋体" w:cs="仿宋"/>
                <w:color w:val="auto"/>
                <w:kern w:val="0"/>
                <w:sz w:val="24"/>
                <w:highlight w:val="none"/>
                <w:lang w:bidi="ar"/>
              </w:rPr>
            </w:pPr>
            <w:r>
              <w:rPr>
                <w:rFonts w:hint="eastAsia" w:ascii="宋体" w:hAnsi="宋体" w:cs="仿宋"/>
                <w:color w:val="auto"/>
                <w:kern w:val="0"/>
                <w:sz w:val="24"/>
                <w:highlight w:val="none"/>
                <w:lang w:bidi="ar"/>
              </w:rPr>
              <w:t>门诊上转履约率（%）</w:t>
            </w:r>
          </w:p>
          <w:p>
            <w:pPr>
              <w:widowControl/>
              <w:jc w:val="left"/>
              <w:rPr>
                <w:rFonts w:ascii="宋体" w:hAnsi="宋体" w:cs="仿宋"/>
                <w:color w:val="auto"/>
                <w:kern w:val="0"/>
                <w:sz w:val="24"/>
                <w:highlight w:val="none"/>
                <w:lang w:bidi="ar"/>
              </w:rPr>
            </w:pPr>
            <w:r>
              <w:rPr>
                <w:rFonts w:hint="eastAsia" w:ascii="宋体" w:hAnsi="宋体" w:cs="仿宋"/>
                <w:color w:val="auto"/>
                <w:kern w:val="0"/>
                <w:sz w:val="24"/>
                <w:highlight w:val="none"/>
                <w:lang w:bidi="ar"/>
              </w:rPr>
              <w:t>住院转诊人次</w:t>
            </w:r>
          </w:p>
          <w:p>
            <w:pPr>
              <w:widowControl/>
              <w:jc w:val="left"/>
              <w:rPr>
                <w:rFonts w:ascii="宋体" w:hAnsi="宋体" w:cs="仿宋"/>
                <w:color w:val="auto"/>
                <w:kern w:val="0"/>
                <w:sz w:val="24"/>
                <w:highlight w:val="none"/>
                <w:lang w:bidi="ar"/>
              </w:rPr>
            </w:pPr>
            <w:r>
              <w:rPr>
                <w:rFonts w:hint="eastAsia" w:ascii="宋体" w:hAnsi="宋体" w:cs="仿宋"/>
                <w:color w:val="auto"/>
                <w:kern w:val="0"/>
                <w:sz w:val="24"/>
                <w:highlight w:val="none"/>
                <w:lang w:bidi="ar"/>
              </w:rPr>
              <w:t>住院转诊履约人次</w:t>
            </w:r>
          </w:p>
          <w:p>
            <w:pPr>
              <w:widowControl/>
              <w:jc w:val="left"/>
              <w:rPr>
                <w:rFonts w:ascii="宋体" w:hAnsi="宋体" w:cs="仿宋"/>
                <w:color w:val="auto"/>
                <w:kern w:val="0"/>
                <w:sz w:val="24"/>
                <w:highlight w:val="none"/>
                <w:lang w:bidi="ar"/>
              </w:rPr>
            </w:pPr>
            <w:r>
              <w:rPr>
                <w:rFonts w:hint="eastAsia" w:ascii="宋体" w:hAnsi="宋体" w:cs="仿宋"/>
                <w:color w:val="auto"/>
                <w:kern w:val="0"/>
                <w:sz w:val="24"/>
                <w:highlight w:val="none"/>
                <w:lang w:bidi="ar"/>
              </w:rPr>
              <w:t>住院转诊履约率</w:t>
            </w:r>
          </w:p>
          <w:p>
            <w:pPr>
              <w:widowControl/>
              <w:jc w:val="left"/>
              <w:rPr>
                <w:rFonts w:ascii="宋体" w:hAnsi="宋体" w:cs="仿宋"/>
                <w:color w:val="auto"/>
                <w:kern w:val="0"/>
                <w:sz w:val="24"/>
                <w:highlight w:val="none"/>
                <w:lang w:bidi="ar"/>
              </w:rPr>
            </w:pPr>
            <w:r>
              <w:rPr>
                <w:rFonts w:hint="eastAsia" w:ascii="宋体" w:hAnsi="宋体" w:cs="仿宋"/>
                <w:color w:val="auto"/>
                <w:kern w:val="0"/>
                <w:sz w:val="24"/>
                <w:highlight w:val="none"/>
                <w:lang w:bidi="ar"/>
              </w:rPr>
              <w:t>区域内出院人次</w:t>
            </w:r>
          </w:p>
          <w:p>
            <w:pPr>
              <w:widowControl/>
              <w:jc w:val="left"/>
              <w:rPr>
                <w:rFonts w:ascii="宋体" w:hAnsi="宋体" w:cs="仿宋"/>
                <w:color w:val="auto"/>
                <w:kern w:val="0"/>
                <w:sz w:val="24"/>
                <w:highlight w:val="none"/>
                <w:lang w:bidi="ar"/>
              </w:rPr>
            </w:pPr>
            <w:r>
              <w:rPr>
                <w:rFonts w:hint="eastAsia" w:ascii="宋体" w:hAnsi="宋体" w:cs="仿宋"/>
                <w:color w:val="auto"/>
                <w:kern w:val="0"/>
                <w:sz w:val="24"/>
                <w:highlight w:val="none"/>
                <w:lang w:bidi="ar"/>
              </w:rPr>
              <w:t>基层出院人次</w:t>
            </w:r>
          </w:p>
          <w:p>
            <w:pPr>
              <w:widowControl/>
              <w:jc w:val="left"/>
              <w:rPr>
                <w:rFonts w:ascii="宋体" w:hAnsi="宋体" w:cs="仿宋"/>
                <w:color w:val="auto"/>
                <w:kern w:val="0"/>
                <w:sz w:val="24"/>
                <w:highlight w:val="none"/>
                <w:lang w:bidi="ar"/>
              </w:rPr>
            </w:pPr>
            <w:r>
              <w:rPr>
                <w:rFonts w:hint="eastAsia" w:ascii="宋体" w:hAnsi="宋体" w:cs="仿宋"/>
                <w:color w:val="auto"/>
                <w:kern w:val="0"/>
                <w:sz w:val="24"/>
                <w:highlight w:val="none"/>
                <w:lang w:bidi="ar"/>
              </w:rPr>
              <w:t>县级医院出院人次</w:t>
            </w:r>
          </w:p>
          <w:p>
            <w:pPr>
              <w:widowControl/>
              <w:jc w:val="left"/>
              <w:rPr>
                <w:rFonts w:ascii="宋体" w:hAnsi="宋体" w:cs="仿宋"/>
                <w:color w:val="auto"/>
                <w:kern w:val="0"/>
                <w:sz w:val="24"/>
                <w:highlight w:val="none"/>
                <w:lang w:bidi="ar"/>
              </w:rPr>
            </w:pPr>
            <w:r>
              <w:rPr>
                <w:rFonts w:hint="eastAsia" w:ascii="宋体" w:hAnsi="宋体" w:cs="仿宋"/>
                <w:color w:val="auto"/>
                <w:kern w:val="0"/>
                <w:sz w:val="24"/>
                <w:highlight w:val="none"/>
                <w:lang w:bidi="ar"/>
              </w:rPr>
              <w:t>出院随访人次</w:t>
            </w:r>
          </w:p>
          <w:p>
            <w:pPr>
              <w:widowControl/>
              <w:jc w:val="left"/>
              <w:rPr>
                <w:rFonts w:ascii="宋体" w:hAnsi="宋体" w:cs="仿宋"/>
                <w:color w:val="auto"/>
                <w:kern w:val="0"/>
                <w:sz w:val="24"/>
                <w:highlight w:val="none"/>
                <w:lang w:bidi="ar"/>
              </w:rPr>
            </w:pPr>
            <w:r>
              <w:rPr>
                <w:rFonts w:hint="eastAsia" w:ascii="宋体" w:hAnsi="宋体" w:cs="仿宋"/>
                <w:color w:val="auto"/>
                <w:kern w:val="0"/>
                <w:sz w:val="24"/>
                <w:highlight w:val="none"/>
                <w:lang w:bidi="ar"/>
              </w:rPr>
              <w:t>出院随访率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firstLine="482"/>
              <w:rPr>
                <w:rFonts w:ascii="宋体" w:hAnsi="宋体" w:eastAsia="宋体" w:cs="华文仿宋"/>
                <w:b/>
                <w:color w:val="auto"/>
                <w:sz w:val="24"/>
                <w:highlight w:val="none"/>
                <w:lang w:bidi="ar"/>
              </w:rPr>
            </w:pPr>
            <w:r>
              <w:rPr>
                <w:rFonts w:hint="eastAsia" w:ascii="宋体" w:hAnsi="宋体" w:eastAsia="宋体" w:cs="华文仿宋"/>
                <w:b/>
                <w:color w:val="auto"/>
                <w:sz w:val="24"/>
                <w:highlight w:val="none"/>
                <w:lang w:bidi="ar"/>
              </w:rPr>
              <w:t>可视化</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结果展示：</w:t>
            </w:r>
            <w:r>
              <w:rPr>
                <w:rFonts w:hint="eastAsia" w:ascii="宋体" w:hAnsi="宋体" w:eastAsia="宋体"/>
                <w:color w:val="auto"/>
                <w:sz w:val="24"/>
                <w:highlight w:val="none"/>
                <w:lang w:eastAsia="zh-CN"/>
              </w:rPr>
              <w:t>支持对计算结果可视化显示，将配置好的图表视图及绑定数据结果进行展示</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配置管理：</w:t>
            </w:r>
            <w:r>
              <w:rPr>
                <w:rFonts w:hint="eastAsia" w:ascii="宋体" w:hAnsi="宋体" w:eastAsia="宋体"/>
                <w:color w:val="auto"/>
                <w:sz w:val="24"/>
                <w:highlight w:val="none"/>
                <w:lang w:eastAsia="zh-CN"/>
              </w:rPr>
              <w:t>支持自定义配置可视化图表，包括：</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1.视图创建：新增图表名称，可配置图标维度和指标、指定查询数据脚本、上传缩略图、图表类型（折线、饼图、柱状图、仪表盘、词云图）</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2.视图维护：支持参数更新编辑、删除</w:t>
            </w:r>
          </w:p>
        </w:tc>
      </w:tr>
    </w:tbl>
    <w:p>
      <w:pPr>
        <w:pStyle w:val="21"/>
        <w:ind w:firstLine="480"/>
        <w:rPr>
          <w:color w:val="auto"/>
          <w:highlight w:val="none"/>
        </w:rPr>
      </w:pPr>
    </w:p>
    <w:p>
      <w:pPr>
        <w:pStyle w:val="5"/>
        <w:numPr>
          <w:ilvl w:val="2"/>
          <w:numId w:val="8"/>
        </w:numPr>
        <w:tabs>
          <w:tab w:val="clear" w:pos="720"/>
        </w:tabs>
        <w:autoSpaceDE/>
        <w:autoSpaceDN/>
        <w:adjustRightInd/>
        <w:spacing w:before="260" w:after="260" w:line="416" w:lineRule="auto"/>
        <w:jc w:val="both"/>
        <w:rPr>
          <w:rFonts w:hAnsi="宋体"/>
          <w:color w:val="auto"/>
          <w:szCs w:val="24"/>
          <w:highlight w:val="none"/>
        </w:rPr>
      </w:pPr>
      <w:bookmarkStart w:id="1001" w:name="_Toc335689340"/>
      <w:bookmarkStart w:id="1002" w:name="_Toc22993"/>
      <w:bookmarkStart w:id="1003" w:name="_Toc138247832"/>
      <w:r>
        <w:rPr>
          <w:rFonts w:hint="eastAsia" w:hAnsi="宋体"/>
          <w:color w:val="auto"/>
          <w:szCs w:val="24"/>
          <w:highlight w:val="none"/>
        </w:rPr>
        <w:t>区域决策支持系统</w:t>
      </w:r>
      <w:bookmarkEnd w:id="1001"/>
      <w:bookmarkEnd w:id="1002"/>
      <w:bookmarkEnd w:id="1003"/>
    </w:p>
    <w:tbl>
      <w:tblPr>
        <w:tblStyle w:val="43"/>
        <w:tblW w:w="83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6"/>
        <w:gridCol w:w="66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1696" w:type="dxa"/>
            <w:shd w:val="clear" w:color="auto" w:fill="4472C4"/>
            <w:vAlign w:val="center"/>
          </w:tcPr>
          <w:p>
            <w:pPr>
              <w:pStyle w:val="201"/>
              <w:spacing w:before="13" w:line="360" w:lineRule="auto"/>
              <w:ind w:right="105" w:rightChars="50" w:firstLine="508"/>
              <w:rPr>
                <w:rFonts w:ascii="宋体" w:hAnsi="宋体" w:eastAsia="宋体"/>
                <w:b/>
                <w:color w:val="auto"/>
                <w:w w:val="105"/>
                <w:sz w:val="24"/>
                <w:highlight w:val="none"/>
              </w:rPr>
            </w:pPr>
            <w:r>
              <w:rPr>
                <w:rFonts w:hint="eastAsia" w:ascii="宋体" w:hAnsi="宋体" w:eastAsia="宋体"/>
                <w:b/>
                <w:color w:val="auto"/>
                <w:w w:val="105"/>
                <w:sz w:val="24"/>
                <w:highlight w:val="none"/>
              </w:rPr>
              <w:t>功能模块</w:t>
            </w:r>
          </w:p>
        </w:tc>
        <w:tc>
          <w:tcPr>
            <w:tcW w:w="6622" w:type="dxa"/>
            <w:shd w:val="clear" w:color="auto" w:fill="4472C4"/>
            <w:vAlign w:val="center"/>
          </w:tcPr>
          <w:p>
            <w:pPr>
              <w:pStyle w:val="201"/>
              <w:tabs>
                <w:tab w:val="left" w:pos="969"/>
                <w:tab w:val="center" w:pos="3623"/>
              </w:tabs>
              <w:spacing w:before="13" w:line="360" w:lineRule="auto"/>
              <w:ind w:left="105" w:leftChars="50" w:right="105" w:rightChars="50" w:firstLine="508"/>
              <w:jc w:val="center"/>
              <w:rPr>
                <w:rFonts w:ascii="宋体" w:hAnsi="宋体" w:eastAsia="宋体"/>
                <w:b/>
                <w:color w:val="auto"/>
                <w:w w:val="105"/>
                <w:sz w:val="24"/>
                <w:highlight w:val="none"/>
              </w:rPr>
            </w:pPr>
            <w:r>
              <w:rPr>
                <w:rFonts w:ascii="宋体" w:hAnsi="宋体" w:eastAsia="宋体"/>
                <w:b/>
                <w:color w:val="auto"/>
                <w:w w:val="105"/>
                <w:sz w:val="24"/>
                <w:highlight w:val="none"/>
              </w:rPr>
              <w:t>功能</w:t>
            </w:r>
            <w:r>
              <w:rPr>
                <w:rFonts w:hint="eastAsia" w:ascii="宋体" w:hAnsi="宋体" w:eastAsia="宋体"/>
                <w:b/>
                <w:color w:val="auto"/>
                <w:w w:val="105"/>
                <w:sz w:val="24"/>
                <w:highlight w:val="none"/>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jc w:val="center"/>
        </w:trPr>
        <w:tc>
          <w:tcPr>
            <w:tcW w:w="1696" w:type="dxa"/>
            <w:vAlign w:val="center"/>
          </w:tcPr>
          <w:p>
            <w:pPr>
              <w:pStyle w:val="201"/>
              <w:spacing w:before="6" w:line="360" w:lineRule="auto"/>
              <w:ind w:right="105" w:rightChars="50" w:firstLine="482"/>
              <w:rPr>
                <w:rFonts w:ascii="宋体" w:hAnsi="宋体" w:eastAsia="宋体" w:cs="华文仿宋"/>
                <w:b/>
                <w:color w:val="auto"/>
                <w:sz w:val="24"/>
                <w:highlight w:val="none"/>
                <w:lang w:bidi="ar"/>
              </w:rPr>
            </w:pPr>
            <w:r>
              <w:rPr>
                <w:rFonts w:hint="eastAsia" w:ascii="宋体" w:hAnsi="宋体" w:eastAsia="宋体" w:cs="华文仿宋"/>
                <w:b/>
                <w:color w:val="auto"/>
                <w:sz w:val="24"/>
                <w:highlight w:val="none"/>
                <w:lang w:bidi="ar"/>
              </w:rPr>
              <w:t>可视化</w:t>
            </w:r>
          </w:p>
        </w:tc>
        <w:tc>
          <w:tcPr>
            <w:tcW w:w="6622"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结果展示：</w:t>
            </w:r>
            <w:r>
              <w:rPr>
                <w:rFonts w:hint="eastAsia" w:ascii="宋体" w:hAnsi="宋体" w:eastAsia="宋体"/>
                <w:color w:val="auto"/>
                <w:sz w:val="24"/>
                <w:highlight w:val="none"/>
                <w:lang w:eastAsia="zh-CN"/>
              </w:rPr>
              <w:t>支持对计算结果可视化显示，将配置好的图表视图及绑定数据结果进行展示</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配置管理：</w:t>
            </w:r>
            <w:r>
              <w:rPr>
                <w:rFonts w:hint="eastAsia" w:ascii="宋体" w:hAnsi="宋体" w:eastAsia="宋体"/>
                <w:color w:val="auto"/>
                <w:sz w:val="24"/>
                <w:highlight w:val="none"/>
                <w:lang w:eastAsia="zh-CN"/>
              </w:rPr>
              <w:t>支持自定义配置可视化图表，包括：</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1.视图创建：新增图表名称，可配置图标维度和指标、指定查询数据脚本、上传缩略图、图表类型（折线、饼图、柱状图、仪表盘、词云图）</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2.视图维护：支持参数更新编辑、删除</w:t>
            </w:r>
          </w:p>
        </w:tc>
      </w:tr>
    </w:tbl>
    <w:p>
      <w:pPr>
        <w:rPr>
          <w:color w:val="auto"/>
          <w:highlight w:val="none"/>
        </w:rPr>
      </w:pPr>
    </w:p>
    <w:p>
      <w:pPr>
        <w:rPr>
          <w:color w:val="auto"/>
          <w:highlight w:val="none"/>
        </w:rPr>
      </w:pPr>
    </w:p>
    <w:p>
      <w:pPr>
        <w:pStyle w:val="21"/>
        <w:ind w:firstLine="480"/>
        <w:rPr>
          <w:color w:val="auto"/>
          <w:highlight w:val="none"/>
        </w:rPr>
      </w:pPr>
    </w:p>
    <w:p>
      <w:pPr>
        <w:pStyle w:val="6"/>
        <w:numPr>
          <w:ilvl w:val="3"/>
          <w:numId w:val="8"/>
        </w:numPr>
        <w:spacing w:before="280" w:after="290" w:line="376" w:lineRule="auto"/>
        <w:rPr>
          <w:rFonts w:hAnsi="宋体"/>
          <w:color w:val="auto"/>
          <w:sz w:val="24"/>
          <w:szCs w:val="24"/>
          <w:highlight w:val="none"/>
        </w:rPr>
      </w:pPr>
      <w:bookmarkStart w:id="1004" w:name="_Toc5189"/>
      <w:r>
        <w:rPr>
          <w:rFonts w:hint="eastAsia" w:hAnsi="宋体"/>
          <w:color w:val="auto"/>
          <w:sz w:val="24"/>
          <w:szCs w:val="24"/>
          <w:highlight w:val="none"/>
        </w:rPr>
        <w:t>区域综合运营决策</w:t>
      </w:r>
      <w:bookmarkEnd w:id="1004"/>
    </w:p>
    <w:tbl>
      <w:tblPr>
        <w:tblStyle w:val="43"/>
        <w:tblW w:w="81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2"/>
        <w:gridCol w:w="62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blHeader/>
        </w:trPr>
        <w:tc>
          <w:tcPr>
            <w:tcW w:w="1932"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6207"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5" w:hRule="atLeast"/>
        </w:trPr>
        <w:tc>
          <w:tcPr>
            <w:tcW w:w="1932"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报表功能</w:t>
            </w:r>
          </w:p>
        </w:tc>
        <w:tc>
          <w:tcPr>
            <w:tcW w:w="6207" w:type="dxa"/>
            <w:vAlign w:val="center"/>
          </w:tcPr>
          <w:p>
            <w:pPr>
              <w:pStyle w:val="201"/>
              <w:numPr>
                <w:ilvl w:val="0"/>
                <w:numId w:val="9"/>
              </w:numPr>
              <w:spacing w:before="6" w:line="360" w:lineRule="auto"/>
              <w:ind w:left="367" w:right="120" w:rightChars="57"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支持图表信息到详细数据的钻取、聚合报表、复杂折叠树等高级报表功能，满足不同层级用户的决策需求，提高用户的操作效率。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5" w:hRule="atLeast"/>
        </w:trPr>
        <w:tc>
          <w:tcPr>
            <w:tcW w:w="1932"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数据展现</w:t>
            </w:r>
          </w:p>
        </w:tc>
        <w:tc>
          <w:tcPr>
            <w:tcW w:w="6207" w:type="dxa"/>
            <w:vAlign w:val="center"/>
          </w:tcPr>
          <w:p>
            <w:pPr>
              <w:pStyle w:val="201"/>
              <w:numPr>
                <w:ilvl w:val="0"/>
                <w:numId w:val="9"/>
              </w:numPr>
              <w:spacing w:before="6" w:line="360" w:lineRule="auto"/>
              <w:ind w:left="367" w:right="120" w:rightChars="57"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支持面向医院不同角色管理人员，提供各种主题的分析指标展现</w:t>
            </w:r>
            <w:r>
              <w:rPr>
                <w:rFonts w:ascii="宋体" w:hAnsi="宋体" w:eastAsia="宋体"/>
                <w:color w:val="auto"/>
                <w:sz w:val="24"/>
                <w:highlight w:val="none"/>
                <w:lang w:eastAsia="zh-CN"/>
              </w:rPr>
              <w:t>。</w:t>
            </w:r>
          </w:p>
        </w:tc>
      </w:tr>
    </w:tbl>
    <w:p>
      <w:pPr>
        <w:pStyle w:val="6"/>
        <w:numPr>
          <w:ilvl w:val="3"/>
          <w:numId w:val="8"/>
        </w:numPr>
        <w:spacing w:before="280" w:after="290" w:line="376" w:lineRule="auto"/>
        <w:rPr>
          <w:rFonts w:hAnsi="宋体"/>
          <w:color w:val="auto"/>
          <w:sz w:val="24"/>
          <w:szCs w:val="24"/>
          <w:highlight w:val="none"/>
        </w:rPr>
      </w:pPr>
      <w:bookmarkStart w:id="1005" w:name="_Toc29099"/>
      <w:r>
        <w:rPr>
          <w:rFonts w:hint="eastAsia" w:hAnsi="宋体"/>
          <w:color w:val="auto"/>
          <w:sz w:val="24"/>
          <w:szCs w:val="24"/>
          <w:highlight w:val="none"/>
        </w:rPr>
        <w:t>区域专题运营分析</w:t>
      </w:r>
      <w:bookmarkEnd w:id="1005"/>
    </w:p>
    <w:tbl>
      <w:tblPr>
        <w:tblStyle w:val="43"/>
        <w:tblW w:w="81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7"/>
        <w:gridCol w:w="62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blHeader/>
        </w:trPr>
        <w:tc>
          <w:tcPr>
            <w:tcW w:w="1937"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6222"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1937"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门诊主题</w:t>
            </w:r>
          </w:p>
        </w:tc>
        <w:tc>
          <w:tcPr>
            <w:tcW w:w="6222" w:type="dxa"/>
            <w:vAlign w:val="center"/>
          </w:tcPr>
          <w:p>
            <w:pPr>
              <w:pStyle w:val="201"/>
              <w:numPr>
                <w:ilvl w:val="0"/>
                <w:numId w:val="9"/>
              </w:numPr>
              <w:spacing w:before="6" w:line="360" w:lineRule="auto"/>
              <w:ind w:left="367" w:right="120" w:rightChars="57"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支持提供区域各级医疗机构门诊业务分析、财务分析、就诊流程分析、门急诊量分析、诊断分析、病种地区分布等主题。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1937"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住院主题</w:t>
            </w:r>
          </w:p>
        </w:tc>
        <w:tc>
          <w:tcPr>
            <w:tcW w:w="6222" w:type="dxa"/>
            <w:vAlign w:val="center"/>
          </w:tcPr>
          <w:p>
            <w:pPr>
              <w:pStyle w:val="201"/>
              <w:numPr>
                <w:ilvl w:val="0"/>
                <w:numId w:val="9"/>
              </w:numPr>
              <w:spacing w:before="6" w:line="360" w:lineRule="auto"/>
              <w:ind w:left="367" w:right="120" w:rightChars="57"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支持提供住院财务、出入院人次、床位使用情况、平均住院日、床位周转率、传染病分析等主题。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3" w:hRule="atLeast"/>
        </w:trPr>
        <w:tc>
          <w:tcPr>
            <w:tcW w:w="1937"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药品主题</w:t>
            </w:r>
          </w:p>
        </w:tc>
        <w:tc>
          <w:tcPr>
            <w:tcW w:w="6222" w:type="dxa"/>
            <w:vAlign w:val="center"/>
          </w:tcPr>
          <w:p>
            <w:pPr>
              <w:pStyle w:val="201"/>
              <w:numPr>
                <w:ilvl w:val="0"/>
                <w:numId w:val="9"/>
              </w:numPr>
              <w:spacing w:before="6" w:line="360" w:lineRule="auto"/>
              <w:ind w:left="367" w:right="120" w:rightChars="57"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支持提供区域药品使用情况、用药趋势分析、诊断用药分析、抗菌药物情况、毒麻药领用情况等主题。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937"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手术主题</w:t>
            </w:r>
          </w:p>
        </w:tc>
        <w:tc>
          <w:tcPr>
            <w:tcW w:w="6222" w:type="dxa"/>
            <w:vAlign w:val="center"/>
          </w:tcPr>
          <w:p>
            <w:pPr>
              <w:pStyle w:val="201"/>
              <w:numPr>
                <w:ilvl w:val="0"/>
                <w:numId w:val="9"/>
              </w:numPr>
              <w:spacing w:before="6" w:line="360" w:lineRule="auto"/>
              <w:ind w:left="367" w:right="120" w:rightChars="57"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支持提供区域内各级医疗机构手术量、手术效率分析、重返手术分析等主题。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1937"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医技主题</w:t>
            </w:r>
          </w:p>
        </w:tc>
        <w:tc>
          <w:tcPr>
            <w:tcW w:w="6222" w:type="dxa"/>
            <w:vAlign w:val="center"/>
          </w:tcPr>
          <w:p>
            <w:pPr>
              <w:pStyle w:val="201"/>
              <w:numPr>
                <w:ilvl w:val="0"/>
                <w:numId w:val="9"/>
              </w:numPr>
              <w:spacing w:before="6" w:line="360" w:lineRule="auto"/>
              <w:ind w:left="367" w:right="120" w:rightChars="57"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支持提供区域放射、超声等医技系统连接医疗设备的开机情况、检查工作量情况、收费情况等主题。</w:t>
            </w:r>
          </w:p>
        </w:tc>
      </w:tr>
    </w:tbl>
    <w:p>
      <w:pPr>
        <w:spacing w:line="360" w:lineRule="auto"/>
        <w:ind w:firstLine="480" w:firstLineChars="200"/>
        <w:rPr>
          <w:rFonts w:ascii="宋体" w:hAnsi="宋体"/>
          <w:color w:val="auto"/>
          <w:sz w:val="24"/>
          <w:highlight w:val="none"/>
        </w:rPr>
      </w:pPr>
    </w:p>
    <w:p>
      <w:pPr>
        <w:pStyle w:val="6"/>
        <w:numPr>
          <w:ilvl w:val="3"/>
          <w:numId w:val="8"/>
        </w:numPr>
        <w:spacing w:before="280" w:after="290" w:line="376" w:lineRule="auto"/>
        <w:rPr>
          <w:rFonts w:hAnsi="宋体"/>
          <w:color w:val="auto"/>
          <w:sz w:val="24"/>
          <w:szCs w:val="24"/>
          <w:highlight w:val="none"/>
        </w:rPr>
      </w:pPr>
      <w:bookmarkStart w:id="1006" w:name="_Toc19171"/>
      <w:r>
        <w:rPr>
          <w:rFonts w:hint="eastAsia" w:hAnsi="宋体"/>
          <w:color w:val="auto"/>
          <w:sz w:val="24"/>
          <w:szCs w:val="24"/>
          <w:highlight w:val="none"/>
        </w:rPr>
        <w:t>区域资源监控分析</w:t>
      </w:r>
      <w:bookmarkEnd w:id="1006"/>
    </w:p>
    <w:tbl>
      <w:tblPr>
        <w:tblStyle w:val="43"/>
        <w:tblW w:w="79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99"/>
        <w:gridCol w:w="61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blHeader/>
        </w:trPr>
        <w:tc>
          <w:tcPr>
            <w:tcW w:w="1899"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模块</w:t>
            </w:r>
          </w:p>
        </w:tc>
        <w:tc>
          <w:tcPr>
            <w:tcW w:w="6100" w:type="dxa"/>
            <w:shd w:val="clear" w:color="auto" w:fill="4471C4"/>
          </w:tcPr>
          <w:p>
            <w:pPr>
              <w:autoSpaceDE w:val="0"/>
              <w:autoSpaceDN w:val="0"/>
              <w:spacing w:before="13" w:line="360" w:lineRule="auto"/>
              <w:ind w:left="105" w:leftChars="50" w:right="105" w:rightChars="50"/>
              <w:jc w:val="center"/>
              <w:rPr>
                <w:rFonts w:ascii="宋体" w:hAnsi="宋体" w:cs="仿宋"/>
                <w:b/>
                <w:color w:val="auto"/>
                <w:w w:val="105"/>
                <w:sz w:val="24"/>
                <w:highlight w:val="none"/>
              </w:rPr>
            </w:pPr>
            <w:r>
              <w:rPr>
                <w:rFonts w:hint="eastAsia" w:ascii="宋体" w:hAnsi="宋体" w:cs="仿宋"/>
                <w:b/>
                <w:color w:val="auto"/>
                <w:w w:val="105"/>
                <w:sz w:val="24"/>
                <w:highlight w:val="none"/>
              </w:rPr>
              <w:t>功能要求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3" w:hRule="atLeast"/>
        </w:trPr>
        <w:tc>
          <w:tcPr>
            <w:tcW w:w="1899" w:type="dxa"/>
            <w:vAlign w:val="center"/>
          </w:tcPr>
          <w:p>
            <w:pPr>
              <w:pStyle w:val="201"/>
              <w:spacing w:before="6" w:line="360" w:lineRule="auto"/>
              <w:ind w:right="105" w:rightChars="50" w:firstLine="241" w:firstLineChars="100"/>
              <w:rPr>
                <w:rFonts w:ascii="宋体" w:hAnsi="宋体"/>
                <w:b/>
                <w:bCs/>
                <w:color w:val="auto"/>
                <w:sz w:val="24"/>
                <w:highlight w:val="none"/>
              </w:rPr>
            </w:pPr>
            <w:r>
              <w:rPr>
                <w:rFonts w:hint="eastAsia" w:ascii="宋体" w:hAnsi="宋体" w:eastAsia="宋体" w:cs="华文仿宋"/>
                <w:b/>
                <w:color w:val="auto"/>
                <w:sz w:val="24"/>
                <w:highlight w:val="none"/>
                <w:lang w:bidi="ar"/>
              </w:rPr>
              <w:t>可视化</w:t>
            </w:r>
          </w:p>
        </w:tc>
        <w:tc>
          <w:tcPr>
            <w:tcW w:w="6100" w:type="dxa"/>
            <w:vAlign w:val="center"/>
          </w:tcPr>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结果展示：</w:t>
            </w:r>
            <w:r>
              <w:rPr>
                <w:rFonts w:hint="eastAsia" w:ascii="宋体" w:hAnsi="宋体" w:eastAsia="宋体"/>
                <w:color w:val="auto"/>
                <w:sz w:val="24"/>
                <w:highlight w:val="none"/>
                <w:lang w:eastAsia="zh-CN"/>
              </w:rPr>
              <w:t>支持对计算结果可视化显示，将配置好的图表视图及绑定数据结果进行展示</w:t>
            </w:r>
          </w:p>
          <w:p>
            <w:pPr>
              <w:pStyle w:val="201"/>
              <w:widowControl/>
              <w:numPr>
                <w:ilvl w:val="0"/>
                <w:numId w:val="9"/>
              </w:numPr>
              <w:spacing w:before="6" w:line="360" w:lineRule="auto"/>
              <w:ind w:left="452" w:right="105" w:rightChars="50" w:firstLine="482"/>
              <w:rPr>
                <w:rFonts w:ascii="宋体" w:hAnsi="宋体" w:eastAsia="宋体"/>
                <w:color w:val="auto"/>
                <w:sz w:val="24"/>
                <w:highlight w:val="none"/>
                <w:lang w:eastAsia="zh-CN"/>
              </w:rPr>
            </w:pPr>
            <w:r>
              <w:rPr>
                <w:rFonts w:hint="eastAsia" w:ascii="宋体" w:hAnsi="宋体" w:eastAsia="宋体"/>
                <w:b/>
                <w:bCs/>
                <w:color w:val="auto"/>
                <w:sz w:val="24"/>
                <w:highlight w:val="none"/>
                <w:lang w:eastAsia="zh-CN"/>
              </w:rPr>
              <w:t>配置管理：</w:t>
            </w:r>
            <w:r>
              <w:rPr>
                <w:rFonts w:hint="eastAsia" w:ascii="宋体" w:hAnsi="宋体" w:eastAsia="宋体"/>
                <w:color w:val="auto"/>
                <w:sz w:val="24"/>
                <w:highlight w:val="none"/>
                <w:lang w:eastAsia="zh-CN"/>
              </w:rPr>
              <w:t>支持自定义配置可视化图表，包括：</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1.视图创建：新增图表名称，可配置图标维度和指标、指定查询数据脚本、上传缩略图、图表类型（折线、饼图、柱状图、仪表盘、词云图）</w:t>
            </w:r>
          </w:p>
          <w:p>
            <w:pPr>
              <w:pStyle w:val="201"/>
              <w:widowControl/>
              <w:spacing w:before="6" w:line="360" w:lineRule="auto"/>
              <w:ind w:left="120" w:right="105" w:rightChars="50" w:firstLine="240" w:firstLineChars="100"/>
              <w:rPr>
                <w:rFonts w:ascii="宋体" w:hAnsi="宋体" w:eastAsia="宋体"/>
                <w:color w:val="auto"/>
                <w:sz w:val="24"/>
                <w:highlight w:val="none"/>
                <w:lang w:eastAsia="zh-CN"/>
              </w:rPr>
            </w:pPr>
            <w:r>
              <w:rPr>
                <w:rFonts w:hint="eastAsia" w:ascii="宋体" w:hAnsi="宋体" w:eastAsia="宋体"/>
                <w:color w:val="auto"/>
                <w:sz w:val="24"/>
                <w:highlight w:val="none"/>
                <w:lang w:eastAsia="zh-CN"/>
              </w:rPr>
              <w:t>2.视图维护：支持参数更新编辑、删除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1899"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驾驶舱看板</w:t>
            </w:r>
          </w:p>
        </w:tc>
        <w:tc>
          <w:tcPr>
            <w:tcW w:w="6100" w:type="dxa"/>
            <w:vAlign w:val="center"/>
          </w:tcPr>
          <w:p>
            <w:pPr>
              <w:pStyle w:val="201"/>
              <w:numPr>
                <w:ilvl w:val="0"/>
                <w:numId w:val="9"/>
              </w:numPr>
              <w:spacing w:before="6" w:line="360" w:lineRule="auto"/>
              <w:ind w:left="367" w:right="120" w:rightChars="57"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支持提供驾驶舱看板，为管理层展示区域各级医疗机构运营活动所关注的关键指标信息，</w:t>
            </w:r>
            <w:r>
              <w:rPr>
                <w:rFonts w:ascii="宋体" w:hAnsi="宋体" w:eastAsia="宋体"/>
                <w:color w:val="auto"/>
                <w:sz w:val="24"/>
                <w:highlight w:val="none"/>
                <w:lang w:eastAsia="zh-CN"/>
              </w:rPr>
              <w:t>实时掌控全局</w:t>
            </w:r>
            <w:r>
              <w:rPr>
                <w:rFonts w:hint="eastAsia" w:ascii="宋体" w:hAnsi="宋体" w:eastAsia="宋体"/>
                <w:color w:val="auto"/>
                <w:sz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9" w:hRule="atLeast"/>
        </w:trPr>
        <w:tc>
          <w:tcPr>
            <w:tcW w:w="1899" w:type="dxa"/>
            <w:vAlign w:val="center"/>
          </w:tcPr>
          <w:p>
            <w:pPr>
              <w:autoSpaceDE w:val="0"/>
              <w:autoSpaceDN w:val="0"/>
              <w:spacing w:before="6" w:line="360" w:lineRule="auto"/>
              <w:ind w:left="105" w:leftChars="50" w:right="105" w:rightChars="50"/>
              <w:jc w:val="center"/>
              <w:rPr>
                <w:rFonts w:ascii="宋体" w:hAnsi="宋体" w:cs="仿宋"/>
                <w:b/>
                <w:bCs/>
                <w:color w:val="auto"/>
                <w:sz w:val="24"/>
                <w:highlight w:val="none"/>
              </w:rPr>
            </w:pPr>
            <w:r>
              <w:rPr>
                <w:rFonts w:hint="eastAsia" w:ascii="宋体" w:hAnsi="宋体" w:cs="仿宋"/>
                <w:b/>
                <w:bCs/>
                <w:color w:val="auto"/>
                <w:sz w:val="24"/>
                <w:highlight w:val="none"/>
              </w:rPr>
              <w:t>指标预警</w:t>
            </w:r>
          </w:p>
        </w:tc>
        <w:tc>
          <w:tcPr>
            <w:tcW w:w="6100" w:type="dxa"/>
            <w:vAlign w:val="center"/>
          </w:tcPr>
          <w:p>
            <w:pPr>
              <w:pStyle w:val="201"/>
              <w:numPr>
                <w:ilvl w:val="0"/>
                <w:numId w:val="9"/>
              </w:numPr>
              <w:spacing w:before="6" w:line="360" w:lineRule="auto"/>
              <w:ind w:left="367" w:right="120" w:rightChars="57"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支持对异常关键指标预警和挖掘分析。</w:t>
            </w:r>
          </w:p>
          <w:p>
            <w:pPr>
              <w:pStyle w:val="201"/>
              <w:numPr>
                <w:ilvl w:val="0"/>
                <w:numId w:val="9"/>
              </w:numPr>
              <w:spacing w:before="6" w:line="360" w:lineRule="auto"/>
              <w:ind w:left="367" w:right="120" w:rightChars="57" w:firstLine="482"/>
              <w:rPr>
                <w:rFonts w:ascii="宋体" w:hAnsi="宋体" w:eastAsia="宋体"/>
                <w:color w:val="auto"/>
                <w:sz w:val="24"/>
                <w:highlight w:val="none"/>
                <w:lang w:eastAsia="zh-CN"/>
              </w:rPr>
            </w:pPr>
            <w:r>
              <w:rPr>
                <w:rFonts w:hint="eastAsia" w:ascii="宋体" w:hAnsi="宋体" w:eastAsia="宋体"/>
                <w:color w:val="auto"/>
                <w:sz w:val="24"/>
                <w:highlight w:val="none"/>
                <w:lang w:eastAsia="zh-CN"/>
              </w:rPr>
              <w:t>支持对于重要的事项及数据进行实时监测，当数据达到设定值时可以自动、快速预警。</w:t>
            </w:r>
          </w:p>
        </w:tc>
      </w:tr>
    </w:tbl>
    <w:p>
      <w:pPr>
        <w:pStyle w:val="15"/>
        <w:rPr>
          <w:color w:val="auto"/>
          <w:highlight w:val="none"/>
        </w:rPr>
      </w:pPr>
    </w:p>
    <w:p>
      <w:pPr>
        <w:pStyle w:val="8"/>
        <w:ind w:firstLine="480"/>
        <w:rPr>
          <w:rFonts w:ascii="宋体" w:hAnsi="宋体"/>
          <w:color w:val="auto"/>
          <w:szCs w:val="24"/>
          <w:highlight w:val="none"/>
          <w:lang w:eastAsia="zh-Hans"/>
        </w:rPr>
      </w:pPr>
    </w:p>
    <w:bookmarkEnd w:id="830"/>
    <w:bookmarkEnd w:id="831"/>
    <w:p>
      <w:pPr>
        <w:pStyle w:val="4"/>
        <w:keepNext w:val="0"/>
        <w:keepLines w:val="0"/>
        <w:numPr>
          <w:ilvl w:val="1"/>
          <w:numId w:val="8"/>
        </w:numPr>
        <w:tabs>
          <w:tab w:val="left" w:pos="720"/>
        </w:tabs>
        <w:autoSpaceDE/>
        <w:autoSpaceDN/>
        <w:adjustRightInd/>
        <w:spacing w:before="0" w:line="240" w:lineRule="auto"/>
        <w:jc w:val="both"/>
        <w:rPr>
          <w:rFonts w:ascii="宋体" w:hAnsi="宋体"/>
          <w:color w:val="auto"/>
          <w:sz w:val="24"/>
          <w:highlight w:val="none"/>
        </w:rPr>
      </w:pPr>
      <w:bookmarkStart w:id="1007" w:name="_Toc491196711"/>
      <w:bookmarkStart w:id="1008" w:name="_Toc25584"/>
      <w:bookmarkStart w:id="1009" w:name="_Toc138247833"/>
      <w:r>
        <w:rPr>
          <w:rFonts w:hint="eastAsia" w:ascii="宋体" w:hAnsi="宋体"/>
          <w:color w:val="auto"/>
          <w:sz w:val="24"/>
          <w:highlight w:val="none"/>
        </w:rPr>
        <w:t>接口服务</w:t>
      </w:r>
      <w:bookmarkEnd w:id="1007"/>
      <w:bookmarkEnd w:id="1008"/>
      <w:bookmarkEnd w:id="1009"/>
    </w:p>
    <w:p>
      <w:pPr>
        <w:pStyle w:val="5"/>
        <w:numPr>
          <w:ilvl w:val="2"/>
          <w:numId w:val="8"/>
        </w:numPr>
        <w:autoSpaceDE/>
        <w:autoSpaceDN/>
        <w:adjustRightInd/>
        <w:spacing w:before="260" w:after="260" w:line="416" w:lineRule="auto"/>
        <w:jc w:val="both"/>
        <w:rPr>
          <w:rFonts w:hAnsi="宋体"/>
          <w:color w:val="auto"/>
          <w:szCs w:val="24"/>
          <w:highlight w:val="none"/>
        </w:rPr>
      </w:pPr>
      <w:bookmarkStart w:id="1010" w:name="_Toc32735"/>
      <w:bookmarkStart w:id="1011" w:name="_Toc615982709"/>
      <w:bookmarkStart w:id="1012" w:name="_Toc138247834"/>
      <w:r>
        <w:rPr>
          <w:rFonts w:hint="eastAsia" w:hAnsi="宋体"/>
          <w:color w:val="auto"/>
          <w:szCs w:val="24"/>
          <w:highlight w:val="none"/>
        </w:rPr>
        <w:t>与院内原有系统对接</w:t>
      </w:r>
      <w:bookmarkEnd w:id="1010"/>
      <w:bookmarkEnd w:id="1011"/>
      <w:bookmarkEnd w:id="1012"/>
    </w:p>
    <w:p>
      <w:pPr>
        <w:pStyle w:val="8"/>
        <w:ind w:firstLine="480"/>
        <w:rPr>
          <w:rFonts w:ascii="宋体" w:hAnsi="宋体"/>
          <w:color w:val="auto"/>
          <w:szCs w:val="24"/>
          <w:highlight w:val="none"/>
        </w:rPr>
      </w:pPr>
      <w:r>
        <w:rPr>
          <w:rFonts w:hint="eastAsia" w:ascii="宋体" w:hAnsi="宋体"/>
          <w:color w:val="auto"/>
          <w:szCs w:val="24"/>
          <w:highlight w:val="none"/>
        </w:rPr>
        <w:t>与院内原有系统对接</w:t>
      </w:r>
    </w:p>
    <w:tbl>
      <w:tblPr>
        <w:tblStyle w:val="43"/>
        <w:tblW w:w="4120" w:type="dxa"/>
        <w:tblInd w:w="113" w:type="dxa"/>
        <w:tblLayout w:type="fixed"/>
        <w:tblCellMar>
          <w:top w:w="0" w:type="dxa"/>
          <w:left w:w="108" w:type="dxa"/>
          <w:bottom w:w="0" w:type="dxa"/>
          <w:right w:w="108" w:type="dxa"/>
        </w:tblCellMar>
      </w:tblPr>
      <w:tblGrid>
        <w:gridCol w:w="4120"/>
      </w:tblGrid>
      <w:tr>
        <w:tblPrEx>
          <w:tblCellMar>
            <w:top w:w="0" w:type="dxa"/>
            <w:left w:w="108" w:type="dxa"/>
            <w:bottom w:w="0" w:type="dxa"/>
            <w:right w:w="108" w:type="dxa"/>
          </w:tblCellMar>
        </w:tblPrEx>
        <w:trPr>
          <w:trHeight w:val="280" w:hRule="atLeast"/>
        </w:trPr>
        <w:tc>
          <w:tcPr>
            <w:tcW w:w="4120"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急诊预检分诊系统</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急诊医护一体化工作站</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急诊科电子病历</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急诊护理系统</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急诊科室管理系统</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发热门诊预检分诊系统</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合理用药监控系统</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处方点评系统</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移动护理系统</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实验室信息系统（LIS）</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检验科耐药菌系统</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检验科大生化系统</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放射影像PACS/RIS系统</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心电信息管理系统</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核医学信息系统</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超声信息管理系统</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病理科信息管理系统</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内镜信息系统</w:t>
            </w:r>
          </w:p>
        </w:tc>
      </w:tr>
      <w:tr>
        <w:tblPrEx>
          <w:tblCellMar>
            <w:top w:w="0" w:type="dxa"/>
            <w:left w:w="108" w:type="dxa"/>
            <w:bottom w:w="0" w:type="dxa"/>
            <w:right w:w="108" w:type="dxa"/>
          </w:tblCellMar>
        </w:tblPrEx>
        <w:trPr>
          <w:trHeight w:val="50" w:hRule="atLeast"/>
        </w:trPr>
        <w:tc>
          <w:tcPr>
            <w:tcW w:w="4120"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手术麻醉系统</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血库管理系统</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重症监护室信息系统</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消毒供应管理系统</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健康体检管理</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放射治疗系统</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肝包虫系统</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慢阻肺肺功能系统</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博士医生慢病管理系统</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血糖管理系统</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AI放疗靶区勾画系统</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肿瘤放疗</w:t>
            </w:r>
            <w:r>
              <w:rPr>
                <w:rFonts w:hint="eastAsia" w:ascii="宋体" w:hAnsi="宋体" w:cs="宋体"/>
                <w:color w:val="auto"/>
                <w:kern w:val="0"/>
                <w:sz w:val="24"/>
                <w:highlight w:val="none"/>
                <w:lang w:eastAsia="zh-CN" w:bidi="ug-CN"/>
              </w:rPr>
              <w:t>伊诺</w:t>
            </w:r>
            <w:r>
              <w:rPr>
                <w:rFonts w:hint="eastAsia" w:ascii="宋体" w:hAnsi="宋体" w:cs="宋体"/>
                <w:color w:val="auto"/>
                <w:kern w:val="0"/>
                <w:sz w:val="24"/>
                <w:highlight w:val="none"/>
                <w:lang w:bidi="ug-CN"/>
              </w:rPr>
              <w:t>信息管理系统</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辅助生殖管理系统</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脑卒中系统</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BMJ临床实践系统</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住院护理病历</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护理管理系统</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医院感染管理系统</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感染性疾病大数据平台</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抗菌药物管理系统</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药品配液中心</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防统方系统</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病案管理系统</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病案翻拍系统</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双中心直报系统</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全民健康信息平台</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教学管理系统</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移动电子签章</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中国医院药物警戒系统</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人事管理</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4"/>
                <w:highlight w:val="none"/>
                <w:lang w:eastAsia="zh-CN" w:bidi="ug-CN"/>
              </w:rPr>
            </w:pPr>
            <w:r>
              <w:rPr>
                <w:rFonts w:hint="eastAsia" w:ascii="宋体" w:hAnsi="宋体" w:cs="宋体"/>
                <w:color w:val="auto"/>
                <w:kern w:val="0"/>
                <w:sz w:val="24"/>
                <w:highlight w:val="none"/>
                <w:lang w:bidi="ug-CN"/>
              </w:rPr>
              <w:t>绩效工资</w:t>
            </w:r>
            <w:r>
              <w:rPr>
                <w:rFonts w:hint="eastAsia" w:ascii="宋体" w:hAnsi="宋体" w:cs="宋体"/>
                <w:color w:val="auto"/>
                <w:kern w:val="0"/>
                <w:sz w:val="24"/>
                <w:highlight w:val="none"/>
                <w:lang w:eastAsia="zh-CN" w:bidi="ug-CN"/>
              </w:rPr>
              <w:t>系统</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后勤一站式服务系统</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高值耗材管理系统</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协同办公系统（OA）</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科研项目管理</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结核病科研项目系统</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自助服务系统（报告打印）</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病案微信预约系统</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门诊发药大屏</w:t>
            </w:r>
          </w:p>
        </w:tc>
      </w:tr>
      <w:tr>
        <w:tblPrEx>
          <w:tblCellMar>
            <w:top w:w="0" w:type="dxa"/>
            <w:left w:w="108" w:type="dxa"/>
            <w:bottom w:w="0" w:type="dxa"/>
            <w:right w:w="108" w:type="dxa"/>
          </w:tblCellMar>
        </w:tblPrEx>
        <w:trPr>
          <w:trHeight w:val="280" w:hRule="atLeast"/>
        </w:trPr>
        <w:tc>
          <w:tcPr>
            <w:tcW w:w="412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4"/>
                <w:highlight w:val="none"/>
                <w:lang w:bidi="ug-CN"/>
              </w:rPr>
            </w:pPr>
            <w:r>
              <w:rPr>
                <w:rFonts w:hint="eastAsia" w:ascii="宋体" w:hAnsi="宋体" w:cs="宋体"/>
                <w:color w:val="auto"/>
                <w:kern w:val="0"/>
                <w:sz w:val="24"/>
                <w:highlight w:val="none"/>
                <w:lang w:bidi="ug-CN"/>
              </w:rPr>
              <w:t>门急诊药房签到系统</w:t>
            </w:r>
          </w:p>
        </w:tc>
      </w:tr>
    </w:tbl>
    <w:p>
      <w:pPr>
        <w:pStyle w:val="8"/>
        <w:ind w:firstLine="480"/>
        <w:rPr>
          <w:rFonts w:ascii="宋体" w:hAnsi="宋体"/>
          <w:color w:val="auto"/>
          <w:szCs w:val="24"/>
          <w:highlight w:val="none"/>
        </w:rPr>
      </w:pPr>
    </w:p>
    <w:p>
      <w:pPr>
        <w:pStyle w:val="5"/>
        <w:numPr>
          <w:ilvl w:val="2"/>
          <w:numId w:val="8"/>
        </w:numPr>
        <w:autoSpaceDE/>
        <w:autoSpaceDN/>
        <w:adjustRightInd/>
        <w:spacing w:before="260" w:after="260" w:line="416" w:lineRule="auto"/>
        <w:jc w:val="both"/>
        <w:rPr>
          <w:rFonts w:hAnsi="宋体"/>
          <w:color w:val="auto"/>
          <w:szCs w:val="24"/>
          <w:highlight w:val="none"/>
        </w:rPr>
      </w:pPr>
      <w:bookmarkStart w:id="1013" w:name="_Toc14145"/>
      <w:bookmarkStart w:id="1014" w:name="_Toc1950211623"/>
      <w:bookmarkStart w:id="1015" w:name="_Toc138247835"/>
      <w:r>
        <w:rPr>
          <w:rFonts w:hint="eastAsia" w:hAnsi="宋体"/>
          <w:color w:val="auto"/>
          <w:szCs w:val="24"/>
          <w:highlight w:val="none"/>
        </w:rPr>
        <w:t>其他接口对接</w:t>
      </w:r>
      <w:bookmarkEnd w:id="1013"/>
      <w:bookmarkEnd w:id="1014"/>
      <w:bookmarkEnd w:id="1015"/>
    </w:p>
    <w:p>
      <w:pPr>
        <w:pStyle w:val="8"/>
        <w:ind w:firstLine="480"/>
        <w:rPr>
          <w:rFonts w:ascii="宋体" w:hAnsi="宋体"/>
          <w:color w:val="auto"/>
          <w:szCs w:val="24"/>
          <w:highlight w:val="none"/>
        </w:rPr>
      </w:pPr>
      <w:r>
        <w:rPr>
          <w:rFonts w:hint="eastAsia" w:ascii="宋体" w:hAnsi="宋体"/>
          <w:color w:val="auto"/>
          <w:szCs w:val="24"/>
          <w:highlight w:val="none"/>
        </w:rPr>
        <w:t>大数据局结核病上报平台系统（接口）</w:t>
      </w:r>
    </w:p>
    <w:p>
      <w:pPr>
        <w:pStyle w:val="8"/>
        <w:ind w:firstLine="480"/>
        <w:rPr>
          <w:rFonts w:ascii="宋体" w:hAnsi="宋体"/>
          <w:color w:val="auto"/>
          <w:szCs w:val="24"/>
          <w:highlight w:val="none"/>
        </w:rPr>
      </w:pPr>
      <w:r>
        <w:rPr>
          <w:rFonts w:hint="eastAsia" w:ascii="宋体" w:hAnsi="宋体"/>
          <w:color w:val="auto"/>
          <w:szCs w:val="24"/>
          <w:highlight w:val="none"/>
        </w:rPr>
        <w:t>新疆医院质量管理与绩效评价（DRGs）平台接口</w:t>
      </w:r>
    </w:p>
    <w:p>
      <w:pPr>
        <w:pStyle w:val="8"/>
        <w:ind w:firstLine="480"/>
        <w:rPr>
          <w:rFonts w:ascii="宋体" w:hAnsi="宋体"/>
          <w:color w:val="auto"/>
          <w:szCs w:val="24"/>
          <w:highlight w:val="none"/>
        </w:rPr>
      </w:pPr>
      <w:r>
        <w:rPr>
          <w:rFonts w:hint="eastAsia" w:ascii="宋体" w:hAnsi="宋体"/>
          <w:color w:val="auto"/>
          <w:szCs w:val="24"/>
          <w:highlight w:val="none"/>
        </w:rPr>
        <w:t>全民电子健康卡系统接口</w:t>
      </w:r>
    </w:p>
    <w:p>
      <w:pPr>
        <w:pStyle w:val="8"/>
        <w:ind w:firstLine="480"/>
        <w:rPr>
          <w:rFonts w:ascii="宋体" w:hAnsi="宋体"/>
          <w:color w:val="auto"/>
          <w:szCs w:val="24"/>
          <w:highlight w:val="none"/>
        </w:rPr>
      </w:pPr>
      <w:r>
        <w:rPr>
          <w:rFonts w:hint="eastAsia" w:ascii="宋体" w:hAnsi="宋体"/>
          <w:color w:val="auto"/>
          <w:szCs w:val="24"/>
          <w:highlight w:val="none"/>
        </w:rPr>
        <w:t>口服包药机接口</w:t>
      </w:r>
    </w:p>
    <w:p>
      <w:pPr>
        <w:pStyle w:val="8"/>
        <w:ind w:firstLine="480"/>
        <w:rPr>
          <w:rFonts w:ascii="宋体" w:hAnsi="宋体"/>
          <w:color w:val="auto"/>
          <w:szCs w:val="24"/>
          <w:highlight w:val="none"/>
        </w:rPr>
      </w:pPr>
      <w:r>
        <w:rPr>
          <w:rFonts w:hint="eastAsia" w:ascii="宋体" w:hAnsi="宋体"/>
          <w:color w:val="auto"/>
          <w:szCs w:val="24"/>
          <w:highlight w:val="none"/>
        </w:rPr>
        <w:t>食源性上报接口</w:t>
      </w:r>
    </w:p>
    <w:p>
      <w:pPr>
        <w:pStyle w:val="8"/>
        <w:ind w:firstLine="480"/>
        <w:rPr>
          <w:rFonts w:ascii="宋体" w:hAnsi="宋体"/>
          <w:color w:val="auto"/>
          <w:szCs w:val="24"/>
          <w:highlight w:val="none"/>
        </w:rPr>
      </w:pPr>
      <w:r>
        <w:rPr>
          <w:rFonts w:hint="eastAsia" w:ascii="宋体" w:hAnsi="宋体"/>
          <w:color w:val="auto"/>
          <w:szCs w:val="24"/>
          <w:highlight w:val="none"/>
        </w:rPr>
        <w:t>第三方药品配送接口</w:t>
      </w:r>
    </w:p>
    <w:p>
      <w:pPr>
        <w:pStyle w:val="8"/>
        <w:ind w:firstLine="480"/>
        <w:rPr>
          <w:rFonts w:ascii="宋体" w:hAnsi="宋体"/>
          <w:color w:val="auto"/>
          <w:szCs w:val="24"/>
          <w:highlight w:val="none"/>
        </w:rPr>
      </w:pPr>
      <w:r>
        <w:rPr>
          <w:rFonts w:hint="eastAsia" w:ascii="宋体" w:hAnsi="宋体"/>
          <w:color w:val="auto"/>
          <w:szCs w:val="24"/>
          <w:highlight w:val="none"/>
        </w:rPr>
        <w:t>虚拟就诊卡接口</w:t>
      </w:r>
    </w:p>
    <w:p>
      <w:pPr>
        <w:pStyle w:val="8"/>
        <w:ind w:firstLine="480"/>
        <w:rPr>
          <w:rFonts w:ascii="宋体" w:hAnsi="宋体"/>
          <w:color w:val="auto"/>
          <w:szCs w:val="24"/>
          <w:highlight w:val="none"/>
        </w:rPr>
      </w:pPr>
      <w:r>
        <w:rPr>
          <w:rFonts w:hint="eastAsia" w:ascii="宋体" w:hAnsi="宋体"/>
          <w:color w:val="auto"/>
          <w:szCs w:val="24"/>
          <w:highlight w:val="none"/>
        </w:rPr>
        <w:t>医保电子凭证接口</w:t>
      </w:r>
    </w:p>
    <w:p>
      <w:pPr>
        <w:pStyle w:val="8"/>
        <w:ind w:firstLine="480"/>
        <w:rPr>
          <w:rFonts w:ascii="宋体" w:hAnsi="宋体"/>
          <w:color w:val="auto"/>
          <w:szCs w:val="24"/>
          <w:highlight w:val="none"/>
        </w:rPr>
      </w:pPr>
      <w:r>
        <w:rPr>
          <w:rFonts w:hint="eastAsia" w:ascii="宋体" w:hAnsi="宋体"/>
          <w:color w:val="auto"/>
          <w:szCs w:val="24"/>
          <w:highlight w:val="none"/>
        </w:rPr>
        <w:t>SPD系统对接</w:t>
      </w:r>
    </w:p>
    <w:p>
      <w:pPr>
        <w:pStyle w:val="8"/>
        <w:ind w:firstLine="480"/>
        <w:rPr>
          <w:rFonts w:ascii="宋体" w:hAnsi="宋体"/>
          <w:color w:val="auto"/>
          <w:szCs w:val="24"/>
          <w:highlight w:val="none"/>
        </w:rPr>
      </w:pPr>
      <w:r>
        <w:rPr>
          <w:rFonts w:hint="eastAsia" w:ascii="宋体" w:hAnsi="宋体"/>
          <w:color w:val="auto"/>
          <w:szCs w:val="24"/>
          <w:highlight w:val="none"/>
        </w:rPr>
        <w:t>银行</w:t>
      </w:r>
    </w:p>
    <w:p>
      <w:pPr>
        <w:pStyle w:val="8"/>
        <w:ind w:firstLine="480"/>
        <w:rPr>
          <w:rFonts w:ascii="宋体" w:hAnsi="宋体"/>
          <w:color w:val="auto"/>
          <w:szCs w:val="24"/>
          <w:highlight w:val="none"/>
        </w:rPr>
      </w:pPr>
      <w:r>
        <w:rPr>
          <w:rFonts w:hint="eastAsia" w:ascii="宋体" w:hAnsi="宋体"/>
          <w:color w:val="auto"/>
          <w:szCs w:val="24"/>
          <w:highlight w:val="none"/>
        </w:rPr>
        <w:t>医保及新农合</w:t>
      </w:r>
    </w:p>
    <w:p>
      <w:pPr>
        <w:pStyle w:val="8"/>
        <w:ind w:firstLine="480"/>
        <w:rPr>
          <w:rFonts w:ascii="宋体" w:hAnsi="宋体"/>
          <w:color w:val="auto"/>
          <w:szCs w:val="24"/>
          <w:highlight w:val="none"/>
        </w:rPr>
      </w:pPr>
      <w:r>
        <w:rPr>
          <w:rFonts w:hint="eastAsia" w:ascii="宋体" w:hAnsi="宋体"/>
          <w:color w:val="auto"/>
          <w:szCs w:val="24"/>
          <w:highlight w:val="none"/>
        </w:rPr>
        <w:t>保险</w:t>
      </w:r>
    </w:p>
    <w:p>
      <w:pPr>
        <w:pStyle w:val="8"/>
        <w:ind w:firstLine="480"/>
        <w:rPr>
          <w:rFonts w:ascii="宋体" w:hAnsi="宋体"/>
          <w:color w:val="auto"/>
          <w:szCs w:val="24"/>
          <w:highlight w:val="none"/>
        </w:rPr>
      </w:pPr>
      <w:r>
        <w:rPr>
          <w:rFonts w:hint="eastAsia" w:ascii="宋体" w:hAnsi="宋体"/>
          <w:color w:val="auto"/>
          <w:szCs w:val="24"/>
          <w:highlight w:val="none"/>
        </w:rPr>
        <w:t>急救中心</w:t>
      </w:r>
    </w:p>
    <w:p>
      <w:pPr>
        <w:pStyle w:val="8"/>
        <w:ind w:firstLine="480"/>
        <w:rPr>
          <w:rFonts w:ascii="宋体" w:hAnsi="宋体"/>
          <w:color w:val="auto"/>
          <w:szCs w:val="24"/>
          <w:highlight w:val="none"/>
        </w:rPr>
      </w:pPr>
      <w:r>
        <w:rPr>
          <w:rFonts w:hint="eastAsia" w:ascii="宋体" w:hAnsi="宋体"/>
          <w:color w:val="auto"/>
          <w:szCs w:val="24"/>
          <w:highlight w:val="none"/>
        </w:rPr>
        <w:t>CDC（疾控中心）</w:t>
      </w:r>
    </w:p>
    <w:p>
      <w:pPr>
        <w:pStyle w:val="8"/>
        <w:ind w:firstLine="480"/>
        <w:rPr>
          <w:rFonts w:ascii="宋体" w:hAnsi="宋体"/>
          <w:color w:val="auto"/>
          <w:szCs w:val="24"/>
          <w:highlight w:val="none"/>
        </w:rPr>
      </w:pPr>
      <w:r>
        <w:rPr>
          <w:rFonts w:hint="eastAsia" w:ascii="宋体" w:hAnsi="宋体"/>
          <w:color w:val="auto"/>
          <w:szCs w:val="24"/>
          <w:highlight w:val="none"/>
        </w:rPr>
        <w:t>血液中心</w:t>
      </w:r>
    </w:p>
    <w:p>
      <w:pPr>
        <w:pStyle w:val="8"/>
        <w:ind w:firstLine="480"/>
        <w:rPr>
          <w:rFonts w:ascii="宋体" w:hAnsi="宋体"/>
          <w:color w:val="auto"/>
          <w:szCs w:val="24"/>
          <w:highlight w:val="none"/>
        </w:rPr>
      </w:pPr>
      <w:r>
        <w:rPr>
          <w:rFonts w:hint="eastAsia" w:ascii="宋体" w:hAnsi="宋体"/>
          <w:color w:val="auto"/>
          <w:szCs w:val="24"/>
          <w:highlight w:val="none"/>
        </w:rPr>
        <w:t>第三方挂号平台</w:t>
      </w:r>
    </w:p>
    <w:p>
      <w:pPr>
        <w:pStyle w:val="8"/>
        <w:ind w:firstLine="480"/>
        <w:rPr>
          <w:rFonts w:ascii="宋体" w:hAnsi="宋体"/>
          <w:color w:val="auto"/>
          <w:szCs w:val="24"/>
          <w:highlight w:val="none"/>
        </w:rPr>
      </w:pPr>
      <w:r>
        <w:rPr>
          <w:rFonts w:hint="eastAsia" w:ascii="宋体" w:hAnsi="宋体"/>
          <w:color w:val="auto"/>
          <w:szCs w:val="24"/>
          <w:highlight w:val="none"/>
        </w:rPr>
        <w:t>非银行支付机构</w:t>
      </w:r>
    </w:p>
    <w:p>
      <w:pPr>
        <w:pStyle w:val="8"/>
        <w:ind w:firstLine="480"/>
        <w:rPr>
          <w:rFonts w:ascii="宋体" w:hAnsi="宋体"/>
          <w:color w:val="auto"/>
          <w:szCs w:val="24"/>
          <w:highlight w:val="none"/>
        </w:rPr>
      </w:pPr>
      <w:r>
        <w:rPr>
          <w:rFonts w:hint="eastAsia" w:ascii="宋体" w:hAnsi="宋体"/>
          <w:color w:val="auto"/>
          <w:szCs w:val="24"/>
          <w:highlight w:val="none"/>
        </w:rPr>
        <w:t>外部数据上报平台或监管平台</w:t>
      </w:r>
    </w:p>
    <w:p>
      <w:pPr>
        <w:pStyle w:val="8"/>
        <w:ind w:firstLine="480"/>
        <w:rPr>
          <w:rFonts w:ascii="宋体" w:hAnsi="宋体"/>
          <w:color w:val="auto"/>
          <w:szCs w:val="24"/>
          <w:highlight w:val="none"/>
        </w:rPr>
      </w:pPr>
      <w:r>
        <w:rPr>
          <w:rFonts w:hint="eastAsia" w:ascii="宋体" w:hAnsi="宋体"/>
          <w:color w:val="auto"/>
          <w:szCs w:val="24"/>
          <w:highlight w:val="none"/>
        </w:rPr>
        <w:t>居民健康卡管理/电子健康码管理</w:t>
      </w:r>
    </w:p>
    <w:p>
      <w:pPr>
        <w:pStyle w:val="8"/>
        <w:ind w:firstLine="480"/>
        <w:rPr>
          <w:rFonts w:ascii="宋体" w:hAnsi="宋体"/>
          <w:color w:val="auto"/>
          <w:szCs w:val="24"/>
          <w:highlight w:val="none"/>
        </w:rPr>
      </w:pPr>
      <w:r>
        <w:rPr>
          <w:rFonts w:hint="eastAsia" w:ascii="宋体" w:hAnsi="宋体"/>
          <w:color w:val="auto"/>
          <w:szCs w:val="24"/>
          <w:highlight w:val="none"/>
        </w:rPr>
        <w:t>上级机构（省、市、医联体平台）</w:t>
      </w:r>
    </w:p>
    <w:p>
      <w:pPr>
        <w:pStyle w:val="8"/>
        <w:ind w:firstLine="480"/>
        <w:rPr>
          <w:rFonts w:ascii="宋体" w:hAnsi="宋体"/>
          <w:color w:val="auto"/>
          <w:szCs w:val="24"/>
          <w:highlight w:val="none"/>
        </w:rPr>
      </w:pPr>
      <w:r>
        <w:rPr>
          <w:rFonts w:hint="eastAsia" w:ascii="宋体" w:hAnsi="宋体"/>
          <w:color w:val="auto"/>
          <w:szCs w:val="24"/>
          <w:highlight w:val="none"/>
        </w:rPr>
        <w:t>与国家医疗中心/实验室对接</w:t>
      </w:r>
    </w:p>
    <w:p>
      <w:pPr>
        <w:pStyle w:val="8"/>
        <w:ind w:firstLine="480"/>
        <w:rPr>
          <w:rFonts w:ascii="宋体" w:hAnsi="宋体"/>
          <w:color w:val="auto"/>
          <w:szCs w:val="24"/>
          <w:highlight w:val="none"/>
        </w:rPr>
      </w:pPr>
      <w:r>
        <w:rPr>
          <w:rFonts w:hint="eastAsia" w:ascii="宋体" w:hAnsi="宋体"/>
          <w:color w:val="auto"/>
          <w:szCs w:val="24"/>
          <w:highlight w:val="none"/>
        </w:rPr>
        <w:t>与第三方平台对接</w:t>
      </w:r>
    </w:p>
    <w:p>
      <w:pPr>
        <w:pStyle w:val="8"/>
        <w:ind w:firstLine="480"/>
        <w:rPr>
          <w:rFonts w:ascii="宋体" w:hAnsi="宋体"/>
          <w:color w:val="auto"/>
          <w:szCs w:val="24"/>
          <w:highlight w:val="none"/>
        </w:rPr>
      </w:pPr>
      <w:r>
        <w:rPr>
          <w:rFonts w:hint="eastAsia" w:ascii="宋体" w:hAnsi="宋体"/>
          <w:color w:val="auto"/>
          <w:szCs w:val="24"/>
          <w:highlight w:val="none"/>
        </w:rPr>
        <w:t>与其他医疗机构内系统对接</w:t>
      </w:r>
    </w:p>
    <w:p>
      <w:pPr>
        <w:pStyle w:val="4"/>
        <w:keepNext w:val="0"/>
        <w:keepLines w:val="0"/>
        <w:numPr>
          <w:ilvl w:val="1"/>
          <w:numId w:val="8"/>
        </w:numPr>
        <w:tabs>
          <w:tab w:val="left" w:pos="720"/>
        </w:tabs>
        <w:autoSpaceDE/>
        <w:autoSpaceDN/>
        <w:adjustRightInd/>
        <w:spacing w:before="0" w:line="360" w:lineRule="auto"/>
        <w:jc w:val="both"/>
        <w:rPr>
          <w:rFonts w:ascii="宋体" w:hAnsi="宋体"/>
          <w:color w:val="auto"/>
          <w:sz w:val="24"/>
          <w:highlight w:val="none"/>
        </w:rPr>
      </w:pPr>
      <w:bookmarkStart w:id="1016" w:name="_Toc163843600"/>
      <w:bookmarkStart w:id="1017" w:name="_Toc138439935"/>
      <w:bookmarkStart w:id="1018" w:name="_Toc28219"/>
      <w:r>
        <w:rPr>
          <w:rFonts w:hint="eastAsia" w:ascii="宋体" w:hAnsi="宋体"/>
          <w:color w:val="auto"/>
          <w:sz w:val="24"/>
          <w:highlight w:val="none"/>
        </w:rPr>
        <w:t>基础系统软件</w:t>
      </w:r>
      <w:bookmarkEnd w:id="1016"/>
      <w:bookmarkEnd w:id="1017"/>
      <w:bookmarkEnd w:id="1018"/>
    </w:p>
    <w:p>
      <w:pPr>
        <w:pStyle w:val="8"/>
        <w:ind w:firstLine="0" w:firstLineChars="0"/>
        <w:rPr>
          <w:rFonts w:ascii="宋体" w:hAnsi="宋体"/>
          <w:color w:val="auto"/>
          <w:szCs w:val="24"/>
          <w:highlight w:val="none"/>
        </w:rPr>
      </w:pPr>
    </w:p>
    <w:tbl>
      <w:tblPr>
        <w:tblStyle w:val="43"/>
        <w:tblW w:w="95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1"/>
        <w:gridCol w:w="1423"/>
        <w:gridCol w:w="6364"/>
        <w:gridCol w:w="9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blHeader/>
        </w:trPr>
        <w:tc>
          <w:tcPr>
            <w:tcW w:w="801" w:type="dxa"/>
            <w:shd w:val="clear" w:color="auto" w:fill="4472C4"/>
            <w:vAlign w:val="center"/>
          </w:tcPr>
          <w:p>
            <w:pPr>
              <w:pStyle w:val="201"/>
              <w:spacing w:before="13"/>
              <w:ind w:left="105" w:leftChars="50" w:right="105" w:rightChars="50"/>
              <w:jc w:val="center"/>
              <w:rPr>
                <w:rFonts w:ascii="宋体" w:hAnsi="宋体" w:eastAsia="宋体"/>
                <w:b/>
                <w:color w:val="auto"/>
                <w:w w:val="105"/>
                <w:kern w:val="0"/>
                <w:sz w:val="24"/>
                <w:highlight w:val="none"/>
              </w:rPr>
            </w:pPr>
            <w:r>
              <w:rPr>
                <w:rFonts w:hint="eastAsia" w:ascii="宋体" w:hAnsi="宋体" w:eastAsia="宋体"/>
                <w:b/>
                <w:color w:val="auto"/>
                <w:w w:val="105"/>
                <w:kern w:val="0"/>
                <w:sz w:val="24"/>
                <w:highlight w:val="none"/>
                <w:lang w:eastAsia="zh-CN"/>
              </w:rPr>
              <w:t>序号</w:t>
            </w:r>
          </w:p>
        </w:tc>
        <w:tc>
          <w:tcPr>
            <w:tcW w:w="1423" w:type="dxa"/>
            <w:shd w:val="clear" w:color="auto" w:fill="4472C4"/>
            <w:vAlign w:val="center"/>
          </w:tcPr>
          <w:p>
            <w:pPr>
              <w:pStyle w:val="201"/>
              <w:spacing w:before="13"/>
              <w:ind w:left="105" w:leftChars="50" w:right="105" w:rightChars="50"/>
              <w:jc w:val="center"/>
              <w:rPr>
                <w:rFonts w:ascii="宋体" w:hAnsi="宋体" w:eastAsia="宋体"/>
                <w:b/>
                <w:color w:val="auto"/>
                <w:w w:val="105"/>
                <w:kern w:val="0"/>
                <w:sz w:val="24"/>
                <w:highlight w:val="none"/>
              </w:rPr>
            </w:pPr>
            <w:r>
              <w:rPr>
                <w:rFonts w:hint="eastAsia" w:ascii="宋体" w:hAnsi="宋体" w:eastAsia="宋体"/>
                <w:b/>
                <w:color w:val="auto"/>
                <w:w w:val="105"/>
                <w:kern w:val="0"/>
                <w:sz w:val="24"/>
                <w:highlight w:val="none"/>
                <w:lang w:eastAsia="zh-CN"/>
              </w:rPr>
              <w:t>软件名称</w:t>
            </w:r>
          </w:p>
        </w:tc>
        <w:tc>
          <w:tcPr>
            <w:tcW w:w="6364" w:type="dxa"/>
            <w:shd w:val="clear" w:color="auto" w:fill="4472C4"/>
            <w:vAlign w:val="center"/>
          </w:tcPr>
          <w:p>
            <w:pPr>
              <w:pStyle w:val="201"/>
              <w:spacing w:before="13"/>
              <w:ind w:left="0" w:right="105" w:rightChars="50"/>
              <w:jc w:val="center"/>
              <w:rPr>
                <w:rFonts w:ascii="宋体" w:hAnsi="宋体" w:eastAsia="宋体"/>
                <w:b/>
                <w:color w:val="auto"/>
                <w:w w:val="105"/>
                <w:kern w:val="0"/>
                <w:sz w:val="24"/>
                <w:highlight w:val="none"/>
              </w:rPr>
            </w:pPr>
            <w:r>
              <w:rPr>
                <w:rFonts w:hint="eastAsia" w:ascii="宋体" w:hAnsi="宋体" w:eastAsia="宋体"/>
                <w:b/>
                <w:color w:val="auto"/>
                <w:w w:val="105"/>
                <w:kern w:val="0"/>
                <w:sz w:val="24"/>
                <w:highlight w:val="none"/>
                <w:lang w:eastAsia="zh-CN"/>
              </w:rPr>
              <w:t>规格参数</w:t>
            </w:r>
          </w:p>
        </w:tc>
        <w:tc>
          <w:tcPr>
            <w:tcW w:w="933" w:type="dxa"/>
            <w:shd w:val="clear" w:color="auto" w:fill="4472C4"/>
            <w:vAlign w:val="center"/>
          </w:tcPr>
          <w:p>
            <w:pPr>
              <w:pStyle w:val="201"/>
              <w:spacing w:before="13"/>
              <w:ind w:left="105" w:leftChars="50" w:right="105" w:rightChars="50"/>
              <w:jc w:val="center"/>
              <w:rPr>
                <w:rFonts w:ascii="宋体" w:hAnsi="宋体" w:eastAsia="宋体"/>
                <w:b/>
                <w:color w:val="auto"/>
                <w:w w:val="105"/>
                <w:kern w:val="0"/>
                <w:sz w:val="24"/>
                <w:highlight w:val="none"/>
              </w:rPr>
            </w:pPr>
            <w:r>
              <w:rPr>
                <w:rFonts w:hint="eastAsia" w:ascii="宋体" w:hAnsi="宋体" w:eastAsia="宋体"/>
                <w:b/>
                <w:color w:val="auto"/>
                <w:w w:val="105"/>
                <w:kern w:val="0"/>
                <w:sz w:val="24"/>
                <w:highlight w:val="none"/>
                <w:lang w:eastAsia="zh-CN"/>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1" w:type="dxa"/>
            <w:vAlign w:val="center"/>
          </w:tcPr>
          <w:p>
            <w:pPr>
              <w:pStyle w:val="201"/>
              <w:spacing w:before="6"/>
              <w:ind w:left="101" w:leftChars="48"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w:t>
            </w:r>
          </w:p>
        </w:tc>
        <w:tc>
          <w:tcPr>
            <w:tcW w:w="1423" w:type="dxa"/>
            <w:tcBorders>
              <w:top w:val="single" w:color="auto" w:sz="4" w:space="0"/>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数据库系统</w:t>
            </w:r>
          </w:p>
        </w:tc>
        <w:tc>
          <w:tcPr>
            <w:tcW w:w="6364" w:type="dxa"/>
            <w:tcBorders>
              <w:top w:val="single" w:color="auto" w:sz="4" w:space="0"/>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w:t>
            </w:r>
            <w:r>
              <w:rPr>
                <w:rFonts w:ascii="宋体" w:hAnsi="宋体" w:eastAsia="宋体"/>
                <w:bCs/>
                <w:color w:val="auto"/>
                <w:kern w:val="0"/>
                <w:sz w:val="24"/>
                <w:highlight w:val="none"/>
                <w:lang w:eastAsia="zh-CN"/>
              </w:rPr>
              <w:t>.产品需为国产集中式关系型数据库，提供软件著作权证书</w:t>
            </w:r>
            <w:r>
              <w:rPr>
                <w:rFonts w:hint="eastAsia" w:ascii="宋体" w:hAnsi="宋体" w:eastAsia="宋体"/>
                <w:bCs/>
                <w:color w:val="auto"/>
                <w:kern w:val="0"/>
                <w:sz w:val="24"/>
                <w:highlight w:val="none"/>
                <w:lang w:eastAsia="zh-CN"/>
              </w:rPr>
              <w:t>，</w:t>
            </w:r>
            <w:r>
              <w:rPr>
                <w:rFonts w:ascii="宋体" w:hAnsi="宋体" w:eastAsia="宋体"/>
                <w:bCs/>
                <w:color w:val="auto"/>
                <w:kern w:val="0"/>
                <w:sz w:val="24"/>
                <w:highlight w:val="none"/>
                <w:lang w:eastAsia="zh-CN"/>
              </w:rPr>
              <w:t>提供国家保密科技测评中心涉密产品检测证书</w:t>
            </w:r>
            <w:r>
              <w:rPr>
                <w:rFonts w:hint="eastAsia" w:ascii="宋体" w:hAnsi="宋体" w:eastAsia="宋体"/>
                <w:bCs/>
                <w:color w:val="auto"/>
                <w:kern w:val="0"/>
                <w:sz w:val="24"/>
                <w:highlight w:val="none"/>
                <w:lang w:eastAsia="zh-CN"/>
              </w:rPr>
              <w:t>；</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w:t>
            </w:r>
            <w:r>
              <w:rPr>
                <w:rFonts w:ascii="宋体" w:hAnsi="宋体" w:eastAsia="宋体"/>
                <w:bCs/>
                <w:color w:val="auto"/>
                <w:kern w:val="0"/>
                <w:sz w:val="24"/>
                <w:highlight w:val="none"/>
                <w:lang w:eastAsia="zh-CN"/>
              </w:rPr>
              <w:t>.该国产数据库</w:t>
            </w:r>
            <w:r>
              <w:rPr>
                <w:rFonts w:hint="eastAsia" w:ascii="宋体" w:hAnsi="宋体" w:eastAsia="宋体"/>
                <w:bCs/>
                <w:color w:val="auto"/>
                <w:kern w:val="0"/>
                <w:sz w:val="24"/>
                <w:highlight w:val="none"/>
                <w:lang w:eastAsia="zh-CN"/>
              </w:rPr>
              <w:t>产品</w:t>
            </w:r>
            <w:r>
              <w:rPr>
                <w:rFonts w:ascii="宋体" w:hAnsi="宋体" w:eastAsia="宋体"/>
                <w:bCs/>
                <w:color w:val="auto"/>
                <w:kern w:val="0"/>
                <w:sz w:val="24"/>
                <w:highlight w:val="none"/>
                <w:lang w:eastAsia="zh-CN"/>
              </w:rPr>
              <w:t xml:space="preserve">为《AKTD工程核心产品名录》内产品 </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3</w:t>
            </w:r>
            <w:r>
              <w:rPr>
                <w:rFonts w:ascii="宋体" w:hAnsi="宋体" w:eastAsia="宋体"/>
                <w:bCs/>
                <w:color w:val="auto"/>
                <w:kern w:val="0"/>
                <w:sz w:val="24"/>
                <w:highlight w:val="none"/>
                <w:lang w:eastAsia="zh-CN"/>
              </w:rPr>
              <w:t>.支持HA故障转移集群和主备同步技术，并且能够支持读写分离以及故障转移功能，支持主从、一主多从、级联复制等架构</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4</w:t>
            </w:r>
            <w:r>
              <w:rPr>
                <w:rFonts w:ascii="宋体" w:hAnsi="宋体" w:eastAsia="宋体"/>
                <w:bCs/>
                <w:color w:val="auto"/>
                <w:kern w:val="0"/>
                <w:sz w:val="24"/>
                <w:highlight w:val="none"/>
                <w:lang w:eastAsia="zh-CN"/>
              </w:rPr>
              <w:t>.高度兼容Oracle，支持number、date、blob/clob、varchar2等数据类型，同时支持序列与自增列，支持事件触发器等功能，支持ORACLE数据库的常用数据字典，系统函数、系统功能包，存储过程支持自治事务功能</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5.支持自主访问控制、基于安全标签的强制访问控制、用户角色三权分立、审计、加密、身份识别与验证等安全功能。支持安全管理功能和审计功能；支持全密态等值查询功能和动态脱敏功能。提供《IT 产品信息安全认证评估保障级EAL4增强级》证书</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6.每套可安装一台物理机或一台虚拟机</w:t>
            </w:r>
          </w:p>
        </w:tc>
        <w:tc>
          <w:tcPr>
            <w:tcW w:w="933" w:type="dxa"/>
            <w:tcBorders>
              <w:top w:val="single" w:color="auto" w:sz="4" w:space="0"/>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10套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1" w:type="dxa"/>
            <w:vAlign w:val="center"/>
          </w:tcPr>
          <w:p>
            <w:pPr>
              <w:pStyle w:val="201"/>
              <w:spacing w:before="6"/>
              <w:ind w:left="101" w:leftChars="48"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w:t>
            </w:r>
          </w:p>
        </w:tc>
        <w:tc>
          <w:tcPr>
            <w:tcW w:w="1423" w:type="dxa"/>
            <w:tcBorders>
              <w:top w:val="single" w:color="auto" w:sz="4" w:space="0"/>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IT运维管理系统</w:t>
            </w:r>
          </w:p>
        </w:tc>
        <w:tc>
          <w:tcPr>
            <w:tcW w:w="6364" w:type="dxa"/>
            <w:tcBorders>
              <w:top w:val="single" w:color="auto" w:sz="4" w:space="0"/>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1.统一的IT运维管理平台，支持对来源于多厂商的服务器、网络设备、安全设备、云/虚拟化主机、存储、操作系统、中间件、数据库、web服务的纳管</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 xml:space="preserve">2.提供CMDB管理功能 </w:t>
            </w:r>
          </w:p>
          <w:p>
            <w:pPr>
              <w:pStyle w:val="201"/>
              <w:widowControl/>
              <w:autoSpaceDE/>
              <w:autoSpaceDN/>
              <w:spacing w:before="6" w:line="360" w:lineRule="auto"/>
              <w:ind w:right="105" w:rightChars="50"/>
              <w:jc w:val="left"/>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3.提供纳管设备的资产管理</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4.提供拓扑管理和健康监控</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5.提供配置变更流程管理功能</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6.提供性能管理功能</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7.根据医院要求进行定制开发，驻场工程师6人月</w:t>
            </w:r>
          </w:p>
        </w:tc>
        <w:tc>
          <w:tcPr>
            <w:tcW w:w="933" w:type="dxa"/>
            <w:tcBorders>
              <w:top w:val="single" w:color="auto" w:sz="4" w:space="0"/>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1套</w:t>
            </w:r>
          </w:p>
        </w:tc>
      </w:tr>
    </w:tbl>
    <w:p>
      <w:pPr>
        <w:pStyle w:val="8"/>
        <w:ind w:firstLine="0" w:firstLineChars="0"/>
        <w:rPr>
          <w:rFonts w:ascii="宋体" w:hAnsi="宋体"/>
          <w:color w:val="auto"/>
          <w:szCs w:val="24"/>
          <w:highlight w:val="none"/>
        </w:rPr>
      </w:pPr>
    </w:p>
    <w:p>
      <w:pPr>
        <w:pStyle w:val="8"/>
        <w:ind w:firstLine="480"/>
        <w:rPr>
          <w:rFonts w:ascii="宋体" w:hAnsi="宋体"/>
          <w:color w:val="auto"/>
          <w:szCs w:val="24"/>
          <w:highlight w:val="none"/>
        </w:rPr>
      </w:pPr>
    </w:p>
    <w:p>
      <w:pPr>
        <w:pStyle w:val="3"/>
        <w:numPr>
          <w:ilvl w:val="0"/>
          <w:numId w:val="8"/>
        </w:numPr>
        <w:autoSpaceDE/>
        <w:autoSpaceDN/>
        <w:adjustRightInd/>
        <w:spacing w:before="340" w:after="330" w:line="578" w:lineRule="auto"/>
        <w:jc w:val="both"/>
        <w:rPr>
          <w:rFonts w:hAnsi="宋体"/>
          <w:color w:val="auto"/>
          <w:sz w:val="24"/>
          <w:szCs w:val="24"/>
          <w:highlight w:val="none"/>
        </w:rPr>
      </w:pPr>
      <w:bookmarkStart w:id="1019" w:name="_Toc645349746"/>
      <w:bookmarkStart w:id="1020" w:name="_Toc138439937"/>
      <w:bookmarkStart w:id="1021" w:name="_Toc30171"/>
      <w:bookmarkStart w:id="1022" w:name="_Toc138247846"/>
      <w:r>
        <w:rPr>
          <w:rFonts w:hint="eastAsia" w:hAnsi="宋体"/>
          <w:color w:val="auto"/>
          <w:sz w:val="24"/>
          <w:szCs w:val="24"/>
          <w:highlight w:val="none"/>
        </w:rPr>
        <w:t>等保和密评服务</w:t>
      </w:r>
      <w:bookmarkEnd w:id="1019"/>
      <w:bookmarkEnd w:id="1020"/>
      <w:bookmarkEnd w:id="1021"/>
    </w:p>
    <w:tbl>
      <w:tblPr>
        <w:tblStyle w:val="43"/>
        <w:tblW w:w="981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9"/>
        <w:gridCol w:w="1474"/>
        <w:gridCol w:w="6547"/>
        <w:gridCol w:w="9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9" w:hRule="atLeast"/>
          <w:tblHeader/>
        </w:trPr>
        <w:tc>
          <w:tcPr>
            <w:tcW w:w="829" w:type="dxa"/>
            <w:shd w:val="clear" w:color="auto" w:fill="4472C4"/>
            <w:vAlign w:val="center"/>
          </w:tcPr>
          <w:p>
            <w:pPr>
              <w:pStyle w:val="201"/>
              <w:spacing w:before="13"/>
              <w:ind w:left="105" w:leftChars="50" w:right="105" w:rightChars="50"/>
              <w:jc w:val="center"/>
              <w:rPr>
                <w:rFonts w:ascii="宋体" w:hAnsi="宋体" w:eastAsia="宋体"/>
                <w:b/>
                <w:color w:val="auto"/>
                <w:w w:val="105"/>
                <w:kern w:val="0"/>
                <w:sz w:val="24"/>
                <w:highlight w:val="none"/>
              </w:rPr>
            </w:pPr>
            <w:r>
              <w:rPr>
                <w:rFonts w:hint="eastAsia" w:ascii="宋体" w:hAnsi="宋体" w:eastAsia="宋体"/>
                <w:b/>
                <w:color w:val="auto"/>
                <w:w w:val="105"/>
                <w:kern w:val="0"/>
                <w:sz w:val="24"/>
                <w:highlight w:val="none"/>
                <w:lang w:eastAsia="zh-CN"/>
              </w:rPr>
              <w:t>序号</w:t>
            </w:r>
          </w:p>
        </w:tc>
        <w:tc>
          <w:tcPr>
            <w:tcW w:w="1474" w:type="dxa"/>
            <w:shd w:val="clear" w:color="auto" w:fill="4472C4"/>
            <w:vAlign w:val="center"/>
          </w:tcPr>
          <w:p>
            <w:pPr>
              <w:pStyle w:val="201"/>
              <w:spacing w:before="13"/>
              <w:ind w:left="101" w:leftChars="48" w:right="105" w:rightChars="50"/>
              <w:jc w:val="center"/>
              <w:rPr>
                <w:rFonts w:ascii="宋体" w:hAnsi="宋体" w:eastAsia="宋体"/>
                <w:b/>
                <w:color w:val="auto"/>
                <w:w w:val="105"/>
                <w:kern w:val="0"/>
                <w:sz w:val="24"/>
                <w:highlight w:val="none"/>
                <w:lang w:eastAsia="zh-CN"/>
              </w:rPr>
            </w:pPr>
            <w:r>
              <w:rPr>
                <w:rFonts w:hint="eastAsia" w:ascii="宋体" w:hAnsi="宋体" w:eastAsia="宋体"/>
                <w:b/>
                <w:color w:val="auto"/>
                <w:w w:val="105"/>
                <w:kern w:val="0"/>
                <w:sz w:val="24"/>
                <w:highlight w:val="none"/>
                <w:lang w:eastAsia="zh-CN"/>
              </w:rPr>
              <w:t>内容</w:t>
            </w:r>
          </w:p>
        </w:tc>
        <w:tc>
          <w:tcPr>
            <w:tcW w:w="6547" w:type="dxa"/>
            <w:shd w:val="clear" w:color="auto" w:fill="4472C4"/>
            <w:vAlign w:val="center"/>
          </w:tcPr>
          <w:p>
            <w:pPr>
              <w:pStyle w:val="201"/>
              <w:spacing w:before="13"/>
              <w:ind w:left="101" w:leftChars="48" w:right="105" w:rightChars="50"/>
              <w:jc w:val="center"/>
              <w:rPr>
                <w:rFonts w:ascii="宋体" w:hAnsi="宋体" w:eastAsia="宋体"/>
                <w:b/>
                <w:color w:val="auto"/>
                <w:w w:val="105"/>
                <w:kern w:val="0"/>
                <w:sz w:val="24"/>
                <w:highlight w:val="none"/>
              </w:rPr>
            </w:pPr>
            <w:r>
              <w:rPr>
                <w:rFonts w:hint="eastAsia" w:ascii="宋体" w:hAnsi="宋体" w:eastAsia="宋体"/>
                <w:b/>
                <w:color w:val="auto"/>
                <w:w w:val="105"/>
                <w:kern w:val="0"/>
                <w:sz w:val="24"/>
                <w:highlight w:val="none"/>
                <w:lang w:eastAsia="zh-CN"/>
              </w:rPr>
              <w:t>规格要求</w:t>
            </w:r>
          </w:p>
        </w:tc>
        <w:tc>
          <w:tcPr>
            <w:tcW w:w="962" w:type="dxa"/>
            <w:shd w:val="clear" w:color="auto" w:fill="4472C4"/>
            <w:vAlign w:val="center"/>
          </w:tcPr>
          <w:p>
            <w:pPr>
              <w:pStyle w:val="201"/>
              <w:spacing w:before="13"/>
              <w:ind w:left="105" w:leftChars="50" w:right="105" w:rightChars="50"/>
              <w:jc w:val="center"/>
              <w:rPr>
                <w:rFonts w:ascii="宋体" w:hAnsi="宋体" w:eastAsia="宋体"/>
                <w:b/>
                <w:color w:val="auto"/>
                <w:w w:val="105"/>
                <w:kern w:val="0"/>
                <w:sz w:val="24"/>
                <w:highlight w:val="none"/>
              </w:rPr>
            </w:pPr>
            <w:r>
              <w:rPr>
                <w:rFonts w:hint="eastAsia" w:ascii="宋体" w:hAnsi="宋体" w:eastAsia="宋体"/>
                <w:b/>
                <w:color w:val="auto"/>
                <w:w w:val="105"/>
                <w:kern w:val="0"/>
                <w:sz w:val="24"/>
                <w:highlight w:val="none"/>
                <w:lang w:eastAsia="zh-CN"/>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29" w:type="dxa"/>
            <w:vAlign w:val="center"/>
          </w:tcPr>
          <w:p>
            <w:pPr>
              <w:pStyle w:val="201"/>
              <w:spacing w:before="6"/>
              <w:ind w:left="101" w:leftChars="48"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w:t>
            </w:r>
          </w:p>
        </w:tc>
        <w:tc>
          <w:tcPr>
            <w:tcW w:w="1474" w:type="dxa"/>
            <w:tcBorders>
              <w:top w:val="single" w:color="auto" w:sz="4" w:space="0"/>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等保三级安全性评估服务（单个系统）</w:t>
            </w:r>
          </w:p>
        </w:tc>
        <w:tc>
          <w:tcPr>
            <w:tcW w:w="6547" w:type="dxa"/>
            <w:tcBorders>
              <w:top w:val="single" w:color="auto" w:sz="4" w:space="0"/>
              <w:left w:val="nil"/>
              <w:bottom w:val="single" w:color="auto" w:sz="4" w:space="0"/>
              <w:right w:val="single" w:color="auto" w:sz="4" w:space="0"/>
            </w:tcBorders>
            <w:vAlign w:val="center"/>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依据《信息安全技术网络安全等级保护基本要求》（GB/T22239-2019）、《信息安全技术网络安全等级保护实施指南》（GB∕T25058-2019），《信息安全技术网络安全等级保护安全设计技术要求》（GB∕T25070-2019）等国家标准，对医院进行等级保护三级方案编制，等级保护三级咨询服务前期规划咨询、方案设计到后期整改统筹，协助通过等保的全流程集成与咨询服务</w:t>
            </w:r>
          </w:p>
        </w:tc>
        <w:tc>
          <w:tcPr>
            <w:tcW w:w="962" w:type="dxa"/>
            <w:tcBorders>
              <w:top w:val="single" w:color="auto" w:sz="4" w:space="0"/>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29" w:type="dxa"/>
            <w:vAlign w:val="center"/>
          </w:tcPr>
          <w:p>
            <w:pPr>
              <w:pStyle w:val="201"/>
              <w:spacing w:before="6"/>
              <w:ind w:left="101" w:leftChars="48"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w:t>
            </w:r>
          </w:p>
        </w:tc>
        <w:tc>
          <w:tcPr>
            <w:tcW w:w="1474" w:type="dxa"/>
            <w:tcBorders>
              <w:top w:val="single" w:color="auto" w:sz="4" w:space="0"/>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等保三级系统评测（单个系统）</w:t>
            </w:r>
          </w:p>
        </w:tc>
        <w:tc>
          <w:tcPr>
            <w:tcW w:w="6547" w:type="dxa"/>
            <w:tcBorders>
              <w:top w:val="single" w:color="auto" w:sz="4" w:space="0"/>
              <w:left w:val="nil"/>
              <w:bottom w:val="single" w:color="auto" w:sz="4" w:space="0"/>
              <w:right w:val="single" w:color="auto" w:sz="4" w:space="0"/>
            </w:tcBorders>
            <w:vAlign w:val="center"/>
          </w:tcPr>
          <w:p>
            <w:pPr>
              <w:pStyle w:val="201"/>
              <w:widowControl/>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等保评测机构进行等保三级系统评测</w:t>
            </w:r>
          </w:p>
        </w:tc>
        <w:tc>
          <w:tcPr>
            <w:tcW w:w="962" w:type="dxa"/>
            <w:tcBorders>
              <w:top w:val="single" w:color="auto" w:sz="4" w:space="0"/>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29" w:type="dxa"/>
            <w:vAlign w:val="center"/>
          </w:tcPr>
          <w:p>
            <w:pPr>
              <w:pStyle w:val="201"/>
              <w:spacing w:before="6"/>
              <w:ind w:left="101" w:leftChars="48"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3</w:t>
            </w:r>
          </w:p>
        </w:tc>
        <w:tc>
          <w:tcPr>
            <w:tcW w:w="1474" w:type="dxa"/>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商用密码三级应用安全性评估测评服务（单个系统）</w:t>
            </w:r>
          </w:p>
        </w:tc>
        <w:tc>
          <w:tcPr>
            <w:tcW w:w="6547" w:type="dxa"/>
            <w:tcBorders>
              <w:top w:val="nil"/>
              <w:left w:val="nil"/>
              <w:bottom w:val="single" w:color="auto" w:sz="4" w:space="0"/>
              <w:right w:val="single" w:color="auto" w:sz="4" w:space="0"/>
            </w:tcBorders>
            <w:vAlign w:val="center"/>
          </w:tcPr>
          <w:p>
            <w:pPr>
              <w:pStyle w:val="201"/>
              <w:widowControl/>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依据《信息安全技术信息系统密码应用基本要求》</w:t>
            </w:r>
          </w:p>
          <w:p>
            <w:pPr>
              <w:pStyle w:val="201"/>
              <w:widowControl/>
              <w:spacing w:before="6" w:line="360" w:lineRule="auto"/>
              <w:ind w:left="0"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GB/T39786-2021）《信息系统密码测评要求》《商用密码应用安全性评估测评过程指南》，对医院信息系统的商用密码应用方案进行评估，并对上线后的系统商用密码应用的合规性，正确性，有效性进行安全性评估项目，提供相应《信息系统密码应用改进建议书》、《密码应用安全性评估报告》。密码应用前期规划咨询、方案设计到后期整改统筹，协助通过密评的全流程集成。</w:t>
            </w:r>
          </w:p>
        </w:tc>
        <w:tc>
          <w:tcPr>
            <w:tcW w:w="962" w:type="dxa"/>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29" w:type="dxa"/>
            <w:vAlign w:val="center"/>
          </w:tcPr>
          <w:p>
            <w:pPr>
              <w:pStyle w:val="201"/>
              <w:spacing w:before="6"/>
              <w:ind w:left="101" w:leftChars="48"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4</w:t>
            </w:r>
          </w:p>
        </w:tc>
        <w:tc>
          <w:tcPr>
            <w:tcW w:w="1474" w:type="dxa"/>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商用密码三级密码应用测评（单个系统）</w:t>
            </w:r>
          </w:p>
        </w:tc>
        <w:tc>
          <w:tcPr>
            <w:tcW w:w="6547" w:type="dxa"/>
            <w:tcBorders>
              <w:top w:val="nil"/>
              <w:left w:val="nil"/>
              <w:bottom w:val="single" w:color="auto" w:sz="4" w:space="0"/>
              <w:right w:val="single" w:color="auto" w:sz="4" w:space="0"/>
            </w:tcBorders>
            <w:vAlign w:val="center"/>
          </w:tcPr>
          <w:p>
            <w:pPr>
              <w:pStyle w:val="201"/>
              <w:widowControl/>
              <w:autoSpaceDE/>
              <w:autoSpaceDN/>
              <w:spacing w:before="6"/>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密评机构进行商用密码三级密码应用测评</w:t>
            </w:r>
          </w:p>
        </w:tc>
        <w:tc>
          <w:tcPr>
            <w:tcW w:w="962" w:type="dxa"/>
            <w:tcBorders>
              <w:top w:val="nil"/>
              <w:left w:val="nil"/>
              <w:bottom w:val="single" w:color="auto" w:sz="4" w:space="0"/>
              <w:right w:val="single" w:color="auto" w:sz="4" w:space="0"/>
            </w:tcBorders>
            <w:vAlign w:val="center"/>
          </w:tcPr>
          <w:p>
            <w:pPr>
              <w:pStyle w:val="201"/>
              <w:widowControl/>
              <w:tabs>
                <w:tab w:val="left" w:pos="438"/>
              </w:tabs>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w:t>
            </w:r>
          </w:p>
        </w:tc>
      </w:tr>
    </w:tbl>
    <w:p>
      <w:pPr>
        <w:pStyle w:val="8"/>
        <w:ind w:firstLine="0" w:firstLineChars="0"/>
        <w:rPr>
          <w:color w:val="auto"/>
          <w:highlight w:val="none"/>
        </w:rPr>
      </w:pPr>
    </w:p>
    <w:p>
      <w:pPr>
        <w:pStyle w:val="8"/>
        <w:ind w:firstLine="0" w:firstLineChars="0"/>
        <w:rPr>
          <w:rFonts w:ascii="宋体" w:hAnsi="宋体"/>
          <w:color w:val="auto"/>
          <w:szCs w:val="24"/>
          <w:highlight w:val="none"/>
        </w:rPr>
      </w:pPr>
    </w:p>
    <w:p>
      <w:pPr>
        <w:pStyle w:val="3"/>
        <w:numPr>
          <w:ilvl w:val="0"/>
          <w:numId w:val="8"/>
        </w:numPr>
        <w:autoSpaceDE/>
        <w:autoSpaceDN/>
        <w:adjustRightInd/>
        <w:spacing w:before="340" w:after="330" w:line="578" w:lineRule="auto"/>
        <w:jc w:val="both"/>
        <w:rPr>
          <w:rFonts w:hAnsi="宋体"/>
          <w:color w:val="auto"/>
          <w:sz w:val="24"/>
          <w:szCs w:val="24"/>
          <w:highlight w:val="none"/>
        </w:rPr>
      </w:pPr>
      <w:bookmarkStart w:id="1023" w:name="_Toc138439936"/>
      <w:bookmarkStart w:id="1024" w:name="_Toc19837"/>
      <w:bookmarkStart w:id="1025" w:name="_Toc1600763672"/>
      <w:r>
        <w:rPr>
          <w:rFonts w:hint="eastAsia" w:hAnsi="宋体"/>
          <w:color w:val="auto"/>
          <w:sz w:val="24"/>
          <w:szCs w:val="24"/>
          <w:highlight w:val="none"/>
        </w:rPr>
        <w:t>硬件产品功能要求</w:t>
      </w:r>
      <w:bookmarkEnd w:id="1023"/>
      <w:bookmarkEnd w:id="1024"/>
      <w:bookmarkEnd w:id="1025"/>
    </w:p>
    <w:p>
      <w:pPr>
        <w:pStyle w:val="8"/>
        <w:ind w:left="0" w:leftChars="0" w:firstLine="480" w:firstLineChars="200"/>
        <w:rPr>
          <w:rStyle w:val="51"/>
          <w:color w:val="auto"/>
          <w:highlight w:val="none"/>
        </w:rPr>
      </w:pPr>
      <w:r>
        <w:rPr>
          <w:rFonts w:hint="eastAsia" w:ascii="宋体" w:hAnsi="宋体"/>
          <w:color w:val="auto"/>
          <w:highlight w:val="none"/>
        </w:rPr>
        <w:t>其中▲条款为重要参数条款，投标人需提供相关材料进行实质性响应，若不满足要求，按无效投标处理。</w:t>
      </w:r>
    </w:p>
    <w:tbl>
      <w:tblPr>
        <w:tblStyle w:val="43"/>
        <w:tblW w:w="956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6"/>
        <w:gridCol w:w="774"/>
        <w:gridCol w:w="658"/>
        <w:gridCol w:w="6380"/>
        <w:gridCol w:w="8"/>
        <w:gridCol w:w="928"/>
        <w:gridCol w:w="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0" w:hRule="atLeast"/>
          <w:tblHeader/>
        </w:trPr>
        <w:tc>
          <w:tcPr>
            <w:tcW w:w="806" w:type="dxa"/>
            <w:shd w:val="clear" w:color="auto" w:fill="4472C4"/>
            <w:vAlign w:val="center"/>
          </w:tcPr>
          <w:p>
            <w:pPr>
              <w:pStyle w:val="201"/>
              <w:spacing w:before="13"/>
              <w:ind w:left="105" w:leftChars="50" w:right="105" w:rightChars="50"/>
              <w:jc w:val="center"/>
              <w:rPr>
                <w:rFonts w:ascii="宋体" w:hAnsi="宋体" w:eastAsia="宋体"/>
                <w:b/>
                <w:color w:val="auto"/>
                <w:w w:val="105"/>
                <w:kern w:val="0"/>
                <w:sz w:val="24"/>
                <w:highlight w:val="none"/>
              </w:rPr>
            </w:pPr>
            <w:r>
              <w:rPr>
                <w:rFonts w:hint="eastAsia" w:ascii="宋体" w:hAnsi="宋体" w:eastAsia="宋体"/>
                <w:b/>
                <w:color w:val="auto"/>
                <w:w w:val="105"/>
                <w:kern w:val="0"/>
                <w:sz w:val="24"/>
                <w:highlight w:val="none"/>
                <w:lang w:eastAsia="zh-CN"/>
              </w:rPr>
              <w:t>序号</w:t>
            </w:r>
          </w:p>
        </w:tc>
        <w:tc>
          <w:tcPr>
            <w:tcW w:w="1432" w:type="dxa"/>
            <w:gridSpan w:val="2"/>
            <w:shd w:val="clear" w:color="auto" w:fill="4472C4"/>
            <w:vAlign w:val="center"/>
          </w:tcPr>
          <w:p>
            <w:pPr>
              <w:pStyle w:val="201"/>
              <w:spacing w:before="13"/>
              <w:ind w:left="105" w:leftChars="50" w:right="105" w:rightChars="50"/>
              <w:jc w:val="center"/>
              <w:rPr>
                <w:rFonts w:ascii="宋体" w:hAnsi="宋体" w:eastAsia="宋体"/>
                <w:b/>
                <w:color w:val="auto"/>
                <w:w w:val="105"/>
                <w:kern w:val="0"/>
                <w:sz w:val="24"/>
                <w:highlight w:val="none"/>
              </w:rPr>
            </w:pPr>
            <w:r>
              <w:rPr>
                <w:rFonts w:hint="eastAsia" w:ascii="宋体" w:hAnsi="宋体" w:eastAsia="宋体"/>
                <w:b/>
                <w:color w:val="auto"/>
                <w:w w:val="105"/>
                <w:kern w:val="0"/>
                <w:sz w:val="24"/>
                <w:highlight w:val="none"/>
                <w:lang w:eastAsia="zh-CN"/>
              </w:rPr>
              <w:t>设备名称</w:t>
            </w:r>
          </w:p>
        </w:tc>
        <w:tc>
          <w:tcPr>
            <w:tcW w:w="6388" w:type="dxa"/>
            <w:gridSpan w:val="2"/>
            <w:shd w:val="clear" w:color="auto" w:fill="4472C4"/>
            <w:vAlign w:val="center"/>
          </w:tcPr>
          <w:p>
            <w:pPr>
              <w:pStyle w:val="201"/>
              <w:spacing w:before="13"/>
              <w:ind w:left="105" w:leftChars="50" w:right="105" w:rightChars="50"/>
              <w:jc w:val="center"/>
              <w:rPr>
                <w:rFonts w:ascii="宋体" w:hAnsi="宋体" w:eastAsia="宋体"/>
                <w:b/>
                <w:color w:val="auto"/>
                <w:w w:val="105"/>
                <w:kern w:val="0"/>
                <w:sz w:val="24"/>
                <w:highlight w:val="none"/>
              </w:rPr>
            </w:pPr>
            <w:r>
              <w:rPr>
                <w:rFonts w:hint="eastAsia" w:ascii="宋体" w:hAnsi="宋体" w:eastAsia="宋体"/>
                <w:b/>
                <w:color w:val="auto"/>
                <w:w w:val="105"/>
                <w:kern w:val="0"/>
                <w:sz w:val="24"/>
                <w:highlight w:val="none"/>
                <w:lang w:eastAsia="zh-CN"/>
              </w:rPr>
              <w:t>规格参数</w:t>
            </w:r>
          </w:p>
        </w:tc>
        <w:tc>
          <w:tcPr>
            <w:tcW w:w="939" w:type="dxa"/>
            <w:gridSpan w:val="2"/>
            <w:shd w:val="clear" w:color="auto" w:fill="4472C4"/>
            <w:vAlign w:val="center"/>
          </w:tcPr>
          <w:p>
            <w:pPr>
              <w:pStyle w:val="201"/>
              <w:spacing w:before="13"/>
              <w:ind w:left="105" w:leftChars="50" w:right="105" w:rightChars="50"/>
              <w:jc w:val="center"/>
              <w:rPr>
                <w:rFonts w:ascii="宋体" w:hAnsi="宋体" w:eastAsia="宋体"/>
                <w:b/>
                <w:color w:val="auto"/>
                <w:w w:val="105"/>
                <w:kern w:val="0"/>
                <w:sz w:val="24"/>
                <w:highlight w:val="none"/>
              </w:rPr>
            </w:pPr>
            <w:r>
              <w:rPr>
                <w:rFonts w:hint="eastAsia" w:ascii="宋体" w:hAnsi="宋体" w:eastAsia="宋体"/>
                <w:b/>
                <w:color w:val="auto"/>
                <w:w w:val="105"/>
                <w:kern w:val="0"/>
                <w:sz w:val="24"/>
                <w:highlight w:val="none"/>
                <w:lang w:eastAsia="zh-CN"/>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bookmarkStart w:id="1026" w:name="OLE_LINK1" w:colFirst="2" w:colLast="2"/>
            <w:r>
              <w:rPr>
                <w:rFonts w:hint="eastAsia" w:ascii="宋体" w:hAnsi="宋体" w:eastAsia="宋体"/>
                <w:bCs/>
                <w:color w:val="auto"/>
                <w:kern w:val="0"/>
                <w:sz w:val="24"/>
                <w:highlight w:val="none"/>
                <w:lang w:eastAsia="zh-CN"/>
              </w:rPr>
              <w:t>1</w:t>
            </w:r>
          </w:p>
        </w:tc>
        <w:tc>
          <w:tcPr>
            <w:tcW w:w="1432" w:type="dxa"/>
            <w:gridSpan w:val="2"/>
            <w:tcBorders>
              <w:top w:val="single" w:color="auto" w:sz="4" w:space="0"/>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超融合节点</w:t>
            </w:r>
          </w:p>
        </w:tc>
        <w:tc>
          <w:tcPr>
            <w:tcW w:w="6388" w:type="dxa"/>
            <w:gridSpan w:val="2"/>
            <w:tcBorders>
              <w:top w:val="single" w:color="auto" w:sz="4" w:space="0"/>
              <w:left w:val="nil"/>
              <w:bottom w:val="single" w:color="auto" w:sz="4" w:space="0"/>
              <w:right w:val="single" w:color="auto" w:sz="4" w:space="0"/>
            </w:tcBorders>
          </w:tcPr>
          <w:p>
            <w:pPr>
              <w:pStyle w:val="201"/>
              <w:widowControl/>
              <w:autoSpaceDE/>
              <w:autoSpaceDN/>
              <w:spacing w:before="6" w:line="360" w:lineRule="auto"/>
              <w:ind w:left="200"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1.规格：2U2P机架式服务器，配置原厂导轨</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2.CPU：配置≥2颗英特尔金牌5320，单处理器主频≥2.2GHz、核数≥26核</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3.内存：配置≥384GB内存</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4.RAID卡：配置1张SAS/SATA RAID卡，支持RAID0,1,10</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5.硬盘：配置≥8块4TB NL SAS数据盘；≥2块800GB SSD(TBW要求至少7300)缓存盘</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6.内置存储：配置 2* 480G SATA SSD系统盘</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7.网卡：配置≥4*10GE万兆光口+2*GE千兆电口（含光模块）</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 xml:space="preserve">8.I/O扩展：支持PCI-E 4.0 </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9.电源：配置冗余交流电源</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10.管理端口：千兆远程管理端口，提供虚拟控制台，可远程挂载安装系统</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11. 2CPU Vsphere 标准版，2CPU VSAN标准版</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12.</w:t>
            </w:r>
            <w:r>
              <w:rPr>
                <w:rFonts w:ascii="宋体" w:hAnsi="宋体" w:eastAsia="宋体"/>
                <w:bCs/>
                <w:color w:val="auto"/>
                <w:kern w:val="0"/>
                <w:sz w:val="24"/>
                <w:highlight w:val="none"/>
                <w:lang w:eastAsia="zh-CN"/>
              </w:rPr>
              <w:t xml:space="preserve"> </w:t>
            </w:r>
            <w:r>
              <w:rPr>
                <w:rFonts w:hint="eastAsia" w:ascii="宋体" w:hAnsi="宋体" w:eastAsia="宋体"/>
                <w:color w:val="auto"/>
                <w:sz w:val="24"/>
                <w:highlight w:val="none"/>
                <w:lang w:eastAsia="zh-CN"/>
              </w:rPr>
              <w:t>▲</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single" w:color="auto" w:sz="4" w:space="0"/>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w:t>
            </w:r>
          </w:p>
        </w:tc>
        <w:tc>
          <w:tcPr>
            <w:tcW w:w="1432" w:type="dxa"/>
            <w:gridSpan w:val="2"/>
            <w:tcBorders>
              <w:top w:val="single" w:color="auto" w:sz="4" w:space="0"/>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数据库服务器</w:t>
            </w:r>
          </w:p>
        </w:tc>
        <w:tc>
          <w:tcPr>
            <w:tcW w:w="6388" w:type="dxa"/>
            <w:gridSpan w:val="2"/>
            <w:tcBorders>
              <w:top w:val="single" w:color="auto" w:sz="4" w:space="0"/>
              <w:left w:val="nil"/>
              <w:bottom w:val="single" w:color="auto" w:sz="4" w:space="0"/>
              <w:right w:val="single" w:color="auto" w:sz="4" w:space="0"/>
            </w:tcBorders>
          </w:tcPr>
          <w:p>
            <w:pPr>
              <w:pStyle w:val="201"/>
              <w:widowControl/>
              <w:autoSpaceDE/>
              <w:autoSpaceDN/>
              <w:spacing w:before="6" w:line="360" w:lineRule="auto"/>
              <w:ind w:right="105" w:rightChars="50"/>
              <w:jc w:val="left"/>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1.规格：4P机架式服务器；配置原厂导轨</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2.CPU：配置≥4颗英特尔金牌6240，单处理器主频≥2.6GHz、核数≥18核</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3.内存：配置≥384GB</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4.RAID卡：配置1张SAS/SATA RAID卡，支持RAID0,1,10</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 xml:space="preserve">5.硬盘：配置≥4块2.4T SAS；≥2块480GB SSD </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6.网卡：配置≥4*10GE万兆光口+2*GE千兆电口（含光模块）；配置≥2张16G双通道HBA卡（含光模块）</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7.管理端口：千兆远程管理端口，提供虚拟控制台，可远程挂载安装系统</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8.电源：配置冗余交流电源</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9.</w:t>
            </w:r>
            <w:r>
              <w:rPr>
                <w:rFonts w:hint="eastAsia" w:ascii="宋体" w:hAnsi="宋体" w:eastAsia="宋体"/>
                <w:color w:val="auto"/>
                <w:sz w:val="24"/>
                <w:highlight w:val="none"/>
                <w:lang w:eastAsia="zh-CN"/>
              </w:rPr>
              <w:t xml:space="preserve"> ▲</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single" w:color="auto" w:sz="4" w:space="0"/>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4</w:t>
            </w:r>
          </w:p>
        </w:tc>
      </w:tr>
      <w:bookmarkEnd w:id="1026"/>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3</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数据库</w:t>
            </w:r>
            <w:r>
              <w:rPr>
                <w:rFonts w:hint="eastAsia" w:ascii="宋体" w:hAnsi="宋体" w:eastAsia="宋体"/>
                <w:bCs/>
                <w:color w:val="auto"/>
                <w:kern w:val="0"/>
                <w:sz w:val="24"/>
                <w:highlight w:val="none"/>
              </w:rPr>
              <w:t>存储</w:t>
            </w:r>
          </w:p>
        </w:tc>
        <w:tc>
          <w:tcPr>
            <w:tcW w:w="6388" w:type="dxa"/>
            <w:gridSpan w:val="2"/>
            <w:tcBorders>
              <w:top w:val="nil"/>
              <w:left w:val="nil"/>
              <w:bottom w:val="single" w:color="auto" w:sz="4" w:space="0"/>
              <w:right w:val="single" w:color="auto" w:sz="4" w:space="0"/>
            </w:tcBorders>
          </w:tcPr>
          <w:p>
            <w:pPr>
              <w:pStyle w:val="201"/>
              <w:widowControl/>
              <w:numPr>
                <w:ilvl w:val="0"/>
                <w:numId w:val="38"/>
              </w:numPr>
              <w:autoSpaceDE/>
              <w:autoSpaceDN/>
              <w:spacing w:before="6" w:line="360" w:lineRule="auto"/>
              <w:ind w:right="105" w:rightChars="50"/>
              <w:rPr>
                <w:rFonts w:hint="eastAsia"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集中式存储，A-A架构</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2.配置双控制器</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 xml:space="preserve">3.配置内存≥256GB； </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 xml:space="preserve">4.配置≥8*10Gb ETH、8*16Gb FC（含光模块）; </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5.配置≥8块1.92TB（单块） SSD盘；</w:t>
            </w:r>
          </w:p>
          <w:p>
            <w:pPr>
              <w:pStyle w:val="201"/>
              <w:widowControl/>
              <w:numPr>
                <w:ilvl w:val="0"/>
                <w:numId w:val="8"/>
              </w:numPr>
              <w:autoSpaceDE/>
              <w:autoSpaceDN/>
              <w:spacing w:before="6" w:line="360" w:lineRule="auto"/>
              <w:ind w:left="420" w:leftChars="0" w:right="105" w:rightChars="50" w:hanging="420" w:firstLineChars="0"/>
              <w:rPr>
                <w:rFonts w:hint="eastAsia"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支持</w:t>
            </w:r>
            <w:r>
              <w:rPr>
                <w:rFonts w:hint="eastAsia" w:ascii="宋体" w:hAnsi="宋体" w:eastAsia="宋体"/>
                <w:bCs/>
                <w:color w:val="auto"/>
                <w:kern w:val="0"/>
                <w:sz w:val="24"/>
                <w:highlight w:val="none"/>
                <w:lang w:val="en-US" w:eastAsia="zh-CN"/>
              </w:rPr>
              <w:t xml:space="preserve">RAID </w:t>
            </w:r>
            <w:r>
              <w:rPr>
                <w:rFonts w:hint="eastAsia" w:ascii="宋体" w:hAnsi="宋体" w:eastAsia="宋体"/>
                <w:bCs/>
                <w:color w:val="auto"/>
                <w:kern w:val="0"/>
                <w:sz w:val="24"/>
                <w:highlight w:val="none"/>
                <w:lang w:eastAsia="zh-CN"/>
              </w:rPr>
              <w:t>0,1,5,6,10,50等；</w:t>
            </w:r>
          </w:p>
          <w:p>
            <w:pPr>
              <w:pStyle w:val="201"/>
              <w:widowControl/>
              <w:numPr>
                <w:ilvl w:val="0"/>
                <w:numId w:val="0"/>
              </w:numPr>
              <w:autoSpaceDE/>
              <w:autoSpaceDN/>
              <w:spacing w:before="6" w:line="360" w:lineRule="auto"/>
              <w:ind w:leftChars="0"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 xml:space="preserve">7.配置企业版管理软件； </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8.</w:t>
            </w:r>
            <w:r>
              <w:rPr>
                <w:rFonts w:hint="eastAsia" w:ascii="宋体" w:hAnsi="宋体" w:eastAsia="宋体"/>
                <w:color w:val="auto"/>
                <w:sz w:val="24"/>
                <w:highlight w:val="none"/>
                <w:lang w:eastAsia="zh-CN"/>
              </w:rPr>
              <w:t xml:space="preserve"> ▲</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4</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数据库存储光纤交换机</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1.交换机类型为盒式、固定端口</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2.FC端口数≥24</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3.支持最大速率≥16Gbps</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 xml:space="preserve">4.配置≥16个16Gbps光模块 </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5.</w:t>
            </w:r>
            <w:r>
              <w:rPr>
                <w:rFonts w:hint="eastAsia" w:ascii="宋体" w:hAnsi="宋体" w:eastAsia="宋体"/>
                <w:color w:val="auto"/>
                <w:sz w:val="24"/>
                <w:highlight w:val="none"/>
                <w:lang w:eastAsia="zh-CN"/>
              </w:rPr>
              <w:t xml:space="preserve"> ▲</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5</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大数据服务器</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1.规格：2U2P机架式服务器；配置原厂导轨</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2.CPU：配置≥2颗英特尔银牌4214，单处理器主频≥2.1GHz、核数≥12核</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3.内存：配置≥128GB内存</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4.RAID卡：配置1张SAS/SATA RAID卡，支持RAID0,1,10</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5.硬盘：配置≥2块1.92TB SSD硬盘；≥3块4TB SAS硬盘，</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6.网卡：配置≥2*10GE万兆光口（含光模块）+2*千兆电口</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7.电源：配置冗余交流电源</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8.管理端口：千兆远程管理端口，提供虚拟控制台，可远程挂载安装系统</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9.</w:t>
            </w:r>
            <w:r>
              <w:rPr>
                <w:rFonts w:hint="eastAsia" w:ascii="宋体" w:hAnsi="宋体" w:eastAsia="宋体"/>
                <w:color w:val="auto"/>
                <w:sz w:val="24"/>
                <w:highlight w:val="none"/>
                <w:lang w:eastAsia="zh-CN"/>
              </w:rPr>
              <w:t xml:space="preserve"> ▲</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6</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GPU分析服务器</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1.规格：2U2P机架式服务器；配置原厂导轨</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2.CPU：配置≥1颗英特尔银牌4208，单处理器主频≥2.1GHz、核数≥8核</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3.内存：配置≥32GB内存</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4.RAID卡：配置1张SAS/SATA RAID卡，支持RAID0/1/10</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5.硬盘：配置≥1块960GB SSD硬盘；</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6.网卡：配置≥2*10GE万兆光口（含光模块）+2*千兆电口</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7.GPU卡：配置≥1*NVIDIA T4 16G</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8.电源：配置冗余交流电源</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9.管理端口：千兆远程管理端口，提供虚拟控制台，可远程挂载安装系统</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10.</w:t>
            </w:r>
            <w:r>
              <w:rPr>
                <w:rFonts w:hint="eastAsia" w:ascii="宋体" w:hAnsi="宋体" w:eastAsia="宋体"/>
                <w:color w:val="auto"/>
                <w:sz w:val="24"/>
                <w:highlight w:val="none"/>
                <w:lang w:eastAsia="zh-CN"/>
              </w:rPr>
              <w:t xml:space="preserve"> ▲</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7</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远程会诊视频会议管理系统扩容</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1.本次扩容不少于</w:t>
            </w:r>
            <w:r>
              <w:rPr>
                <w:rFonts w:ascii="宋体" w:hAnsi="宋体" w:eastAsia="宋体"/>
                <w:bCs/>
                <w:color w:val="auto"/>
                <w:kern w:val="0"/>
                <w:sz w:val="24"/>
                <w:highlight w:val="none"/>
                <w:lang w:eastAsia="zh-CN"/>
              </w:rPr>
              <w:t>300</w:t>
            </w:r>
            <w:r>
              <w:rPr>
                <w:rFonts w:hint="eastAsia" w:ascii="宋体" w:hAnsi="宋体" w:eastAsia="宋体"/>
                <w:bCs/>
                <w:color w:val="auto"/>
                <w:kern w:val="0"/>
                <w:sz w:val="24"/>
                <w:highlight w:val="none"/>
                <w:lang w:eastAsia="zh-CN"/>
              </w:rPr>
              <w:t>路软终端设备注册与管理，配置不少于150M的公私网穿越流量。</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2.支持设置主席、一键静闭音、广播/选看会场、设置多画面、多画面轮询、摄像机PTZ控制、锁定会议演示、指定会场辅流发送、声控切换、点名等功能。</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3:在院方现有远程会诊视频会议管理平台的基础上进行扩容</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8</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远程会诊穿越网关服务器</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left="0"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1.规格：2U2P机架式服务器；配置原厂导轨</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2.CPU：配置≥2颗英特尔银牌4214，单处理器主频≥2.1GHz、核数≥12核3.内存：配置≥128GB内存</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4.硬盘：配置≥2块480G SSD 2.5英寸热插拔硬盘；支持RAID：RAID0,1,10；</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5.网卡：配置≥4个千兆网口+2个万兆光口（含2个光模块）。</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6.电源：配置冗余交流电源</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7.管理端口：千兆远程管理端口，提供虚拟控制台，可远程挂载安装系统</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8. ▲提供3年硬件原厂维保，需提供原厂售后服务承诺函并加盖公章。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9</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MCU远程会诊多点控制单元</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left="0"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1.要求支持网口备份、电源备份、风扇备份，支持级联会议</w:t>
            </w:r>
          </w:p>
          <w:p>
            <w:pPr>
              <w:pStyle w:val="201"/>
              <w:widowControl/>
              <w:autoSpaceDE/>
              <w:autoSpaceDN/>
              <w:spacing w:before="6" w:line="360" w:lineRule="auto"/>
              <w:ind w:left="0"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2.支持ITU-T H.323、IETF SIP协议，满足H.323、SIP会场同时接入，具备良好的兼容性</w:t>
            </w:r>
          </w:p>
          <w:p>
            <w:pPr>
              <w:pStyle w:val="201"/>
              <w:widowControl/>
              <w:autoSpaceDE/>
              <w:autoSpaceDN/>
              <w:spacing w:before="6" w:line="360" w:lineRule="auto"/>
              <w:ind w:left="0"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3.呼叫带宽支持64Kbps-8Mbps，支持1080p、720p、4CIF、CIF分辨率的活动视频</w:t>
            </w:r>
          </w:p>
          <w:p>
            <w:pPr>
              <w:pStyle w:val="201"/>
              <w:widowControl/>
              <w:autoSpaceDE/>
              <w:autoSpaceDN/>
              <w:spacing w:before="6" w:line="360" w:lineRule="auto"/>
              <w:ind w:left="0"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4.本次配置不少于12</w:t>
            </w:r>
            <w:r>
              <w:rPr>
                <w:rFonts w:ascii="宋体" w:hAnsi="宋体" w:eastAsia="宋体"/>
                <w:bCs/>
                <w:color w:val="auto"/>
                <w:kern w:val="0"/>
                <w:sz w:val="24"/>
                <w:highlight w:val="none"/>
                <w:lang w:eastAsia="zh-CN"/>
              </w:rPr>
              <w:t>0</w:t>
            </w:r>
            <w:r>
              <w:rPr>
                <w:rFonts w:hint="eastAsia" w:ascii="宋体" w:hAnsi="宋体" w:eastAsia="宋体"/>
                <w:bCs/>
                <w:color w:val="auto"/>
                <w:kern w:val="0"/>
                <w:sz w:val="24"/>
                <w:highlight w:val="none"/>
                <w:lang w:eastAsia="zh-CN"/>
              </w:rPr>
              <w:t>路1080P30全编全解端口，可以同时开启多组会议。</w:t>
            </w:r>
          </w:p>
          <w:p>
            <w:pPr>
              <w:pStyle w:val="201"/>
              <w:widowControl/>
              <w:autoSpaceDE/>
              <w:autoSpaceDN/>
              <w:spacing w:before="6" w:line="360" w:lineRule="auto"/>
              <w:ind w:left="0"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5.可以被现有院方远程会诊管理平台注册管理，可以与现有MCU组建资源池。</w:t>
            </w:r>
          </w:p>
          <w:p>
            <w:pPr>
              <w:pStyle w:val="201"/>
              <w:widowControl/>
              <w:autoSpaceDE/>
              <w:autoSpaceDN/>
              <w:spacing w:before="6" w:line="360" w:lineRule="auto"/>
              <w:ind w:left="0"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6.▲提供3年硬件原厂维保，需提供原厂售后服务承诺函并加盖公章。</w:t>
            </w:r>
          </w:p>
          <w:p>
            <w:pPr>
              <w:pStyle w:val="201"/>
              <w:widowControl/>
              <w:autoSpaceDE/>
              <w:autoSpaceDN/>
              <w:spacing w:before="6" w:line="360" w:lineRule="auto"/>
              <w:ind w:left="0" w:right="105" w:rightChars="50"/>
              <w:rPr>
                <w:rFonts w:ascii="宋体" w:hAnsi="宋体" w:eastAsia="宋体"/>
                <w:bCs/>
                <w:color w:val="auto"/>
                <w:kern w:val="0"/>
                <w:sz w:val="24"/>
                <w:highlight w:val="none"/>
                <w:lang w:eastAsia="zh-CN"/>
              </w:rPr>
            </w:pP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10</w:t>
            </w:r>
          </w:p>
        </w:tc>
        <w:tc>
          <w:tcPr>
            <w:tcW w:w="1432" w:type="dxa"/>
            <w:gridSpan w:val="2"/>
            <w:tcBorders>
              <w:top w:val="single" w:color="auto" w:sz="4" w:space="0"/>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高清视频远程会诊一体机</w:t>
            </w:r>
          </w:p>
        </w:tc>
        <w:tc>
          <w:tcPr>
            <w:tcW w:w="6388" w:type="dxa"/>
            <w:gridSpan w:val="2"/>
            <w:tcBorders>
              <w:top w:val="single" w:color="auto" w:sz="4" w:space="0"/>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1.双屏电脑高清视频一体机</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2.Intel X86架构，CPU≥I5 主频≥2.6G</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3.内存：配置≥16GB内存</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4.硬盘：配置≥256G NVME SSD</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5.网卡：配置≥1个GE端口，≥1个11AC无线网卡</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 xml:space="preserve">6.一体化双LED显示器，广视角护眼，可视角度≥178/178°，≥22英寸 </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7.远程医疗摄像头，高清，4K图像传感器，5倍数字变焦，高帧率，自动变焦</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8.无线键盘鼠标</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9.Windows 10 OS</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10.</w:t>
            </w:r>
            <w:r>
              <w:rPr>
                <w:rFonts w:hint="eastAsia" w:ascii="宋体" w:hAnsi="宋体" w:eastAsia="宋体"/>
                <w:color w:val="auto"/>
                <w:sz w:val="24"/>
                <w:highlight w:val="none"/>
                <w:lang w:eastAsia="zh-CN"/>
              </w:rPr>
              <w:t xml:space="preserve"> ▲</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single" w:color="auto" w:sz="4" w:space="0"/>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ascii="宋体" w:hAnsi="宋体" w:eastAsia="宋体"/>
                <w:bCs/>
                <w:color w:val="auto"/>
                <w:kern w:val="0"/>
                <w:sz w:val="24"/>
                <w:highlight w:val="none"/>
              </w:rPr>
              <w:t>8</w:t>
            </w:r>
            <w:r>
              <w:rPr>
                <w:rFonts w:hint="eastAsia" w:ascii="宋体" w:hAnsi="宋体" w:eastAsia="宋体"/>
                <w:bCs/>
                <w:color w:val="auto"/>
                <w:kern w:val="0"/>
                <w:sz w:val="24"/>
                <w:highlight w:val="none"/>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Merge w:val="restart"/>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11</w:t>
            </w:r>
          </w:p>
        </w:tc>
        <w:tc>
          <w:tcPr>
            <w:tcW w:w="774" w:type="dxa"/>
            <w:vMerge w:val="restart"/>
            <w:tcBorders>
              <w:top w:val="nil"/>
              <w:left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会诊中心</w:t>
            </w:r>
          </w:p>
        </w:tc>
        <w:tc>
          <w:tcPr>
            <w:tcW w:w="658" w:type="dxa"/>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LED大屏</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left="0" w:right="105" w:rightChars="50" w:firstLine="120" w:firstLineChars="50"/>
              <w:rPr>
                <w:rFonts w:ascii="宋体" w:hAnsi="宋体" w:eastAsia="宋体"/>
                <w:bCs/>
                <w:color w:val="auto"/>
                <w:kern w:val="0"/>
                <w:sz w:val="24"/>
                <w:highlight w:val="none"/>
                <w:lang w:eastAsia="zh-CN"/>
              </w:rPr>
            </w:pPr>
            <w:r>
              <w:rPr>
                <w:rFonts w:hint="eastAsia" w:ascii="宋体" w:hAnsi="宋体" w:eastAsia="宋体" w:cs="微软雅黑"/>
                <w:color w:val="auto"/>
                <w:kern w:val="0"/>
                <w:sz w:val="24"/>
                <w:highlight w:val="none"/>
                <w:lang w:eastAsia="zh-CN" w:bidi="ar"/>
              </w:rPr>
              <w:t>L</w:t>
            </w:r>
            <w:r>
              <w:rPr>
                <w:rFonts w:ascii="宋体" w:hAnsi="宋体" w:eastAsia="宋体" w:cs="微软雅黑"/>
                <w:color w:val="auto"/>
                <w:kern w:val="0"/>
                <w:sz w:val="24"/>
                <w:highlight w:val="none"/>
                <w:lang w:eastAsia="zh-CN" w:bidi="ar"/>
              </w:rPr>
              <w:t>ED</w:t>
            </w:r>
            <w:r>
              <w:rPr>
                <w:rFonts w:hint="eastAsia" w:ascii="宋体" w:hAnsi="宋体" w:eastAsia="宋体" w:cs="微软雅黑"/>
                <w:color w:val="auto"/>
                <w:kern w:val="0"/>
                <w:sz w:val="24"/>
                <w:highlight w:val="none"/>
                <w:lang w:eastAsia="zh-CN" w:bidi="ar"/>
              </w:rPr>
              <w:t>大屏显示面积</w:t>
            </w:r>
            <w:r>
              <w:rPr>
                <w:rFonts w:hint="eastAsia" w:ascii="宋体" w:hAnsi="宋体" w:eastAsia="宋体"/>
                <w:bCs/>
                <w:color w:val="auto"/>
                <w:kern w:val="0"/>
                <w:sz w:val="24"/>
                <w:highlight w:val="none"/>
                <w:lang w:eastAsia="zh-CN"/>
              </w:rPr>
              <w:t>≥</w:t>
            </w:r>
            <w:r>
              <w:rPr>
                <w:rFonts w:ascii="宋体" w:hAnsi="宋体" w:eastAsia="宋体" w:cs="微软雅黑"/>
                <w:color w:val="auto"/>
                <w:kern w:val="0"/>
                <w:sz w:val="24"/>
                <w:highlight w:val="none"/>
                <w:lang w:eastAsia="zh-CN" w:bidi="ar"/>
              </w:rPr>
              <w:t>15</w:t>
            </w:r>
            <w:r>
              <w:rPr>
                <w:rFonts w:hint="eastAsia" w:ascii="宋体" w:hAnsi="宋体" w:eastAsia="宋体" w:cs="微软雅黑"/>
                <w:color w:val="auto"/>
                <w:kern w:val="0"/>
                <w:sz w:val="24"/>
                <w:highlight w:val="none"/>
                <w:lang w:eastAsia="zh-CN" w:bidi="ar"/>
              </w:rPr>
              <w:t>平方米（长5米、高3米）</w:t>
            </w:r>
          </w:p>
          <w:p>
            <w:pPr>
              <w:pStyle w:val="201"/>
              <w:widowControl/>
              <w:autoSpaceDE/>
              <w:autoSpaceDN/>
              <w:spacing w:before="6" w:line="360" w:lineRule="auto"/>
              <w:ind w:left="0" w:right="105" w:rightChars="50" w:firstLine="120" w:firstLine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一、显示屏</w:t>
            </w:r>
          </w:p>
          <w:p>
            <w:pPr>
              <w:pStyle w:val="201"/>
              <w:widowControl/>
              <w:autoSpaceDE/>
              <w:autoSpaceDN/>
              <w:spacing w:before="6" w:line="360" w:lineRule="auto"/>
              <w:ind w:left="105" w:leftChars="50" w:right="105" w:rightChars="50"/>
              <w:rPr>
                <w:rFonts w:ascii="宋体" w:hAnsi="宋体" w:eastAsia="宋体" w:cs="微软雅黑"/>
                <w:color w:val="auto"/>
                <w:kern w:val="0"/>
                <w:sz w:val="24"/>
                <w:highlight w:val="none"/>
                <w:lang w:eastAsia="zh-CN" w:bidi="ar"/>
              </w:rPr>
            </w:pPr>
            <w:r>
              <w:rPr>
                <w:rFonts w:hint="eastAsia" w:ascii="宋体" w:hAnsi="宋体" w:eastAsia="宋体" w:cs="微软雅黑"/>
                <w:color w:val="auto"/>
                <w:kern w:val="0"/>
                <w:sz w:val="24"/>
                <w:highlight w:val="none"/>
                <w:lang w:eastAsia="zh-CN" w:bidi="ar"/>
              </w:rPr>
              <w:t>1、点间距：≤1.875mm</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2、显示屏亮度：≥500cd/m2；</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3、对比度：≥8000:1；</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4、模组材质支持轻薄立体式铝材质套件，散热及防护性能强；</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5、色温：3000-10000K可调，色温为6500K时，100%，75%，50%，25%四档电平白场调节色温误差≤100K；</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6、平均寿命≥100000h,平均故障修复时间≤5min；</w:t>
            </w:r>
          </w:p>
          <w:p>
            <w:pPr>
              <w:pStyle w:val="201"/>
              <w:widowControl/>
              <w:autoSpaceDE/>
              <w:autoSpaceDN/>
              <w:spacing w:before="6" w:line="360" w:lineRule="auto"/>
              <w:ind w:left="0" w:right="105" w:rightChars="50" w:firstLine="120" w:firstLine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7、产品满足高光效长寿命半导体照明关键技术与产业化技术。</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 xml:space="preserve"> 二、拼接处理器</w:t>
            </w:r>
            <w:r>
              <w:rPr>
                <w:rFonts w:hint="eastAsia" w:ascii="宋体" w:hAnsi="宋体" w:eastAsia="宋体"/>
                <w:bCs/>
                <w:color w:val="auto"/>
                <w:kern w:val="0"/>
                <w:sz w:val="24"/>
                <w:highlight w:val="none"/>
                <w:lang w:eastAsia="zh-CN"/>
              </w:rPr>
              <w:br w:type="textWrapping"/>
            </w:r>
            <w:r>
              <w:rPr>
                <w:rFonts w:ascii="宋体" w:hAnsi="宋体" w:eastAsia="宋体"/>
                <w:bCs/>
                <w:color w:val="auto"/>
                <w:kern w:val="0"/>
                <w:sz w:val="24"/>
                <w:highlight w:val="none"/>
                <w:lang w:eastAsia="zh-CN"/>
              </w:rPr>
              <w:t xml:space="preserve"> </w:t>
            </w:r>
            <w:r>
              <w:rPr>
                <w:rFonts w:hint="eastAsia" w:ascii="宋体" w:hAnsi="宋体" w:eastAsia="宋体"/>
                <w:bCs/>
                <w:color w:val="auto"/>
                <w:kern w:val="0"/>
                <w:sz w:val="24"/>
                <w:highlight w:val="none"/>
                <w:lang w:eastAsia="zh-CN"/>
              </w:rPr>
              <w:t>1、输入: ≥8路HDMI；</w:t>
            </w:r>
            <w:r>
              <w:rPr>
                <w:rFonts w:hint="eastAsia" w:ascii="宋体" w:hAnsi="宋体" w:eastAsia="宋体"/>
                <w:bCs/>
                <w:color w:val="auto"/>
                <w:kern w:val="0"/>
                <w:sz w:val="24"/>
                <w:highlight w:val="none"/>
                <w:lang w:eastAsia="zh-CN"/>
              </w:rPr>
              <w:br w:type="textWrapping"/>
            </w:r>
            <w:r>
              <w:rPr>
                <w:rFonts w:ascii="宋体" w:hAnsi="宋体" w:eastAsia="宋体"/>
                <w:bCs/>
                <w:color w:val="auto"/>
                <w:kern w:val="0"/>
                <w:sz w:val="24"/>
                <w:highlight w:val="none"/>
                <w:lang w:eastAsia="zh-CN"/>
              </w:rPr>
              <w:t xml:space="preserve"> </w:t>
            </w:r>
            <w:r>
              <w:rPr>
                <w:rFonts w:hint="eastAsia" w:ascii="宋体" w:hAnsi="宋体" w:eastAsia="宋体"/>
                <w:bCs/>
                <w:color w:val="auto"/>
                <w:kern w:val="0"/>
                <w:sz w:val="24"/>
                <w:highlight w:val="none"/>
                <w:lang w:eastAsia="zh-CN"/>
              </w:rPr>
              <w:t>2、输出: ≥16路网口；</w:t>
            </w:r>
            <w:r>
              <w:rPr>
                <w:rFonts w:hint="eastAsia" w:ascii="宋体" w:hAnsi="宋体" w:eastAsia="宋体"/>
                <w:bCs/>
                <w:color w:val="auto"/>
                <w:kern w:val="0"/>
                <w:sz w:val="24"/>
                <w:highlight w:val="none"/>
                <w:lang w:eastAsia="zh-CN"/>
              </w:rPr>
              <w:br w:type="textWrapping"/>
            </w:r>
            <w:r>
              <w:rPr>
                <w:rFonts w:ascii="宋体" w:hAnsi="宋体" w:eastAsia="宋体"/>
                <w:bCs/>
                <w:color w:val="auto"/>
                <w:kern w:val="0"/>
                <w:sz w:val="24"/>
                <w:highlight w:val="none"/>
                <w:lang w:eastAsia="zh-CN"/>
              </w:rPr>
              <w:t xml:space="preserve"> </w:t>
            </w:r>
            <w:r>
              <w:rPr>
                <w:rFonts w:hint="eastAsia" w:ascii="宋体" w:hAnsi="宋体" w:eastAsia="宋体"/>
                <w:bCs/>
                <w:color w:val="auto"/>
                <w:kern w:val="0"/>
                <w:sz w:val="24"/>
                <w:highlight w:val="none"/>
                <w:lang w:eastAsia="zh-CN"/>
              </w:rPr>
              <w:t>3、环保低功耗：最大功耗小于300W，平均无故障时间＞100000小时，最快修复时间（MTBF）＜5分钟；</w:t>
            </w:r>
            <w:r>
              <w:rPr>
                <w:rFonts w:hint="eastAsia" w:ascii="宋体" w:hAnsi="宋体" w:eastAsia="宋体"/>
                <w:bCs/>
                <w:color w:val="auto"/>
                <w:kern w:val="0"/>
                <w:sz w:val="24"/>
                <w:highlight w:val="none"/>
                <w:lang w:eastAsia="zh-CN"/>
              </w:rPr>
              <w:br w:type="textWrapping"/>
            </w:r>
            <w:r>
              <w:rPr>
                <w:rFonts w:ascii="宋体" w:hAnsi="宋体" w:eastAsia="宋体"/>
                <w:bCs/>
                <w:color w:val="auto"/>
                <w:kern w:val="0"/>
                <w:sz w:val="24"/>
                <w:highlight w:val="none"/>
                <w:lang w:eastAsia="zh-CN"/>
              </w:rPr>
              <w:t xml:space="preserve"> </w:t>
            </w:r>
            <w:r>
              <w:rPr>
                <w:rFonts w:hint="eastAsia" w:ascii="宋体" w:hAnsi="宋体" w:eastAsia="宋体"/>
                <w:bCs/>
                <w:color w:val="auto"/>
                <w:kern w:val="0"/>
                <w:sz w:val="24"/>
                <w:highlight w:val="none"/>
                <w:lang w:eastAsia="zh-CN"/>
              </w:rPr>
              <w:t>4、输入最高分辨率可达4K@30Hz,输出分辨率可自定义；</w:t>
            </w:r>
          </w:p>
          <w:p>
            <w:pPr>
              <w:pStyle w:val="201"/>
              <w:widowControl/>
              <w:spacing w:before="6" w:line="360" w:lineRule="auto"/>
              <w:ind w:left="0" w:right="105" w:rightChars="50" w:firstLine="120" w:firstLine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5、区域色彩校正，可分区域调节图像色彩，区域的位置与尺寸可自定义，可同时对32块区域分别进行调节；</w:t>
            </w:r>
            <w:r>
              <w:rPr>
                <w:rFonts w:hint="eastAsia" w:ascii="宋体" w:hAnsi="宋体" w:eastAsia="宋体"/>
                <w:bCs/>
                <w:color w:val="auto"/>
                <w:kern w:val="0"/>
                <w:sz w:val="24"/>
                <w:highlight w:val="none"/>
                <w:lang w:eastAsia="zh-CN"/>
              </w:rPr>
              <w:br w:type="textWrapping"/>
            </w:r>
            <w:r>
              <w:rPr>
                <w:rFonts w:ascii="宋体" w:hAnsi="宋体" w:eastAsia="宋体"/>
                <w:bCs/>
                <w:color w:val="auto"/>
                <w:kern w:val="0"/>
                <w:sz w:val="24"/>
                <w:highlight w:val="none"/>
                <w:lang w:eastAsia="zh-CN"/>
              </w:rPr>
              <w:t xml:space="preserve"> </w:t>
            </w:r>
            <w:r>
              <w:rPr>
                <w:rFonts w:hint="eastAsia" w:ascii="宋体" w:hAnsi="宋体" w:eastAsia="宋体"/>
                <w:bCs/>
                <w:color w:val="auto"/>
                <w:kern w:val="0"/>
                <w:sz w:val="24"/>
                <w:highlight w:val="none"/>
                <w:lang w:eastAsia="zh-CN"/>
              </w:rPr>
              <w:t>6、支持多组屏控制管理。</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 xml:space="preserve"> 三、接收卡</w:t>
            </w:r>
          </w:p>
          <w:p>
            <w:pPr>
              <w:pStyle w:val="201"/>
              <w:widowControl/>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1、带载≥512x512；</w:t>
            </w:r>
          </w:p>
          <w:p>
            <w:pPr>
              <w:pStyle w:val="201"/>
              <w:widowControl/>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2、输出:≥8xHUB75；</w:t>
            </w:r>
          </w:p>
          <w:p>
            <w:pPr>
              <w:pStyle w:val="201"/>
              <w:widowControl/>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3、支持固件程序版本回读,Mapping 功能</w:t>
            </w:r>
          </w:p>
          <w:p>
            <w:pPr>
              <w:pStyle w:val="201"/>
              <w:widowControl/>
              <w:autoSpaceDE/>
              <w:autoSpaceDN/>
              <w:spacing w:before="6" w:line="360" w:lineRule="auto"/>
              <w:ind w:left="0" w:right="105" w:rightChars="50" w:firstLine="120" w:firstLine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四、其它：包含综合布线、主电接入、框架钢结构及包边等。</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ascii="宋体" w:hAnsi="宋体" w:eastAsia="宋体"/>
                <w:bCs/>
                <w:color w:val="auto"/>
                <w:kern w:val="0"/>
                <w:sz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Merge w:val="continue"/>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p>
        </w:tc>
        <w:tc>
          <w:tcPr>
            <w:tcW w:w="774" w:type="dxa"/>
            <w:vMerge w:val="continue"/>
            <w:tcBorders>
              <w:right w:val="single" w:color="auto" w:sz="4" w:space="0"/>
            </w:tcBorders>
            <w:vAlign w:val="center"/>
          </w:tcPr>
          <w:p>
            <w:pPr>
              <w:pStyle w:val="201"/>
              <w:widowControl/>
              <w:autoSpaceDE/>
              <w:autoSpaceDN/>
              <w:spacing w:before="6"/>
              <w:ind w:right="105" w:rightChars="50"/>
              <w:rPr>
                <w:rFonts w:ascii="宋体" w:hAnsi="宋体" w:eastAsia="宋体"/>
                <w:bCs/>
                <w:color w:val="auto"/>
                <w:kern w:val="0"/>
                <w:sz w:val="24"/>
                <w:highlight w:val="none"/>
              </w:rPr>
            </w:pPr>
          </w:p>
        </w:tc>
        <w:tc>
          <w:tcPr>
            <w:tcW w:w="658" w:type="dxa"/>
            <w:tcBorders>
              <w:top w:val="single" w:color="auto" w:sz="4" w:space="0"/>
              <w:left w:val="single" w:color="auto" w:sz="4" w:space="0"/>
              <w:bottom w:val="single" w:color="auto" w:sz="4" w:space="0"/>
              <w:right w:val="single" w:color="auto" w:sz="4" w:space="0"/>
            </w:tcBorders>
            <w:vAlign w:val="center"/>
          </w:tcPr>
          <w:p>
            <w:pPr>
              <w:pStyle w:val="201"/>
              <w:widowControl/>
              <w:autoSpaceDE/>
              <w:autoSpaceDN/>
              <w:spacing w:before="6"/>
              <w:ind w:left="0" w:right="105" w:rightChars="50"/>
              <w:jc w:val="center"/>
              <w:rPr>
                <w:rFonts w:ascii="宋体" w:hAnsi="宋体" w:eastAsia="宋体"/>
                <w:bCs/>
                <w:color w:val="auto"/>
                <w:kern w:val="0"/>
                <w:sz w:val="24"/>
                <w:highlight w:val="none"/>
              </w:rPr>
            </w:pPr>
            <w:r>
              <w:rPr>
                <w:rFonts w:hint="eastAsia" w:ascii="宋体" w:hAnsi="宋体" w:eastAsia="宋体"/>
                <w:bCs/>
                <w:color w:val="auto"/>
                <w:kern w:val="0"/>
                <w:sz w:val="24"/>
                <w:highlight w:val="none"/>
                <w:lang w:eastAsia="zh-CN"/>
              </w:rPr>
              <w:t>9</w:t>
            </w:r>
            <w:r>
              <w:rPr>
                <w:rFonts w:ascii="宋体" w:hAnsi="宋体" w:eastAsia="宋体"/>
                <w:bCs/>
                <w:color w:val="auto"/>
                <w:kern w:val="0"/>
                <w:sz w:val="24"/>
                <w:highlight w:val="none"/>
                <w:lang w:eastAsia="zh-CN"/>
              </w:rPr>
              <w:t>8</w:t>
            </w:r>
            <w:r>
              <w:rPr>
                <w:rFonts w:hint="eastAsia" w:ascii="宋体" w:hAnsi="宋体" w:eastAsia="宋体"/>
                <w:bCs/>
                <w:color w:val="auto"/>
                <w:kern w:val="0"/>
                <w:sz w:val="24"/>
                <w:highlight w:val="none"/>
                <w:lang w:eastAsia="zh-CN"/>
              </w:rPr>
              <w:t>寸医用影像会诊大屏</w:t>
            </w:r>
          </w:p>
        </w:tc>
        <w:tc>
          <w:tcPr>
            <w:tcW w:w="6388" w:type="dxa"/>
            <w:gridSpan w:val="2"/>
            <w:tcBorders>
              <w:top w:val="single" w:color="auto" w:sz="4" w:space="0"/>
              <w:left w:val="single" w:color="auto" w:sz="4" w:space="0"/>
              <w:bottom w:val="single" w:color="auto" w:sz="4" w:space="0"/>
              <w:right w:val="single" w:color="auto" w:sz="4" w:space="0"/>
            </w:tcBorders>
          </w:tcPr>
          <w:p>
            <w:pPr>
              <w:pStyle w:val="201"/>
              <w:widowControl/>
              <w:autoSpaceDE/>
              <w:autoSpaceDN/>
              <w:spacing w:before="6" w:line="360" w:lineRule="auto"/>
              <w:ind w:right="105" w:rightChars="50"/>
              <w:jc w:val="left"/>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一、显示屏</w:t>
            </w:r>
          </w:p>
          <w:p>
            <w:pPr>
              <w:pStyle w:val="201"/>
              <w:widowControl/>
              <w:autoSpaceDE/>
              <w:autoSpaceDN/>
              <w:spacing w:before="6" w:line="360" w:lineRule="auto"/>
              <w:ind w:right="105" w:rightChars="50"/>
              <w:jc w:val="left"/>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1、显示尺寸（英寸）：≥9</w:t>
            </w:r>
            <w:r>
              <w:rPr>
                <w:rFonts w:ascii="宋体" w:hAnsi="宋体" w:eastAsia="宋体"/>
                <w:bCs/>
                <w:color w:val="auto"/>
                <w:kern w:val="0"/>
                <w:sz w:val="24"/>
                <w:highlight w:val="none"/>
                <w:lang w:eastAsia="zh-CN"/>
              </w:rPr>
              <w:t xml:space="preserve">8 </w:t>
            </w:r>
          </w:p>
          <w:p>
            <w:pPr>
              <w:pStyle w:val="201"/>
              <w:widowControl/>
              <w:autoSpaceDE/>
              <w:autoSpaceDN/>
              <w:spacing w:before="6" w:line="360" w:lineRule="auto"/>
              <w:ind w:right="105" w:rightChars="50"/>
              <w:jc w:val="left"/>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2、支持颜色：≥1</w:t>
            </w:r>
            <w:r>
              <w:rPr>
                <w:rFonts w:ascii="宋体" w:hAnsi="宋体" w:eastAsia="宋体"/>
                <w:bCs/>
                <w:color w:val="auto"/>
                <w:kern w:val="0"/>
                <w:sz w:val="24"/>
                <w:highlight w:val="none"/>
                <w:lang w:eastAsia="zh-CN"/>
              </w:rPr>
              <w:t>0.7</w:t>
            </w:r>
            <w:r>
              <w:rPr>
                <w:rFonts w:hint="eastAsia" w:ascii="宋体" w:hAnsi="宋体" w:eastAsia="宋体"/>
                <w:bCs/>
                <w:color w:val="auto"/>
                <w:kern w:val="0"/>
                <w:sz w:val="24"/>
                <w:highlight w:val="none"/>
                <w:lang w:eastAsia="zh-CN"/>
              </w:rPr>
              <w:t>亿；</w:t>
            </w:r>
          </w:p>
          <w:p>
            <w:pPr>
              <w:pStyle w:val="201"/>
              <w:widowControl/>
              <w:autoSpaceDE/>
              <w:autoSpaceDN/>
              <w:spacing w:before="6" w:line="360" w:lineRule="auto"/>
              <w:ind w:right="105" w:rightChars="50"/>
              <w:jc w:val="left"/>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3、色彩类型：彩色；</w:t>
            </w:r>
          </w:p>
          <w:p>
            <w:pPr>
              <w:pStyle w:val="201"/>
              <w:widowControl/>
              <w:autoSpaceDE/>
              <w:autoSpaceDN/>
              <w:spacing w:before="6" w:line="360" w:lineRule="auto"/>
              <w:ind w:right="105" w:rightChars="50"/>
              <w:jc w:val="left"/>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4、分辨率：≥3</w:t>
            </w:r>
            <w:r>
              <w:rPr>
                <w:rFonts w:ascii="宋体" w:hAnsi="宋体" w:eastAsia="宋体"/>
                <w:bCs/>
                <w:color w:val="auto"/>
                <w:kern w:val="0"/>
                <w:sz w:val="24"/>
                <w:highlight w:val="none"/>
                <w:lang w:eastAsia="zh-CN"/>
              </w:rPr>
              <w:t>840*2160</w:t>
            </w:r>
            <w:r>
              <w:rPr>
                <w:rFonts w:hint="eastAsia" w:ascii="宋体" w:hAnsi="宋体" w:eastAsia="宋体"/>
                <w:bCs/>
                <w:color w:val="auto"/>
                <w:kern w:val="0"/>
                <w:sz w:val="24"/>
                <w:highlight w:val="none"/>
                <w:lang w:eastAsia="zh-CN"/>
              </w:rPr>
              <w:t>；</w:t>
            </w:r>
          </w:p>
          <w:p>
            <w:pPr>
              <w:pStyle w:val="201"/>
              <w:widowControl/>
              <w:autoSpaceDE/>
              <w:autoSpaceDN/>
              <w:spacing w:before="6" w:line="360" w:lineRule="auto"/>
              <w:ind w:right="105" w:rightChars="50"/>
              <w:jc w:val="left"/>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5、点距：≥0.</w:t>
            </w:r>
            <w:r>
              <w:rPr>
                <w:rFonts w:ascii="宋体" w:hAnsi="宋体" w:eastAsia="宋体"/>
                <w:bCs/>
                <w:color w:val="auto"/>
                <w:kern w:val="0"/>
                <w:sz w:val="24"/>
                <w:highlight w:val="none"/>
                <w:lang w:eastAsia="zh-CN"/>
              </w:rPr>
              <w:t>5622</w:t>
            </w:r>
            <w:r>
              <w:rPr>
                <w:rFonts w:hint="eastAsia" w:ascii="宋体" w:hAnsi="宋体" w:eastAsia="宋体"/>
                <w:bCs/>
                <w:color w:val="auto"/>
                <w:kern w:val="0"/>
                <w:sz w:val="24"/>
                <w:highlight w:val="none"/>
                <w:lang w:eastAsia="zh-CN"/>
              </w:rPr>
              <w:t>×0.</w:t>
            </w:r>
            <w:r>
              <w:rPr>
                <w:rFonts w:ascii="宋体" w:hAnsi="宋体" w:eastAsia="宋体"/>
                <w:bCs/>
                <w:color w:val="auto"/>
                <w:kern w:val="0"/>
                <w:sz w:val="24"/>
                <w:highlight w:val="none"/>
                <w:lang w:eastAsia="zh-CN"/>
              </w:rPr>
              <w:t>5622</w:t>
            </w:r>
            <w:r>
              <w:rPr>
                <w:rFonts w:hint="eastAsia" w:ascii="宋体" w:hAnsi="宋体" w:eastAsia="宋体"/>
                <w:bCs/>
                <w:color w:val="auto"/>
                <w:kern w:val="0"/>
                <w:sz w:val="24"/>
                <w:highlight w:val="none"/>
                <w:lang w:eastAsia="zh-CN"/>
              </w:rPr>
              <w:t>mm；</w:t>
            </w:r>
          </w:p>
          <w:p>
            <w:pPr>
              <w:pStyle w:val="201"/>
              <w:widowControl/>
              <w:autoSpaceDE/>
              <w:autoSpaceDN/>
              <w:spacing w:before="6" w:line="360" w:lineRule="auto"/>
              <w:ind w:right="105" w:rightChars="50"/>
              <w:jc w:val="left"/>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6、亮度：≥5</w:t>
            </w:r>
            <w:r>
              <w:rPr>
                <w:rFonts w:ascii="宋体" w:hAnsi="宋体" w:eastAsia="宋体"/>
                <w:bCs/>
                <w:color w:val="auto"/>
                <w:kern w:val="0"/>
                <w:sz w:val="24"/>
                <w:highlight w:val="none"/>
                <w:lang w:eastAsia="zh-CN"/>
              </w:rPr>
              <w:t>00cd;</w:t>
            </w:r>
          </w:p>
          <w:p>
            <w:pPr>
              <w:pStyle w:val="201"/>
              <w:widowControl/>
              <w:autoSpaceDE/>
              <w:autoSpaceDN/>
              <w:spacing w:before="6" w:line="360" w:lineRule="auto"/>
              <w:ind w:right="105" w:rightChars="50"/>
              <w:jc w:val="left"/>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7、对比度：≥</w:t>
            </w:r>
            <w:r>
              <w:rPr>
                <w:rFonts w:ascii="宋体" w:hAnsi="宋体" w:eastAsia="宋体"/>
                <w:bCs/>
                <w:color w:val="auto"/>
                <w:kern w:val="0"/>
                <w:sz w:val="24"/>
                <w:highlight w:val="none"/>
                <w:lang w:eastAsia="zh-CN"/>
              </w:rPr>
              <w:t>1300:1typ</w:t>
            </w:r>
            <w:r>
              <w:rPr>
                <w:rFonts w:hint="eastAsia" w:ascii="宋体" w:hAnsi="宋体" w:eastAsia="宋体"/>
                <w:bCs/>
                <w:color w:val="auto"/>
                <w:kern w:val="0"/>
                <w:sz w:val="24"/>
                <w:highlight w:val="none"/>
                <w:lang w:eastAsia="zh-CN"/>
              </w:rPr>
              <w:t>；</w:t>
            </w:r>
          </w:p>
          <w:p>
            <w:pPr>
              <w:pStyle w:val="201"/>
              <w:widowControl/>
              <w:autoSpaceDE/>
              <w:autoSpaceDN/>
              <w:spacing w:before="6" w:line="360" w:lineRule="auto"/>
              <w:ind w:right="105" w:rightChars="50"/>
              <w:jc w:val="left"/>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8、视角：≥</w:t>
            </w:r>
            <w:r>
              <w:rPr>
                <w:rFonts w:ascii="宋体" w:hAnsi="宋体" w:eastAsia="宋体"/>
                <w:bCs/>
                <w:color w:val="auto"/>
                <w:kern w:val="0"/>
                <w:sz w:val="24"/>
                <w:highlight w:val="none"/>
                <w:lang w:eastAsia="zh-CN"/>
              </w:rPr>
              <w:t>178°</w:t>
            </w:r>
          </w:p>
          <w:p>
            <w:pPr>
              <w:pStyle w:val="201"/>
              <w:widowControl/>
              <w:autoSpaceDE/>
              <w:autoSpaceDN/>
              <w:spacing w:before="6" w:line="360" w:lineRule="auto"/>
              <w:ind w:right="105" w:rightChars="50"/>
              <w:jc w:val="left"/>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9、医疗影像标准：完全符合DICOM标准，</w:t>
            </w:r>
            <w:r>
              <w:rPr>
                <w:rFonts w:ascii="宋体" w:hAnsi="宋体" w:eastAsia="宋体"/>
                <w:bCs/>
                <w:color w:val="auto"/>
                <w:kern w:val="0"/>
                <w:sz w:val="24"/>
                <w:highlight w:val="none"/>
                <w:lang w:eastAsia="zh-CN"/>
              </w:rPr>
              <w:t>DICOM校准</w:t>
            </w:r>
            <w:r>
              <w:rPr>
                <w:rFonts w:hint="eastAsia" w:ascii="宋体" w:hAnsi="宋体" w:eastAsia="宋体"/>
                <w:bCs/>
                <w:color w:val="auto"/>
                <w:kern w:val="0"/>
                <w:sz w:val="24"/>
                <w:highlight w:val="none"/>
                <w:lang w:eastAsia="zh-CN"/>
              </w:rPr>
              <w:t>，</w:t>
            </w:r>
            <w:r>
              <w:rPr>
                <w:rFonts w:ascii="宋体" w:hAnsi="宋体" w:eastAsia="宋体"/>
                <w:bCs/>
                <w:color w:val="auto"/>
                <w:kern w:val="0"/>
                <w:sz w:val="24"/>
                <w:highlight w:val="none"/>
                <w:lang w:eastAsia="zh-CN"/>
              </w:rPr>
              <w:t>保证医疗影像显示准确性</w:t>
            </w:r>
            <w:r>
              <w:rPr>
                <w:rFonts w:hint="eastAsia" w:ascii="宋体" w:hAnsi="宋体" w:eastAsia="宋体"/>
                <w:bCs/>
                <w:color w:val="auto"/>
                <w:kern w:val="0"/>
                <w:sz w:val="24"/>
                <w:highlight w:val="none"/>
                <w:lang w:eastAsia="zh-CN"/>
              </w:rPr>
              <w:t>；</w:t>
            </w:r>
          </w:p>
          <w:p>
            <w:pPr>
              <w:pStyle w:val="201"/>
              <w:widowControl/>
              <w:autoSpaceDE/>
              <w:autoSpaceDN/>
              <w:spacing w:before="6" w:line="360" w:lineRule="auto"/>
              <w:ind w:right="105" w:rightChars="50"/>
              <w:jc w:val="left"/>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w:t>
            </w:r>
            <w:r>
              <w:rPr>
                <w:rFonts w:ascii="宋体" w:hAnsi="宋体" w:eastAsia="宋体"/>
                <w:bCs/>
                <w:color w:val="auto"/>
                <w:kern w:val="0"/>
                <w:sz w:val="24"/>
                <w:highlight w:val="none"/>
                <w:lang w:eastAsia="zh-CN"/>
              </w:rPr>
              <w:t>0</w:t>
            </w:r>
            <w:r>
              <w:rPr>
                <w:rFonts w:hint="eastAsia" w:ascii="宋体" w:hAnsi="宋体" w:eastAsia="宋体"/>
                <w:bCs/>
                <w:color w:val="auto"/>
                <w:kern w:val="0"/>
                <w:sz w:val="24"/>
                <w:highlight w:val="none"/>
                <w:lang w:eastAsia="zh-CN"/>
              </w:rPr>
              <w:t>、输入信号接口支持D</w:t>
            </w:r>
            <w:r>
              <w:rPr>
                <w:rFonts w:ascii="宋体" w:hAnsi="宋体" w:eastAsia="宋体"/>
                <w:bCs/>
                <w:color w:val="auto"/>
                <w:kern w:val="0"/>
                <w:sz w:val="24"/>
                <w:highlight w:val="none"/>
                <w:lang w:eastAsia="zh-CN"/>
              </w:rPr>
              <w:t>isplayP</w:t>
            </w:r>
            <w:r>
              <w:rPr>
                <w:rFonts w:hint="eastAsia" w:ascii="宋体" w:hAnsi="宋体" w:eastAsia="宋体"/>
                <w:bCs/>
                <w:color w:val="auto"/>
                <w:kern w:val="0"/>
                <w:sz w:val="24"/>
                <w:highlight w:val="none"/>
                <w:lang w:eastAsia="zh-CN"/>
              </w:rPr>
              <w:t>ort、</w:t>
            </w:r>
            <w:r>
              <w:rPr>
                <w:rFonts w:ascii="宋体" w:hAnsi="宋体" w:eastAsia="宋体"/>
                <w:bCs/>
                <w:color w:val="auto"/>
                <w:kern w:val="0"/>
                <w:sz w:val="24"/>
                <w:highlight w:val="none"/>
                <w:lang w:eastAsia="zh-CN"/>
              </w:rPr>
              <w:t>DIV</w:t>
            </w:r>
            <w:r>
              <w:rPr>
                <w:rFonts w:hint="eastAsia" w:ascii="宋体" w:hAnsi="宋体" w:eastAsia="宋体"/>
                <w:bCs/>
                <w:color w:val="auto"/>
                <w:kern w:val="0"/>
                <w:sz w:val="24"/>
                <w:highlight w:val="none"/>
                <w:lang w:eastAsia="zh-CN"/>
              </w:rPr>
              <w:t>、</w:t>
            </w:r>
            <w:r>
              <w:rPr>
                <w:rFonts w:ascii="宋体" w:hAnsi="宋体" w:eastAsia="宋体"/>
                <w:bCs/>
                <w:color w:val="auto"/>
                <w:kern w:val="0"/>
                <w:sz w:val="24"/>
                <w:highlight w:val="none"/>
                <w:lang w:eastAsia="zh-CN"/>
              </w:rPr>
              <w:t>VGA</w:t>
            </w:r>
            <w:r>
              <w:rPr>
                <w:rFonts w:hint="eastAsia" w:ascii="宋体" w:hAnsi="宋体" w:eastAsia="宋体"/>
                <w:bCs/>
                <w:color w:val="auto"/>
                <w:kern w:val="0"/>
                <w:sz w:val="24"/>
                <w:highlight w:val="none"/>
                <w:lang w:eastAsia="zh-CN"/>
              </w:rPr>
              <w:t>。</w:t>
            </w:r>
          </w:p>
          <w:p>
            <w:pPr>
              <w:pStyle w:val="201"/>
              <w:widowControl/>
              <w:autoSpaceDE/>
              <w:autoSpaceDN/>
              <w:spacing w:before="6" w:line="360" w:lineRule="auto"/>
              <w:ind w:right="105" w:rightChars="50"/>
              <w:jc w:val="left"/>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二、电脑主机</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 xml:space="preserve">1、处理器：≥ </w:t>
            </w:r>
            <w:r>
              <w:rPr>
                <w:rFonts w:ascii="宋体" w:hAnsi="宋体" w:eastAsia="宋体"/>
                <w:bCs/>
                <w:color w:val="auto"/>
                <w:kern w:val="0"/>
                <w:sz w:val="24"/>
                <w:highlight w:val="none"/>
                <w:lang w:eastAsia="zh-CN"/>
              </w:rPr>
              <w:t>i5</w:t>
            </w:r>
            <w:r>
              <w:rPr>
                <w:rFonts w:hint="eastAsia" w:ascii="宋体" w:hAnsi="宋体" w:eastAsia="宋体"/>
                <w:bCs/>
                <w:color w:val="auto"/>
                <w:kern w:val="0"/>
                <w:sz w:val="24"/>
                <w:highlight w:val="none"/>
                <w:lang w:eastAsia="zh-CN"/>
              </w:rPr>
              <w:t>（主频≥3</w:t>
            </w:r>
            <w:r>
              <w:rPr>
                <w:rFonts w:ascii="宋体" w:hAnsi="宋体" w:eastAsia="宋体"/>
                <w:bCs/>
                <w:color w:val="auto"/>
                <w:kern w:val="0"/>
                <w:sz w:val="24"/>
                <w:highlight w:val="none"/>
                <w:lang w:eastAsia="zh-CN"/>
              </w:rPr>
              <w:t>.0GHz</w:t>
            </w:r>
            <w:r>
              <w:rPr>
                <w:rFonts w:hint="eastAsia" w:ascii="宋体" w:hAnsi="宋体" w:eastAsia="宋体"/>
                <w:bCs/>
                <w:color w:val="auto"/>
                <w:kern w:val="0"/>
                <w:sz w:val="24"/>
                <w:highlight w:val="none"/>
                <w:lang w:eastAsia="zh-CN"/>
              </w:rPr>
              <w:t>）</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2、内存：≥1</w:t>
            </w:r>
            <w:r>
              <w:rPr>
                <w:rFonts w:ascii="宋体" w:hAnsi="宋体" w:eastAsia="宋体"/>
                <w:bCs/>
                <w:color w:val="auto"/>
                <w:kern w:val="0"/>
                <w:sz w:val="24"/>
                <w:highlight w:val="none"/>
                <w:lang w:eastAsia="zh-CN"/>
              </w:rPr>
              <w:t>6</w:t>
            </w:r>
            <w:r>
              <w:rPr>
                <w:rFonts w:hint="eastAsia" w:ascii="宋体" w:hAnsi="宋体" w:eastAsia="宋体"/>
                <w:bCs/>
                <w:color w:val="auto"/>
                <w:kern w:val="0"/>
                <w:sz w:val="24"/>
                <w:highlight w:val="none"/>
                <w:lang w:eastAsia="zh-CN"/>
              </w:rPr>
              <w:t>G；</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3、硬盘：≥500G；</w:t>
            </w:r>
          </w:p>
          <w:p>
            <w:pPr>
              <w:pStyle w:val="201"/>
              <w:widowControl/>
              <w:autoSpaceDE/>
              <w:autoSpaceDN/>
              <w:spacing w:before="6" w:line="360" w:lineRule="auto"/>
              <w:ind w:right="105" w:rightChars="50"/>
              <w:jc w:val="left"/>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4、显卡：独立专业平面图形显卡，显存容量≥</w:t>
            </w:r>
            <w:r>
              <w:rPr>
                <w:rFonts w:ascii="宋体" w:hAnsi="宋体" w:eastAsia="宋体"/>
                <w:bCs/>
                <w:color w:val="auto"/>
                <w:kern w:val="0"/>
                <w:sz w:val="24"/>
                <w:highlight w:val="none"/>
                <w:lang w:eastAsia="zh-CN"/>
              </w:rPr>
              <w:t>2G</w:t>
            </w:r>
            <w:r>
              <w:rPr>
                <w:rFonts w:hint="eastAsia" w:ascii="宋体" w:hAnsi="宋体" w:eastAsia="宋体"/>
                <w:bCs/>
                <w:color w:val="auto"/>
                <w:kern w:val="0"/>
                <w:sz w:val="24"/>
                <w:highlight w:val="none"/>
                <w:lang w:eastAsia="zh-CN"/>
              </w:rPr>
              <w:t>，最大分辨率≥3</w:t>
            </w:r>
            <w:r>
              <w:rPr>
                <w:rFonts w:ascii="宋体" w:hAnsi="宋体" w:eastAsia="宋体"/>
                <w:bCs/>
                <w:color w:val="auto"/>
                <w:kern w:val="0"/>
                <w:sz w:val="24"/>
                <w:highlight w:val="none"/>
                <w:lang w:eastAsia="zh-CN"/>
              </w:rPr>
              <w:t>840*2160</w:t>
            </w:r>
            <w:r>
              <w:rPr>
                <w:rFonts w:hint="eastAsia" w:ascii="宋体" w:hAnsi="宋体" w:eastAsia="宋体"/>
                <w:bCs/>
                <w:color w:val="auto"/>
                <w:kern w:val="0"/>
                <w:sz w:val="24"/>
                <w:highlight w:val="none"/>
                <w:lang w:eastAsia="zh-CN"/>
              </w:rPr>
              <w:t>，支持DVI、</w:t>
            </w:r>
            <w:r>
              <w:rPr>
                <w:rFonts w:ascii="宋体" w:hAnsi="宋体" w:eastAsia="宋体"/>
                <w:bCs/>
                <w:color w:val="auto"/>
                <w:kern w:val="0"/>
                <w:sz w:val="24"/>
                <w:highlight w:val="none"/>
                <w:lang w:eastAsia="zh-CN"/>
              </w:rPr>
              <w:t>DisplayPort</w:t>
            </w:r>
            <w:r>
              <w:rPr>
                <w:rFonts w:hint="eastAsia" w:ascii="宋体" w:hAnsi="宋体" w:eastAsia="宋体"/>
                <w:bCs/>
                <w:color w:val="auto"/>
                <w:kern w:val="0"/>
                <w:sz w:val="24"/>
                <w:highlight w:val="none"/>
                <w:lang w:eastAsia="zh-CN"/>
              </w:rPr>
              <w:t>多接口输出；</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 xml:space="preserve">5、配置鼠标、键盘一套。 </w:t>
            </w:r>
          </w:p>
        </w:tc>
        <w:tc>
          <w:tcPr>
            <w:tcW w:w="939" w:type="dxa"/>
            <w:gridSpan w:val="2"/>
            <w:tcBorders>
              <w:top w:val="single" w:color="auto" w:sz="4" w:space="0"/>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Merge w:val="continue"/>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p>
        </w:tc>
        <w:tc>
          <w:tcPr>
            <w:tcW w:w="774" w:type="dxa"/>
            <w:vMerge w:val="continue"/>
            <w:tcBorders>
              <w:right w:val="single" w:color="auto" w:sz="4" w:space="0"/>
            </w:tcBorders>
            <w:vAlign w:val="center"/>
          </w:tcPr>
          <w:p>
            <w:pPr>
              <w:pStyle w:val="201"/>
              <w:widowControl/>
              <w:autoSpaceDE/>
              <w:autoSpaceDN/>
              <w:spacing w:before="6"/>
              <w:ind w:right="105" w:rightChars="50"/>
              <w:rPr>
                <w:rFonts w:ascii="宋体" w:hAnsi="宋体" w:eastAsia="宋体"/>
                <w:bCs/>
                <w:color w:val="auto"/>
                <w:kern w:val="0"/>
                <w:sz w:val="24"/>
                <w:highlight w:val="none"/>
                <w:lang w:eastAsia="zh-CN"/>
              </w:rPr>
            </w:pPr>
          </w:p>
        </w:tc>
        <w:tc>
          <w:tcPr>
            <w:tcW w:w="658" w:type="dxa"/>
            <w:tcBorders>
              <w:top w:val="single" w:color="auto" w:sz="4" w:space="0"/>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rPr>
            </w:pPr>
            <w:r>
              <w:rPr>
                <w:rFonts w:hint="eastAsia" w:ascii="宋体" w:hAnsi="宋体" w:eastAsia="宋体"/>
                <w:bCs/>
                <w:color w:val="auto"/>
                <w:kern w:val="0"/>
                <w:sz w:val="24"/>
                <w:highlight w:val="none"/>
                <w:lang w:eastAsia="zh-CN"/>
              </w:rPr>
              <w:t>医用影像诊断屏</w:t>
            </w:r>
          </w:p>
        </w:tc>
        <w:tc>
          <w:tcPr>
            <w:tcW w:w="6388" w:type="dxa"/>
            <w:gridSpan w:val="2"/>
            <w:tcBorders>
              <w:top w:val="single" w:color="auto" w:sz="4" w:space="0"/>
              <w:left w:val="single" w:color="auto" w:sz="4" w:space="0"/>
              <w:bottom w:val="single" w:color="auto" w:sz="4" w:space="0"/>
              <w:right w:val="single" w:color="auto" w:sz="4" w:space="0"/>
            </w:tcBorders>
          </w:tcPr>
          <w:p>
            <w:pPr>
              <w:pStyle w:val="201"/>
              <w:widowControl/>
              <w:autoSpaceDE/>
              <w:autoSpaceDN/>
              <w:spacing w:before="6" w:line="360" w:lineRule="auto"/>
              <w:ind w:right="105" w:rightChars="50"/>
              <w:jc w:val="left"/>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1、显示尺寸（英寸）：≥</w:t>
            </w:r>
            <w:r>
              <w:rPr>
                <w:rFonts w:ascii="宋体" w:hAnsi="宋体" w:eastAsia="宋体"/>
                <w:bCs/>
                <w:color w:val="auto"/>
                <w:kern w:val="0"/>
                <w:sz w:val="24"/>
                <w:highlight w:val="none"/>
                <w:lang w:eastAsia="zh-CN"/>
              </w:rPr>
              <w:t>21</w:t>
            </w:r>
            <w:r>
              <w:rPr>
                <w:rFonts w:hint="eastAsia" w:ascii="宋体" w:hAnsi="宋体" w:eastAsia="宋体"/>
                <w:bCs/>
                <w:color w:val="auto"/>
                <w:kern w:val="0"/>
                <w:sz w:val="24"/>
                <w:highlight w:val="none"/>
                <w:lang w:eastAsia="zh-CN"/>
              </w:rPr>
              <w:t>；</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2、支持彩色: ≥10.7亿；</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3、分辨率：≥</w:t>
            </w:r>
            <w:r>
              <w:rPr>
                <w:rFonts w:ascii="宋体" w:hAnsi="宋体" w:eastAsia="宋体"/>
                <w:bCs/>
                <w:color w:val="auto"/>
                <w:kern w:val="0"/>
                <w:sz w:val="24"/>
                <w:highlight w:val="none"/>
                <w:lang w:eastAsia="zh-CN"/>
              </w:rPr>
              <w:t>2560</w:t>
            </w:r>
            <w:r>
              <w:rPr>
                <w:rFonts w:hint="eastAsia" w:ascii="宋体" w:hAnsi="宋体" w:eastAsia="宋体"/>
                <w:bCs/>
                <w:color w:val="auto"/>
                <w:kern w:val="0"/>
                <w:sz w:val="24"/>
                <w:highlight w:val="none"/>
                <w:lang w:eastAsia="zh-CN"/>
              </w:rPr>
              <w:t>*2048；</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4、点距：≥0.197mm×0.197mm；</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5、亮度：≥</w:t>
            </w:r>
            <w:r>
              <w:rPr>
                <w:rFonts w:ascii="宋体" w:hAnsi="宋体" w:eastAsia="宋体"/>
                <w:bCs/>
                <w:color w:val="auto"/>
                <w:kern w:val="0"/>
                <w:sz w:val="24"/>
                <w:highlight w:val="none"/>
                <w:lang w:eastAsia="zh-CN"/>
              </w:rPr>
              <w:t>1000cd/m²</w:t>
            </w:r>
            <w:r>
              <w:rPr>
                <w:rFonts w:hint="eastAsia" w:ascii="宋体" w:hAnsi="宋体" w:eastAsia="宋体"/>
                <w:bCs/>
                <w:color w:val="auto"/>
                <w:kern w:val="0"/>
                <w:sz w:val="24"/>
                <w:highlight w:val="none"/>
                <w:lang w:eastAsia="zh-CN"/>
              </w:rPr>
              <w:t>；</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6、对比度：≥950:1；</w:t>
            </w:r>
          </w:p>
          <w:p>
            <w:pPr>
              <w:pStyle w:val="201"/>
              <w:widowControl/>
              <w:autoSpaceDE/>
              <w:autoSpaceDN/>
              <w:spacing w:before="6" w:line="360" w:lineRule="auto"/>
              <w:ind w:right="105" w:rightChars="50"/>
              <w:jc w:val="left"/>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7、医疗影像标准：完全符合DICOM标准，</w:t>
            </w:r>
            <w:r>
              <w:rPr>
                <w:rFonts w:ascii="宋体" w:hAnsi="宋体" w:eastAsia="宋体"/>
                <w:bCs/>
                <w:color w:val="auto"/>
                <w:kern w:val="0"/>
                <w:sz w:val="24"/>
                <w:highlight w:val="none"/>
                <w:lang w:eastAsia="zh-CN"/>
              </w:rPr>
              <w:t>DICOM校准</w:t>
            </w:r>
            <w:r>
              <w:rPr>
                <w:rFonts w:hint="eastAsia" w:ascii="宋体" w:hAnsi="宋体" w:eastAsia="宋体"/>
                <w:bCs/>
                <w:color w:val="auto"/>
                <w:kern w:val="0"/>
                <w:sz w:val="24"/>
                <w:highlight w:val="none"/>
                <w:lang w:eastAsia="zh-CN"/>
              </w:rPr>
              <w:t>，</w:t>
            </w:r>
            <w:r>
              <w:rPr>
                <w:rFonts w:ascii="宋体" w:hAnsi="宋体" w:eastAsia="宋体"/>
                <w:bCs/>
                <w:color w:val="auto"/>
                <w:kern w:val="0"/>
                <w:sz w:val="24"/>
                <w:highlight w:val="none"/>
                <w:lang w:eastAsia="zh-CN"/>
              </w:rPr>
              <w:t>保证医疗影像显示准确性</w:t>
            </w:r>
            <w:r>
              <w:rPr>
                <w:rFonts w:hint="eastAsia" w:ascii="宋体" w:hAnsi="宋体" w:eastAsia="宋体"/>
                <w:bCs/>
                <w:color w:val="auto"/>
                <w:kern w:val="0"/>
                <w:sz w:val="24"/>
                <w:highlight w:val="none"/>
                <w:lang w:eastAsia="zh-CN"/>
              </w:rPr>
              <w:t>；</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8、输入信号接口支持</w:t>
            </w:r>
            <w:r>
              <w:rPr>
                <w:rFonts w:ascii="宋体" w:hAnsi="宋体" w:eastAsia="宋体"/>
                <w:bCs/>
                <w:color w:val="auto"/>
                <w:kern w:val="0"/>
                <w:sz w:val="24"/>
                <w:highlight w:val="none"/>
                <w:lang w:eastAsia="zh-CN"/>
              </w:rPr>
              <w:t>DisplayPort</w:t>
            </w:r>
            <w:r>
              <w:rPr>
                <w:rFonts w:hint="eastAsia" w:ascii="宋体" w:hAnsi="宋体" w:eastAsia="宋体"/>
                <w:bCs/>
                <w:color w:val="auto"/>
                <w:kern w:val="0"/>
                <w:sz w:val="24"/>
                <w:highlight w:val="none"/>
                <w:lang w:eastAsia="zh-CN"/>
              </w:rPr>
              <w:t>、</w:t>
            </w:r>
            <w:r>
              <w:rPr>
                <w:rFonts w:ascii="宋体" w:hAnsi="宋体" w:eastAsia="宋体"/>
                <w:bCs/>
                <w:color w:val="auto"/>
                <w:kern w:val="0"/>
                <w:sz w:val="24"/>
                <w:highlight w:val="none"/>
                <w:lang w:eastAsia="zh-CN"/>
              </w:rPr>
              <w:t>DVI</w:t>
            </w:r>
            <w:r>
              <w:rPr>
                <w:rFonts w:hint="eastAsia" w:ascii="宋体" w:hAnsi="宋体" w:eastAsia="宋体"/>
                <w:bCs/>
                <w:color w:val="auto"/>
                <w:kern w:val="0"/>
                <w:sz w:val="24"/>
                <w:highlight w:val="none"/>
                <w:lang w:eastAsia="zh-CN"/>
              </w:rPr>
              <w:t>。</w:t>
            </w:r>
          </w:p>
        </w:tc>
        <w:tc>
          <w:tcPr>
            <w:tcW w:w="939" w:type="dxa"/>
            <w:gridSpan w:val="2"/>
            <w:tcBorders>
              <w:top w:val="single" w:color="auto" w:sz="4" w:space="0"/>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Merge w:val="continue"/>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p>
        </w:tc>
        <w:tc>
          <w:tcPr>
            <w:tcW w:w="774" w:type="dxa"/>
            <w:vMerge w:val="continue"/>
            <w:tcBorders>
              <w:right w:val="single" w:color="auto" w:sz="4" w:space="0"/>
            </w:tcBorders>
            <w:vAlign w:val="center"/>
          </w:tcPr>
          <w:p>
            <w:pPr>
              <w:pStyle w:val="201"/>
              <w:widowControl/>
              <w:autoSpaceDE/>
              <w:autoSpaceDN/>
              <w:spacing w:before="6"/>
              <w:ind w:right="105" w:rightChars="50"/>
              <w:rPr>
                <w:rFonts w:ascii="宋体" w:hAnsi="宋体" w:eastAsia="宋体"/>
                <w:bCs/>
                <w:color w:val="auto"/>
                <w:kern w:val="0"/>
                <w:sz w:val="24"/>
                <w:highlight w:val="none"/>
              </w:rPr>
            </w:pPr>
          </w:p>
        </w:tc>
        <w:tc>
          <w:tcPr>
            <w:tcW w:w="658" w:type="dxa"/>
            <w:tcBorders>
              <w:top w:val="single" w:color="auto" w:sz="4" w:space="0"/>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rPr>
            </w:pPr>
            <w:r>
              <w:rPr>
                <w:rFonts w:hint="eastAsia" w:ascii="宋体" w:hAnsi="宋体" w:eastAsia="宋体"/>
                <w:bCs/>
                <w:color w:val="auto"/>
                <w:kern w:val="0"/>
                <w:sz w:val="24"/>
                <w:highlight w:val="none"/>
                <w:lang w:eastAsia="zh-CN"/>
              </w:rPr>
              <w:t>高清视频会议终端</w:t>
            </w:r>
          </w:p>
        </w:tc>
        <w:tc>
          <w:tcPr>
            <w:tcW w:w="6388" w:type="dxa"/>
            <w:gridSpan w:val="2"/>
            <w:tcBorders>
              <w:top w:val="single" w:color="auto" w:sz="4" w:space="0"/>
              <w:left w:val="single" w:color="auto" w:sz="4" w:space="0"/>
              <w:bottom w:val="single" w:color="auto" w:sz="4" w:space="0"/>
              <w:right w:val="single" w:color="auto" w:sz="4" w:space="0"/>
            </w:tcBorders>
          </w:tcPr>
          <w:p>
            <w:pPr>
              <w:widowControl/>
              <w:tabs>
                <w:tab w:val="left" w:pos="318"/>
              </w:tabs>
              <w:spacing w:line="360" w:lineRule="auto"/>
              <w:ind w:firstLine="120" w:firstLineChars="50"/>
              <w:rPr>
                <w:rFonts w:ascii="宋体" w:hAnsi="宋体" w:cs="仿宋"/>
                <w:bCs/>
                <w:color w:val="auto"/>
                <w:kern w:val="0"/>
                <w:sz w:val="24"/>
                <w:highlight w:val="none"/>
              </w:rPr>
            </w:pPr>
            <w:r>
              <w:rPr>
                <w:rFonts w:hint="eastAsia" w:ascii="宋体" w:hAnsi="宋体" w:cs="仿宋"/>
                <w:bCs/>
                <w:color w:val="auto"/>
                <w:kern w:val="0"/>
                <w:sz w:val="24"/>
                <w:highlight w:val="none"/>
              </w:rPr>
              <w:t>1</w:t>
            </w:r>
            <w:r>
              <w:rPr>
                <w:rFonts w:ascii="宋体" w:hAnsi="宋体" w:cs="仿宋"/>
                <w:bCs/>
                <w:color w:val="auto"/>
                <w:kern w:val="0"/>
                <w:sz w:val="24"/>
                <w:highlight w:val="none"/>
              </w:rPr>
              <w:t>、</w:t>
            </w:r>
            <w:r>
              <w:rPr>
                <w:rFonts w:hint="eastAsia" w:ascii="宋体" w:hAnsi="宋体" w:cs="仿宋"/>
                <w:bCs/>
                <w:color w:val="auto"/>
                <w:kern w:val="0"/>
                <w:sz w:val="24"/>
                <w:highlight w:val="none"/>
              </w:rPr>
              <w:t>一体化设计，集成编解码器，麦克风，摄像头等组件。嵌入式操作系统，支持ITUT H.323通讯协议，支持IETF SIP协议，具有的良好的兼容性和开放性。</w:t>
            </w:r>
          </w:p>
          <w:p>
            <w:pPr>
              <w:widowControl/>
              <w:tabs>
                <w:tab w:val="left" w:pos="318"/>
              </w:tabs>
              <w:spacing w:line="360" w:lineRule="auto"/>
              <w:ind w:left="34" w:firstLine="120" w:firstLineChars="50"/>
              <w:rPr>
                <w:rFonts w:ascii="宋体" w:hAnsi="宋体" w:cs="仿宋"/>
                <w:bCs/>
                <w:color w:val="auto"/>
                <w:kern w:val="0"/>
                <w:sz w:val="24"/>
                <w:highlight w:val="none"/>
              </w:rPr>
            </w:pPr>
            <w:r>
              <w:rPr>
                <w:rFonts w:ascii="宋体" w:hAnsi="宋体" w:cs="仿宋"/>
                <w:bCs/>
                <w:color w:val="auto"/>
                <w:kern w:val="0"/>
                <w:sz w:val="24"/>
                <w:highlight w:val="none"/>
              </w:rPr>
              <w:t>2、</w:t>
            </w:r>
            <w:r>
              <w:rPr>
                <w:rFonts w:hint="eastAsia" w:ascii="宋体" w:hAnsi="宋体" w:cs="仿宋"/>
                <w:bCs/>
                <w:color w:val="auto"/>
                <w:kern w:val="0"/>
                <w:sz w:val="24"/>
                <w:highlight w:val="none"/>
              </w:rPr>
              <w:t>支持TCP/IP、DHCP、SNMP、Telnet、HTTP、HTTPS、SSH、RTP、RTCP、SNTP等网络传输协议。</w:t>
            </w:r>
          </w:p>
          <w:p>
            <w:pPr>
              <w:widowControl/>
              <w:tabs>
                <w:tab w:val="left" w:pos="318"/>
              </w:tabs>
              <w:spacing w:line="360" w:lineRule="auto"/>
              <w:ind w:left="34" w:firstLine="120" w:firstLineChars="50"/>
              <w:rPr>
                <w:rFonts w:ascii="宋体" w:hAnsi="宋体" w:cs="仿宋"/>
                <w:bCs/>
                <w:color w:val="auto"/>
                <w:kern w:val="0"/>
                <w:sz w:val="24"/>
                <w:highlight w:val="none"/>
              </w:rPr>
            </w:pPr>
            <w:r>
              <w:rPr>
                <w:rFonts w:hint="eastAsia" w:ascii="宋体" w:hAnsi="宋体" w:cs="仿宋"/>
                <w:bCs/>
                <w:color w:val="auto"/>
                <w:kern w:val="0"/>
                <w:sz w:val="24"/>
                <w:highlight w:val="none"/>
              </w:rPr>
              <w:t>3</w:t>
            </w:r>
            <w:r>
              <w:rPr>
                <w:rFonts w:ascii="宋体" w:hAnsi="宋体" w:cs="仿宋"/>
                <w:bCs/>
                <w:color w:val="auto"/>
                <w:kern w:val="0"/>
                <w:sz w:val="24"/>
                <w:highlight w:val="none"/>
              </w:rPr>
              <w:t>、</w:t>
            </w:r>
            <w:r>
              <w:rPr>
                <w:rFonts w:hint="eastAsia" w:ascii="宋体" w:hAnsi="宋体" w:cs="仿宋"/>
                <w:bCs/>
                <w:color w:val="auto"/>
                <w:kern w:val="0"/>
                <w:sz w:val="24"/>
                <w:highlight w:val="none"/>
              </w:rPr>
              <w:t>支持H.264 High Profile, H.264 Basic Profile、H.263等视频编解码协议。</w:t>
            </w:r>
          </w:p>
          <w:p>
            <w:pPr>
              <w:pStyle w:val="201"/>
              <w:widowControl/>
              <w:autoSpaceDE/>
              <w:autoSpaceDN/>
              <w:spacing w:before="6" w:line="360" w:lineRule="auto"/>
              <w:ind w:left="0" w:right="105" w:rightChars="50" w:firstLine="120" w:firstLineChars="50"/>
              <w:rPr>
                <w:rFonts w:ascii="宋体" w:hAnsi="宋体" w:eastAsia="宋体" w:cs="方正仿宋简体"/>
                <w:bCs/>
                <w:color w:val="auto"/>
                <w:sz w:val="24"/>
                <w:highlight w:val="none"/>
                <w:lang w:eastAsia="zh-CN"/>
              </w:rPr>
            </w:pPr>
            <w:r>
              <w:rPr>
                <w:rFonts w:hint="eastAsia" w:ascii="宋体" w:hAnsi="宋体" w:eastAsia="宋体"/>
                <w:bCs/>
                <w:color w:val="auto"/>
                <w:kern w:val="0"/>
                <w:sz w:val="24"/>
                <w:highlight w:val="none"/>
                <w:lang w:eastAsia="zh-CN"/>
              </w:rPr>
              <w:t>4</w:t>
            </w:r>
            <w:r>
              <w:rPr>
                <w:rFonts w:hint="eastAsia" w:ascii="宋体" w:hAnsi="宋体" w:eastAsia="宋体"/>
                <w:bCs/>
                <w:color w:val="auto"/>
                <w:kern w:val="0"/>
                <w:sz w:val="24"/>
                <w:highlight w:val="none"/>
              </w:rPr>
              <w:t>、</w:t>
            </w:r>
            <w:r>
              <w:rPr>
                <w:rFonts w:hint="eastAsia" w:ascii="宋体" w:hAnsi="宋体" w:eastAsia="宋体"/>
                <w:bCs/>
                <w:color w:val="auto"/>
                <w:kern w:val="0"/>
                <w:sz w:val="24"/>
                <w:highlight w:val="none"/>
                <w:lang w:eastAsia="zh-CN"/>
              </w:rPr>
              <w:t>支持</w:t>
            </w:r>
            <w:r>
              <w:rPr>
                <w:rFonts w:hint="eastAsia" w:ascii="宋体" w:hAnsi="宋体" w:eastAsia="宋体"/>
                <w:bCs/>
                <w:color w:val="auto"/>
                <w:kern w:val="0"/>
                <w:sz w:val="24"/>
                <w:highlight w:val="none"/>
              </w:rPr>
              <w:t>1080P 30/60帧，720P 50/60帧，720P 30帧，4CIF, CIF等视频图像格式编解码。呼叫带宽支</w:t>
            </w:r>
            <w:r>
              <w:rPr>
                <w:rFonts w:ascii="宋体" w:hAnsi="宋体" w:eastAsia="宋体"/>
                <w:bCs/>
                <w:color w:val="auto"/>
                <w:kern w:val="0"/>
                <w:sz w:val="24"/>
                <w:highlight w:val="none"/>
              </w:rPr>
              <w:t>64Kbps-8Mbps</w:t>
            </w:r>
          </w:p>
        </w:tc>
        <w:tc>
          <w:tcPr>
            <w:tcW w:w="939" w:type="dxa"/>
            <w:gridSpan w:val="2"/>
            <w:tcBorders>
              <w:top w:val="single" w:color="auto" w:sz="4" w:space="0"/>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Merge w:val="continue"/>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p>
        </w:tc>
        <w:tc>
          <w:tcPr>
            <w:tcW w:w="774" w:type="dxa"/>
            <w:vMerge w:val="continue"/>
            <w:tcBorders>
              <w:right w:val="single" w:color="auto" w:sz="4" w:space="0"/>
            </w:tcBorders>
            <w:vAlign w:val="center"/>
          </w:tcPr>
          <w:p>
            <w:pPr>
              <w:pStyle w:val="201"/>
              <w:widowControl/>
              <w:autoSpaceDE/>
              <w:autoSpaceDN/>
              <w:spacing w:before="6"/>
              <w:ind w:right="105" w:rightChars="50"/>
              <w:rPr>
                <w:rFonts w:ascii="宋体" w:hAnsi="宋体" w:eastAsia="宋体"/>
                <w:bCs/>
                <w:color w:val="auto"/>
                <w:kern w:val="0"/>
                <w:sz w:val="24"/>
                <w:highlight w:val="none"/>
                <w:lang w:eastAsia="zh-CN"/>
              </w:rPr>
            </w:pPr>
          </w:p>
        </w:tc>
        <w:tc>
          <w:tcPr>
            <w:tcW w:w="658" w:type="dxa"/>
            <w:tcBorders>
              <w:top w:val="single" w:color="auto" w:sz="4" w:space="0"/>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rPr>
            </w:pPr>
            <w:r>
              <w:rPr>
                <w:rFonts w:hint="eastAsia" w:ascii="宋体" w:hAnsi="宋体" w:eastAsia="宋体"/>
                <w:bCs/>
                <w:color w:val="auto"/>
                <w:kern w:val="0"/>
                <w:sz w:val="24"/>
                <w:highlight w:val="none"/>
                <w:lang w:eastAsia="zh-CN"/>
              </w:rPr>
              <w:t>会诊工作台</w:t>
            </w:r>
          </w:p>
        </w:tc>
        <w:tc>
          <w:tcPr>
            <w:tcW w:w="6388" w:type="dxa"/>
            <w:gridSpan w:val="2"/>
            <w:tcBorders>
              <w:top w:val="single" w:color="auto" w:sz="4" w:space="0"/>
              <w:left w:val="single" w:color="auto" w:sz="4" w:space="0"/>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电动可升降办公桌，高度调节，适用于不同的使用高度需求。</w:t>
            </w:r>
          </w:p>
        </w:tc>
        <w:tc>
          <w:tcPr>
            <w:tcW w:w="939" w:type="dxa"/>
            <w:gridSpan w:val="2"/>
            <w:tcBorders>
              <w:top w:val="single" w:color="auto" w:sz="4" w:space="0"/>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Merge w:val="continue"/>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p>
        </w:tc>
        <w:tc>
          <w:tcPr>
            <w:tcW w:w="774" w:type="dxa"/>
            <w:vMerge w:val="continue"/>
            <w:tcBorders>
              <w:right w:val="single" w:color="auto" w:sz="4" w:space="0"/>
            </w:tcBorders>
            <w:vAlign w:val="center"/>
          </w:tcPr>
          <w:p>
            <w:pPr>
              <w:pStyle w:val="201"/>
              <w:widowControl/>
              <w:autoSpaceDE/>
              <w:autoSpaceDN/>
              <w:spacing w:before="6"/>
              <w:ind w:right="105" w:rightChars="50"/>
              <w:rPr>
                <w:rFonts w:ascii="宋体" w:hAnsi="宋体" w:eastAsia="宋体"/>
                <w:bCs/>
                <w:color w:val="auto"/>
                <w:kern w:val="0"/>
                <w:sz w:val="24"/>
                <w:highlight w:val="none"/>
                <w:lang w:eastAsia="zh-CN"/>
              </w:rPr>
            </w:pPr>
          </w:p>
        </w:tc>
        <w:tc>
          <w:tcPr>
            <w:tcW w:w="658" w:type="dxa"/>
            <w:tcBorders>
              <w:top w:val="single" w:color="auto" w:sz="4" w:space="0"/>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rPr>
            </w:pPr>
            <w:r>
              <w:rPr>
                <w:rFonts w:hint="eastAsia" w:ascii="宋体" w:hAnsi="宋体" w:eastAsia="宋体"/>
                <w:bCs/>
                <w:color w:val="auto"/>
                <w:kern w:val="0"/>
                <w:sz w:val="24"/>
                <w:highlight w:val="none"/>
                <w:lang w:eastAsia="zh-CN"/>
              </w:rPr>
              <w:t>会诊桌椅</w:t>
            </w:r>
          </w:p>
        </w:tc>
        <w:tc>
          <w:tcPr>
            <w:tcW w:w="6388" w:type="dxa"/>
            <w:gridSpan w:val="2"/>
            <w:tcBorders>
              <w:top w:val="single" w:color="auto" w:sz="4" w:space="0"/>
              <w:left w:val="single" w:color="auto" w:sz="4" w:space="0"/>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加厚环保板材，防刮耐磨，坚固稳定钢架，承重能力强。</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能多种组合方式，使用便捷。</w:t>
            </w:r>
          </w:p>
        </w:tc>
        <w:tc>
          <w:tcPr>
            <w:tcW w:w="939" w:type="dxa"/>
            <w:gridSpan w:val="2"/>
            <w:tcBorders>
              <w:top w:val="single" w:color="auto" w:sz="4" w:space="0"/>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Merge w:val="continue"/>
            <w:tcBorders>
              <w:bottom w:val="single" w:color="auto" w:sz="4" w:space="0"/>
            </w:tcBorders>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p>
        </w:tc>
        <w:tc>
          <w:tcPr>
            <w:tcW w:w="774" w:type="dxa"/>
            <w:vMerge w:val="continue"/>
            <w:tcBorders>
              <w:bottom w:val="single" w:color="auto" w:sz="4" w:space="0"/>
              <w:right w:val="single" w:color="auto" w:sz="4" w:space="0"/>
            </w:tcBorders>
            <w:vAlign w:val="center"/>
          </w:tcPr>
          <w:p>
            <w:pPr>
              <w:pStyle w:val="201"/>
              <w:widowControl/>
              <w:autoSpaceDE/>
              <w:autoSpaceDN/>
              <w:spacing w:before="6"/>
              <w:ind w:right="105" w:rightChars="50"/>
              <w:rPr>
                <w:rFonts w:ascii="宋体" w:hAnsi="宋体" w:eastAsia="宋体"/>
                <w:bCs/>
                <w:color w:val="auto"/>
                <w:kern w:val="0"/>
                <w:sz w:val="24"/>
                <w:highlight w:val="none"/>
                <w:lang w:eastAsia="zh-CN"/>
              </w:rPr>
            </w:pPr>
          </w:p>
        </w:tc>
        <w:tc>
          <w:tcPr>
            <w:tcW w:w="658" w:type="dxa"/>
            <w:tcBorders>
              <w:top w:val="single" w:color="auto" w:sz="4" w:space="0"/>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rPr>
            </w:pPr>
            <w:r>
              <w:rPr>
                <w:rFonts w:hint="eastAsia" w:ascii="宋体" w:hAnsi="宋体" w:eastAsia="宋体"/>
                <w:bCs/>
                <w:color w:val="auto"/>
                <w:kern w:val="0"/>
                <w:sz w:val="24"/>
                <w:highlight w:val="none"/>
                <w:lang w:eastAsia="zh-CN"/>
              </w:rPr>
              <w:t>会诊专用PC</w:t>
            </w:r>
          </w:p>
        </w:tc>
        <w:tc>
          <w:tcPr>
            <w:tcW w:w="6388" w:type="dxa"/>
            <w:gridSpan w:val="2"/>
            <w:tcBorders>
              <w:top w:val="single" w:color="auto" w:sz="4" w:space="0"/>
              <w:left w:val="single" w:color="auto" w:sz="4" w:space="0"/>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1、显示器：≥</w:t>
            </w:r>
            <w:r>
              <w:rPr>
                <w:rFonts w:ascii="宋体" w:hAnsi="宋体" w:eastAsia="宋体"/>
                <w:bCs/>
                <w:color w:val="auto"/>
                <w:kern w:val="0"/>
                <w:sz w:val="24"/>
                <w:highlight w:val="none"/>
                <w:lang w:eastAsia="zh-CN"/>
              </w:rPr>
              <w:t>21</w:t>
            </w:r>
            <w:r>
              <w:rPr>
                <w:rFonts w:hint="eastAsia" w:ascii="宋体" w:hAnsi="宋体" w:eastAsia="宋体"/>
                <w:bCs/>
                <w:color w:val="auto"/>
                <w:kern w:val="0"/>
                <w:sz w:val="24"/>
                <w:highlight w:val="none"/>
                <w:lang w:eastAsia="zh-CN"/>
              </w:rPr>
              <w:t>寸，分辨率≥</w:t>
            </w:r>
            <w:r>
              <w:rPr>
                <w:rFonts w:ascii="宋体" w:hAnsi="宋体" w:eastAsia="宋体"/>
                <w:bCs/>
                <w:color w:val="auto"/>
                <w:kern w:val="0"/>
                <w:sz w:val="24"/>
                <w:highlight w:val="none"/>
                <w:lang w:eastAsia="zh-CN"/>
              </w:rPr>
              <w:t>1920</w:t>
            </w:r>
            <w:r>
              <w:rPr>
                <w:rFonts w:hint="eastAsia" w:ascii="宋体" w:hAnsi="宋体" w:eastAsia="宋体"/>
                <w:bCs/>
                <w:color w:val="auto"/>
                <w:kern w:val="0"/>
                <w:sz w:val="24"/>
                <w:highlight w:val="none"/>
                <w:lang w:eastAsia="zh-CN"/>
              </w:rPr>
              <w:t>×</w:t>
            </w:r>
            <w:r>
              <w:rPr>
                <w:rFonts w:ascii="宋体" w:hAnsi="宋体" w:eastAsia="宋体"/>
                <w:bCs/>
                <w:color w:val="auto"/>
                <w:kern w:val="0"/>
                <w:sz w:val="24"/>
                <w:highlight w:val="none"/>
                <w:lang w:eastAsia="zh-CN"/>
              </w:rPr>
              <w:t>1080</w:t>
            </w:r>
            <w:r>
              <w:rPr>
                <w:rFonts w:hint="eastAsia" w:ascii="宋体" w:hAnsi="宋体" w:eastAsia="宋体"/>
                <w:bCs/>
                <w:color w:val="auto"/>
                <w:kern w:val="0"/>
                <w:sz w:val="24"/>
                <w:highlight w:val="none"/>
                <w:lang w:eastAsia="zh-CN"/>
              </w:rPr>
              <w:t>；</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 xml:space="preserve">2、处理器：≥ </w:t>
            </w:r>
            <w:r>
              <w:rPr>
                <w:rFonts w:ascii="宋体" w:hAnsi="宋体" w:eastAsia="宋体"/>
                <w:bCs/>
                <w:color w:val="auto"/>
                <w:kern w:val="0"/>
                <w:sz w:val="24"/>
                <w:highlight w:val="none"/>
                <w:lang w:eastAsia="zh-CN"/>
              </w:rPr>
              <w:t>i5</w:t>
            </w:r>
            <w:r>
              <w:rPr>
                <w:rFonts w:hint="eastAsia" w:ascii="宋体" w:hAnsi="宋体" w:eastAsia="宋体"/>
                <w:bCs/>
                <w:color w:val="auto"/>
                <w:kern w:val="0"/>
                <w:sz w:val="24"/>
                <w:highlight w:val="none"/>
                <w:lang w:eastAsia="zh-CN"/>
              </w:rPr>
              <w:t>（主频≥3</w:t>
            </w:r>
            <w:r>
              <w:rPr>
                <w:rFonts w:ascii="宋体" w:hAnsi="宋体" w:eastAsia="宋体"/>
                <w:bCs/>
                <w:color w:val="auto"/>
                <w:kern w:val="0"/>
                <w:sz w:val="24"/>
                <w:highlight w:val="none"/>
                <w:lang w:eastAsia="zh-CN"/>
              </w:rPr>
              <w:t>.0GHz</w:t>
            </w:r>
            <w:r>
              <w:rPr>
                <w:rFonts w:hint="eastAsia" w:ascii="宋体" w:hAnsi="宋体" w:eastAsia="宋体"/>
                <w:bCs/>
                <w:color w:val="auto"/>
                <w:kern w:val="0"/>
                <w:sz w:val="24"/>
                <w:highlight w:val="none"/>
                <w:lang w:eastAsia="zh-CN"/>
              </w:rPr>
              <w:t>）</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3、内存：≥1</w:t>
            </w:r>
            <w:r>
              <w:rPr>
                <w:rFonts w:ascii="宋体" w:hAnsi="宋体" w:eastAsia="宋体"/>
                <w:bCs/>
                <w:color w:val="auto"/>
                <w:kern w:val="0"/>
                <w:sz w:val="24"/>
                <w:highlight w:val="none"/>
                <w:lang w:eastAsia="zh-CN"/>
              </w:rPr>
              <w:t>6</w:t>
            </w:r>
            <w:r>
              <w:rPr>
                <w:rFonts w:hint="eastAsia" w:ascii="宋体" w:hAnsi="宋体" w:eastAsia="宋体"/>
                <w:bCs/>
                <w:color w:val="auto"/>
                <w:kern w:val="0"/>
                <w:sz w:val="24"/>
                <w:highlight w:val="none"/>
                <w:lang w:eastAsia="zh-CN"/>
              </w:rPr>
              <w:t>G；</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4、硬盘：≥500G；</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5、显卡：独立专业平面图形显卡，显存容量≥1</w:t>
            </w:r>
            <w:r>
              <w:rPr>
                <w:rFonts w:ascii="宋体" w:hAnsi="宋体" w:eastAsia="宋体"/>
                <w:bCs/>
                <w:color w:val="auto"/>
                <w:kern w:val="0"/>
                <w:sz w:val="24"/>
                <w:highlight w:val="none"/>
                <w:lang w:eastAsia="zh-CN"/>
              </w:rPr>
              <w:t>G</w:t>
            </w:r>
            <w:r>
              <w:rPr>
                <w:rFonts w:hint="eastAsia" w:ascii="宋体" w:hAnsi="宋体" w:eastAsia="宋体"/>
                <w:bCs/>
                <w:color w:val="auto"/>
                <w:kern w:val="0"/>
                <w:sz w:val="24"/>
                <w:highlight w:val="none"/>
                <w:lang w:eastAsia="zh-CN"/>
              </w:rPr>
              <w:t>，最大分辨率≥</w:t>
            </w:r>
            <w:r>
              <w:rPr>
                <w:rFonts w:ascii="宋体" w:hAnsi="宋体" w:eastAsia="宋体"/>
                <w:bCs/>
                <w:color w:val="auto"/>
                <w:kern w:val="0"/>
                <w:sz w:val="24"/>
                <w:highlight w:val="none"/>
                <w:lang w:eastAsia="zh-CN"/>
              </w:rPr>
              <w:t>2560</w:t>
            </w:r>
            <w:r>
              <w:rPr>
                <w:rFonts w:hint="eastAsia" w:ascii="宋体" w:hAnsi="宋体" w:eastAsia="宋体"/>
                <w:bCs/>
                <w:color w:val="auto"/>
                <w:kern w:val="0"/>
                <w:sz w:val="24"/>
                <w:highlight w:val="none"/>
                <w:lang w:eastAsia="zh-CN"/>
              </w:rPr>
              <w:t>*2048，支持DVI、</w:t>
            </w:r>
            <w:r>
              <w:rPr>
                <w:rFonts w:ascii="宋体" w:hAnsi="宋体" w:eastAsia="宋体"/>
                <w:bCs/>
                <w:color w:val="auto"/>
                <w:kern w:val="0"/>
                <w:sz w:val="24"/>
                <w:highlight w:val="none"/>
                <w:lang w:eastAsia="zh-CN"/>
              </w:rPr>
              <w:t>DisplayPort</w:t>
            </w:r>
            <w:r>
              <w:rPr>
                <w:rFonts w:hint="eastAsia" w:ascii="宋体" w:hAnsi="宋体" w:eastAsia="宋体"/>
                <w:bCs/>
                <w:color w:val="auto"/>
                <w:kern w:val="0"/>
                <w:sz w:val="24"/>
                <w:highlight w:val="none"/>
                <w:lang w:eastAsia="zh-CN"/>
              </w:rPr>
              <w:t>多接口输出；</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6、配置鼠标、键盘一套。</w:t>
            </w:r>
          </w:p>
        </w:tc>
        <w:tc>
          <w:tcPr>
            <w:tcW w:w="939" w:type="dxa"/>
            <w:gridSpan w:val="2"/>
            <w:tcBorders>
              <w:top w:val="single" w:color="auto" w:sz="4" w:space="0"/>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12</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工作站</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工作站电脑</w:t>
            </w:r>
            <w:r>
              <w:rPr>
                <w:rFonts w:hint="eastAsia" w:ascii="宋体" w:hAnsi="宋体" w:eastAsia="宋体"/>
                <w:bCs/>
                <w:color w:val="auto"/>
                <w:kern w:val="0"/>
                <w:sz w:val="24"/>
                <w:highlight w:val="none"/>
                <w:lang w:eastAsia="zh-CN"/>
              </w:rPr>
              <w:br w:type="textWrapping"/>
            </w:r>
            <w:r>
              <w:rPr>
                <w:rFonts w:ascii="宋体" w:hAnsi="宋体" w:eastAsia="宋体"/>
                <w:bCs/>
                <w:color w:val="auto"/>
                <w:kern w:val="0"/>
                <w:sz w:val="24"/>
                <w:highlight w:val="none"/>
                <w:lang w:eastAsia="zh-CN"/>
              </w:rPr>
              <w:t>1</w:t>
            </w:r>
            <w:r>
              <w:rPr>
                <w:rFonts w:hint="eastAsia" w:ascii="宋体" w:hAnsi="宋体" w:eastAsia="宋体"/>
                <w:bCs/>
                <w:color w:val="auto"/>
                <w:kern w:val="0"/>
                <w:sz w:val="24"/>
                <w:highlight w:val="none"/>
                <w:lang w:eastAsia="zh-CN"/>
              </w:rPr>
              <w:t>.Intel X86架构，CPU≥I7，主频≥2.5G</w:t>
            </w:r>
            <w:r>
              <w:rPr>
                <w:rFonts w:hint="eastAsia" w:ascii="宋体" w:hAnsi="宋体" w:eastAsia="宋体"/>
                <w:bCs/>
                <w:color w:val="auto"/>
                <w:kern w:val="0"/>
                <w:sz w:val="24"/>
                <w:highlight w:val="none"/>
                <w:lang w:eastAsia="zh-CN"/>
              </w:rPr>
              <w:br w:type="textWrapping"/>
            </w:r>
            <w:r>
              <w:rPr>
                <w:rFonts w:ascii="宋体" w:hAnsi="宋体" w:eastAsia="宋体"/>
                <w:bCs/>
                <w:color w:val="auto"/>
                <w:kern w:val="0"/>
                <w:sz w:val="24"/>
                <w:highlight w:val="none"/>
                <w:lang w:eastAsia="zh-CN"/>
              </w:rPr>
              <w:t>2</w:t>
            </w:r>
            <w:r>
              <w:rPr>
                <w:rFonts w:hint="eastAsia" w:ascii="宋体" w:hAnsi="宋体" w:eastAsia="宋体"/>
                <w:bCs/>
                <w:color w:val="auto"/>
                <w:kern w:val="0"/>
                <w:sz w:val="24"/>
                <w:highlight w:val="none"/>
                <w:lang w:eastAsia="zh-CN"/>
              </w:rPr>
              <w:t>.内存：配置≥16GB内存</w:t>
            </w:r>
            <w:r>
              <w:rPr>
                <w:rFonts w:hint="eastAsia" w:ascii="宋体" w:hAnsi="宋体" w:eastAsia="宋体"/>
                <w:bCs/>
                <w:color w:val="auto"/>
                <w:kern w:val="0"/>
                <w:sz w:val="24"/>
                <w:highlight w:val="none"/>
                <w:lang w:eastAsia="zh-CN"/>
              </w:rPr>
              <w:br w:type="textWrapping"/>
            </w:r>
            <w:r>
              <w:rPr>
                <w:rFonts w:ascii="宋体" w:hAnsi="宋体" w:eastAsia="宋体"/>
                <w:bCs/>
                <w:color w:val="auto"/>
                <w:kern w:val="0"/>
                <w:sz w:val="24"/>
                <w:highlight w:val="none"/>
                <w:lang w:eastAsia="zh-CN"/>
              </w:rPr>
              <w:t>3</w:t>
            </w:r>
            <w:r>
              <w:rPr>
                <w:rFonts w:hint="eastAsia" w:ascii="宋体" w:hAnsi="宋体" w:eastAsia="宋体"/>
                <w:bCs/>
                <w:color w:val="auto"/>
                <w:kern w:val="0"/>
                <w:sz w:val="24"/>
                <w:highlight w:val="none"/>
                <w:lang w:eastAsia="zh-CN"/>
              </w:rPr>
              <w:t>.硬盘：配置≥480G SSD</w:t>
            </w:r>
            <w:r>
              <w:rPr>
                <w:rFonts w:hint="eastAsia" w:ascii="宋体" w:hAnsi="宋体" w:eastAsia="宋体"/>
                <w:bCs/>
                <w:color w:val="auto"/>
                <w:kern w:val="0"/>
                <w:sz w:val="24"/>
                <w:highlight w:val="none"/>
                <w:lang w:eastAsia="zh-CN"/>
              </w:rPr>
              <w:br w:type="textWrapping"/>
            </w:r>
            <w:r>
              <w:rPr>
                <w:rFonts w:ascii="宋体" w:hAnsi="宋体" w:eastAsia="宋体"/>
                <w:bCs/>
                <w:color w:val="auto"/>
                <w:kern w:val="0"/>
                <w:sz w:val="24"/>
                <w:highlight w:val="none"/>
                <w:lang w:eastAsia="zh-CN"/>
              </w:rPr>
              <w:t>4</w:t>
            </w:r>
            <w:r>
              <w:rPr>
                <w:rFonts w:hint="eastAsia" w:ascii="宋体" w:hAnsi="宋体" w:eastAsia="宋体"/>
                <w:bCs/>
                <w:color w:val="auto"/>
                <w:kern w:val="0"/>
                <w:sz w:val="24"/>
                <w:highlight w:val="none"/>
                <w:lang w:eastAsia="zh-CN"/>
              </w:rPr>
              <w:t>.网卡：配置≥1个GE端口，≥1个11AC无线网卡</w:t>
            </w:r>
            <w:r>
              <w:rPr>
                <w:rFonts w:hint="eastAsia" w:ascii="宋体" w:hAnsi="宋体" w:eastAsia="宋体"/>
                <w:bCs/>
                <w:color w:val="auto"/>
                <w:kern w:val="0"/>
                <w:sz w:val="24"/>
                <w:highlight w:val="none"/>
                <w:lang w:eastAsia="zh-CN"/>
              </w:rPr>
              <w:br w:type="textWrapping"/>
            </w:r>
            <w:r>
              <w:rPr>
                <w:rFonts w:ascii="宋体" w:hAnsi="宋体" w:eastAsia="宋体"/>
                <w:bCs/>
                <w:color w:val="auto"/>
                <w:kern w:val="0"/>
                <w:sz w:val="24"/>
                <w:highlight w:val="none"/>
                <w:lang w:eastAsia="zh-CN"/>
              </w:rPr>
              <w:t>5</w:t>
            </w:r>
            <w:r>
              <w:rPr>
                <w:rFonts w:hint="eastAsia" w:ascii="宋体" w:hAnsi="宋体" w:eastAsia="宋体"/>
                <w:bCs/>
                <w:color w:val="auto"/>
                <w:kern w:val="0"/>
                <w:sz w:val="24"/>
                <w:highlight w:val="none"/>
                <w:lang w:eastAsia="zh-CN"/>
              </w:rPr>
              <w:t>.GPU：配置1块GPU≥RTX 2060 显存≥6G</w:t>
            </w:r>
            <w:r>
              <w:rPr>
                <w:rFonts w:hint="eastAsia" w:ascii="宋体" w:hAnsi="宋体" w:eastAsia="宋体"/>
                <w:bCs/>
                <w:color w:val="auto"/>
                <w:kern w:val="0"/>
                <w:sz w:val="24"/>
                <w:highlight w:val="none"/>
                <w:lang w:eastAsia="zh-CN"/>
              </w:rPr>
              <w:br w:type="textWrapping"/>
            </w:r>
            <w:r>
              <w:rPr>
                <w:rFonts w:ascii="宋体" w:hAnsi="宋体" w:eastAsia="宋体"/>
                <w:bCs/>
                <w:color w:val="auto"/>
                <w:kern w:val="0"/>
                <w:sz w:val="24"/>
                <w:highlight w:val="none"/>
                <w:lang w:eastAsia="zh-CN"/>
              </w:rPr>
              <w:t>6</w:t>
            </w:r>
            <w:r>
              <w:rPr>
                <w:rFonts w:hint="eastAsia" w:ascii="宋体" w:hAnsi="宋体" w:eastAsia="宋体"/>
                <w:bCs/>
                <w:color w:val="auto"/>
                <w:kern w:val="0"/>
                <w:sz w:val="24"/>
                <w:highlight w:val="none"/>
                <w:lang w:eastAsia="zh-CN"/>
              </w:rPr>
              <w:t>.显示器：24英寸广视角IPS屏</w:t>
            </w:r>
            <w:r>
              <w:rPr>
                <w:rFonts w:hint="eastAsia" w:ascii="宋体" w:hAnsi="宋体" w:eastAsia="宋体"/>
                <w:bCs/>
                <w:color w:val="auto"/>
                <w:kern w:val="0"/>
                <w:sz w:val="24"/>
                <w:highlight w:val="none"/>
                <w:lang w:eastAsia="zh-CN"/>
              </w:rPr>
              <w:br w:type="textWrapping"/>
            </w:r>
            <w:r>
              <w:rPr>
                <w:rFonts w:ascii="宋体" w:hAnsi="宋体" w:eastAsia="宋体"/>
                <w:bCs/>
                <w:color w:val="auto"/>
                <w:kern w:val="0"/>
                <w:sz w:val="24"/>
                <w:highlight w:val="none"/>
                <w:lang w:eastAsia="zh-CN"/>
              </w:rPr>
              <w:t>7</w:t>
            </w:r>
            <w:r>
              <w:rPr>
                <w:rFonts w:hint="eastAsia" w:ascii="宋体" w:hAnsi="宋体" w:eastAsia="宋体"/>
                <w:bCs/>
                <w:color w:val="auto"/>
                <w:kern w:val="0"/>
                <w:sz w:val="24"/>
                <w:highlight w:val="none"/>
                <w:lang w:eastAsia="zh-CN"/>
              </w:rPr>
              <w:t>.无线键盘鼠标</w:t>
            </w:r>
            <w:r>
              <w:rPr>
                <w:rFonts w:hint="eastAsia" w:ascii="宋体" w:hAnsi="宋体" w:eastAsia="宋体"/>
                <w:bCs/>
                <w:color w:val="auto"/>
                <w:kern w:val="0"/>
                <w:sz w:val="24"/>
                <w:highlight w:val="none"/>
                <w:lang w:eastAsia="zh-CN"/>
              </w:rPr>
              <w:br w:type="textWrapping"/>
            </w:r>
            <w:r>
              <w:rPr>
                <w:rFonts w:ascii="宋体" w:hAnsi="宋体" w:eastAsia="宋体"/>
                <w:bCs/>
                <w:color w:val="auto"/>
                <w:kern w:val="0"/>
                <w:sz w:val="24"/>
                <w:highlight w:val="none"/>
                <w:lang w:eastAsia="zh-CN"/>
              </w:rPr>
              <w:t>8</w:t>
            </w:r>
            <w:r>
              <w:rPr>
                <w:rFonts w:hint="eastAsia" w:ascii="宋体" w:hAnsi="宋体" w:eastAsia="宋体"/>
                <w:bCs/>
                <w:color w:val="auto"/>
                <w:kern w:val="0"/>
                <w:sz w:val="24"/>
                <w:highlight w:val="none"/>
                <w:lang w:eastAsia="zh-CN"/>
              </w:rPr>
              <w:t>.Windows 10 OS</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13</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前置服务器</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1.规格：2U2P机架式服务器；配置原厂导轨</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2.CPU：配置≥2颗英特尔银牌4210，主频≥2.</w:t>
            </w:r>
            <w:r>
              <w:rPr>
                <w:rFonts w:ascii="宋体" w:hAnsi="宋体" w:eastAsia="宋体"/>
                <w:bCs/>
                <w:color w:val="auto"/>
                <w:kern w:val="0"/>
                <w:sz w:val="24"/>
                <w:highlight w:val="none"/>
                <w:lang w:eastAsia="zh-CN"/>
              </w:rPr>
              <w:t>1</w:t>
            </w:r>
            <w:r>
              <w:rPr>
                <w:rFonts w:hint="eastAsia" w:ascii="宋体" w:hAnsi="宋体" w:eastAsia="宋体"/>
                <w:bCs/>
                <w:color w:val="auto"/>
                <w:kern w:val="0"/>
                <w:sz w:val="24"/>
                <w:highlight w:val="none"/>
                <w:lang w:eastAsia="zh-CN"/>
              </w:rPr>
              <w:t>GHZ，CPU物理核数≥10核</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3.内存:配置≥64GB</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4.硬盘:配置≥2*18TB SATA硬盘,≥2*800GB SATA SSD硬盘,支持热插拔</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5.RAID卡:配置1*RAID卡支持RAID0,1,10</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6.网卡：配置≥4*GE</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7.电源：配置冗余交流电源</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8.管理端口：千兆远程管理端口，提供虚拟控制台，可远程挂载安装系统</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9.</w:t>
            </w:r>
            <w:r>
              <w:rPr>
                <w:rFonts w:hint="eastAsia" w:ascii="宋体" w:hAnsi="宋体" w:eastAsia="宋体"/>
                <w:color w:val="auto"/>
                <w:sz w:val="24"/>
                <w:highlight w:val="none"/>
                <w:lang w:eastAsia="zh-CN"/>
              </w:rPr>
              <w:t xml:space="preserve"> ▲</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14</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负载均衡</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1.机架式硬件服务器应用负载均衡</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2.L4/L7层负载均衡性能≥5Gbps ，</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3.SSL卸载能力≥2Gbps</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4.端口数≥4口1Gb，≥2口10Gb（含光模块）</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5.配置冗余交流电源</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6.</w:t>
            </w:r>
            <w:r>
              <w:rPr>
                <w:rFonts w:hint="eastAsia" w:ascii="宋体" w:hAnsi="宋体" w:eastAsia="宋体"/>
                <w:color w:val="auto"/>
                <w:sz w:val="24"/>
                <w:highlight w:val="none"/>
                <w:lang w:eastAsia="zh-CN"/>
              </w:rPr>
              <w:t xml:space="preserve"> ▲</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15</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对象存储系统</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jc w:val="left"/>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本次配置4节点，共480TB裸盘，单节点配置如下：</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1.CPU：配置2颗英特尔Xeon处理器，单颗处理器主频≥2.2Ghz，物理核数≥16核；</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2.内存：≥128GB；</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3.硬盘：≥2*600GB SATA/SAS系统盘，≥1块1.6TB NVME SSD硬盘，≥12块10TB 7.2K SATA硬盘；</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4.RAID卡：支持RAID 0,1,10;</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5.网口：≥4*10GE（含4个10G多模光模块)；</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6.支持Erasure Code纠删码算法;</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7.电源：双冗余交流电源，支持电源热插拔;</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8.</w:t>
            </w:r>
            <w:r>
              <w:rPr>
                <w:rFonts w:hint="eastAsia" w:ascii="宋体" w:hAnsi="宋体" w:eastAsia="宋体"/>
                <w:color w:val="auto"/>
                <w:sz w:val="24"/>
                <w:highlight w:val="none"/>
                <w:lang w:eastAsia="zh-CN"/>
              </w:rPr>
              <w:t xml:space="preserve"> ▲</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16</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备份系统</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一、备份系统配置备份服务器2台，单台配置如下：</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1.形态：2U机架服务器，支持≥2路CPU；</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2.CPU：配置≥1颗英特尔银牌处理器，主频≥2.1GHZ，CPU物理核数≥10核；</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3.内存：配置≥96GB；</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4.硬盘：配置≥2*480GB SATA/SAS系统盘,≥5*16TB SATA硬盘；</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5.网卡：配置≥2*GE+2*10GE光口(含2个多模万兆光模块)；配置≥1张16G双通道HBA卡（含光模块）</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6.电源：配置冗余电源；</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二、备份系统配置磁带库1套，配置要求如下：</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1.磁带仓可存放≥24盘磁带</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2.配置LTO8磁带机，≥8G FC接口</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3.配置≥10盘 LTO8磁带（12T原始容量/30T压缩容量）</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4.配置1盘清洗带；</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三、备份系统配置≥228TB容量备份软件授权，备份软件需具备功能如下：</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1.支持VMware、H3C CAS/UIS、华为FusionCompute、深信服HCI等主流虚拟化、超融合、云平台的无代理备份。 2.支持Windows 2003及以上、Linux Kernel 2.4及以上所有版本的操作系统；支持中标麒麟、银河麒麟、华为EulerOS等国产化操作系统。</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 xml:space="preserve">3.支持全量备份、增量备份、差异备份、备份归档。 </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 xml:space="preserve">4.支持压缩、加密及在线重复数据删除功能。 </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5.支持本地存储、集中式存储、分布式存储、物理/虚拟磁带库。</w:t>
            </w:r>
            <w:r>
              <w:rPr>
                <w:rFonts w:hint="eastAsia" w:ascii="宋体" w:hAnsi="宋体" w:eastAsia="宋体"/>
                <w:bCs/>
                <w:color w:val="auto"/>
                <w:kern w:val="0"/>
                <w:sz w:val="24"/>
                <w:highlight w:val="none"/>
                <w:lang w:eastAsia="zh-CN"/>
              </w:rPr>
              <w:br w:type="textWrapping"/>
            </w:r>
            <w:r>
              <w:rPr>
                <w:rFonts w:hint="eastAsia" w:ascii="宋体" w:hAnsi="宋体" w:eastAsia="宋体"/>
                <w:color w:val="auto"/>
                <w:sz w:val="24"/>
                <w:highlight w:val="none"/>
                <w:lang w:eastAsia="zh-CN"/>
              </w:rPr>
              <w:t>▲</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17</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服务器</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1.形态：2U机架服务器，支持≥2路CPU，含导轨；</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2.CPU：配置≥2颗英特尔银牌4214，单处理器主频≥2.1GHz、核数≥12核</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3.内存:配置≥128GB；</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4.硬盘:配置≥2*1.92TB SATA SSD硬盘,支持热插拔；</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5.RAID卡:配置1*RAID卡支持RAID0,1,10；</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6.网卡：配置≥2*GE+2*10GE光口(含2个多模万兆光模块)；</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7.电源：配置冗余交流电源</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8.管理端口：千兆远程管理端口，提供虚拟控制台，可远程挂载安装系统</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9.</w:t>
            </w:r>
            <w:r>
              <w:rPr>
                <w:rFonts w:hint="eastAsia" w:ascii="宋体" w:hAnsi="宋体" w:eastAsia="宋体"/>
                <w:color w:val="auto"/>
                <w:sz w:val="24"/>
                <w:highlight w:val="none"/>
                <w:lang w:eastAsia="zh-CN"/>
              </w:rPr>
              <w:t xml:space="preserve"> ▲</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18</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管理服务器</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1.形态：2U机架服务器，支持≥2路CPU，含导轨；</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2.CPU：配置≥1颗英特尔银牌4214，单处理器主频≥2.1GHz、核数≥12核</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3.内存:配置≥128GB；</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4.硬盘:配置≥2*960GB SATA SSD硬盘,支持热插拔；</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5.RAID卡:配置1*RAID卡支持RAID0,1,10；</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6.网卡：配置≥2*GE+2*10GE光口(含2个多模万兆光模块)；</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7.电源：配置冗余交流电源</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8.管理端口：千兆远程管理端口，提供虚拟控制台，可远程挂载安装系统</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9.</w:t>
            </w:r>
            <w:r>
              <w:rPr>
                <w:rFonts w:hint="eastAsia" w:ascii="宋体" w:hAnsi="宋体" w:eastAsia="宋体"/>
                <w:color w:val="auto"/>
                <w:sz w:val="24"/>
                <w:highlight w:val="none"/>
                <w:lang w:eastAsia="zh-CN"/>
              </w:rPr>
              <w:t xml:space="preserve"> ▲</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19</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数据中心内网</w:t>
            </w:r>
            <w:r>
              <w:rPr>
                <w:rFonts w:hint="eastAsia" w:ascii="宋体" w:hAnsi="宋体" w:eastAsia="宋体"/>
                <w:bCs/>
                <w:color w:val="auto"/>
                <w:kern w:val="0"/>
                <w:sz w:val="24"/>
                <w:highlight w:val="none"/>
              </w:rPr>
              <w:t>路由器</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1.支持包转发率≥150Mpps</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2.双主控引擎</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3.设备端口配置，10Gbps光口≥4个，1GE电口≥4个，1GE光口≥4个；</w:t>
            </w:r>
          </w:p>
          <w:p>
            <w:pPr>
              <w:pStyle w:val="201"/>
              <w:widowControl/>
              <w:autoSpaceDE/>
              <w:autoSpaceDN/>
              <w:spacing w:before="6" w:line="360" w:lineRule="auto"/>
              <w:ind w:right="105" w:rightChars="50"/>
              <w:rPr>
                <w:rFonts w:ascii="宋体" w:hAnsi="宋体" w:eastAsia="宋体"/>
                <w:bCs/>
                <w:color w:val="auto"/>
                <w:kern w:val="0"/>
                <w:sz w:val="24"/>
                <w:highlight w:val="none"/>
              </w:rPr>
            </w:pPr>
            <w:r>
              <w:rPr>
                <w:rFonts w:hint="eastAsia" w:ascii="宋体" w:hAnsi="宋体" w:eastAsia="宋体"/>
                <w:bCs/>
                <w:color w:val="auto"/>
                <w:kern w:val="0"/>
                <w:sz w:val="24"/>
                <w:highlight w:val="none"/>
              </w:rPr>
              <w:t>4.支持RIP、OSPF、Static routing等路由协议；</w:t>
            </w:r>
          </w:p>
          <w:p>
            <w:pPr>
              <w:pStyle w:val="201"/>
              <w:widowControl/>
              <w:autoSpaceDE/>
              <w:autoSpaceDN/>
              <w:spacing w:before="6" w:line="360" w:lineRule="auto"/>
              <w:ind w:right="105" w:rightChars="50"/>
              <w:rPr>
                <w:rFonts w:ascii="宋体" w:hAnsi="宋体" w:eastAsia="宋体"/>
                <w:bCs/>
                <w:color w:val="auto"/>
                <w:kern w:val="0"/>
                <w:sz w:val="24"/>
                <w:highlight w:val="none"/>
              </w:rPr>
            </w:pPr>
            <w:r>
              <w:rPr>
                <w:rFonts w:hint="eastAsia" w:ascii="宋体" w:hAnsi="宋体" w:eastAsia="宋体"/>
                <w:bCs/>
                <w:color w:val="auto"/>
                <w:kern w:val="0"/>
                <w:sz w:val="24"/>
                <w:highlight w:val="none"/>
              </w:rPr>
              <w:t>5.双电源</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6.</w:t>
            </w:r>
            <w:r>
              <w:rPr>
                <w:rFonts w:hint="eastAsia" w:ascii="宋体" w:hAnsi="宋体" w:eastAsia="宋体"/>
                <w:color w:val="auto"/>
                <w:sz w:val="24"/>
                <w:highlight w:val="none"/>
                <w:lang w:eastAsia="zh-CN"/>
              </w:rPr>
              <w:t xml:space="preserve"> ▲</w:t>
            </w:r>
            <w:r>
              <w:rPr>
                <w:rFonts w:hint="eastAsia" w:ascii="宋体" w:hAnsi="宋体" w:eastAsia="宋体"/>
                <w:bCs/>
                <w:color w:val="auto"/>
                <w:kern w:val="0"/>
                <w:sz w:val="24"/>
                <w:highlight w:val="none"/>
                <w:lang w:eastAsia="zh-CN"/>
              </w:rPr>
              <w:t>提供3年硬件原厂维保，需提供原厂售后服务承诺函并加盖公章</w:t>
            </w:r>
            <w:r>
              <w:rPr>
                <w:rFonts w:hint="eastAsia" w:ascii="宋体" w:hAnsi="宋体" w:eastAsia="宋体"/>
                <w:bCs/>
                <w:color w:val="auto"/>
                <w:kern w:val="0"/>
                <w:sz w:val="24"/>
                <w:highlight w:val="none"/>
              </w:rPr>
              <w:t>。</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20</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核心</w:t>
            </w:r>
            <w:r>
              <w:rPr>
                <w:rFonts w:hint="eastAsia" w:ascii="宋体" w:hAnsi="宋体" w:eastAsia="宋体"/>
                <w:bCs/>
                <w:color w:val="auto"/>
                <w:kern w:val="0"/>
                <w:sz w:val="24"/>
                <w:highlight w:val="none"/>
              </w:rPr>
              <w:t>交换机</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1.交换容量≥500Tbps，包转发率≥28000Mpps；</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2.主控引擎与交换网板物理分离,主控引擎≥2,独立交换网板≥4,整机业务板槽位数≥8</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3.为保证设备散热效果和可靠性，1+1冗余风扇框；</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5.支持RIP、OSPF、ISIS、BGP4等动态路由协议；</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6.支持MPLS VPN</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7.支持VxLAN功能，支持VxLAN二层网桥、三层网关</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8.配置：冗余主控，交换网板≥4，电源模块≥4，万兆光口≥48个，千兆电口≥48，40G光口≥24，5米40G堆叠线缆模块≥1个</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 xml:space="preserve">9. </w:t>
            </w:r>
            <w:r>
              <w:rPr>
                <w:rFonts w:hint="eastAsia" w:ascii="宋体" w:hAnsi="宋体" w:eastAsia="宋体"/>
                <w:color w:val="auto"/>
                <w:sz w:val="24"/>
                <w:highlight w:val="none"/>
                <w:lang w:eastAsia="zh-CN"/>
              </w:rPr>
              <w:t>▲</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21</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TOR交换机</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1.交换容量≥2.5T，包转发率≥1200Mpps；</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2.为了提高设备可靠性，配置≥2个模块化可插拔电源；</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3.为了提高设备散热性能，配置≥2个可插拔风扇框；</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4.配置万兆光口≥24个，40G光口≥2个，1米40G堆叠线缆模块≥1个;</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5.</w:t>
            </w:r>
            <w:r>
              <w:rPr>
                <w:rFonts w:hint="eastAsia" w:ascii="宋体" w:hAnsi="宋体" w:eastAsia="宋体"/>
                <w:color w:val="auto"/>
                <w:sz w:val="24"/>
                <w:highlight w:val="none"/>
                <w:lang w:eastAsia="zh-CN"/>
              </w:rPr>
              <w:t xml:space="preserve"> ▲</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22</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汇聚管理交换机</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1.交换容量≥400Gbps，包转发率≥100Mpps</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2.端口配置：千兆SFP光口≥24个，万兆光口≥4个；</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3.支持静态路由、RIP v1/v2、OSPF</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4.配置冗余双电源</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5.</w:t>
            </w:r>
            <w:r>
              <w:rPr>
                <w:rFonts w:hint="eastAsia" w:ascii="宋体" w:hAnsi="宋体" w:eastAsia="宋体"/>
                <w:color w:val="auto"/>
                <w:sz w:val="24"/>
                <w:highlight w:val="none"/>
                <w:lang w:eastAsia="zh-CN"/>
              </w:rPr>
              <w:t xml:space="preserve"> ▲</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23</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管理</w:t>
            </w:r>
            <w:r>
              <w:rPr>
                <w:rFonts w:hint="eastAsia" w:ascii="宋体" w:hAnsi="宋体" w:eastAsia="宋体"/>
                <w:bCs/>
                <w:color w:val="auto"/>
                <w:kern w:val="0"/>
                <w:sz w:val="24"/>
                <w:highlight w:val="none"/>
              </w:rPr>
              <w:t>交换机</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1.固化交流电源和风扇；</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2.配置10/100/1000Mbps自适应电口≥24个，千兆光口≥2个</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3.</w:t>
            </w:r>
            <w:r>
              <w:rPr>
                <w:rFonts w:hint="eastAsia" w:ascii="宋体" w:hAnsi="宋体" w:eastAsia="宋体"/>
                <w:color w:val="auto"/>
                <w:sz w:val="24"/>
                <w:highlight w:val="none"/>
                <w:lang w:eastAsia="zh-CN"/>
              </w:rPr>
              <w:t xml:space="preserve"> ▲</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24</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数据库审计</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1.配置千兆电口≥4个</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2.配置硬盘≥2TB</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3.审计性能：峰值SQL处理能力≥15,000条/秒；</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4.旁路部署模式下无须在被审计数据库系统上安装任何代理即可实现审计；</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5.支持将审计日志和告警日志外送</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6.支持Oracle、SQL Server、DB2、Informix、Sybase、MySQL、PostgreSQL、Cache、达梦等主流数据库审计</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7.支持数据库操作表、视图、索引、存储过程等各种对象的所有SQL操作审计；支持数据库请求和返回字段和结果集、返回行数、执行时长等内容的双向审计</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8.支持基于数据库访问日期、时间、源/目的IP、来源、数据库名、数据库表名、字段值、数据库登录账号、SQL关键词、数据库返回码、SQL响应时间、数据库操作类型、影响行数等条件的审计查询</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9.</w:t>
            </w:r>
            <w:r>
              <w:rPr>
                <w:rFonts w:hint="eastAsia" w:ascii="宋体" w:hAnsi="宋体" w:eastAsia="宋体"/>
                <w:color w:val="auto"/>
                <w:sz w:val="24"/>
                <w:highlight w:val="none"/>
                <w:lang w:eastAsia="zh-CN"/>
              </w:rPr>
              <w:t xml:space="preserve"> ▲</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25</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数据中心</w:t>
            </w:r>
            <w:r>
              <w:rPr>
                <w:rFonts w:hint="eastAsia" w:ascii="宋体" w:hAnsi="宋体" w:eastAsia="宋体"/>
                <w:bCs/>
                <w:color w:val="auto"/>
                <w:kern w:val="0"/>
                <w:sz w:val="24"/>
                <w:highlight w:val="none"/>
              </w:rPr>
              <w:t>防火墙</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1.千兆电口≥4，千兆光口≥8，万兆光口≥8</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2.配置冗余双电源</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3.具备虚拟防火墙功能</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4.具备病毒防护能力；</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5.具备入侵检测能力；</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6.支持静态路由、RIP、OSPF等路由协议</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7.三层吞吐量≥35Gbps</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8.含病毒库和入侵防御特征库3年</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ascii="宋体" w:hAnsi="宋体" w:eastAsia="宋体"/>
                <w:bCs/>
                <w:color w:val="auto"/>
                <w:kern w:val="0"/>
                <w:sz w:val="24"/>
                <w:highlight w:val="none"/>
                <w:lang w:eastAsia="zh-CN"/>
              </w:rPr>
              <w:t>9.</w:t>
            </w:r>
            <w:r>
              <w:rPr>
                <w:rFonts w:hint="eastAsia" w:ascii="宋体" w:hAnsi="宋体" w:eastAsia="宋体"/>
                <w:color w:val="auto"/>
                <w:sz w:val="24"/>
                <w:highlight w:val="none"/>
                <w:lang w:eastAsia="zh-CN"/>
              </w:rPr>
              <w:t>▲</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26</w:t>
            </w:r>
          </w:p>
        </w:tc>
        <w:tc>
          <w:tcPr>
            <w:tcW w:w="1432" w:type="dxa"/>
            <w:gridSpan w:val="2"/>
            <w:tcBorders>
              <w:top w:val="single" w:color="auto" w:sz="4" w:space="0"/>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安全态势感知及探针系统</w:t>
            </w:r>
          </w:p>
        </w:tc>
        <w:tc>
          <w:tcPr>
            <w:tcW w:w="6388" w:type="dxa"/>
            <w:gridSpan w:val="2"/>
            <w:tcBorders>
              <w:top w:val="single" w:color="auto" w:sz="4" w:space="0"/>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w:t>
            </w:r>
            <w:r>
              <w:rPr>
                <w:rFonts w:ascii="宋体" w:hAnsi="宋体" w:eastAsia="宋体"/>
                <w:bCs/>
                <w:color w:val="auto"/>
                <w:kern w:val="0"/>
                <w:sz w:val="24"/>
                <w:highlight w:val="none"/>
                <w:lang w:eastAsia="zh-CN"/>
              </w:rPr>
              <w:t>.</w:t>
            </w:r>
            <w:r>
              <w:rPr>
                <w:rFonts w:hint="eastAsia" w:ascii="宋体" w:hAnsi="宋体" w:eastAsia="宋体"/>
                <w:bCs/>
                <w:color w:val="auto"/>
                <w:kern w:val="0"/>
                <w:sz w:val="24"/>
                <w:highlight w:val="none"/>
                <w:lang w:eastAsia="zh-CN"/>
              </w:rPr>
              <w:t>支持采集第三方系统以及安全设备的syslog日志；</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2.支持采集网络/安全设备上报的Netflow或Sflow日志；</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3.支持网络流量特征数据Netflow或Sflow日志生成，用于发现网络中资产之间的异常访问；</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4.配置监控节点数授权≥150个</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5.可对日志和流量数据进行收集、通过针对日志、安全事件的实时关联分析，提供全面的安全评估、安全分析与安全威胁等</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6.服务器1套, 配置内存≥128G，配置硬盘≥12TB</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7.探针配置千兆电口≥6个；</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8.探针网络处理能力≥1Gbps，最大并发连接数≥100万，每秒新建≥1万；</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9.探针支持多种攻击检测，会话还原，流量深度分析能力；</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10.探针多维度纵深检测，提供对多种高级攻击的最佳检测率和低误判率；</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11.软件含威胁防护特征库3年license</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ascii="宋体" w:hAnsi="宋体" w:eastAsia="宋体"/>
                <w:color w:val="auto"/>
                <w:sz w:val="24"/>
                <w:highlight w:val="none"/>
                <w:lang w:eastAsia="zh-CN"/>
              </w:rPr>
              <w:t>12.</w:t>
            </w:r>
            <w:r>
              <w:rPr>
                <w:rFonts w:hint="eastAsia" w:ascii="宋体" w:hAnsi="宋体" w:eastAsia="宋体"/>
                <w:color w:val="auto"/>
                <w:sz w:val="24"/>
                <w:highlight w:val="none"/>
                <w:lang w:eastAsia="zh-CN"/>
              </w:rPr>
              <w:t>▲</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single" w:color="auto" w:sz="4" w:space="0"/>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27</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漏洞扫描</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1.配置系统扫描、Web扫描、数据库扫描、弱口令扫描；</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2.支持资产自动发现功能，支持利用历史扫描过程中所发现的在线主机信息，来添加资产</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3.标配千兆电口≥6个，扩展槽≥1个；</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4.配置可扫描IP地址≥500，支持多线程并发扫描</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5.支持60000条以上系统特征库，支持特征库涵盖标准包含CVE、CVSS、CNVID、CNNVD、CNCVE、Bugtraq；</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6.支持SSH、SMB、TELNET、POP、POP3、IMAP、SNMP、RDP等知名协议的登录扫描；</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7.支持三种漏洞验证方式：浏览器验证、注入验证、通用验证</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8.软件3年升级功能</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ascii="宋体" w:hAnsi="宋体" w:eastAsia="宋体"/>
                <w:bCs/>
                <w:color w:val="auto"/>
                <w:kern w:val="0"/>
                <w:sz w:val="24"/>
                <w:highlight w:val="none"/>
                <w:lang w:eastAsia="zh-CN"/>
              </w:rPr>
              <w:t>9.</w:t>
            </w:r>
            <w:r>
              <w:rPr>
                <w:rFonts w:hint="eastAsia" w:ascii="宋体" w:hAnsi="宋体" w:eastAsia="宋体"/>
                <w:color w:val="auto"/>
                <w:sz w:val="24"/>
                <w:highlight w:val="none"/>
                <w:lang w:eastAsia="zh-CN"/>
              </w:rPr>
              <w:t>▲</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28</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入侵检测</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1.配置1个Console口，配置千兆电口≥6个，万兆光口≥2个，全威胁吞吐≥6Gbps</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2.本次投标产品必须为标准机架的专业IPS设备，不能提供防火墙或UTM的IPS功能</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3.支持透明模式、路由模式、旁路检测、旁路阻断等部署形式</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4.支持静态路由、策略路由，OSFP等路由</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5.支持入侵防护，DoS攻击防护；</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6.系统预定义入侵防御签名库数量不得少于7500条，支持用户自定义签名规则，支持正则表达式</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7.支持安全威胁的分析报表，支持导出报表</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8.软件IPS功能授权3年</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ascii="宋体" w:hAnsi="宋体" w:eastAsia="宋体"/>
                <w:bCs/>
                <w:color w:val="auto"/>
                <w:kern w:val="0"/>
                <w:sz w:val="24"/>
                <w:highlight w:val="none"/>
                <w:lang w:eastAsia="zh-CN"/>
              </w:rPr>
              <w:t>9.</w:t>
            </w:r>
            <w:r>
              <w:rPr>
                <w:rFonts w:hint="eastAsia" w:ascii="宋体" w:hAnsi="宋体" w:eastAsia="宋体"/>
                <w:color w:val="auto"/>
                <w:sz w:val="24"/>
                <w:highlight w:val="none"/>
                <w:lang w:eastAsia="zh-CN"/>
              </w:rPr>
              <w:t>▲</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29</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堡垒机</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1.专用千兆硬件平台，千兆电口≥4个</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2.1+1冗余电源；</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3.支持用户多角色划分功能，对各类角色需要进行细粒度的权限管理</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4.支持常用的运维协议：SSH、TELNET、RDP、VNC、FTP、SFTP、rlogin</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5.可通过应用发布的方式进行协议扩展，如数据库Oracle、MSSQL、VMware vSphere Client、浏览器等客户端工具；</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6.支持系统日志报表统计功能，包括但不限于登录日志统计、配置日志统计、运维访问日志统计等，可以导出报表</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7.授权管理设备≥500，配套服务器1套，硬盘≥4T</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8.</w:t>
            </w:r>
            <w:r>
              <w:rPr>
                <w:rFonts w:hint="eastAsia" w:ascii="宋体" w:hAnsi="宋体" w:eastAsia="宋体"/>
                <w:color w:val="auto"/>
                <w:sz w:val="24"/>
                <w:highlight w:val="none"/>
                <w:lang w:eastAsia="zh-CN"/>
              </w:rPr>
              <w:t>▲</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30</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认证系统</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1.提供标准AAA能力，支持802.1X，MAC，Portal认证；</w:t>
            </w:r>
            <w:r>
              <w:rPr>
                <w:rFonts w:hint="eastAsia" w:ascii="宋体" w:hAnsi="宋体" w:eastAsia="宋体"/>
                <w:bCs/>
                <w:color w:val="auto"/>
                <w:kern w:val="0"/>
                <w:sz w:val="24"/>
                <w:highlight w:val="none"/>
              </w:rPr>
              <w:br w:type="textWrapping"/>
            </w:r>
            <w:r>
              <w:rPr>
                <w:rFonts w:hint="eastAsia" w:ascii="宋体" w:hAnsi="宋体" w:eastAsia="宋体"/>
                <w:bCs/>
                <w:color w:val="auto"/>
                <w:kern w:val="0"/>
                <w:sz w:val="24"/>
                <w:highlight w:val="none"/>
              </w:rPr>
              <w:t>2.支持PAP、CHAP、MS-CHAPV1/V2、EAP-MD5、EAP-TLS、PEAP(MsCHAP V2/ GTC/MD5)、证书认证等多种身份验证；</w:t>
            </w:r>
            <w:r>
              <w:rPr>
                <w:rFonts w:hint="eastAsia" w:ascii="宋体" w:hAnsi="宋体" w:eastAsia="宋体"/>
                <w:bCs/>
                <w:color w:val="auto"/>
                <w:kern w:val="0"/>
                <w:sz w:val="24"/>
                <w:highlight w:val="none"/>
              </w:rPr>
              <w:br w:type="textWrapping"/>
            </w:r>
            <w:r>
              <w:rPr>
                <w:rFonts w:hint="eastAsia" w:ascii="宋体" w:hAnsi="宋体" w:eastAsia="宋体"/>
                <w:bCs/>
                <w:color w:val="auto"/>
                <w:kern w:val="0"/>
                <w:sz w:val="24"/>
                <w:highlight w:val="none"/>
              </w:rPr>
              <w:t>3.配置3000个终端准入管理授权License，软件升级3年。</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31</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外网</w:t>
            </w:r>
            <w:r>
              <w:rPr>
                <w:rFonts w:hint="eastAsia" w:ascii="宋体" w:hAnsi="宋体" w:eastAsia="宋体"/>
                <w:bCs/>
                <w:color w:val="auto"/>
                <w:kern w:val="0"/>
                <w:sz w:val="24"/>
                <w:highlight w:val="none"/>
              </w:rPr>
              <w:t>核心交换机</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1.交换容量≥70Tbps，包转发率≥8000Mpps；</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2.主控引擎≥2,整机业务板槽位数≥6</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3.为保证设备散热效果和可靠性，配置1+1冗余风扇；</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4.支持RIP、OSPF、ISIS、BGP4等动态路由协议；</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5.支持VxLAN功能，支持VxLAN二层网桥、三层网关</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6.配置：冗余主控，电源模块≥2，万兆光口≥48个，千兆电口≥48，5米万兆堆叠线缆模块≥1个</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7.</w:t>
            </w:r>
            <w:r>
              <w:rPr>
                <w:rFonts w:hint="eastAsia" w:ascii="宋体" w:hAnsi="宋体" w:eastAsia="宋体"/>
                <w:color w:val="auto"/>
                <w:sz w:val="24"/>
                <w:highlight w:val="none"/>
                <w:lang w:eastAsia="zh-CN"/>
              </w:rPr>
              <w:t>▲</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32</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外网</w:t>
            </w:r>
            <w:r>
              <w:rPr>
                <w:rFonts w:hint="eastAsia" w:ascii="宋体" w:hAnsi="宋体" w:eastAsia="宋体"/>
                <w:bCs/>
                <w:color w:val="auto"/>
                <w:kern w:val="0"/>
                <w:sz w:val="24"/>
                <w:highlight w:val="none"/>
              </w:rPr>
              <w:t>防火墙</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1.千兆电口≥4，千兆光口≥2，万兆光口≥2，三层吞吐量≥2Gbps</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2.配置冗余双电源</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3.具备应用识别和管控能力；</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4.具备入侵检测能力；</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5.含病毒库和入侵防御特征库3年</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ascii="宋体" w:hAnsi="宋体" w:eastAsia="宋体"/>
                <w:bCs/>
                <w:color w:val="auto"/>
                <w:kern w:val="0"/>
                <w:sz w:val="24"/>
                <w:highlight w:val="none"/>
                <w:lang w:eastAsia="zh-CN"/>
              </w:rPr>
              <w:t>6.</w:t>
            </w:r>
            <w:r>
              <w:rPr>
                <w:rFonts w:hint="eastAsia" w:ascii="宋体" w:hAnsi="宋体" w:eastAsia="宋体"/>
                <w:color w:val="auto"/>
                <w:sz w:val="24"/>
                <w:highlight w:val="none"/>
                <w:lang w:eastAsia="zh-CN"/>
              </w:rPr>
              <w:t>▲</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33</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院区</w:t>
            </w:r>
            <w:r>
              <w:rPr>
                <w:rFonts w:hint="eastAsia" w:ascii="宋体" w:hAnsi="宋体" w:eastAsia="宋体"/>
                <w:bCs/>
                <w:color w:val="auto"/>
                <w:kern w:val="0"/>
                <w:sz w:val="24"/>
                <w:highlight w:val="none"/>
              </w:rPr>
              <w:t>内网路由器</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1.支持包转发率≥9Mpps</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2.设备端口配置，千兆光口≥4个，千兆电口≥4个；</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3.支持RIP、OSPF、Static routing等路由协议；</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4.</w:t>
            </w:r>
            <w:r>
              <w:rPr>
                <w:rFonts w:hint="eastAsia" w:ascii="宋体" w:hAnsi="宋体" w:eastAsia="宋体"/>
                <w:color w:val="auto"/>
                <w:sz w:val="24"/>
                <w:highlight w:val="none"/>
                <w:lang w:eastAsia="zh-CN"/>
              </w:rPr>
              <w:t>▲</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34</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院区</w:t>
            </w:r>
            <w:r>
              <w:rPr>
                <w:rFonts w:hint="eastAsia" w:ascii="宋体" w:hAnsi="宋体" w:eastAsia="宋体"/>
                <w:bCs/>
                <w:color w:val="auto"/>
                <w:kern w:val="0"/>
                <w:sz w:val="24"/>
                <w:highlight w:val="none"/>
              </w:rPr>
              <w:t>内网防火墙</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1.千兆电口≥4，千兆光口≥4，三层吞吐量≥2Gbps</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2.配置冗余双电源</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3.具备应用识别和管控能力；</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4.具备入侵防御能力；</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5.具备病毒防护能力</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6.含病毒库和入侵防御特征库3年</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ascii="宋体" w:hAnsi="宋体" w:eastAsia="宋体"/>
                <w:bCs/>
                <w:color w:val="auto"/>
                <w:kern w:val="0"/>
                <w:sz w:val="24"/>
                <w:highlight w:val="none"/>
                <w:lang w:eastAsia="zh-CN"/>
              </w:rPr>
              <w:t>7.</w:t>
            </w:r>
            <w:r>
              <w:rPr>
                <w:rFonts w:hint="eastAsia" w:ascii="宋体" w:hAnsi="宋体" w:eastAsia="宋体"/>
                <w:color w:val="auto"/>
                <w:sz w:val="24"/>
                <w:highlight w:val="none"/>
                <w:lang w:eastAsia="zh-CN"/>
              </w:rPr>
              <w:t>▲</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35</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院区</w:t>
            </w:r>
            <w:r>
              <w:rPr>
                <w:rFonts w:hint="eastAsia" w:ascii="宋体" w:hAnsi="宋体" w:eastAsia="宋体"/>
                <w:bCs/>
                <w:color w:val="auto"/>
                <w:kern w:val="0"/>
                <w:sz w:val="24"/>
                <w:highlight w:val="none"/>
              </w:rPr>
              <w:t>内网核心交换机</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1.交换容量≥38Tbps，包转发率≥7000Mpps；</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2.主控引擎≥2,整机业务板槽位数≥3</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3.为保证设备散热效果和可靠性，配置1+1冗余风扇；</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4.支持RIP、OSPF、ISIS、BGP4等动态路由协议；</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5.支持VxLAN功能，支持VxLAN二层网桥、三层网关</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6.配置：冗余主控，冗余电源模块≥2，万兆光口≥48个，千兆电口≥48，5米万兆堆叠线缆模块≥1个</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7.</w:t>
            </w:r>
            <w:r>
              <w:rPr>
                <w:rFonts w:hint="eastAsia" w:ascii="宋体" w:hAnsi="宋体" w:eastAsia="宋体"/>
                <w:color w:val="auto"/>
                <w:sz w:val="24"/>
                <w:highlight w:val="none"/>
                <w:lang w:eastAsia="zh-CN"/>
              </w:rPr>
              <w:t>▲</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36</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院区</w:t>
            </w:r>
            <w:r>
              <w:rPr>
                <w:rFonts w:hint="eastAsia" w:ascii="宋体" w:hAnsi="宋体" w:eastAsia="宋体"/>
                <w:bCs/>
                <w:color w:val="auto"/>
                <w:kern w:val="0"/>
                <w:sz w:val="24"/>
                <w:highlight w:val="none"/>
              </w:rPr>
              <w:t>内网汇聚交换机</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1.交换容量≥700Gbps，包转发率≥250Mpps</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2.端口配置：千兆SFP光口≥48个，万兆光口≥4个；</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3.支持静态路由、RIP v1/v2、OSPF</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4.配置冗余双电源</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5.</w:t>
            </w:r>
            <w:r>
              <w:rPr>
                <w:rFonts w:hint="eastAsia" w:ascii="宋体" w:hAnsi="宋体" w:eastAsia="宋体"/>
                <w:color w:val="auto"/>
                <w:sz w:val="24"/>
                <w:highlight w:val="none"/>
                <w:lang w:eastAsia="zh-CN"/>
              </w:rPr>
              <w:t>▲</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37</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院区</w:t>
            </w:r>
            <w:r>
              <w:rPr>
                <w:rFonts w:hint="eastAsia" w:ascii="宋体" w:hAnsi="宋体" w:eastAsia="宋体"/>
                <w:bCs/>
                <w:color w:val="auto"/>
                <w:kern w:val="0"/>
                <w:sz w:val="24"/>
                <w:highlight w:val="none"/>
              </w:rPr>
              <w:t>内网接入交换机</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1.交换容量≥400Gbps，包转发率≥87Mpps；</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2.端口配置：千兆电口≥48个，千兆SFP光口≥4个</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3.支持SNMP v1/v2c/v3、CLI（命令行）、Web、SSHv2.0 等多样化的管理和维护方式；</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4.</w:t>
            </w:r>
            <w:r>
              <w:rPr>
                <w:rFonts w:hint="eastAsia" w:ascii="宋体" w:hAnsi="宋体" w:eastAsia="宋体"/>
                <w:color w:val="auto"/>
                <w:sz w:val="24"/>
                <w:highlight w:val="none"/>
                <w:lang w:eastAsia="zh-CN"/>
              </w:rPr>
              <w:t>▲</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3</w:t>
            </w:r>
            <w:r>
              <w:rPr>
                <w:rFonts w:hint="eastAsia" w:ascii="宋体" w:hAnsi="宋体" w:eastAsia="宋体"/>
                <w:bCs/>
                <w:color w:val="auto"/>
                <w:kern w:val="0"/>
                <w:sz w:val="24"/>
                <w:highlight w:val="none"/>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38</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院区</w:t>
            </w:r>
            <w:r>
              <w:rPr>
                <w:rFonts w:hint="eastAsia" w:ascii="宋体" w:hAnsi="宋体" w:eastAsia="宋体"/>
                <w:bCs/>
                <w:color w:val="auto"/>
                <w:kern w:val="0"/>
                <w:sz w:val="24"/>
                <w:highlight w:val="none"/>
              </w:rPr>
              <w:t>外网防火墙</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1.千兆电口≥4，千兆光口≥2，万兆光口≥2，三层吞吐量≥2Gbps</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2.配置冗余双电源</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3.具备应用识别和管控能力；</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4.具备入侵检测能力；</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5.含病毒库和入侵防御特征库3年</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ascii="宋体" w:hAnsi="宋体" w:eastAsia="宋体"/>
                <w:bCs/>
                <w:color w:val="auto"/>
                <w:kern w:val="0"/>
                <w:sz w:val="24"/>
                <w:highlight w:val="none"/>
                <w:lang w:eastAsia="zh-CN"/>
              </w:rPr>
              <w:t>6.</w:t>
            </w:r>
            <w:r>
              <w:rPr>
                <w:rFonts w:hint="eastAsia" w:ascii="宋体" w:hAnsi="宋体" w:eastAsia="宋体"/>
                <w:color w:val="auto"/>
                <w:sz w:val="24"/>
                <w:highlight w:val="none"/>
                <w:lang w:eastAsia="zh-CN"/>
              </w:rPr>
              <w:t>▲</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39</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桌面终端管理及准入</w:t>
            </w:r>
          </w:p>
        </w:tc>
        <w:tc>
          <w:tcPr>
            <w:tcW w:w="6388" w:type="dxa"/>
            <w:gridSpan w:val="2"/>
            <w:tcBorders>
              <w:top w:val="nil"/>
              <w:left w:val="nil"/>
              <w:bottom w:val="single" w:color="auto" w:sz="4" w:space="0"/>
              <w:right w:val="single" w:color="auto" w:sz="4" w:space="0"/>
            </w:tcBorders>
          </w:tcPr>
          <w:p>
            <w:pPr>
              <w:pStyle w:val="201"/>
              <w:widowControl/>
              <w:numPr>
                <w:ilvl w:val="0"/>
                <w:numId w:val="39"/>
              </w:numPr>
              <w:autoSpaceDE/>
              <w:autoSpaceDN/>
              <w:spacing w:before="6" w:line="360" w:lineRule="auto"/>
              <w:ind w:left="420" w:right="105" w:rightChars="50" w:hanging="42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1U硬件设备</w:t>
            </w:r>
          </w:p>
          <w:p>
            <w:pPr>
              <w:pStyle w:val="201"/>
              <w:widowControl/>
              <w:numPr>
                <w:ilvl w:val="0"/>
                <w:numId w:val="39"/>
              </w:numPr>
              <w:autoSpaceDE/>
              <w:autoSpaceDN/>
              <w:spacing w:before="6" w:line="360" w:lineRule="auto"/>
              <w:ind w:left="420" w:right="105" w:rightChars="50" w:hanging="42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≥1TB固态硬盘</w:t>
            </w:r>
          </w:p>
          <w:p>
            <w:pPr>
              <w:pStyle w:val="201"/>
              <w:widowControl/>
              <w:numPr>
                <w:ilvl w:val="0"/>
                <w:numId w:val="39"/>
              </w:numPr>
              <w:autoSpaceDE/>
              <w:autoSpaceDN/>
              <w:spacing w:before="6" w:line="360" w:lineRule="auto"/>
              <w:ind w:left="420" w:right="105" w:rightChars="50" w:hanging="42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≥8G内存</w:t>
            </w:r>
          </w:p>
          <w:p>
            <w:pPr>
              <w:pStyle w:val="201"/>
              <w:widowControl/>
              <w:numPr>
                <w:ilvl w:val="0"/>
                <w:numId w:val="39"/>
              </w:numPr>
              <w:autoSpaceDE/>
              <w:autoSpaceDN/>
              <w:spacing w:before="6" w:line="360" w:lineRule="auto"/>
              <w:ind w:left="420" w:right="105" w:rightChars="50" w:hanging="42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≥6个千兆电口</w:t>
            </w:r>
          </w:p>
          <w:p>
            <w:pPr>
              <w:pStyle w:val="201"/>
              <w:widowControl/>
              <w:numPr>
                <w:ilvl w:val="0"/>
                <w:numId w:val="39"/>
              </w:numPr>
              <w:autoSpaceDE/>
              <w:autoSpaceDN/>
              <w:spacing w:before="6" w:line="360" w:lineRule="auto"/>
              <w:ind w:left="420" w:right="105" w:rightChars="50" w:hanging="42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支持干路、旁路、策略路由等模式， 具备网络准入、安全检测功能，包括网络接入控制、合规检测、网络资产测绘等功能、配置≥200点授权 ；</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40</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rPr>
            </w:pPr>
            <w:r>
              <w:rPr>
                <w:rFonts w:hint="eastAsia" w:ascii="宋体" w:hAnsi="宋体" w:eastAsia="宋体"/>
                <w:bCs/>
                <w:color w:val="auto"/>
                <w:kern w:val="0"/>
                <w:sz w:val="24"/>
                <w:highlight w:val="none"/>
              </w:rPr>
              <w:t>杀毒及虚拟补丁</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客户机端安全漏洞防护及杀毒软件。虚拟补丁为插件版本，开启客户机虚拟补丁功能，通过漏洞防护规则，在机器不重启，没有补丁更新的情况下帮助客户端防护零日漏洞，阻止漏洞利用。提供3年虚拟补丁更新及杀毒软件升级服务</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41</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上网行为管理</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1.硬件规格：专用硬件平台。提供不少于2个USB接口，10个千兆电口，4个千兆Combo接口（光电复用），1T硬盘。</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2.产品性能：网络层吞吐不少于2G，每秒新建连接数不少于4k，最大并发连接数不少于10W；</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3.产品服务：含3年URL&amp;应用识别规则库升级；</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4.</w:t>
            </w:r>
            <w:r>
              <w:rPr>
                <w:rFonts w:hint="eastAsia" w:ascii="宋体" w:hAnsi="宋体" w:eastAsia="宋体"/>
                <w:color w:val="auto"/>
                <w:sz w:val="24"/>
                <w:highlight w:val="none"/>
                <w:lang w:eastAsia="zh-CN"/>
              </w:rPr>
              <w:t>▲</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42</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院区</w:t>
            </w:r>
            <w:r>
              <w:rPr>
                <w:rFonts w:hint="eastAsia" w:ascii="宋体" w:hAnsi="宋体" w:eastAsia="宋体"/>
                <w:bCs/>
                <w:color w:val="auto"/>
                <w:kern w:val="0"/>
                <w:sz w:val="24"/>
                <w:highlight w:val="none"/>
              </w:rPr>
              <w:t>外网核心交换机</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1.交换容量≥38Tbps，包转发率≥7000Mpps；</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2.主控引擎≥2,整机业务板槽位数≥3</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3.为保证设备散热效果和可靠性，配置1+1冗余风扇；</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4.支持RIP、OSPF、ISIS、BGP4等动态路由协议；</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5.支持VxLAN功能，支持VxLAN二层网桥、三层网关</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6.配置：冗余主控，冗余电源模块≥2，万兆光口≥4个，千兆光口≥20个</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7.</w:t>
            </w:r>
            <w:r>
              <w:rPr>
                <w:rFonts w:hint="eastAsia" w:ascii="宋体" w:hAnsi="宋体" w:eastAsia="宋体"/>
                <w:color w:val="auto"/>
                <w:sz w:val="24"/>
                <w:highlight w:val="none"/>
                <w:lang w:eastAsia="zh-CN"/>
              </w:rPr>
              <w:t>▲</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43</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院区</w:t>
            </w:r>
            <w:r>
              <w:rPr>
                <w:rFonts w:hint="eastAsia" w:ascii="宋体" w:hAnsi="宋体" w:eastAsia="宋体"/>
                <w:bCs/>
                <w:color w:val="auto"/>
                <w:kern w:val="0"/>
                <w:sz w:val="24"/>
                <w:highlight w:val="none"/>
              </w:rPr>
              <w:t>外网接入交换机</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1.交换容量≥400Gbps，包转发率≥87Mpps；</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2.端口配置：千兆电口≥48个，千兆SFP光口≥4个</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3.支持SNMP v1/v2c/v3、CLI（命令行）、Web、SSHv2.0 等多样化的管理和维护方式；</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4.</w:t>
            </w:r>
            <w:r>
              <w:rPr>
                <w:rFonts w:hint="eastAsia" w:ascii="宋体" w:hAnsi="宋体" w:eastAsia="宋体"/>
                <w:color w:val="auto"/>
                <w:sz w:val="24"/>
                <w:highlight w:val="none"/>
                <w:lang w:eastAsia="zh-CN"/>
              </w:rPr>
              <w:t>▲</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44</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院区</w:t>
            </w:r>
            <w:r>
              <w:rPr>
                <w:rFonts w:hint="eastAsia" w:ascii="宋体" w:hAnsi="宋体" w:eastAsia="宋体"/>
                <w:bCs/>
                <w:color w:val="auto"/>
                <w:kern w:val="0"/>
                <w:sz w:val="24"/>
                <w:highlight w:val="none"/>
              </w:rPr>
              <w:t>无线汇聚交换机</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1.交换容量≥700Gbps，包转发率≥200Mpps</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2.端口配置：千兆SFP光口≥24个，万兆光口≥4个；</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3.支持静态路由、RIP v1/v2、OSPF</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4.配置冗余双电源</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5.</w:t>
            </w:r>
            <w:r>
              <w:rPr>
                <w:rFonts w:hint="eastAsia" w:ascii="宋体" w:hAnsi="宋体" w:eastAsia="宋体"/>
                <w:color w:val="auto"/>
                <w:sz w:val="24"/>
                <w:highlight w:val="none"/>
                <w:lang w:eastAsia="zh-CN"/>
              </w:rPr>
              <w:t>▲</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45</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院区</w:t>
            </w:r>
            <w:r>
              <w:rPr>
                <w:rFonts w:hint="eastAsia" w:ascii="宋体" w:hAnsi="宋体" w:eastAsia="宋体"/>
                <w:bCs/>
                <w:color w:val="auto"/>
                <w:kern w:val="0"/>
                <w:sz w:val="24"/>
                <w:highlight w:val="none"/>
              </w:rPr>
              <w:t>无线接入交换机</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jc w:val="left"/>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1.交换容量≥336Gbps，包转发率≥51Mpps；</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2.端口配置：千兆电口≥24个，千兆SFP光口≥4个</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3.24个电口支持PoE和PoE+供电；</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4.支持SNMP v1/v2c/v3、CLI（命令行）、Web、SSHv2.0 等多样化的管理和维护方式；</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5.</w:t>
            </w:r>
            <w:r>
              <w:rPr>
                <w:rFonts w:hint="eastAsia" w:ascii="宋体" w:hAnsi="宋体" w:eastAsia="宋体"/>
                <w:color w:val="auto"/>
                <w:sz w:val="24"/>
                <w:highlight w:val="none"/>
                <w:lang w:eastAsia="zh-CN"/>
              </w:rPr>
              <w:t>▲</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46</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院区</w:t>
            </w:r>
            <w:r>
              <w:rPr>
                <w:rFonts w:hint="eastAsia" w:ascii="宋体" w:hAnsi="宋体" w:eastAsia="宋体"/>
                <w:bCs/>
                <w:color w:val="auto"/>
                <w:kern w:val="0"/>
                <w:sz w:val="24"/>
                <w:highlight w:val="none"/>
              </w:rPr>
              <w:t>无线控制器</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1.单台AC最大管理AP数量≥300，单台AC最大接入用户数量≥7K；</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2.单台AC配置：万兆光口≥2个，千兆电口≥8个；</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3.支持MAC 地址认证、802.1x认证、Portal认证、MAC+Portal混合认证；</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4.支持WPA标准、WEP(WEP64/WEP128)、TKIP、CCMP；</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5.内置Portal/AAA服务器，可为用户提供Portal认证/802.1X服务；</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6.配置≥128个AP管理授权</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7.</w:t>
            </w:r>
            <w:r>
              <w:rPr>
                <w:rFonts w:hint="eastAsia" w:ascii="宋体" w:hAnsi="宋体" w:eastAsia="宋体"/>
                <w:color w:val="auto"/>
                <w:sz w:val="24"/>
                <w:highlight w:val="none"/>
                <w:lang w:eastAsia="zh-CN"/>
              </w:rPr>
              <w:t>▲</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47</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院区</w:t>
            </w:r>
            <w:r>
              <w:rPr>
                <w:rFonts w:hint="eastAsia" w:ascii="宋体" w:hAnsi="宋体" w:eastAsia="宋体"/>
                <w:bCs/>
                <w:color w:val="auto"/>
                <w:kern w:val="0"/>
                <w:sz w:val="24"/>
                <w:highlight w:val="none"/>
              </w:rPr>
              <w:t>吸顶AP</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1.支持802.11ax标准，支持2.4GHz/5GHz双频段；</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2.支持双射频 2.4GHz(2x2) + 5GHz（2x2），其中2.4GHz 频段最大速率≥574Mbps，5GHz 频段最大速率≥2.4Gbps，整机速率可达 2.9Gbps；</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3.上行 1 GE 电口≥1个；</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4.支持吸顶、挂壁安装方式；</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5.内置蓝牙5.0，可用于蓝牙定位；</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6.支持DC供电或PoE供电</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7.</w:t>
            </w:r>
            <w:r>
              <w:rPr>
                <w:rFonts w:hint="eastAsia" w:ascii="宋体" w:hAnsi="宋体" w:eastAsia="宋体"/>
                <w:color w:val="auto"/>
                <w:sz w:val="24"/>
                <w:highlight w:val="none"/>
                <w:lang w:eastAsia="zh-CN"/>
              </w:rPr>
              <w:t>▲</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48</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院区</w:t>
            </w:r>
            <w:r>
              <w:rPr>
                <w:rFonts w:hint="eastAsia" w:ascii="宋体" w:hAnsi="宋体" w:eastAsia="宋体"/>
                <w:bCs/>
                <w:color w:val="auto"/>
                <w:kern w:val="0"/>
                <w:sz w:val="24"/>
                <w:highlight w:val="none"/>
              </w:rPr>
              <w:t>高密AP</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1.支持802.11ax标准，支持2.4GHz/5GHz双频段，满足高密场景下的接入需求，整机最大射频数应≥2个，空间流数≥6</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2.整机接入速率可达5Gbps</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3.上行1GE电口≥1个</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4.支持吸顶、挂壁安装方式；</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5.内置蓝牙5.0，可用于蓝牙定位；</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6.支持DC供电或PoE供电</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7.</w:t>
            </w:r>
            <w:r>
              <w:rPr>
                <w:rFonts w:hint="eastAsia" w:ascii="宋体" w:hAnsi="宋体" w:eastAsia="宋体"/>
                <w:color w:val="auto"/>
                <w:sz w:val="24"/>
                <w:highlight w:val="none"/>
                <w:lang w:eastAsia="zh-CN"/>
              </w:rPr>
              <w:t>▲</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49</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院区无缝漫游中心AP</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1.无缝漫游中心AP，交换容量≥40Gbps；</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2.配置万兆光口≥2个，配置千兆电口≥24个，支持对无缝漫游AP供电；</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3.千兆电口支持扩展物联网，MAC地址表项数≥1.5K，ARP表项数≥1.5K；</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4.</w:t>
            </w:r>
            <w:r>
              <w:rPr>
                <w:rFonts w:hint="eastAsia" w:ascii="宋体" w:hAnsi="宋体" w:eastAsia="宋体"/>
                <w:color w:val="auto"/>
                <w:sz w:val="24"/>
                <w:highlight w:val="none"/>
                <w:lang w:eastAsia="zh-CN"/>
              </w:rPr>
              <w:t>▲</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1</w:t>
            </w:r>
            <w:r>
              <w:rPr>
                <w:rFonts w:hint="eastAsia" w:ascii="宋体" w:hAnsi="宋体" w:eastAsia="宋体"/>
                <w:bCs/>
                <w:color w:val="auto"/>
                <w:kern w:val="0"/>
                <w:sz w:val="24"/>
                <w:highlight w:val="none"/>
                <w:lang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50</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rPr>
            </w:pPr>
            <w:r>
              <w:rPr>
                <w:rFonts w:hint="eastAsia" w:ascii="宋体" w:hAnsi="宋体" w:eastAsia="宋体"/>
                <w:bCs/>
                <w:color w:val="auto"/>
                <w:kern w:val="0"/>
                <w:sz w:val="24"/>
                <w:highlight w:val="none"/>
                <w:lang w:eastAsia="zh-CN"/>
              </w:rPr>
              <w:t>院区无缝</w:t>
            </w:r>
            <w:r>
              <w:rPr>
                <w:rFonts w:hint="eastAsia" w:ascii="宋体" w:hAnsi="宋体" w:eastAsia="宋体"/>
                <w:bCs/>
                <w:color w:val="auto"/>
                <w:kern w:val="0"/>
                <w:sz w:val="24"/>
                <w:highlight w:val="none"/>
              </w:rPr>
              <w:t>漫游</w:t>
            </w:r>
            <w:r>
              <w:rPr>
                <w:rFonts w:hint="eastAsia" w:ascii="宋体" w:hAnsi="宋体" w:eastAsia="宋体"/>
                <w:bCs/>
                <w:color w:val="auto"/>
                <w:kern w:val="0"/>
                <w:sz w:val="24"/>
                <w:highlight w:val="none"/>
                <w:lang w:eastAsia="zh-CN"/>
              </w:rPr>
              <w:t>AP</w:t>
            </w:r>
          </w:p>
        </w:tc>
        <w:tc>
          <w:tcPr>
            <w:tcW w:w="6388" w:type="dxa"/>
            <w:gridSpan w:val="2"/>
            <w:tcBorders>
              <w:top w:val="nil"/>
              <w:left w:val="nil"/>
              <w:bottom w:val="single" w:color="auto" w:sz="4" w:space="0"/>
              <w:right w:val="single" w:color="auto" w:sz="4" w:space="0"/>
            </w:tcBorders>
            <w:vAlign w:val="center"/>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1.无缝漫游AP，采用整机双频4流设计，可同时工作在802.11a/b/g/n/ac/ac wave2/ax模式；</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2.整机协商速率≥1.775Gbps，其中5G射频速率≥1.2Gbps，2.4G速率≥0.575Gbps；</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3.配置千兆电口≥2个，提供物联网接口；</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4.支持盒装、壁挂等多种安装方式；</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5.支持报文过滤、MAC地址过滤、广播风暴抑制等；</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6.</w:t>
            </w:r>
            <w:r>
              <w:rPr>
                <w:rFonts w:hint="eastAsia" w:ascii="宋体" w:hAnsi="宋体" w:eastAsia="宋体"/>
                <w:color w:val="auto"/>
                <w:sz w:val="24"/>
                <w:highlight w:val="none"/>
                <w:lang w:eastAsia="zh-CN"/>
              </w:rPr>
              <w:t>▲</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5</w:t>
            </w:r>
            <w:r>
              <w:rPr>
                <w:rFonts w:ascii="宋体" w:hAnsi="宋体" w:eastAsia="宋体"/>
                <w:bCs/>
                <w:color w:val="auto"/>
                <w:kern w:val="0"/>
                <w:sz w:val="24"/>
                <w:highlight w:val="none"/>
                <w:lang w:eastAsia="zh-CN"/>
              </w:rPr>
              <w:t>1</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21寸诊室门口屏</w:t>
            </w:r>
          </w:p>
        </w:tc>
        <w:tc>
          <w:tcPr>
            <w:tcW w:w="6388" w:type="dxa"/>
            <w:gridSpan w:val="2"/>
            <w:tcBorders>
              <w:top w:val="nil"/>
              <w:left w:val="nil"/>
              <w:bottom w:val="single" w:color="auto" w:sz="4" w:space="0"/>
              <w:right w:val="single" w:color="auto" w:sz="4" w:space="0"/>
            </w:tcBorders>
            <w:vAlign w:val="center"/>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21寸LED液晶一体机，亮度≥200 cd/m2，对比度≥1000:1，可视角178°(H) /178°(V)以上，可7×24小时连续使用，操作系统 Android，CPU Cortex-A7以上，≥4核，主频≥1.2 GHz，内存≥1GB，内置存储≥18GB EMMC</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8</w:t>
            </w:r>
            <w:r>
              <w:rPr>
                <w:rFonts w:ascii="宋体" w:hAnsi="宋体" w:eastAsia="宋体"/>
                <w:bCs/>
                <w:color w:val="auto"/>
                <w:kern w:val="0"/>
                <w:sz w:val="24"/>
                <w:highlight w:val="none"/>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5</w:t>
            </w:r>
            <w:r>
              <w:rPr>
                <w:rFonts w:ascii="宋体" w:hAnsi="宋体" w:eastAsia="宋体"/>
                <w:bCs/>
                <w:color w:val="auto"/>
                <w:kern w:val="0"/>
                <w:sz w:val="24"/>
                <w:highlight w:val="none"/>
                <w:lang w:eastAsia="zh-CN"/>
              </w:rPr>
              <w:t>2</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55寸分诊屏</w:t>
            </w:r>
          </w:p>
        </w:tc>
        <w:tc>
          <w:tcPr>
            <w:tcW w:w="6388" w:type="dxa"/>
            <w:gridSpan w:val="2"/>
            <w:tcBorders>
              <w:top w:val="nil"/>
              <w:left w:val="nil"/>
              <w:bottom w:val="single" w:color="auto" w:sz="4" w:space="0"/>
              <w:right w:val="single" w:color="auto" w:sz="4" w:space="0"/>
            </w:tcBorders>
            <w:vAlign w:val="center"/>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55寸LED液晶一体机，亮度≥400 cd/m2，对比度≥4000:1，可视角178°(H) /178°(V)以上，可7×24小时连续使用，操作系统 Android，CPU Cortex-A17以上，≥4核，主频≥1.6 GHz，内存≥2GB，内置存储≥16 GB EMMC</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w:t>
            </w:r>
            <w:r>
              <w:rPr>
                <w:rFonts w:ascii="宋体" w:hAnsi="宋体" w:eastAsia="宋体"/>
                <w:bCs/>
                <w:color w:val="auto"/>
                <w:kern w:val="0"/>
                <w:sz w:val="24"/>
                <w:highlight w:val="none"/>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5</w:t>
            </w:r>
            <w:r>
              <w:rPr>
                <w:rFonts w:ascii="宋体" w:hAnsi="宋体" w:eastAsia="宋体"/>
                <w:bCs/>
                <w:color w:val="auto"/>
                <w:kern w:val="0"/>
                <w:sz w:val="24"/>
                <w:highlight w:val="none"/>
                <w:lang w:eastAsia="zh-CN"/>
              </w:rPr>
              <w:t>3</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43寸分诊屏</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43寸LED液晶一体机，亮度≥400 cd/m2，对比度≥3000:1，可视角178°(H) /178°(V)以上，可7×24小时连续使用，操作系统 Android，CPU Cortex-A17以上，≥4核，主频≥1.6 GHz，内存≥2GB，内置存储≥16 GB EMMC</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w:t>
            </w:r>
            <w:r>
              <w:rPr>
                <w:rFonts w:ascii="宋体" w:hAnsi="宋体" w:eastAsia="宋体"/>
                <w:bCs/>
                <w:color w:val="auto"/>
                <w:kern w:val="0"/>
                <w:sz w:val="24"/>
                <w:highlight w:val="none"/>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5</w:t>
            </w:r>
            <w:r>
              <w:rPr>
                <w:rFonts w:ascii="宋体" w:hAnsi="宋体" w:eastAsia="宋体"/>
                <w:bCs/>
                <w:color w:val="auto"/>
                <w:kern w:val="0"/>
                <w:sz w:val="24"/>
                <w:highlight w:val="none"/>
                <w:lang w:eastAsia="zh-CN"/>
              </w:rPr>
              <w:t>4</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有源音箱</w:t>
            </w:r>
          </w:p>
        </w:tc>
        <w:tc>
          <w:tcPr>
            <w:tcW w:w="6388"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额定输出功率≥2×20W/8Ω；信噪比（A计权）：≥85dB；</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音箱频响范围：100Hz-16KHz ±15%；音箱灵敏度：90dB ±3dB</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w:t>
            </w:r>
            <w:r>
              <w:rPr>
                <w:rFonts w:ascii="宋体" w:hAnsi="宋体" w:eastAsia="宋体"/>
                <w:bCs/>
                <w:color w:val="auto"/>
                <w:kern w:val="0"/>
                <w:sz w:val="24"/>
                <w:highlight w:val="none"/>
                <w:lang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5</w:t>
            </w:r>
            <w:r>
              <w:rPr>
                <w:rFonts w:ascii="宋体" w:hAnsi="宋体" w:eastAsia="宋体"/>
                <w:bCs/>
                <w:color w:val="auto"/>
                <w:kern w:val="0"/>
                <w:sz w:val="24"/>
                <w:highlight w:val="none"/>
                <w:lang w:eastAsia="zh-CN"/>
              </w:rPr>
              <w:t>5</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分诊叫号机</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jc w:val="left"/>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1.工控主机：CPU≥i3，内存≥4GB，硬盘≥固态256GB，≥1个网口</w:t>
            </w:r>
          </w:p>
          <w:p>
            <w:pPr>
              <w:pStyle w:val="201"/>
              <w:widowControl/>
              <w:autoSpaceDE/>
              <w:autoSpaceDN/>
              <w:spacing w:before="6" w:line="360" w:lineRule="auto"/>
              <w:ind w:right="105" w:rightChars="50"/>
              <w:jc w:val="left"/>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2.触摸屏：屏幕≥17寸，分辨率≥1024*768，亮度≥250cd/m2，≥10点触控</w:t>
            </w:r>
          </w:p>
          <w:p>
            <w:pPr>
              <w:tabs>
                <w:tab w:val="left" w:pos="330"/>
              </w:tabs>
              <w:spacing w:line="360" w:lineRule="auto"/>
              <w:ind w:firstLine="120" w:firstLineChars="50"/>
              <w:jc w:val="left"/>
              <w:rPr>
                <w:rFonts w:ascii="宋体" w:hAnsi="宋体" w:cs="仿宋"/>
                <w:bCs/>
                <w:color w:val="auto"/>
                <w:kern w:val="0"/>
                <w:sz w:val="24"/>
                <w:highlight w:val="none"/>
              </w:rPr>
            </w:pPr>
            <w:r>
              <w:rPr>
                <w:rFonts w:hint="eastAsia" w:ascii="宋体" w:hAnsi="宋体" w:cs="仿宋"/>
                <w:bCs/>
                <w:color w:val="auto"/>
                <w:kern w:val="0"/>
                <w:sz w:val="24"/>
                <w:highlight w:val="none"/>
              </w:rPr>
              <w:t>3.凭条打印机：热敏打印，打印宽度80毫米，打印速度150毫米每秒以上，切刀寿命60万次以上，纸卷直径150mm，黑标检测，自动切纸（半切/全切），可自定义长度切纸，带防卡纸嘴，缺纸检测，可准确向后台报送数据状态</w:t>
            </w:r>
          </w:p>
          <w:p>
            <w:pPr>
              <w:tabs>
                <w:tab w:val="left" w:pos="330"/>
              </w:tabs>
              <w:spacing w:line="360" w:lineRule="auto"/>
              <w:ind w:firstLine="120" w:firstLineChars="50"/>
              <w:jc w:val="left"/>
              <w:rPr>
                <w:rFonts w:ascii="宋体" w:hAnsi="宋体" w:cs="仿宋"/>
                <w:bCs/>
                <w:color w:val="auto"/>
                <w:kern w:val="0"/>
                <w:sz w:val="24"/>
                <w:highlight w:val="none"/>
              </w:rPr>
            </w:pPr>
            <w:r>
              <w:rPr>
                <w:rFonts w:hint="eastAsia" w:ascii="宋体" w:hAnsi="宋体" w:cs="仿宋"/>
                <w:bCs/>
                <w:color w:val="auto"/>
                <w:kern w:val="0"/>
                <w:sz w:val="24"/>
                <w:highlight w:val="none"/>
              </w:rPr>
              <w:t>4.二代身份证阅读器：公安部指定授权生产商生产，经过公安部认证批准的内核模块，非接触式读取符合ISO/IEC 14443 TYPEA/ B 标准，可准确向后台报送设备状态</w:t>
            </w:r>
          </w:p>
          <w:p>
            <w:pPr>
              <w:tabs>
                <w:tab w:val="left" w:pos="330"/>
              </w:tabs>
              <w:spacing w:line="360" w:lineRule="auto"/>
              <w:ind w:firstLine="120" w:firstLineChars="50"/>
              <w:jc w:val="left"/>
              <w:rPr>
                <w:rFonts w:ascii="宋体" w:hAnsi="宋体" w:cs="仿宋"/>
                <w:bCs/>
                <w:color w:val="auto"/>
                <w:kern w:val="0"/>
                <w:sz w:val="24"/>
                <w:highlight w:val="none"/>
              </w:rPr>
            </w:pPr>
            <w:r>
              <w:rPr>
                <w:rFonts w:hint="eastAsia" w:ascii="宋体" w:hAnsi="宋体" w:cs="仿宋"/>
                <w:bCs/>
                <w:color w:val="auto"/>
                <w:kern w:val="0"/>
                <w:sz w:val="24"/>
                <w:highlight w:val="none"/>
              </w:rPr>
              <w:t>5.条码扫描模块：支持一维条形码、堆叠式/行排式二维条码和矩阵式二维条码，支持常用的PDF417二维条码, Datamatrix二维条码, QR Code, Code 49, Code 16K ,Code one等码制</w:t>
            </w:r>
          </w:p>
          <w:p>
            <w:pPr>
              <w:tabs>
                <w:tab w:val="left" w:pos="330"/>
              </w:tabs>
              <w:spacing w:line="360" w:lineRule="auto"/>
              <w:ind w:firstLine="120" w:firstLineChars="50"/>
              <w:jc w:val="left"/>
              <w:rPr>
                <w:rFonts w:ascii="宋体" w:hAnsi="宋体" w:cs="仿宋"/>
                <w:bCs/>
                <w:color w:val="auto"/>
                <w:kern w:val="0"/>
                <w:sz w:val="24"/>
                <w:highlight w:val="none"/>
              </w:rPr>
            </w:pPr>
            <w:r>
              <w:rPr>
                <w:rFonts w:hint="eastAsia" w:ascii="宋体" w:hAnsi="宋体" w:cs="仿宋"/>
                <w:bCs/>
                <w:color w:val="auto"/>
                <w:kern w:val="0"/>
                <w:sz w:val="24"/>
                <w:highlight w:val="none"/>
              </w:rPr>
              <w:t>6.组合电源：负载稳定度要求±1％ 典型值以内，电压稳定度0.5 % 典型值以内，输入：市电220V，输出功率：DC5V2A，12V4A，24V4A</w:t>
            </w:r>
          </w:p>
          <w:p>
            <w:pPr>
              <w:tabs>
                <w:tab w:val="left" w:pos="330"/>
              </w:tabs>
              <w:spacing w:line="360" w:lineRule="auto"/>
              <w:ind w:firstLine="120" w:firstLineChars="50"/>
              <w:jc w:val="left"/>
              <w:rPr>
                <w:rFonts w:ascii="宋体" w:hAnsi="宋体" w:cs="仿宋"/>
                <w:bCs/>
                <w:color w:val="auto"/>
                <w:kern w:val="0"/>
                <w:sz w:val="24"/>
                <w:highlight w:val="none"/>
              </w:rPr>
            </w:pPr>
            <w:r>
              <w:rPr>
                <w:rFonts w:hint="eastAsia" w:ascii="宋体" w:hAnsi="宋体" w:cs="仿宋"/>
                <w:bCs/>
                <w:color w:val="auto"/>
                <w:kern w:val="0"/>
                <w:sz w:val="24"/>
                <w:highlight w:val="none"/>
              </w:rPr>
              <w:t>7. 喇叭：设备内置多媒体音响，左右双路放大输出；频响范围好于70Hz～10KHz，信噪比不小于80dB，失真度不大于10％，功率不小于3W</w:t>
            </w:r>
          </w:p>
          <w:p>
            <w:pPr>
              <w:tabs>
                <w:tab w:val="left" w:pos="330"/>
              </w:tabs>
              <w:spacing w:line="360" w:lineRule="auto"/>
              <w:ind w:firstLine="120" w:firstLineChars="50"/>
              <w:jc w:val="left"/>
              <w:rPr>
                <w:rFonts w:ascii="宋体" w:hAnsi="宋体" w:cs="宋体"/>
                <w:color w:val="auto"/>
                <w:sz w:val="24"/>
                <w:highlight w:val="none"/>
                <w:lang w:bidi="ar"/>
              </w:rPr>
            </w:pPr>
            <w:r>
              <w:rPr>
                <w:rFonts w:hint="eastAsia" w:ascii="宋体" w:hAnsi="宋体" w:cs="仿宋"/>
                <w:bCs/>
                <w:color w:val="auto"/>
                <w:kern w:val="0"/>
                <w:sz w:val="24"/>
                <w:highlight w:val="none"/>
              </w:rPr>
              <w:t>8. 机柜：采用冷轧板制作，坚固厚实，在高温高寒的环境下不会变形，机壳采用高端工艺进行外朔粉喷涂，防锈、 防水、耐久抗腐蚀，模块采用轨道拉伸设计，维护极其方便，内部布线采用塑料线槽、扎线扣，部件各电源线、通讯线用缠绕管扎好，整齐规范。</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ascii="宋体" w:hAnsi="宋体" w:eastAsia="宋体"/>
                <w:bCs/>
                <w:color w:val="auto"/>
                <w:kern w:val="0"/>
                <w:sz w:val="24"/>
                <w:highlight w:val="none"/>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5</w:t>
            </w:r>
            <w:r>
              <w:rPr>
                <w:rFonts w:ascii="宋体" w:hAnsi="宋体" w:eastAsia="宋体"/>
                <w:bCs/>
                <w:color w:val="auto"/>
                <w:kern w:val="0"/>
                <w:sz w:val="24"/>
                <w:highlight w:val="none"/>
                <w:lang w:eastAsia="zh-CN"/>
              </w:rPr>
              <w:t>6</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集中</w:t>
            </w:r>
            <w:r>
              <w:rPr>
                <w:rFonts w:hint="eastAsia" w:ascii="宋体" w:hAnsi="宋体" w:eastAsia="宋体"/>
                <w:bCs/>
                <w:color w:val="auto"/>
                <w:kern w:val="0"/>
                <w:sz w:val="24"/>
                <w:highlight w:val="none"/>
              </w:rPr>
              <w:t>存储</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1.集中式存储，A-A架构</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2.配置双控制器</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 xml:space="preserve">3.配置缓存容量128GB； </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 xml:space="preserve">4.配置8*10Gb 万兆光口，8*16Gb FC（含光模块）； </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5.配置24块1.92TB SSD硬盘；</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6.支持RAID 0,1,5,6,10,50等；</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 xml:space="preserve">7.配置企业版管理软件； </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8.</w:t>
            </w:r>
            <w:r>
              <w:rPr>
                <w:rFonts w:hint="eastAsia" w:ascii="宋体" w:hAnsi="宋体" w:eastAsia="宋体"/>
                <w:color w:val="auto"/>
                <w:sz w:val="24"/>
                <w:highlight w:val="none"/>
                <w:lang w:eastAsia="zh-CN"/>
              </w:rPr>
              <w:t>▲</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5</w:t>
            </w:r>
            <w:r>
              <w:rPr>
                <w:rFonts w:ascii="宋体" w:hAnsi="宋体" w:eastAsia="宋体"/>
                <w:bCs/>
                <w:color w:val="auto"/>
                <w:kern w:val="0"/>
                <w:sz w:val="24"/>
                <w:highlight w:val="none"/>
                <w:lang w:eastAsia="zh-CN"/>
              </w:rPr>
              <w:t>7</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集中存储光纤交换机</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1.交换机类型为盒式、固定端口</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2.FC端口数≥24</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3.支持最大速率≥16Gbps</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 xml:space="preserve">4.配置≥16个16Gbps光模块 </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5.</w:t>
            </w:r>
            <w:r>
              <w:rPr>
                <w:rFonts w:hint="eastAsia" w:ascii="宋体" w:hAnsi="宋体" w:eastAsia="宋体"/>
                <w:color w:val="auto"/>
                <w:sz w:val="24"/>
                <w:highlight w:val="none"/>
                <w:lang w:eastAsia="zh-CN"/>
              </w:rPr>
              <w:t>▲</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5</w:t>
            </w:r>
            <w:r>
              <w:rPr>
                <w:rFonts w:ascii="宋体" w:hAnsi="宋体" w:eastAsia="宋体"/>
                <w:bCs/>
                <w:color w:val="auto"/>
                <w:kern w:val="0"/>
                <w:sz w:val="24"/>
                <w:highlight w:val="none"/>
                <w:lang w:eastAsia="zh-CN"/>
              </w:rPr>
              <w:t>8</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医联体汇聚交换机</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1.交换容量≥2.5T，包转发率≥1200Mpps；</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2.为了提高设备可靠性，配置≥2个模块化可插拔电源；</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3.为了提高设备散热性能，配置≥2个可插拔风扇框；</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4.配置万兆光口≥24个，40G/100G光口≥6个;</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5.堆叠线</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6.</w:t>
            </w:r>
            <w:r>
              <w:rPr>
                <w:rFonts w:hint="eastAsia" w:ascii="宋体" w:hAnsi="宋体" w:eastAsia="宋体"/>
                <w:color w:val="auto"/>
                <w:sz w:val="24"/>
                <w:highlight w:val="none"/>
                <w:lang w:eastAsia="zh-CN"/>
              </w:rPr>
              <w:t>▲</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5</w:t>
            </w:r>
            <w:r>
              <w:rPr>
                <w:rFonts w:ascii="宋体" w:hAnsi="宋体" w:eastAsia="宋体"/>
                <w:bCs/>
                <w:color w:val="auto"/>
                <w:kern w:val="0"/>
                <w:sz w:val="24"/>
                <w:highlight w:val="none"/>
                <w:lang w:eastAsia="zh-CN"/>
              </w:rPr>
              <w:t>9</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医联体接入交换机</w:t>
            </w:r>
          </w:p>
        </w:tc>
        <w:tc>
          <w:tcPr>
            <w:tcW w:w="6388" w:type="dxa"/>
            <w:gridSpan w:val="2"/>
            <w:tcBorders>
              <w:top w:val="nil"/>
              <w:left w:val="nil"/>
              <w:bottom w:val="single" w:color="auto" w:sz="4" w:space="0"/>
              <w:right w:val="single" w:color="auto" w:sz="4" w:space="0"/>
            </w:tcBorders>
          </w:tcPr>
          <w:p>
            <w:pPr>
              <w:widowControl/>
              <w:spacing w:line="360" w:lineRule="auto"/>
              <w:jc w:val="left"/>
              <w:textAlignment w:val="top"/>
              <w:rPr>
                <w:rFonts w:ascii="宋体" w:hAnsi="宋体" w:cs="微软雅黑"/>
                <w:color w:val="auto"/>
                <w:sz w:val="24"/>
                <w:highlight w:val="none"/>
              </w:rPr>
            </w:pPr>
            <w:r>
              <w:rPr>
                <w:rFonts w:hint="eastAsia" w:ascii="宋体" w:hAnsi="宋体" w:cs="微软雅黑"/>
                <w:color w:val="auto"/>
                <w:kern w:val="0"/>
                <w:sz w:val="24"/>
                <w:highlight w:val="none"/>
                <w:lang w:bidi="ar"/>
              </w:rPr>
              <w:t>1.交换容量≥300Gbps，包转发率≥100Mpps；</w:t>
            </w:r>
            <w:r>
              <w:rPr>
                <w:rFonts w:hint="eastAsia" w:ascii="宋体" w:hAnsi="宋体" w:cs="微软雅黑"/>
                <w:color w:val="auto"/>
                <w:kern w:val="0"/>
                <w:sz w:val="24"/>
                <w:highlight w:val="none"/>
                <w:lang w:bidi="ar"/>
              </w:rPr>
              <w:br w:type="textWrapping"/>
            </w:r>
            <w:r>
              <w:rPr>
                <w:rFonts w:hint="eastAsia" w:ascii="宋体" w:hAnsi="宋体" w:cs="微软雅黑"/>
                <w:color w:val="auto"/>
                <w:kern w:val="0"/>
                <w:sz w:val="24"/>
                <w:highlight w:val="none"/>
                <w:lang w:bidi="ar"/>
              </w:rPr>
              <w:t>2.端口配置：千兆电口≥24个，万兆光口≥4个</w:t>
            </w:r>
            <w:r>
              <w:rPr>
                <w:rFonts w:hint="eastAsia" w:ascii="宋体" w:hAnsi="宋体" w:cs="微软雅黑"/>
                <w:color w:val="auto"/>
                <w:kern w:val="0"/>
                <w:sz w:val="24"/>
                <w:highlight w:val="none"/>
                <w:lang w:bidi="ar"/>
              </w:rPr>
              <w:br w:type="textWrapping"/>
            </w:r>
            <w:r>
              <w:rPr>
                <w:rFonts w:hint="eastAsia" w:ascii="宋体" w:hAnsi="宋体" w:cs="微软雅黑"/>
                <w:color w:val="auto"/>
                <w:kern w:val="0"/>
                <w:sz w:val="24"/>
                <w:highlight w:val="none"/>
                <w:lang w:bidi="ar"/>
              </w:rPr>
              <w:t>3.支持SNMP v1/v2c/v3、CLI（命令行）、Web、SSHv2.0 等多样化的管理和维护方式；</w:t>
            </w:r>
            <w:r>
              <w:rPr>
                <w:rFonts w:hint="eastAsia" w:ascii="宋体" w:hAnsi="宋体" w:cs="微软雅黑"/>
                <w:color w:val="auto"/>
                <w:kern w:val="0"/>
                <w:sz w:val="24"/>
                <w:highlight w:val="none"/>
                <w:lang w:bidi="ar"/>
              </w:rPr>
              <w:br w:type="textWrapping"/>
            </w:r>
            <w:r>
              <w:rPr>
                <w:rFonts w:hint="eastAsia" w:ascii="宋体" w:hAnsi="宋体" w:cs="微软雅黑"/>
                <w:color w:val="auto"/>
                <w:kern w:val="0"/>
                <w:sz w:val="24"/>
                <w:highlight w:val="none"/>
                <w:lang w:bidi="ar"/>
              </w:rPr>
              <w:t>4.</w:t>
            </w:r>
            <w:r>
              <w:rPr>
                <w:rFonts w:hint="eastAsia" w:ascii="宋体" w:hAnsi="宋体"/>
                <w:color w:val="auto"/>
                <w:sz w:val="24"/>
                <w:highlight w:val="none"/>
              </w:rPr>
              <w:t>▲</w:t>
            </w:r>
            <w:r>
              <w:rPr>
                <w:rFonts w:hint="eastAsia" w:ascii="宋体" w:hAnsi="宋体"/>
                <w:bCs/>
                <w:color w:val="auto"/>
                <w:kern w:val="0"/>
                <w:sz w:val="24"/>
                <w:highlight w:val="none"/>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ascii="宋体" w:hAnsi="宋体" w:eastAsia="宋体"/>
                <w:bCs/>
                <w:color w:val="auto"/>
                <w:kern w:val="0"/>
                <w:sz w:val="24"/>
                <w:highlight w:val="none"/>
                <w:lang w:eastAsia="zh-CN"/>
              </w:rPr>
              <w:t>60</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医联体无缝漫游中心AP</w:t>
            </w:r>
          </w:p>
        </w:tc>
        <w:tc>
          <w:tcPr>
            <w:tcW w:w="6388" w:type="dxa"/>
            <w:gridSpan w:val="2"/>
            <w:tcBorders>
              <w:top w:val="nil"/>
              <w:left w:val="nil"/>
              <w:bottom w:val="single" w:color="auto" w:sz="4" w:space="0"/>
              <w:right w:val="single" w:color="auto" w:sz="4" w:space="0"/>
            </w:tcBorders>
          </w:tcPr>
          <w:p>
            <w:pPr>
              <w:widowControl/>
              <w:spacing w:line="360" w:lineRule="auto"/>
              <w:jc w:val="left"/>
              <w:textAlignment w:val="top"/>
              <w:rPr>
                <w:rFonts w:ascii="宋体" w:hAnsi="宋体" w:cs="微软雅黑"/>
                <w:color w:val="auto"/>
                <w:kern w:val="0"/>
                <w:sz w:val="24"/>
                <w:highlight w:val="none"/>
                <w:lang w:bidi="ar"/>
              </w:rPr>
            </w:pPr>
            <w:r>
              <w:rPr>
                <w:rFonts w:hint="eastAsia" w:ascii="宋体" w:hAnsi="宋体" w:cs="微软雅黑"/>
                <w:color w:val="auto"/>
                <w:kern w:val="0"/>
                <w:sz w:val="24"/>
                <w:highlight w:val="none"/>
                <w:lang w:bidi="ar"/>
              </w:rPr>
              <w:t>1.无缝漫游中心AP，交换容量≥40Gbps；</w:t>
            </w:r>
          </w:p>
          <w:p>
            <w:pPr>
              <w:widowControl/>
              <w:spacing w:line="360" w:lineRule="auto"/>
              <w:jc w:val="left"/>
              <w:textAlignment w:val="top"/>
              <w:rPr>
                <w:rFonts w:ascii="宋体" w:hAnsi="宋体" w:cs="微软雅黑"/>
                <w:color w:val="auto"/>
                <w:kern w:val="0"/>
                <w:sz w:val="24"/>
                <w:highlight w:val="none"/>
                <w:lang w:bidi="ar"/>
              </w:rPr>
            </w:pPr>
            <w:r>
              <w:rPr>
                <w:rFonts w:hint="eastAsia" w:ascii="宋体" w:hAnsi="宋体" w:cs="微软雅黑"/>
                <w:color w:val="auto"/>
                <w:kern w:val="0"/>
                <w:sz w:val="24"/>
                <w:highlight w:val="none"/>
                <w:lang w:bidi="ar"/>
              </w:rPr>
              <w:t>2.配置万兆光口≥2个，配置千兆电口≥24个，支持对无缝漫游AP供电；</w:t>
            </w:r>
          </w:p>
          <w:p>
            <w:pPr>
              <w:widowControl/>
              <w:spacing w:line="360" w:lineRule="auto"/>
              <w:jc w:val="left"/>
              <w:textAlignment w:val="top"/>
              <w:rPr>
                <w:rFonts w:ascii="宋体" w:hAnsi="宋体" w:cs="微软雅黑"/>
                <w:color w:val="auto"/>
                <w:kern w:val="0"/>
                <w:sz w:val="24"/>
                <w:highlight w:val="none"/>
                <w:lang w:bidi="ar"/>
              </w:rPr>
            </w:pPr>
            <w:r>
              <w:rPr>
                <w:rFonts w:hint="eastAsia" w:ascii="宋体" w:hAnsi="宋体" w:cs="微软雅黑"/>
                <w:color w:val="auto"/>
                <w:kern w:val="0"/>
                <w:sz w:val="24"/>
                <w:highlight w:val="none"/>
                <w:lang w:bidi="ar"/>
              </w:rPr>
              <w:t>3.千兆电口支持扩展物联网，MAC地址表项数≥1.5K，ARP表项数≥1.5K；</w:t>
            </w:r>
          </w:p>
          <w:p>
            <w:pPr>
              <w:widowControl/>
              <w:spacing w:line="360" w:lineRule="auto"/>
              <w:jc w:val="left"/>
              <w:textAlignment w:val="top"/>
              <w:rPr>
                <w:rFonts w:ascii="宋体" w:hAnsi="宋体" w:cs="微软雅黑"/>
                <w:color w:val="auto"/>
                <w:kern w:val="0"/>
                <w:sz w:val="24"/>
                <w:highlight w:val="none"/>
                <w:lang w:bidi="ar"/>
              </w:rPr>
            </w:pPr>
            <w:r>
              <w:rPr>
                <w:rFonts w:hint="eastAsia" w:ascii="宋体" w:hAnsi="宋体" w:cs="微软雅黑"/>
                <w:color w:val="auto"/>
                <w:kern w:val="0"/>
                <w:sz w:val="24"/>
                <w:highlight w:val="none"/>
                <w:lang w:bidi="ar"/>
              </w:rPr>
              <w:t>4.</w:t>
            </w:r>
            <w:r>
              <w:rPr>
                <w:rFonts w:hint="eastAsia" w:ascii="宋体" w:hAnsi="宋体"/>
                <w:color w:val="auto"/>
                <w:sz w:val="24"/>
                <w:highlight w:val="none"/>
              </w:rPr>
              <w:t>▲</w:t>
            </w:r>
            <w:r>
              <w:rPr>
                <w:rFonts w:hint="eastAsia" w:ascii="宋体" w:hAnsi="宋体"/>
                <w:bCs/>
                <w:color w:val="auto"/>
                <w:kern w:val="0"/>
                <w:sz w:val="24"/>
                <w:highlight w:val="none"/>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ascii="宋体" w:hAnsi="宋体" w:eastAsia="宋体"/>
                <w:bCs/>
                <w:color w:val="auto"/>
                <w:kern w:val="0"/>
                <w:sz w:val="24"/>
                <w:highlight w:val="none"/>
                <w:lang w:eastAsia="zh-CN"/>
              </w:rPr>
              <w:t>61</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医联体无缝</w:t>
            </w:r>
            <w:r>
              <w:rPr>
                <w:rFonts w:hint="eastAsia" w:ascii="宋体" w:hAnsi="宋体" w:eastAsia="宋体"/>
                <w:bCs/>
                <w:color w:val="auto"/>
                <w:kern w:val="0"/>
                <w:sz w:val="24"/>
                <w:highlight w:val="none"/>
              </w:rPr>
              <w:t>漫游</w:t>
            </w:r>
            <w:r>
              <w:rPr>
                <w:rFonts w:hint="eastAsia" w:ascii="宋体" w:hAnsi="宋体" w:eastAsia="宋体"/>
                <w:bCs/>
                <w:color w:val="auto"/>
                <w:kern w:val="0"/>
                <w:sz w:val="24"/>
                <w:highlight w:val="none"/>
                <w:lang w:eastAsia="zh-CN"/>
              </w:rPr>
              <w:t>AP</w:t>
            </w:r>
          </w:p>
        </w:tc>
        <w:tc>
          <w:tcPr>
            <w:tcW w:w="6388" w:type="dxa"/>
            <w:gridSpan w:val="2"/>
            <w:tcBorders>
              <w:top w:val="nil"/>
              <w:left w:val="nil"/>
              <w:bottom w:val="single" w:color="auto" w:sz="4" w:space="0"/>
              <w:right w:val="single" w:color="auto" w:sz="4" w:space="0"/>
            </w:tcBorders>
          </w:tcPr>
          <w:p>
            <w:pPr>
              <w:widowControl/>
              <w:spacing w:line="360" w:lineRule="auto"/>
              <w:jc w:val="left"/>
              <w:textAlignment w:val="top"/>
              <w:rPr>
                <w:rFonts w:ascii="宋体" w:hAnsi="宋体" w:cs="微软雅黑"/>
                <w:color w:val="auto"/>
                <w:kern w:val="0"/>
                <w:sz w:val="24"/>
                <w:highlight w:val="none"/>
                <w:lang w:bidi="ar"/>
              </w:rPr>
            </w:pPr>
            <w:r>
              <w:rPr>
                <w:rFonts w:hint="eastAsia" w:ascii="宋体" w:hAnsi="宋体" w:cs="微软雅黑"/>
                <w:color w:val="auto"/>
                <w:kern w:val="0"/>
                <w:sz w:val="24"/>
                <w:highlight w:val="none"/>
                <w:lang w:bidi="ar"/>
              </w:rPr>
              <w:t>1.采用整机四流设计，可同时工作在802.11a/b/g/n/ac/ac wave2模式</w:t>
            </w:r>
          </w:p>
          <w:p>
            <w:pPr>
              <w:widowControl/>
              <w:spacing w:line="360" w:lineRule="auto"/>
              <w:jc w:val="left"/>
              <w:textAlignment w:val="top"/>
              <w:rPr>
                <w:rFonts w:ascii="宋体" w:hAnsi="宋体" w:cs="微软雅黑"/>
                <w:color w:val="auto"/>
                <w:kern w:val="0"/>
                <w:sz w:val="24"/>
                <w:highlight w:val="none"/>
                <w:lang w:bidi="ar"/>
              </w:rPr>
            </w:pPr>
            <w:r>
              <w:rPr>
                <w:rFonts w:hint="eastAsia" w:ascii="宋体" w:hAnsi="宋体" w:cs="微软雅黑"/>
                <w:color w:val="auto"/>
                <w:kern w:val="0"/>
                <w:sz w:val="24"/>
                <w:highlight w:val="none"/>
                <w:lang w:bidi="ar"/>
              </w:rPr>
              <w:t>2.整机协商速率≥1167Mbps</w:t>
            </w:r>
          </w:p>
          <w:p>
            <w:pPr>
              <w:widowControl/>
              <w:spacing w:line="360" w:lineRule="auto"/>
              <w:jc w:val="left"/>
              <w:textAlignment w:val="top"/>
              <w:rPr>
                <w:rFonts w:ascii="宋体" w:hAnsi="宋体" w:cs="微软雅黑"/>
                <w:color w:val="auto"/>
                <w:kern w:val="0"/>
                <w:sz w:val="24"/>
                <w:highlight w:val="none"/>
                <w:lang w:bidi="ar"/>
              </w:rPr>
            </w:pPr>
            <w:r>
              <w:rPr>
                <w:rFonts w:hint="eastAsia" w:ascii="宋体" w:hAnsi="宋体" w:cs="微软雅黑"/>
                <w:color w:val="auto"/>
                <w:kern w:val="0"/>
                <w:sz w:val="24"/>
                <w:highlight w:val="none"/>
                <w:lang w:bidi="ar"/>
              </w:rPr>
              <w:t>3.</w:t>
            </w:r>
            <w:r>
              <w:rPr>
                <w:rFonts w:hint="eastAsia" w:ascii="宋体" w:hAnsi="宋体"/>
                <w:bCs/>
                <w:color w:val="auto"/>
                <w:kern w:val="0"/>
                <w:sz w:val="24"/>
                <w:highlight w:val="none"/>
              </w:rPr>
              <w:t>配置千兆电口≥2个</w:t>
            </w:r>
            <w:r>
              <w:rPr>
                <w:rFonts w:hint="eastAsia" w:ascii="宋体" w:hAnsi="宋体" w:cs="微软雅黑"/>
                <w:color w:val="auto"/>
                <w:kern w:val="0"/>
                <w:sz w:val="24"/>
                <w:highlight w:val="none"/>
                <w:lang w:bidi="ar"/>
              </w:rPr>
              <w:t>；</w:t>
            </w:r>
          </w:p>
          <w:p>
            <w:pPr>
              <w:widowControl/>
              <w:spacing w:line="360" w:lineRule="auto"/>
              <w:jc w:val="left"/>
              <w:textAlignment w:val="top"/>
              <w:rPr>
                <w:rFonts w:ascii="宋体" w:hAnsi="宋体" w:cs="微软雅黑"/>
                <w:color w:val="auto"/>
                <w:kern w:val="0"/>
                <w:sz w:val="24"/>
                <w:highlight w:val="none"/>
                <w:lang w:bidi="ar"/>
              </w:rPr>
            </w:pPr>
            <w:r>
              <w:rPr>
                <w:rFonts w:hint="eastAsia" w:ascii="宋体" w:hAnsi="宋体" w:cs="微软雅黑"/>
                <w:color w:val="auto"/>
                <w:kern w:val="0"/>
                <w:sz w:val="24"/>
                <w:highlight w:val="none"/>
                <w:lang w:bidi="ar"/>
              </w:rPr>
              <w:t>4.内置全向天线；</w:t>
            </w:r>
          </w:p>
          <w:p>
            <w:pPr>
              <w:widowControl/>
              <w:spacing w:line="360" w:lineRule="auto"/>
              <w:jc w:val="left"/>
              <w:textAlignment w:val="top"/>
              <w:rPr>
                <w:rFonts w:ascii="宋体" w:hAnsi="宋体" w:cs="微软雅黑"/>
                <w:color w:val="auto"/>
                <w:sz w:val="24"/>
                <w:highlight w:val="none"/>
              </w:rPr>
            </w:pPr>
            <w:r>
              <w:rPr>
                <w:rFonts w:hint="eastAsia" w:ascii="宋体" w:hAnsi="宋体" w:cs="微软雅黑"/>
                <w:color w:val="auto"/>
                <w:kern w:val="0"/>
                <w:sz w:val="24"/>
                <w:highlight w:val="none"/>
                <w:lang w:bidi="ar"/>
              </w:rPr>
              <w:t>5.</w:t>
            </w:r>
            <w:r>
              <w:rPr>
                <w:rFonts w:hint="eastAsia" w:ascii="宋体" w:hAnsi="宋体"/>
                <w:color w:val="auto"/>
                <w:sz w:val="24"/>
                <w:highlight w:val="none"/>
              </w:rPr>
              <w:t>▲</w:t>
            </w:r>
            <w:r>
              <w:rPr>
                <w:rFonts w:hint="eastAsia" w:ascii="宋体" w:hAnsi="宋体"/>
                <w:bCs/>
                <w:color w:val="auto"/>
                <w:kern w:val="0"/>
                <w:sz w:val="24"/>
                <w:highlight w:val="none"/>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ascii="宋体" w:hAnsi="宋体" w:eastAsia="宋体"/>
                <w:bCs/>
                <w:color w:val="auto"/>
                <w:kern w:val="0"/>
                <w:sz w:val="24"/>
                <w:highlight w:val="none"/>
                <w:lang w:eastAsia="zh-CN"/>
              </w:rPr>
              <w:t>62</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医用护理PDA</w:t>
            </w:r>
          </w:p>
        </w:tc>
        <w:tc>
          <w:tcPr>
            <w:tcW w:w="6388" w:type="dxa"/>
            <w:gridSpan w:val="2"/>
            <w:tcBorders>
              <w:top w:val="nil"/>
              <w:left w:val="nil"/>
              <w:bottom w:val="single" w:color="auto" w:sz="4" w:space="0"/>
              <w:right w:val="single" w:color="auto" w:sz="4" w:space="0"/>
            </w:tcBorders>
          </w:tcPr>
          <w:p>
            <w:pPr>
              <w:widowControl/>
              <w:spacing w:line="360" w:lineRule="auto"/>
              <w:jc w:val="left"/>
              <w:textAlignment w:val="top"/>
              <w:rPr>
                <w:rFonts w:ascii="宋体" w:hAnsi="宋体" w:cs="微软雅黑"/>
                <w:color w:val="auto"/>
                <w:sz w:val="24"/>
                <w:highlight w:val="none"/>
              </w:rPr>
            </w:pPr>
            <w:r>
              <w:rPr>
                <w:rFonts w:hint="eastAsia" w:ascii="宋体" w:hAnsi="宋体" w:cs="微软雅黑"/>
                <w:color w:val="auto"/>
                <w:kern w:val="0"/>
                <w:sz w:val="24"/>
                <w:highlight w:val="none"/>
                <w:lang w:bidi="ar"/>
              </w:rPr>
              <w:t>1.操作系统：Android</w:t>
            </w:r>
            <w:r>
              <w:rPr>
                <w:rFonts w:hint="eastAsia" w:ascii="宋体" w:hAnsi="宋体" w:cs="微软雅黑"/>
                <w:color w:val="auto"/>
                <w:kern w:val="0"/>
                <w:sz w:val="24"/>
                <w:highlight w:val="none"/>
                <w:lang w:bidi="ar"/>
              </w:rPr>
              <w:br w:type="textWrapping"/>
            </w:r>
            <w:r>
              <w:rPr>
                <w:rFonts w:hint="eastAsia" w:ascii="宋体" w:hAnsi="宋体" w:cs="微软雅黑"/>
                <w:color w:val="auto"/>
                <w:kern w:val="0"/>
                <w:sz w:val="24"/>
                <w:highlight w:val="none"/>
                <w:lang w:bidi="ar"/>
              </w:rPr>
              <w:t>2.CPU：八核1.8GHz</w:t>
            </w:r>
            <w:r>
              <w:rPr>
                <w:rFonts w:hint="eastAsia" w:ascii="宋体" w:hAnsi="宋体" w:cs="微软雅黑"/>
                <w:color w:val="auto"/>
                <w:kern w:val="0"/>
                <w:sz w:val="24"/>
                <w:highlight w:val="none"/>
                <w:lang w:bidi="ar"/>
              </w:rPr>
              <w:br w:type="textWrapping"/>
            </w:r>
            <w:r>
              <w:rPr>
                <w:rFonts w:hint="eastAsia" w:ascii="宋体" w:hAnsi="宋体" w:cs="微软雅黑"/>
                <w:color w:val="auto"/>
                <w:kern w:val="0"/>
                <w:sz w:val="24"/>
                <w:highlight w:val="none"/>
                <w:lang w:bidi="ar"/>
              </w:rPr>
              <w:t>3.内存：配置≥3GB内存，存储：配置≥32GB</w:t>
            </w:r>
            <w:r>
              <w:rPr>
                <w:rFonts w:hint="eastAsia" w:ascii="宋体" w:hAnsi="宋体" w:cs="微软雅黑"/>
                <w:color w:val="auto"/>
                <w:kern w:val="0"/>
                <w:sz w:val="24"/>
                <w:highlight w:val="none"/>
                <w:lang w:bidi="ar"/>
              </w:rPr>
              <w:br w:type="textWrapping"/>
            </w:r>
            <w:r>
              <w:rPr>
                <w:rFonts w:hint="eastAsia" w:ascii="宋体" w:hAnsi="宋体" w:cs="微软雅黑"/>
                <w:color w:val="auto"/>
                <w:kern w:val="0"/>
                <w:sz w:val="24"/>
                <w:highlight w:val="none"/>
                <w:lang w:bidi="ar"/>
              </w:rPr>
              <w:t>4.外壳：医用可消毒外壳</w:t>
            </w:r>
            <w:r>
              <w:rPr>
                <w:rFonts w:hint="eastAsia" w:ascii="宋体" w:hAnsi="宋体" w:cs="微软雅黑"/>
                <w:color w:val="auto"/>
                <w:kern w:val="0"/>
                <w:sz w:val="24"/>
                <w:highlight w:val="none"/>
                <w:lang w:bidi="ar"/>
              </w:rPr>
              <w:br w:type="textWrapping"/>
            </w:r>
            <w:r>
              <w:rPr>
                <w:rFonts w:hint="eastAsia" w:ascii="宋体" w:hAnsi="宋体" w:cs="微软雅黑"/>
                <w:color w:val="auto"/>
                <w:kern w:val="0"/>
                <w:sz w:val="24"/>
                <w:highlight w:val="none"/>
                <w:lang w:bidi="ar"/>
              </w:rPr>
              <w:t>5.条码扫描引擎：十字瞄准引擎，支持一维、二维扫描</w:t>
            </w:r>
            <w:r>
              <w:rPr>
                <w:rFonts w:hint="eastAsia" w:ascii="宋体" w:hAnsi="宋体" w:cs="微软雅黑"/>
                <w:color w:val="auto"/>
                <w:kern w:val="0"/>
                <w:sz w:val="24"/>
                <w:highlight w:val="none"/>
                <w:lang w:bidi="ar"/>
              </w:rPr>
              <w:br w:type="textWrapping"/>
            </w:r>
            <w:r>
              <w:rPr>
                <w:rFonts w:hint="eastAsia" w:ascii="宋体" w:hAnsi="宋体" w:cs="微软雅黑"/>
                <w:color w:val="auto"/>
                <w:kern w:val="0"/>
                <w:sz w:val="24"/>
                <w:highlight w:val="none"/>
                <w:lang w:bidi="ar"/>
              </w:rPr>
              <w:t>6.电池：可拆卸4000mAh以上，带线充和座充</w:t>
            </w:r>
            <w:r>
              <w:rPr>
                <w:rFonts w:hint="eastAsia" w:ascii="宋体" w:hAnsi="宋体" w:cs="微软雅黑"/>
                <w:color w:val="auto"/>
                <w:kern w:val="0"/>
                <w:sz w:val="24"/>
                <w:highlight w:val="none"/>
                <w:lang w:bidi="ar"/>
              </w:rPr>
              <w:br w:type="textWrapping"/>
            </w:r>
            <w:r>
              <w:rPr>
                <w:rFonts w:hint="eastAsia" w:ascii="宋体" w:hAnsi="宋体" w:cs="微软雅黑"/>
                <w:color w:val="auto"/>
                <w:kern w:val="0"/>
                <w:sz w:val="24"/>
                <w:highlight w:val="none"/>
                <w:lang w:bidi="ar"/>
              </w:rPr>
              <w:t>7.屏幕：5寸，HD1280x720以上，摄像头：1300万像素以上</w:t>
            </w:r>
            <w:r>
              <w:rPr>
                <w:rFonts w:hint="eastAsia" w:ascii="宋体" w:hAnsi="宋体" w:cs="微软雅黑"/>
                <w:color w:val="auto"/>
                <w:kern w:val="0"/>
                <w:sz w:val="24"/>
                <w:highlight w:val="none"/>
                <w:lang w:bidi="ar"/>
              </w:rPr>
              <w:br w:type="textWrapping"/>
            </w:r>
            <w:r>
              <w:rPr>
                <w:rFonts w:hint="eastAsia" w:ascii="宋体" w:hAnsi="宋体" w:cs="微软雅黑"/>
                <w:color w:val="auto"/>
                <w:kern w:val="0"/>
                <w:sz w:val="24"/>
                <w:highlight w:val="none"/>
                <w:lang w:bidi="ar"/>
              </w:rPr>
              <w:t>8.wifi：802.11ac，蓝牙：4.2，支持NFC</w:t>
            </w:r>
            <w:r>
              <w:rPr>
                <w:rFonts w:hint="eastAsia" w:ascii="宋体" w:hAnsi="宋体" w:cs="微软雅黑"/>
                <w:color w:val="auto"/>
                <w:kern w:val="0"/>
                <w:sz w:val="24"/>
                <w:highlight w:val="none"/>
                <w:lang w:bidi="ar"/>
              </w:rPr>
              <w:br w:type="textWrapping"/>
            </w:r>
            <w:r>
              <w:rPr>
                <w:rFonts w:hint="eastAsia" w:ascii="宋体" w:hAnsi="宋体" w:cs="微软雅黑"/>
                <w:color w:val="auto"/>
                <w:kern w:val="0"/>
                <w:sz w:val="24"/>
                <w:highlight w:val="none"/>
                <w:lang w:bidi="ar"/>
              </w:rPr>
              <w:t>9.整机5年保修</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w:t>
            </w:r>
            <w:r>
              <w:rPr>
                <w:rFonts w:ascii="宋体" w:hAnsi="宋体" w:eastAsia="宋体"/>
                <w:bCs/>
                <w:color w:val="auto"/>
                <w:kern w:val="0"/>
                <w:sz w:val="24"/>
                <w:highlight w:val="none"/>
                <w:lang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6</w:t>
            </w:r>
            <w:r>
              <w:rPr>
                <w:rFonts w:ascii="宋体" w:hAnsi="宋体" w:eastAsia="宋体"/>
                <w:bCs/>
                <w:color w:val="auto"/>
                <w:kern w:val="0"/>
                <w:sz w:val="24"/>
                <w:highlight w:val="none"/>
                <w:lang w:eastAsia="zh-CN"/>
              </w:rPr>
              <w:t>3</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移动查房平板电脑</w:t>
            </w:r>
          </w:p>
        </w:tc>
        <w:tc>
          <w:tcPr>
            <w:tcW w:w="6388" w:type="dxa"/>
            <w:gridSpan w:val="2"/>
            <w:tcBorders>
              <w:top w:val="nil"/>
              <w:left w:val="nil"/>
              <w:bottom w:val="single" w:color="auto" w:sz="4" w:space="0"/>
              <w:right w:val="single" w:color="auto" w:sz="4" w:space="0"/>
            </w:tcBorders>
          </w:tcPr>
          <w:p>
            <w:pPr>
              <w:widowControl/>
              <w:spacing w:line="360" w:lineRule="auto"/>
              <w:jc w:val="left"/>
              <w:textAlignment w:val="top"/>
              <w:rPr>
                <w:rFonts w:ascii="宋体" w:hAnsi="宋体" w:cs="微软雅黑"/>
                <w:color w:val="auto"/>
                <w:kern w:val="0"/>
                <w:sz w:val="24"/>
                <w:highlight w:val="none"/>
                <w:lang w:bidi="ar"/>
              </w:rPr>
            </w:pPr>
            <w:r>
              <w:rPr>
                <w:rFonts w:hint="eastAsia" w:ascii="宋体" w:hAnsi="宋体" w:cs="微软雅黑"/>
                <w:color w:val="auto"/>
                <w:kern w:val="0"/>
                <w:sz w:val="24"/>
                <w:highlight w:val="none"/>
                <w:lang w:bidi="ar"/>
              </w:rPr>
              <w:t>1.工业级安卓平板电脑</w:t>
            </w:r>
            <w:r>
              <w:rPr>
                <w:rFonts w:hint="eastAsia" w:ascii="宋体" w:hAnsi="宋体" w:cs="微软雅黑"/>
                <w:color w:val="auto"/>
                <w:kern w:val="0"/>
                <w:sz w:val="24"/>
                <w:highlight w:val="none"/>
                <w:lang w:bidi="ar"/>
              </w:rPr>
              <w:br w:type="textWrapping"/>
            </w:r>
            <w:r>
              <w:rPr>
                <w:rFonts w:hint="eastAsia" w:ascii="宋体" w:hAnsi="宋体" w:cs="微软雅黑"/>
                <w:color w:val="auto"/>
                <w:kern w:val="0"/>
                <w:sz w:val="24"/>
                <w:highlight w:val="none"/>
                <w:lang w:bidi="ar"/>
              </w:rPr>
              <w:t>2.CPU：八核2.2GHz以上</w:t>
            </w:r>
            <w:r>
              <w:rPr>
                <w:rFonts w:hint="eastAsia" w:ascii="宋体" w:hAnsi="宋体" w:cs="微软雅黑"/>
                <w:color w:val="auto"/>
                <w:kern w:val="0"/>
                <w:sz w:val="24"/>
                <w:highlight w:val="none"/>
                <w:lang w:bidi="ar"/>
              </w:rPr>
              <w:br w:type="textWrapping"/>
            </w:r>
            <w:r>
              <w:rPr>
                <w:rFonts w:hint="eastAsia" w:ascii="宋体" w:hAnsi="宋体" w:cs="微软雅黑"/>
                <w:color w:val="auto"/>
                <w:kern w:val="0"/>
                <w:sz w:val="24"/>
                <w:highlight w:val="none"/>
                <w:lang w:bidi="ar"/>
              </w:rPr>
              <w:t>3.内存：配置≥4GB内存，存储：配置≥64GB</w:t>
            </w:r>
            <w:r>
              <w:rPr>
                <w:rFonts w:hint="eastAsia" w:ascii="宋体" w:hAnsi="宋体" w:cs="微软雅黑"/>
                <w:color w:val="auto"/>
                <w:kern w:val="0"/>
                <w:sz w:val="24"/>
                <w:highlight w:val="none"/>
                <w:lang w:bidi="ar"/>
              </w:rPr>
              <w:br w:type="textWrapping"/>
            </w:r>
            <w:r>
              <w:rPr>
                <w:rFonts w:hint="eastAsia" w:ascii="宋体" w:hAnsi="宋体" w:cs="微软雅黑"/>
                <w:color w:val="auto"/>
                <w:kern w:val="0"/>
                <w:sz w:val="24"/>
                <w:highlight w:val="none"/>
                <w:lang w:bidi="ar"/>
              </w:rPr>
              <w:t>4.防水防尘工业等级：IP65以上</w:t>
            </w:r>
            <w:r>
              <w:rPr>
                <w:rFonts w:hint="eastAsia" w:ascii="宋体" w:hAnsi="宋体" w:cs="微软雅黑"/>
                <w:color w:val="auto"/>
                <w:kern w:val="0"/>
                <w:sz w:val="24"/>
                <w:highlight w:val="none"/>
                <w:lang w:bidi="ar"/>
              </w:rPr>
              <w:br w:type="textWrapping"/>
            </w:r>
            <w:r>
              <w:rPr>
                <w:rFonts w:hint="eastAsia" w:ascii="宋体" w:hAnsi="宋体" w:cs="微软雅黑"/>
                <w:color w:val="auto"/>
                <w:kern w:val="0"/>
                <w:sz w:val="24"/>
                <w:highlight w:val="none"/>
                <w:lang w:bidi="ar"/>
              </w:rPr>
              <w:t>5.条码扫描引擎：LED补光，激光瞄准，支持一维、二维扫描</w:t>
            </w:r>
            <w:r>
              <w:rPr>
                <w:rFonts w:hint="eastAsia" w:ascii="宋体" w:hAnsi="宋体" w:cs="微软雅黑"/>
                <w:color w:val="auto"/>
                <w:kern w:val="0"/>
                <w:sz w:val="24"/>
                <w:highlight w:val="none"/>
                <w:lang w:bidi="ar"/>
              </w:rPr>
              <w:br w:type="textWrapping"/>
            </w:r>
            <w:r>
              <w:rPr>
                <w:rFonts w:hint="eastAsia" w:ascii="宋体" w:hAnsi="宋体" w:cs="微软雅黑"/>
                <w:color w:val="auto"/>
                <w:kern w:val="0"/>
                <w:sz w:val="24"/>
                <w:highlight w:val="none"/>
                <w:lang w:bidi="ar"/>
              </w:rPr>
              <w:t>6.电池：9800mAh以上，</w:t>
            </w:r>
            <w:r>
              <w:rPr>
                <w:rFonts w:hint="eastAsia" w:ascii="宋体" w:hAnsi="宋体" w:cs="宋体"/>
                <w:bCs/>
                <w:color w:val="auto"/>
                <w:kern w:val="0"/>
                <w:sz w:val="24"/>
                <w:highlight w:val="none"/>
              </w:rPr>
              <w:t>支持QC3.0充电</w:t>
            </w:r>
            <w:r>
              <w:rPr>
                <w:rFonts w:hint="eastAsia" w:ascii="宋体" w:hAnsi="宋体" w:cs="微软雅黑"/>
                <w:color w:val="auto"/>
                <w:kern w:val="0"/>
                <w:sz w:val="24"/>
                <w:highlight w:val="none"/>
                <w:lang w:bidi="ar"/>
              </w:rPr>
              <w:br w:type="textWrapping"/>
            </w:r>
            <w:r>
              <w:rPr>
                <w:rFonts w:hint="eastAsia" w:ascii="宋体" w:hAnsi="宋体" w:cs="微软雅黑"/>
                <w:color w:val="auto"/>
                <w:kern w:val="0"/>
                <w:sz w:val="24"/>
                <w:highlight w:val="none"/>
                <w:lang w:bidi="ar"/>
              </w:rPr>
              <w:t>7.屏幕：10.1寸，HD1920x1200以上, 电容10点触摸屏，支持戴手套/带水触摸</w:t>
            </w:r>
          </w:p>
          <w:p>
            <w:pPr>
              <w:widowControl/>
              <w:spacing w:line="360" w:lineRule="auto"/>
              <w:jc w:val="left"/>
              <w:textAlignment w:val="top"/>
              <w:rPr>
                <w:rFonts w:ascii="宋体" w:hAnsi="宋体" w:cs="微软雅黑"/>
                <w:color w:val="auto"/>
                <w:kern w:val="0"/>
                <w:sz w:val="24"/>
                <w:highlight w:val="none"/>
                <w:lang w:bidi="ar"/>
              </w:rPr>
            </w:pPr>
            <w:r>
              <w:rPr>
                <w:rFonts w:hint="eastAsia" w:ascii="宋体" w:hAnsi="宋体" w:cs="微软雅黑"/>
                <w:color w:val="auto"/>
                <w:kern w:val="0"/>
                <w:sz w:val="24"/>
                <w:highlight w:val="none"/>
                <w:lang w:bidi="ar"/>
              </w:rPr>
              <w:t>8.wifi：802.11ac，蓝牙：4.2，支持NFC</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6</w:t>
            </w:r>
            <w:r>
              <w:rPr>
                <w:rFonts w:ascii="宋体" w:hAnsi="宋体" w:eastAsia="宋体"/>
                <w:bCs/>
                <w:color w:val="auto"/>
                <w:kern w:val="0"/>
                <w:sz w:val="24"/>
                <w:highlight w:val="none"/>
                <w:lang w:eastAsia="zh-CN"/>
              </w:rPr>
              <w:t>4</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移动手写签名板</w:t>
            </w:r>
          </w:p>
        </w:tc>
        <w:tc>
          <w:tcPr>
            <w:tcW w:w="6388" w:type="dxa"/>
            <w:gridSpan w:val="2"/>
            <w:tcBorders>
              <w:top w:val="nil"/>
              <w:left w:val="nil"/>
              <w:bottom w:val="single" w:color="auto" w:sz="4" w:space="0"/>
              <w:right w:val="single" w:color="auto" w:sz="4" w:space="0"/>
            </w:tcBorders>
          </w:tcPr>
          <w:p>
            <w:pPr>
              <w:widowControl/>
              <w:spacing w:line="360" w:lineRule="auto"/>
              <w:jc w:val="left"/>
              <w:textAlignment w:val="top"/>
              <w:rPr>
                <w:rFonts w:ascii="宋体" w:hAnsi="宋体" w:cs="微软雅黑"/>
                <w:color w:val="auto"/>
                <w:kern w:val="0"/>
                <w:sz w:val="24"/>
                <w:highlight w:val="none"/>
                <w:lang w:bidi="ar"/>
              </w:rPr>
            </w:pPr>
            <w:r>
              <w:rPr>
                <w:rFonts w:hint="eastAsia" w:ascii="宋体" w:hAnsi="宋体" w:cs="微软雅黑"/>
                <w:color w:val="auto"/>
                <w:kern w:val="0"/>
                <w:sz w:val="24"/>
                <w:highlight w:val="none"/>
                <w:lang w:bidi="ar"/>
              </w:rPr>
              <w:t>1.安卓平板电脑</w:t>
            </w:r>
          </w:p>
          <w:p>
            <w:pPr>
              <w:widowControl/>
              <w:spacing w:line="360" w:lineRule="auto"/>
              <w:jc w:val="left"/>
              <w:textAlignment w:val="top"/>
              <w:rPr>
                <w:rFonts w:ascii="宋体" w:hAnsi="宋体" w:cs="微软雅黑"/>
                <w:color w:val="auto"/>
                <w:kern w:val="0"/>
                <w:sz w:val="24"/>
                <w:highlight w:val="none"/>
                <w:lang w:bidi="ar"/>
              </w:rPr>
            </w:pPr>
            <w:r>
              <w:rPr>
                <w:rFonts w:hint="eastAsia" w:ascii="宋体" w:hAnsi="宋体" w:cs="微软雅黑"/>
                <w:color w:val="auto"/>
                <w:kern w:val="0"/>
                <w:sz w:val="24"/>
                <w:highlight w:val="none"/>
                <w:lang w:bidi="ar"/>
              </w:rPr>
              <w:t>2.具备压感笔触签字功能</w:t>
            </w:r>
          </w:p>
          <w:p>
            <w:pPr>
              <w:widowControl/>
              <w:spacing w:line="360" w:lineRule="auto"/>
              <w:jc w:val="left"/>
              <w:textAlignment w:val="top"/>
              <w:rPr>
                <w:rFonts w:ascii="宋体" w:hAnsi="宋体" w:cs="微软雅黑"/>
                <w:color w:val="auto"/>
                <w:kern w:val="0"/>
                <w:sz w:val="24"/>
                <w:highlight w:val="none"/>
                <w:lang w:bidi="ar"/>
              </w:rPr>
            </w:pPr>
            <w:r>
              <w:rPr>
                <w:rFonts w:hint="eastAsia" w:ascii="宋体" w:hAnsi="宋体" w:cs="微软雅黑"/>
                <w:color w:val="auto"/>
                <w:kern w:val="0"/>
                <w:sz w:val="24"/>
                <w:highlight w:val="none"/>
                <w:lang w:bidi="ar"/>
              </w:rPr>
              <w:t>3.具备指纹采集功能</w:t>
            </w:r>
          </w:p>
          <w:p>
            <w:pPr>
              <w:widowControl/>
              <w:spacing w:line="360" w:lineRule="auto"/>
              <w:jc w:val="left"/>
              <w:textAlignment w:val="top"/>
              <w:rPr>
                <w:rFonts w:ascii="宋体" w:hAnsi="宋体" w:cs="微软雅黑"/>
                <w:color w:val="auto"/>
                <w:kern w:val="0"/>
                <w:sz w:val="24"/>
                <w:highlight w:val="none"/>
                <w:lang w:bidi="ar"/>
              </w:rPr>
            </w:pPr>
            <w:r>
              <w:rPr>
                <w:rFonts w:hint="eastAsia" w:ascii="宋体" w:hAnsi="宋体" w:cs="微软雅黑"/>
                <w:color w:val="auto"/>
                <w:kern w:val="0"/>
                <w:sz w:val="24"/>
                <w:highlight w:val="none"/>
                <w:lang w:bidi="ar"/>
              </w:rPr>
              <w:t>4.具备文件浏览、电子签名功能</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6</w:t>
            </w:r>
            <w:r>
              <w:rPr>
                <w:rFonts w:ascii="宋体" w:hAnsi="宋体" w:eastAsia="宋体"/>
                <w:bCs/>
                <w:color w:val="auto"/>
                <w:kern w:val="0"/>
                <w:sz w:val="24"/>
                <w:highlight w:val="none"/>
                <w:lang w:eastAsia="zh-CN"/>
              </w:rPr>
              <w:t>5</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医联体电脑终端</w:t>
            </w:r>
          </w:p>
        </w:tc>
        <w:tc>
          <w:tcPr>
            <w:tcW w:w="6388" w:type="dxa"/>
            <w:gridSpan w:val="2"/>
            <w:tcBorders>
              <w:top w:val="nil"/>
              <w:left w:val="nil"/>
              <w:bottom w:val="single" w:color="auto" w:sz="4" w:space="0"/>
              <w:right w:val="single" w:color="auto" w:sz="4" w:space="0"/>
            </w:tcBorders>
          </w:tcPr>
          <w:p>
            <w:pPr>
              <w:widowControl/>
              <w:spacing w:line="360" w:lineRule="auto"/>
              <w:jc w:val="left"/>
              <w:textAlignment w:val="top"/>
              <w:rPr>
                <w:rFonts w:ascii="宋体" w:hAnsi="宋体" w:cs="微软雅黑"/>
                <w:color w:val="auto"/>
                <w:kern w:val="0"/>
                <w:sz w:val="24"/>
                <w:highlight w:val="none"/>
                <w:lang w:bidi="ar"/>
              </w:rPr>
            </w:pPr>
            <w:r>
              <w:rPr>
                <w:rFonts w:hint="eastAsia" w:ascii="宋体" w:hAnsi="宋体" w:cs="微软雅黑"/>
                <w:color w:val="auto"/>
                <w:kern w:val="0"/>
                <w:sz w:val="24"/>
                <w:highlight w:val="none"/>
                <w:lang w:bidi="ar"/>
              </w:rPr>
              <w:t>一、电脑主机</w:t>
            </w:r>
            <w:r>
              <w:rPr>
                <w:rFonts w:hint="eastAsia" w:ascii="宋体" w:hAnsi="宋体" w:cs="微软雅黑"/>
                <w:color w:val="auto"/>
                <w:kern w:val="0"/>
                <w:sz w:val="24"/>
                <w:highlight w:val="none"/>
                <w:lang w:bidi="ar"/>
              </w:rPr>
              <w:br w:type="textWrapping"/>
            </w:r>
            <w:r>
              <w:rPr>
                <w:rFonts w:ascii="宋体" w:hAnsi="宋体" w:cs="微软雅黑"/>
                <w:color w:val="auto"/>
                <w:kern w:val="0"/>
                <w:sz w:val="24"/>
                <w:highlight w:val="none"/>
                <w:lang w:bidi="ar"/>
              </w:rPr>
              <w:t>1</w:t>
            </w:r>
            <w:r>
              <w:rPr>
                <w:rFonts w:hint="eastAsia" w:ascii="宋体" w:hAnsi="宋体" w:cs="微软雅黑"/>
                <w:color w:val="auto"/>
                <w:kern w:val="0"/>
                <w:sz w:val="24"/>
                <w:highlight w:val="none"/>
                <w:lang w:bidi="ar"/>
              </w:rPr>
              <w:t>.CPU：≥12代i</w:t>
            </w:r>
            <w:r>
              <w:rPr>
                <w:rFonts w:ascii="宋体" w:hAnsi="宋体" w:cs="微软雅黑"/>
                <w:color w:val="auto"/>
                <w:kern w:val="0"/>
                <w:sz w:val="24"/>
                <w:highlight w:val="none"/>
                <w:lang w:bidi="ar"/>
              </w:rPr>
              <w:t>3</w:t>
            </w:r>
            <w:r>
              <w:rPr>
                <w:rFonts w:hint="eastAsia" w:ascii="宋体" w:hAnsi="宋体" w:cs="微软雅黑"/>
                <w:color w:val="auto"/>
                <w:kern w:val="0"/>
                <w:sz w:val="24"/>
                <w:highlight w:val="none"/>
                <w:lang w:bidi="ar"/>
              </w:rPr>
              <w:t>核显</w:t>
            </w:r>
            <w:r>
              <w:rPr>
                <w:rFonts w:hint="eastAsia" w:ascii="宋体" w:hAnsi="宋体" w:cs="微软雅黑"/>
                <w:color w:val="auto"/>
                <w:kern w:val="0"/>
                <w:sz w:val="24"/>
                <w:highlight w:val="none"/>
                <w:lang w:bidi="ar"/>
              </w:rPr>
              <w:br w:type="textWrapping"/>
            </w:r>
            <w:r>
              <w:rPr>
                <w:rFonts w:ascii="宋体" w:hAnsi="宋体" w:cs="微软雅黑"/>
                <w:color w:val="auto"/>
                <w:kern w:val="0"/>
                <w:sz w:val="24"/>
                <w:highlight w:val="none"/>
                <w:lang w:bidi="ar"/>
              </w:rPr>
              <w:t>2</w:t>
            </w:r>
            <w:r>
              <w:rPr>
                <w:rFonts w:hint="eastAsia" w:ascii="宋体" w:hAnsi="宋体" w:cs="微软雅黑"/>
                <w:color w:val="auto"/>
                <w:kern w:val="0"/>
                <w:sz w:val="24"/>
                <w:highlight w:val="none"/>
                <w:lang w:bidi="ar"/>
              </w:rPr>
              <w:t>.内存：配置≥8GB内存</w:t>
            </w:r>
            <w:r>
              <w:rPr>
                <w:rFonts w:hint="eastAsia" w:ascii="宋体" w:hAnsi="宋体" w:cs="微软雅黑"/>
                <w:color w:val="auto"/>
                <w:kern w:val="0"/>
                <w:sz w:val="24"/>
                <w:highlight w:val="none"/>
                <w:lang w:bidi="ar"/>
              </w:rPr>
              <w:br w:type="textWrapping"/>
            </w:r>
            <w:r>
              <w:rPr>
                <w:rFonts w:ascii="宋体" w:hAnsi="宋体" w:cs="微软雅黑"/>
                <w:color w:val="auto"/>
                <w:kern w:val="0"/>
                <w:sz w:val="24"/>
                <w:highlight w:val="none"/>
                <w:lang w:bidi="ar"/>
              </w:rPr>
              <w:t>3</w:t>
            </w:r>
            <w:r>
              <w:rPr>
                <w:rFonts w:hint="eastAsia" w:ascii="宋体" w:hAnsi="宋体" w:cs="微软雅黑"/>
                <w:color w:val="auto"/>
                <w:kern w:val="0"/>
                <w:sz w:val="24"/>
                <w:highlight w:val="none"/>
                <w:lang w:bidi="ar"/>
              </w:rPr>
              <w:t>.硬盘：配置≥</w:t>
            </w:r>
            <w:r>
              <w:rPr>
                <w:rFonts w:ascii="宋体" w:hAnsi="宋体" w:cs="微软雅黑"/>
                <w:color w:val="auto"/>
                <w:kern w:val="0"/>
                <w:sz w:val="24"/>
                <w:highlight w:val="none"/>
                <w:lang w:bidi="ar"/>
              </w:rPr>
              <w:t>500G</w:t>
            </w:r>
            <w:r>
              <w:rPr>
                <w:rFonts w:hint="eastAsia" w:ascii="宋体" w:hAnsi="宋体" w:cs="微软雅黑"/>
                <w:color w:val="auto"/>
                <w:kern w:val="0"/>
                <w:sz w:val="24"/>
                <w:highlight w:val="none"/>
                <w:lang w:bidi="ar"/>
              </w:rPr>
              <w:br w:type="textWrapping"/>
            </w:r>
            <w:r>
              <w:rPr>
                <w:rFonts w:ascii="宋体" w:hAnsi="宋体" w:cs="微软雅黑"/>
                <w:color w:val="auto"/>
                <w:kern w:val="0"/>
                <w:sz w:val="24"/>
                <w:highlight w:val="none"/>
                <w:lang w:bidi="ar"/>
              </w:rPr>
              <w:t>4</w:t>
            </w:r>
            <w:r>
              <w:rPr>
                <w:rFonts w:hint="eastAsia" w:ascii="宋体" w:hAnsi="宋体" w:cs="微软雅黑"/>
                <w:color w:val="auto"/>
                <w:kern w:val="0"/>
                <w:sz w:val="24"/>
                <w:highlight w:val="none"/>
                <w:lang w:bidi="ar"/>
              </w:rPr>
              <w:t>.网卡：配置≥1个GE端口，WIFI6无线网卡</w:t>
            </w:r>
            <w:r>
              <w:rPr>
                <w:rFonts w:hint="eastAsia" w:ascii="宋体" w:hAnsi="宋体" w:cs="微软雅黑"/>
                <w:color w:val="auto"/>
                <w:kern w:val="0"/>
                <w:sz w:val="24"/>
                <w:highlight w:val="none"/>
                <w:lang w:bidi="ar"/>
              </w:rPr>
              <w:br w:type="textWrapping"/>
            </w:r>
            <w:r>
              <w:rPr>
                <w:rFonts w:hint="eastAsia" w:ascii="宋体" w:hAnsi="宋体" w:cs="微软雅黑"/>
                <w:color w:val="auto"/>
                <w:kern w:val="0"/>
                <w:sz w:val="24"/>
                <w:highlight w:val="none"/>
                <w:lang w:bidi="ar"/>
              </w:rPr>
              <w:t>二、显示器</w:t>
            </w:r>
          </w:p>
          <w:p>
            <w:pPr>
              <w:widowControl/>
              <w:spacing w:line="360" w:lineRule="auto"/>
              <w:jc w:val="left"/>
              <w:textAlignment w:val="top"/>
              <w:rPr>
                <w:rFonts w:ascii="宋体" w:hAnsi="宋体" w:cs="微软雅黑"/>
                <w:color w:val="auto"/>
                <w:kern w:val="0"/>
                <w:sz w:val="24"/>
                <w:highlight w:val="none"/>
                <w:lang w:bidi="ar"/>
              </w:rPr>
            </w:pPr>
            <w:r>
              <w:rPr>
                <w:rFonts w:hint="eastAsia" w:ascii="宋体" w:hAnsi="宋体" w:cs="微软雅黑"/>
                <w:color w:val="auto"/>
                <w:kern w:val="0"/>
                <w:sz w:val="24"/>
                <w:highlight w:val="none"/>
                <w:lang w:bidi="ar"/>
              </w:rPr>
              <w:t>1</w:t>
            </w:r>
            <w:r>
              <w:rPr>
                <w:rFonts w:ascii="宋体" w:hAnsi="宋体" w:cs="微软雅黑"/>
                <w:color w:val="auto"/>
                <w:kern w:val="0"/>
                <w:sz w:val="24"/>
                <w:highlight w:val="none"/>
                <w:lang w:bidi="ar"/>
              </w:rPr>
              <w:t>.</w:t>
            </w:r>
            <w:r>
              <w:rPr>
                <w:rFonts w:hint="eastAsia" w:ascii="宋体" w:hAnsi="宋体" w:cs="微软雅黑"/>
                <w:color w:val="auto"/>
                <w:kern w:val="0"/>
                <w:sz w:val="24"/>
                <w:highlight w:val="none"/>
                <w:lang w:bidi="ar"/>
              </w:rPr>
              <w:t>屏幕比例：16:9</w:t>
            </w:r>
          </w:p>
          <w:p>
            <w:pPr>
              <w:widowControl/>
              <w:spacing w:line="360" w:lineRule="auto"/>
              <w:jc w:val="left"/>
              <w:textAlignment w:val="top"/>
              <w:rPr>
                <w:rFonts w:ascii="宋体" w:hAnsi="宋体" w:cs="微软雅黑"/>
                <w:color w:val="auto"/>
                <w:kern w:val="0"/>
                <w:sz w:val="24"/>
                <w:highlight w:val="none"/>
                <w:lang w:bidi="ar"/>
              </w:rPr>
            </w:pPr>
            <w:r>
              <w:rPr>
                <w:rFonts w:hint="eastAsia" w:ascii="宋体" w:hAnsi="宋体" w:cs="微软雅黑"/>
                <w:color w:val="auto"/>
                <w:kern w:val="0"/>
                <w:sz w:val="24"/>
                <w:highlight w:val="none"/>
                <w:lang w:bidi="ar"/>
              </w:rPr>
              <w:t>2</w:t>
            </w:r>
            <w:r>
              <w:rPr>
                <w:rFonts w:ascii="宋体" w:hAnsi="宋体" w:cs="微软雅黑"/>
                <w:color w:val="auto"/>
                <w:kern w:val="0"/>
                <w:sz w:val="24"/>
                <w:highlight w:val="none"/>
                <w:lang w:bidi="ar"/>
              </w:rPr>
              <w:t>.</w:t>
            </w:r>
            <w:r>
              <w:rPr>
                <w:rFonts w:hint="eastAsia" w:ascii="宋体" w:hAnsi="宋体" w:cs="微软雅黑"/>
                <w:color w:val="auto"/>
                <w:kern w:val="0"/>
                <w:sz w:val="24"/>
                <w:highlight w:val="none"/>
                <w:lang w:bidi="ar"/>
              </w:rPr>
              <w:t>面板：IPS技术</w:t>
            </w:r>
          </w:p>
          <w:p>
            <w:pPr>
              <w:widowControl/>
              <w:spacing w:line="360" w:lineRule="auto"/>
              <w:jc w:val="left"/>
              <w:textAlignment w:val="top"/>
              <w:rPr>
                <w:rFonts w:ascii="宋体" w:hAnsi="宋体" w:cs="微软雅黑"/>
                <w:color w:val="auto"/>
                <w:kern w:val="0"/>
                <w:sz w:val="24"/>
                <w:highlight w:val="none"/>
                <w:lang w:bidi="ar"/>
              </w:rPr>
            </w:pPr>
            <w:r>
              <w:rPr>
                <w:rFonts w:hint="eastAsia" w:ascii="宋体" w:hAnsi="宋体" w:cs="微软雅黑"/>
                <w:color w:val="auto"/>
                <w:kern w:val="0"/>
                <w:sz w:val="24"/>
                <w:highlight w:val="none"/>
                <w:lang w:bidi="ar"/>
              </w:rPr>
              <w:t>3</w:t>
            </w:r>
            <w:r>
              <w:rPr>
                <w:rFonts w:ascii="宋体" w:hAnsi="宋体" w:cs="微软雅黑"/>
                <w:color w:val="auto"/>
                <w:kern w:val="0"/>
                <w:sz w:val="24"/>
                <w:highlight w:val="none"/>
                <w:lang w:bidi="ar"/>
              </w:rPr>
              <w:t>.</w:t>
            </w:r>
            <w:r>
              <w:rPr>
                <w:rFonts w:hint="eastAsia" w:ascii="宋体" w:hAnsi="宋体" w:cs="微软雅黑"/>
                <w:color w:val="auto"/>
                <w:kern w:val="0"/>
                <w:sz w:val="24"/>
                <w:highlight w:val="none"/>
                <w:lang w:bidi="ar"/>
              </w:rPr>
              <w:t>对比度：1000:1</w:t>
            </w:r>
          </w:p>
          <w:p>
            <w:pPr>
              <w:widowControl/>
              <w:spacing w:line="360" w:lineRule="auto"/>
              <w:jc w:val="left"/>
              <w:textAlignment w:val="top"/>
              <w:rPr>
                <w:rFonts w:ascii="宋体" w:hAnsi="宋体" w:cs="微软雅黑"/>
                <w:color w:val="auto"/>
                <w:kern w:val="0"/>
                <w:sz w:val="24"/>
                <w:highlight w:val="none"/>
                <w:lang w:bidi="ar"/>
              </w:rPr>
            </w:pPr>
            <w:r>
              <w:rPr>
                <w:rFonts w:hint="eastAsia" w:ascii="宋体" w:hAnsi="宋体" w:cs="微软雅黑"/>
                <w:color w:val="auto"/>
                <w:kern w:val="0"/>
                <w:sz w:val="24"/>
                <w:highlight w:val="none"/>
                <w:lang w:bidi="ar"/>
              </w:rPr>
              <w:t>4</w:t>
            </w:r>
            <w:r>
              <w:rPr>
                <w:rFonts w:ascii="宋体" w:hAnsi="宋体" w:cs="微软雅黑"/>
                <w:color w:val="auto"/>
                <w:kern w:val="0"/>
                <w:sz w:val="24"/>
                <w:highlight w:val="none"/>
                <w:lang w:bidi="ar"/>
              </w:rPr>
              <w:t>.</w:t>
            </w:r>
            <w:r>
              <w:rPr>
                <w:rFonts w:hint="eastAsia" w:ascii="宋体" w:hAnsi="宋体" w:cs="微软雅黑"/>
                <w:color w:val="auto"/>
                <w:kern w:val="0"/>
                <w:sz w:val="24"/>
                <w:highlight w:val="none"/>
                <w:lang w:bidi="ar"/>
              </w:rPr>
              <w:t>屏幕刷新率：≥100Mhz</w:t>
            </w:r>
          </w:p>
          <w:p>
            <w:pPr>
              <w:widowControl/>
              <w:spacing w:line="360" w:lineRule="auto"/>
              <w:jc w:val="left"/>
              <w:textAlignment w:val="top"/>
              <w:rPr>
                <w:rFonts w:ascii="宋体" w:hAnsi="宋体" w:cs="微软雅黑"/>
                <w:color w:val="auto"/>
                <w:kern w:val="0"/>
                <w:sz w:val="24"/>
                <w:highlight w:val="none"/>
                <w:lang w:bidi="ar"/>
              </w:rPr>
            </w:pPr>
            <w:r>
              <w:rPr>
                <w:rFonts w:hint="eastAsia" w:ascii="宋体" w:hAnsi="宋体" w:cs="微软雅黑"/>
                <w:color w:val="auto"/>
                <w:kern w:val="0"/>
                <w:sz w:val="24"/>
                <w:highlight w:val="none"/>
                <w:lang w:bidi="ar"/>
              </w:rPr>
              <w:t>5</w:t>
            </w:r>
            <w:r>
              <w:rPr>
                <w:rFonts w:ascii="宋体" w:hAnsi="宋体" w:cs="微软雅黑"/>
                <w:color w:val="auto"/>
                <w:kern w:val="0"/>
                <w:sz w:val="24"/>
                <w:highlight w:val="none"/>
                <w:lang w:bidi="ar"/>
              </w:rPr>
              <w:t>.</w:t>
            </w:r>
            <w:r>
              <w:rPr>
                <w:rFonts w:hint="eastAsia" w:ascii="宋体" w:hAnsi="宋体" w:cs="微软雅黑"/>
                <w:color w:val="auto"/>
                <w:kern w:val="0"/>
                <w:sz w:val="24"/>
                <w:highlight w:val="none"/>
                <w:lang w:bidi="ar"/>
              </w:rPr>
              <w:t>分辨率：≥1920*1080</w:t>
            </w:r>
          </w:p>
          <w:p>
            <w:pPr>
              <w:widowControl/>
              <w:spacing w:line="360" w:lineRule="auto"/>
              <w:jc w:val="left"/>
              <w:textAlignment w:val="top"/>
              <w:rPr>
                <w:rFonts w:ascii="宋体" w:hAnsi="宋体" w:cs="微软雅黑"/>
                <w:color w:val="auto"/>
                <w:kern w:val="0"/>
                <w:sz w:val="24"/>
                <w:highlight w:val="none"/>
                <w:lang w:bidi="ar"/>
              </w:rPr>
            </w:pPr>
            <w:r>
              <w:rPr>
                <w:rFonts w:hint="eastAsia" w:ascii="宋体" w:hAnsi="宋体" w:cs="微软雅黑"/>
                <w:color w:val="auto"/>
                <w:kern w:val="0"/>
                <w:sz w:val="24"/>
                <w:highlight w:val="none"/>
                <w:lang w:bidi="ar"/>
              </w:rPr>
              <w:t>6</w:t>
            </w:r>
            <w:r>
              <w:rPr>
                <w:rFonts w:ascii="宋体" w:hAnsi="宋体" w:cs="微软雅黑"/>
                <w:color w:val="auto"/>
                <w:kern w:val="0"/>
                <w:sz w:val="24"/>
                <w:highlight w:val="none"/>
                <w:lang w:bidi="ar"/>
              </w:rPr>
              <w:t>.</w:t>
            </w:r>
            <w:r>
              <w:rPr>
                <w:rFonts w:hint="eastAsia" w:ascii="宋体" w:hAnsi="宋体" w:cs="微软雅黑"/>
                <w:color w:val="auto"/>
                <w:kern w:val="0"/>
                <w:sz w:val="24"/>
                <w:highlight w:val="none"/>
                <w:lang w:bidi="ar"/>
              </w:rPr>
              <w:t>屏幕尺寸：≥23.8英寸</w:t>
            </w:r>
            <w:r>
              <w:rPr>
                <w:rFonts w:hint="eastAsia" w:ascii="宋体" w:hAnsi="宋体" w:cs="微软雅黑"/>
                <w:color w:val="auto"/>
                <w:kern w:val="0"/>
                <w:sz w:val="24"/>
                <w:highlight w:val="none"/>
                <w:lang w:bidi="ar"/>
              </w:rPr>
              <w:br w:type="textWrapping"/>
            </w:r>
            <w:r>
              <w:rPr>
                <w:rFonts w:hint="eastAsia" w:ascii="宋体" w:hAnsi="宋体" w:cs="微软雅黑"/>
                <w:color w:val="auto"/>
                <w:kern w:val="0"/>
                <w:sz w:val="24"/>
                <w:highlight w:val="none"/>
                <w:lang w:bidi="ar"/>
              </w:rPr>
              <w:t>三、其它</w:t>
            </w:r>
          </w:p>
          <w:p>
            <w:pPr>
              <w:widowControl/>
              <w:spacing w:line="360" w:lineRule="auto"/>
              <w:jc w:val="left"/>
              <w:textAlignment w:val="top"/>
              <w:rPr>
                <w:rFonts w:ascii="宋体" w:hAnsi="宋体" w:cs="微软雅黑"/>
                <w:color w:val="auto"/>
                <w:kern w:val="0"/>
                <w:sz w:val="24"/>
                <w:highlight w:val="none"/>
                <w:lang w:bidi="ar"/>
              </w:rPr>
            </w:pPr>
            <w:r>
              <w:rPr>
                <w:rFonts w:hint="eastAsia" w:ascii="宋体" w:hAnsi="宋体" w:cs="微软雅黑"/>
                <w:color w:val="auto"/>
                <w:kern w:val="0"/>
                <w:sz w:val="24"/>
                <w:highlight w:val="none"/>
                <w:lang w:bidi="ar"/>
              </w:rPr>
              <w:t>键盘鼠标一套</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1" w:type="dxa"/>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6</w:t>
            </w:r>
            <w:r>
              <w:rPr>
                <w:rFonts w:ascii="宋体" w:hAnsi="宋体" w:eastAsia="宋体"/>
                <w:bCs/>
                <w:color w:val="auto"/>
                <w:kern w:val="0"/>
                <w:sz w:val="24"/>
                <w:highlight w:val="none"/>
                <w:lang w:eastAsia="zh-CN"/>
              </w:rPr>
              <w:t>6</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医联体激光打印机</w:t>
            </w:r>
          </w:p>
        </w:tc>
        <w:tc>
          <w:tcPr>
            <w:tcW w:w="6380" w:type="dxa"/>
            <w:tcBorders>
              <w:top w:val="nil"/>
              <w:left w:val="nil"/>
              <w:bottom w:val="single" w:color="auto" w:sz="4" w:space="0"/>
              <w:right w:val="single" w:color="auto" w:sz="4" w:space="0"/>
            </w:tcBorders>
          </w:tcPr>
          <w:p>
            <w:pPr>
              <w:pStyle w:val="201"/>
              <w:widowControl/>
              <w:autoSpaceDE/>
              <w:autoSpaceDN/>
              <w:spacing w:before="6" w:line="360" w:lineRule="auto"/>
              <w:ind w:left="0" w:right="105" w:rightChars="50"/>
              <w:rPr>
                <w:rFonts w:ascii="宋体" w:hAnsi="宋体" w:eastAsia="宋体" w:cs="微软雅黑"/>
                <w:color w:val="auto"/>
                <w:kern w:val="0"/>
                <w:sz w:val="24"/>
                <w:highlight w:val="none"/>
                <w:lang w:eastAsia="zh-CN" w:bidi="ar"/>
              </w:rPr>
            </w:pPr>
            <w:r>
              <w:rPr>
                <w:rFonts w:hint="eastAsia" w:ascii="宋体" w:hAnsi="宋体" w:eastAsia="宋体"/>
                <w:bCs/>
                <w:color w:val="auto"/>
                <w:kern w:val="0"/>
                <w:sz w:val="24"/>
                <w:highlight w:val="none"/>
                <w:lang w:eastAsia="zh-CN"/>
              </w:rPr>
              <w:t>1.最大打印幅面：</w:t>
            </w:r>
            <w:r>
              <w:rPr>
                <w:rFonts w:hint="eastAsia" w:ascii="宋体" w:hAnsi="宋体" w:eastAsia="宋体" w:cs="微软雅黑"/>
                <w:color w:val="auto"/>
                <w:kern w:val="0"/>
                <w:sz w:val="24"/>
                <w:highlight w:val="none"/>
                <w:lang w:eastAsia="zh-CN" w:bidi="ar"/>
              </w:rPr>
              <w:t>A4</w:t>
            </w:r>
          </w:p>
          <w:p>
            <w:pPr>
              <w:pStyle w:val="201"/>
              <w:widowControl/>
              <w:autoSpaceDE/>
              <w:autoSpaceDN/>
              <w:spacing w:before="6" w:line="360" w:lineRule="auto"/>
              <w:ind w:left="0" w:right="105" w:rightChars="50"/>
              <w:rPr>
                <w:rFonts w:ascii="宋体" w:hAnsi="宋体" w:eastAsia="宋体" w:cs="微软雅黑"/>
                <w:color w:val="auto"/>
                <w:kern w:val="0"/>
                <w:sz w:val="24"/>
                <w:highlight w:val="none"/>
                <w:lang w:eastAsia="zh-CN" w:bidi="ar"/>
              </w:rPr>
            </w:pPr>
            <w:r>
              <w:rPr>
                <w:rFonts w:hint="eastAsia" w:ascii="宋体" w:hAnsi="宋体" w:eastAsia="宋体" w:cs="微软雅黑"/>
                <w:color w:val="auto"/>
                <w:kern w:val="0"/>
                <w:sz w:val="24"/>
                <w:highlight w:val="none"/>
                <w:lang w:eastAsia="zh-CN" w:bidi="ar"/>
              </w:rPr>
              <w:t>2.最高分辨率：</w:t>
            </w:r>
            <w:r>
              <w:rPr>
                <w:rFonts w:hint="eastAsia" w:ascii="宋体" w:hAnsi="宋体" w:eastAsia="宋体" w:cs="微软雅黑"/>
                <w:color w:val="auto"/>
                <w:kern w:val="0"/>
                <w:sz w:val="24"/>
                <w:highlight w:val="none"/>
                <w:lang w:bidi="ar"/>
              </w:rPr>
              <w:t>≥</w:t>
            </w:r>
            <w:r>
              <w:rPr>
                <w:rFonts w:hint="eastAsia" w:ascii="宋体" w:hAnsi="宋体" w:eastAsia="宋体" w:cs="微软雅黑"/>
                <w:color w:val="auto"/>
                <w:kern w:val="0"/>
                <w:sz w:val="24"/>
                <w:highlight w:val="none"/>
                <w:lang w:eastAsia="zh-CN" w:bidi="ar"/>
              </w:rPr>
              <w:t>600*600dpi</w:t>
            </w:r>
          </w:p>
          <w:p>
            <w:pPr>
              <w:pStyle w:val="201"/>
              <w:widowControl/>
              <w:autoSpaceDE/>
              <w:autoSpaceDN/>
              <w:spacing w:before="6" w:line="360" w:lineRule="auto"/>
              <w:ind w:left="0" w:right="105" w:rightChars="50"/>
              <w:rPr>
                <w:rFonts w:ascii="宋体" w:hAnsi="宋体" w:eastAsia="宋体" w:cs="微软雅黑"/>
                <w:color w:val="auto"/>
                <w:kern w:val="0"/>
                <w:sz w:val="24"/>
                <w:highlight w:val="none"/>
                <w:lang w:eastAsia="zh-CN" w:bidi="ar"/>
              </w:rPr>
            </w:pPr>
            <w:r>
              <w:rPr>
                <w:rFonts w:hint="eastAsia" w:ascii="宋体" w:hAnsi="宋体" w:eastAsia="宋体" w:cs="微软雅黑"/>
                <w:color w:val="auto"/>
                <w:kern w:val="0"/>
                <w:sz w:val="24"/>
                <w:highlight w:val="none"/>
                <w:lang w:eastAsia="zh-CN" w:bidi="ar"/>
              </w:rPr>
              <w:t>3.黑白打印速度：A4:</w:t>
            </w:r>
            <w:r>
              <w:rPr>
                <w:rFonts w:hint="eastAsia" w:ascii="宋体" w:hAnsi="宋体" w:eastAsia="宋体" w:cs="微软雅黑"/>
                <w:color w:val="auto"/>
                <w:kern w:val="0"/>
                <w:sz w:val="24"/>
                <w:highlight w:val="none"/>
                <w:lang w:bidi="ar"/>
              </w:rPr>
              <w:t>≥</w:t>
            </w:r>
            <w:r>
              <w:rPr>
                <w:rFonts w:hint="eastAsia" w:ascii="宋体" w:hAnsi="宋体" w:eastAsia="宋体" w:cs="微软雅黑"/>
                <w:color w:val="auto"/>
                <w:kern w:val="0"/>
                <w:sz w:val="24"/>
                <w:highlight w:val="none"/>
                <w:lang w:eastAsia="zh-CN" w:bidi="ar"/>
              </w:rPr>
              <w:t>33ppm;Letter:</w:t>
            </w:r>
            <w:r>
              <w:rPr>
                <w:rFonts w:hint="eastAsia" w:ascii="宋体" w:hAnsi="宋体" w:eastAsia="宋体" w:cs="微软雅黑"/>
                <w:color w:val="auto"/>
                <w:kern w:val="0"/>
                <w:sz w:val="24"/>
                <w:highlight w:val="none"/>
                <w:lang w:bidi="ar"/>
              </w:rPr>
              <w:t>≥</w:t>
            </w:r>
            <w:r>
              <w:rPr>
                <w:rFonts w:hint="eastAsia" w:ascii="宋体" w:hAnsi="宋体" w:eastAsia="宋体" w:cs="微软雅黑"/>
                <w:color w:val="auto"/>
                <w:kern w:val="0"/>
                <w:sz w:val="24"/>
                <w:highlight w:val="none"/>
                <w:lang w:eastAsia="zh-CN" w:bidi="ar"/>
              </w:rPr>
              <w:t>35ppm</w:t>
            </w:r>
          </w:p>
          <w:p>
            <w:pPr>
              <w:pStyle w:val="201"/>
              <w:widowControl/>
              <w:autoSpaceDE/>
              <w:autoSpaceDN/>
              <w:spacing w:before="6" w:line="360" w:lineRule="auto"/>
              <w:ind w:left="0" w:right="105" w:rightChars="50"/>
              <w:rPr>
                <w:rFonts w:ascii="宋体" w:hAnsi="宋体" w:eastAsia="宋体" w:cs="微软雅黑"/>
                <w:color w:val="auto"/>
                <w:kern w:val="0"/>
                <w:sz w:val="24"/>
                <w:highlight w:val="none"/>
                <w:lang w:eastAsia="zh-CN" w:bidi="ar"/>
              </w:rPr>
            </w:pPr>
            <w:r>
              <w:rPr>
                <w:rFonts w:hint="eastAsia" w:ascii="宋体" w:hAnsi="宋体" w:eastAsia="宋体" w:cs="微软雅黑"/>
                <w:color w:val="auto"/>
                <w:kern w:val="0"/>
                <w:sz w:val="24"/>
                <w:highlight w:val="none"/>
                <w:lang w:eastAsia="zh-CN" w:bidi="ar"/>
              </w:rPr>
              <w:t>4.双面打印：自动</w:t>
            </w:r>
          </w:p>
          <w:p>
            <w:pPr>
              <w:pStyle w:val="201"/>
              <w:widowControl/>
              <w:autoSpaceDE/>
              <w:autoSpaceDN/>
              <w:spacing w:before="6" w:line="360" w:lineRule="auto"/>
              <w:ind w:left="0" w:right="105" w:rightChars="50"/>
              <w:rPr>
                <w:rFonts w:ascii="宋体" w:hAnsi="宋体" w:eastAsia="宋体" w:cs="微软雅黑"/>
                <w:color w:val="auto"/>
                <w:kern w:val="0"/>
                <w:sz w:val="24"/>
                <w:highlight w:val="none"/>
                <w:lang w:eastAsia="zh-CN" w:bidi="ar"/>
              </w:rPr>
            </w:pPr>
            <w:r>
              <w:rPr>
                <w:rFonts w:hint="eastAsia" w:ascii="宋体" w:hAnsi="宋体" w:eastAsia="宋体" w:cs="微软雅黑"/>
                <w:color w:val="auto"/>
                <w:kern w:val="0"/>
                <w:sz w:val="24"/>
                <w:highlight w:val="none"/>
                <w:lang w:eastAsia="zh-CN" w:bidi="ar"/>
              </w:rPr>
              <w:t>5.首页打印时间：≤7.8秒</w:t>
            </w:r>
          </w:p>
          <w:p>
            <w:pPr>
              <w:pStyle w:val="201"/>
              <w:widowControl/>
              <w:autoSpaceDE/>
              <w:autoSpaceDN/>
              <w:spacing w:before="6" w:line="360" w:lineRule="auto"/>
              <w:ind w:left="0" w:right="105" w:rightChars="50"/>
              <w:rPr>
                <w:rFonts w:ascii="宋体" w:hAnsi="宋体" w:eastAsia="宋体" w:cs="微软雅黑"/>
                <w:color w:val="auto"/>
                <w:kern w:val="0"/>
                <w:sz w:val="24"/>
                <w:highlight w:val="none"/>
                <w:lang w:eastAsia="zh-CN" w:bidi="ar"/>
              </w:rPr>
            </w:pPr>
            <w:r>
              <w:rPr>
                <w:rFonts w:hint="eastAsia" w:ascii="宋体" w:hAnsi="宋体" w:eastAsia="宋体" w:cs="微软雅黑"/>
                <w:color w:val="auto"/>
                <w:kern w:val="0"/>
                <w:sz w:val="24"/>
                <w:highlight w:val="none"/>
                <w:lang w:eastAsia="zh-CN" w:bidi="ar"/>
              </w:rPr>
              <w:t>6.介质类型：普通纸，厚纸，透明胶片，卡片纸，标签纸，信封</w:t>
            </w:r>
          </w:p>
          <w:p>
            <w:pPr>
              <w:pStyle w:val="201"/>
              <w:widowControl/>
              <w:autoSpaceDE/>
              <w:autoSpaceDN/>
              <w:spacing w:before="6" w:line="360" w:lineRule="auto"/>
              <w:ind w:left="0" w:right="105" w:rightChars="50"/>
              <w:rPr>
                <w:rFonts w:ascii="宋体" w:hAnsi="宋体" w:eastAsia="宋体" w:cs="微软雅黑"/>
                <w:color w:val="auto"/>
                <w:kern w:val="0"/>
                <w:sz w:val="24"/>
                <w:highlight w:val="none"/>
                <w:lang w:eastAsia="zh-CN" w:bidi="ar"/>
              </w:rPr>
            </w:pPr>
            <w:r>
              <w:rPr>
                <w:rFonts w:hint="eastAsia" w:ascii="宋体" w:hAnsi="宋体" w:eastAsia="宋体" w:cs="微软雅黑"/>
                <w:color w:val="auto"/>
                <w:kern w:val="0"/>
                <w:sz w:val="24"/>
                <w:highlight w:val="none"/>
                <w:lang w:eastAsia="zh-CN" w:bidi="ar"/>
              </w:rPr>
              <w:t>7.</w:t>
            </w:r>
            <w:r>
              <w:rPr>
                <w:rFonts w:ascii="宋体" w:hAnsi="宋体" w:eastAsia="宋体" w:cs="微软雅黑"/>
                <w:color w:val="auto"/>
                <w:kern w:val="0"/>
                <w:sz w:val="24"/>
                <w:highlight w:val="none"/>
                <w:lang w:eastAsia="zh-CN" w:bidi="ar"/>
              </w:rPr>
              <w:t>介质重量</w:t>
            </w:r>
            <w:r>
              <w:rPr>
                <w:rFonts w:hint="eastAsia" w:ascii="宋体" w:hAnsi="宋体" w:eastAsia="宋体" w:cs="微软雅黑"/>
                <w:color w:val="auto"/>
                <w:kern w:val="0"/>
                <w:sz w:val="24"/>
                <w:highlight w:val="none"/>
                <w:lang w:eastAsia="zh-CN" w:bidi="ar"/>
              </w:rPr>
              <w:t>：≥</w:t>
            </w:r>
            <w:r>
              <w:rPr>
                <w:rFonts w:ascii="宋体" w:hAnsi="宋体" w:eastAsia="宋体" w:cs="微软雅黑"/>
                <w:color w:val="auto"/>
                <w:kern w:val="0"/>
                <w:sz w:val="24"/>
                <w:highlight w:val="none"/>
                <w:lang w:eastAsia="zh-CN" w:bidi="ar"/>
              </w:rPr>
              <w:t>60-200g/㎡</w:t>
            </w:r>
          </w:p>
          <w:p>
            <w:pPr>
              <w:pStyle w:val="201"/>
              <w:widowControl/>
              <w:autoSpaceDE/>
              <w:autoSpaceDN/>
              <w:spacing w:before="6" w:line="360" w:lineRule="auto"/>
              <w:ind w:left="0" w:right="105" w:rightChars="50"/>
              <w:rPr>
                <w:rFonts w:ascii="宋体" w:hAnsi="宋体" w:eastAsia="宋体" w:cs="微软雅黑"/>
                <w:color w:val="auto"/>
                <w:kern w:val="0"/>
                <w:sz w:val="24"/>
                <w:highlight w:val="none"/>
                <w:lang w:eastAsia="zh-CN" w:bidi="ar"/>
              </w:rPr>
            </w:pPr>
            <w:r>
              <w:rPr>
                <w:rFonts w:hint="eastAsia" w:ascii="宋体" w:hAnsi="宋体" w:eastAsia="宋体" w:cs="微软雅黑"/>
                <w:color w:val="auto"/>
                <w:kern w:val="0"/>
                <w:sz w:val="24"/>
                <w:highlight w:val="none"/>
                <w:lang w:eastAsia="zh-CN" w:bidi="ar"/>
              </w:rPr>
              <w:t>8.</w:t>
            </w:r>
            <w:r>
              <w:rPr>
                <w:rFonts w:ascii="宋体" w:hAnsi="宋体" w:eastAsia="宋体" w:cs="微软雅黑"/>
                <w:color w:val="auto"/>
                <w:kern w:val="0"/>
                <w:sz w:val="24"/>
                <w:highlight w:val="none"/>
                <w:lang w:eastAsia="zh-CN" w:bidi="ar"/>
              </w:rPr>
              <w:t>进纸盒容量</w:t>
            </w:r>
            <w:r>
              <w:rPr>
                <w:rFonts w:hint="eastAsia" w:ascii="宋体" w:hAnsi="宋体" w:eastAsia="宋体" w:cs="微软雅黑"/>
                <w:color w:val="auto"/>
                <w:kern w:val="0"/>
                <w:sz w:val="24"/>
                <w:highlight w:val="none"/>
                <w:lang w:eastAsia="zh-CN" w:bidi="ar"/>
              </w:rPr>
              <w:t>：≥</w:t>
            </w:r>
            <w:r>
              <w:rPr>
                <w:rFonts w:ascii="宋体" w:hAnsi="宋体" w:eastAsia="宋体" w:cs="微软雅黑"/>
                <w:color w:val="auto"/>
                <w:kern w:val="0"/>
                <w:sz w:val="24"/>
                <w:highlight w:val="none"/>
                <w:lang w:eastAsia="zh-CN" w:bidi="ar"/>
              </w:rPr>
              <w:t>250页</w:t>
            </w:r>
          </w:p>
          <w:p>
            <w:pPr>
              <w:pStyle w:val="201"/>
              <w:widowControl/>
              <w:autoSpaceDE/>
              <w:autoSpaceDN/>
              <w:spacing w:before="6" w:line="360" w:lineRule="auto"/>
              <w:ind w:left="0" w:right="105" w:rightChars="50"/>
              <w:rPr>
                <w:rFonts w:ascii="宋体" w:hAnsi="宋体" w:eastAsia="宋体" w:cs="微软雅黑"/>
                <w:color w:val="auto"/>
                <w:sz w:val="24"/>
                <w:highlight w:val="none"/>
              </w:rPr>
            </w:pPr>
            <w:r>
              <w:rPr>
                <w:rFonts w:hint="eastAsia" w:ascii="宋体" w:hAnsi="宋体" w:eastAsia="宋体" w:cs="微软雅黑"/>
                <w:color w:val="auto"/>
                <w:kern w:val="0"/>
                <w:sz w:val="24"/>
                <w:highlight w:val="none"/>
                <w:lang w:eastAsia="zh-CN" w:bidi="ar"/>
              </w:rPr>
              <w:t>9.</w:t>
            </w:r>
            <w:r>
              <w:rPr>
                <w:rFonts w:ascii="宋体" w:hAnsi="宋体" w:eastAsia="宋体" w:cs="微软雅黑"/>
                <w:color w:val="auto"/>
                <w:kern w:val="0"/>
                <w:sz w:val="24"/>
                <w:highlight w:val="none"/>
                <w:lang w:eastAsia="zh-CN" w:bidi="ar"/>
              </w:rPr>
              <w:t>出纸盒容量</w:t>
            </w:r>
            <w:r>
              <w:rPr>
                <w:rFonts w:hint="eastAsia" w:ascii="宋体" w:hAnsi="宋体" w:eastAsia="宋体" w:cs="微软雅黑"/>
                <w:color w:val="auto"/>
                <w:kern w:val="0"/>
                <w:sz w:val="24"/>
                <w:highlight w:val="none"/>
                <w:lang w:eastAsia="zh-CN" w:bidi="ar"/>
              </w:rPr>
              <w:t>：</w:t>
            </w:r>
            <w:r>
              <w:rPr>
                <w:rFonts w:hint="eastAsia" w:ascii="宋体" w:hAnsi="宋体" w:eastAsia="宋体" w:cs="微软雅黑"/>
                <w:color w:val="auto"/>
                <w:kern w:val="0"/>
                <w:sz w:val="24"/>
                <w:highlight w:val="none"/>
                <w:lang w:bidi="ar"/>
              </w:rPr>
              <w:t>≥</w:t>
            </w:r>
            <w:r>
              <w:rPr>
                <w:rFonts w:ascii="宋体" w:hAnsi="宋体" w:eastAsia="宋体" w:cs="微软雅黑"/>
                <w:color w:val="auto"/>
                <w:kern w:val="0"/>
                <w:sz w:val="24"/>
                <w:highlight w:val="none"/>
                <w:lang w:eastAsia="zh-CN" w:bidi="ar"/>
              </w:rPr>
              <w:t>120页</w:t>
            </w:r>
          </w:p>
        </w:tc>
        <w:tc>
          <w:tcPr>
            <w:tcW w:w="936"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6</w:t>
            </w:r>
            <w:r>
              <w:rPr>
                <w:rFonts w:ascii="宋体" w:hAnsi="宋体" w:eastAsia="宋体"/>
                <w:bCs/>
                <w:color w:val="auto"/>
                <w:kern w:val="0"/>
                <w:sz w:val="24"/>
                <w:highlight w:val="none"/>
                <w:lang w:eastAsia="zh-CN"/>
              </w:rPr>
              <w:t>7</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医联体五合一读卡器</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left="0" w:right="105" w:rightChars="50"/>
              <w:rPr>
                <w:rFonts w:ascii="宋体" w:hAnsi="宋体" w:eastAsia="宋体" w:cs="微软雅黑"/>
                <w:color w:val="auto"/>
                <w:kern w:val="0"/>
                <w:sz w:val="24"/>
                <w:highlight w:val="none"/>
                <w:lang w:eastAsia="zh-CN" w:bidi="ar"/>
              </w:rPr>
            </w:pPr>
            <w:r>
              <w:rPr>
                <w:rFonts w:hint="eastAsia" w:ascii="宋体" w:hAnsi="宋体" w:eastAsia="宋体" w:cs="微软雅黑"/>
                <w:color w:val="auto"/>
                <w:kern w:val="0"/>
                <w:sz w:val="24"/>
                <w:highlight w:val="none"/>
                <w:lang w:eastAsia="zh-CN" w:bidi="ar"/>
              </w:rPr>
              <w:t>1.通讯方式：USB无驱（HID）</w:t>
            </w:r>
          </w:p>
          <w:p>
            <w:pPr>
              <w:pStyle w:val="201"/>
              <w:widowControl/>
              <w:autoSpaceDE/>
              <w:autoSpaceDN/>
              <w:spacing w:before="6" w:line="360" w:lineRule="auto"/>
              <w:ind w:left="0" w:right="105" w:rightChars="50"/>
              <w:rPr>
                <w:rFonts w:ascii="宋体" w:hAnsi="宋体" w:eastAsia="宋体" w:cs="微软雅黑"/>
                <w:color w:val="auto"/>
                <w:kern w:val="0"/>
                <w:sz w:val="24"/>
                <w:highlight w:val="none"/>
                <w:lang w:eastAsia="zh-CN" w:bidi="ar"/>
              </w:rPr>
            </w:pPr>
            <w:r>
              <w:rPr>
                <w:rFonts w:hint="eastAsia" w:ascii="宋体" w:hAnsi="宋体" w:eastAsia="宋体" w:cs="微软雅黑"/>
                <w:color w:val="auto"/>
                <w:kern w:val="0"/>
                <w:sz w:val="24"/>
                <w:highlight w:val="none"/>
                <w:lang w:eastAsia="zh-CN" w:bidi="ar"/>
              </w:rPr>
              <w:t>2.磁条卡：选配/支持1、2、3轨的磁条卡阅读功能，符合ISO/IEC 7812标准可双向刷卡</w:t>
            </w:r>
          </w:p>
          <w:p>
            <w:pPr>
              <w:pStyle w:val="201"/>
              <w:widowControl/>
              <w:autoSpaceDE/>
              <w:autoSpaceDN/>
              <w:spacing w:before="6" w:line="360" w:lineRule="auto"/>
              <w:ind w:left="0" w:right="105" w:rightChars="50"/>
              <w:rPr>
                <w:rFonts w:ascii="宋体" w:hAnsi="宋体" w:eastAsia="宋体" w:cs="微软雅黑"/>
                <w:color w:val="auto"/>
                <w:kern w:val="0"/>
                <w:sz w:val="24"/>
                <w:highlight w:val="none"/>
                <w:lang w:eastAsia="zh-CN" w:bidi="ar"/>
              </w:rPr>
            </w:pPr>
            <w:r>
              <w:rPr>
                <w:rFonts w:hint="eastAsia" w:ascii="宋体" w:hAnsi="宋体" w:eastAsia="宋体" w:cs="微软雅黑"/>
                <w:color w:val="auto"/>
                <w:kern w:val="0"/>
                <w:sz w:val="24"/>
                <w:highlight w:val="none"/>
                <w:lang w:eastAsia="zh-CN" w:bidi="ar"/>
              </w:rPr>
              <w:t>3.IC卡：符合ISO/IEC 7816、PBOC3.0等标准，下降式卡座，20万次使用寿命</w:t>
            </w:r>
          </w:p>
          <w:p>
            <w:pPr>
              <w:pStyle w:val="201"/>
              <w:widowControl/>
              <w:autoSpaceDE/>
              <w:autoSpaceDN/>
              <w:spacing w:before="6" w:line="360" w:lineRule="auto"/>
              <w:ind w:left="0" w:right="105" w:rightChars="50"/>
              <w:rPr>
                <w:rFonts w:ascii="宋体" w:hAnsi="宋体" w:eastAsia="宋体" w:cs="微软雅黑"/>
                <w:color w:val="auto"/>
                <w:kern w:val="0"/>
                <w:sz w:val="24"/>
                <w:highlight w:val="none"/>
                <w:lang w:eastAsia="zh-CN" w:bidi="ar"/>
              </w:rPr>
            </w:pPr>
            <w:r>
              <w:rPr>
                <w:rFonts w:hint="eastAsia" w:ascii="宋体" w:hAnsi="宋体" w:eastAsia="宋体" w:cs="微软雅黑"/>
                <w:color w:val="auto"/>
                <w:kern w:val="0"/>
                <w:sz w:val="24"/>
                <w:highlight w:val="none"/>
                <w:lang w:eastAsia="zh-CN" w:bidi="ar"/>
              </w:rPr>
              <w:t>4.非接触卡：符合ISO/IEC14443TypeA、Mifare、QPBOC3.0、NFC等规范</w:t>
            </w:r>
          </w:p>
          <w:p>
            <w:pPr>
              <w:pStyle w:val="201"/>
              <w:widowControl/>
              <w:autoSpaceDE/>
              <w:autoSpaceDN/>
              <w:spacing w:before="6" w:line="360" w:lineRule="auto"/>
              <w:ind w:left="0" w:right="105" w:rightChars="50"/>
              <w:rPr>
                <w:rFonts w:ascii="宋体" w:hAnsi="宋体" w:eastAsia="宋体" w:cs="微软雅黑"/>
                <w:color w:val="auto"/>
                <w:kern w:val="0"/>
                <w:sz w:val="24"/>
                <w:highlight w:val="none"/>
                <w:lang w:eastAsia="zh-CN" w:bidi="ar"/>
              </w:rPr>
            </w:pPr>
            <w:r>
              <w:rPr>
                <w:rFonts w:hint="eastAsia" w:ascii="宋体" w:hAnsi="宋体" w:eastAsia="宋体" w:cs="微软雅黑"/>
                <w:color w:val="auto"/>
                <w:kern w:val="0"/>
                <w:sz w:val="24"/>
                <w:highlight w:val="none"/>
                <w:lang w:eastAsia="zh-CN" w:bidi="ar"/>
              </w:rPr>
              <w:t>5.SAM卡槽： 支持GSM11.11标准SAM卡座.</w:t>
            </w:r>
          </w:p>
          <w:p>
            <w:pPr>
              <w:pStyle w:val="201"/>
              <w:widowControl/>
              <w:autoSpaceDE/>
              <w:autoSpaceDN/>
              <w:spacing w:before="6" w:line="360" w:lineRule="auto"/>
              <w:ind w:left="0" w:right="105" w:rightChars="50"/>
              <w:rPr>
                <w:rFonts w:ascii="宋体" w:hAnsi="宋体" w:eastAsia="宋体" w:cs="微软雅黑"/>
                <w:color w:val="auto"/>
                <w:kern w:val="0"/>
                <w:sz w:val="24"/>
                <w:highlight w:val="none"/>
                <w:lang w:eastAsia="zh-CN" w:bidi="ar"/>
              </w:rPr>
            </w:pPr>
            <w:r>
              <w:rPr>
                <w:rFonts w:hint="eastAsia" w:ascii="宋体" w:hAnsi="宋体" w:eastAsia="宋体" w:cs="微软雅黑"/>
                <w:color w:val="auto"/>
                <w:kern w:val="0"/>
                <w:sz w:val="24"/>
                <w:highlight w:val="none"/>
                <w:lang w:eastAsia="zh-CN" w:bidi="ar"/>
              </w:rPr>
              <w:t>6.键盘支持： 选配/可选择外接密码键盘</w:t>
            </w:r>
          </w:p>
          <w:p>
            <w:pPr>
              <w:pStyle w:val="201"/>
              <w:widowControl/>
              <w:autoSpaceDE/>
              <w:autoSpaceDN/>
              <w:spacing w:before="6" w:line="360" w:lineRule="auto"/>
              <w:ind w:left="0" w:right="105" w:rightChars="50"/>
              <w:rPr>
                <w:rFonts w:ascii="宋体" w:hAnsi="宋体" w:eastAsia="宋体" w:cs="微软雅黑"/>
                <w:color w:val="auto"/>
                <w:kern w:val="0"/>
                <w:sz w:val="24"/>
                <w:highlight w:val="none"/>
                <w:lang w:eastAsia="zh-CN" w:bidi="ar"/>
              </w:rPr>
            </w:pPr>
            <w:r>
              <w:rPr>
                <w:rFonts w:hint="eastAsia" w:ascii="宋体" w:hAnsi="宋体" w:eastAsia="宋体" w:cs="微软雅黑"/>
                <w:color w:val="auto"/>
                <w:kern w:val="0"/>
                <w:sz w:val="24"/>
                <w:highlight w:val="none"/>
                <w:lang w:eastAsia="zh-CN" w:bidi="ar"/>
              </w:rPr>
              <w:t>7.供电电压：≤5V供电，USB通讯机型采用USB口供电，RS232通讯机型采用PS2键盘口供电</w:t>
            </w:r>
          </w:p>
          <w:p>
            <w:pPr>
              <w:pStyle w:val="201"/>
              <w:widowControl/>
              <w:autoSpaceDE/>
              <w:autoSpaceDN/>
              <w:spacing w:before="6" w:line="360" w:lineRule="auto"/>
              <w:ind w:left="0" w:right="105" w:rightChars="50"/>
              <w:rPr>
                <w:rFonts w:ascii="宋体" w:hAnsi="宋体" w:eastAsia="宋体" w:cs="微软雅黑"/>
                <w:color w:val="auto"/>
                <w:kern w:val="0"/>
                <w:sz w:val="24"/>
                <w:highlight w:val="none"/>
                <w:lang w:eastAsia="zh-CN" w:bidi="ar"/>
              </w:rPr>
            </w:pPr>
            <w:r>
              <w:rPr>
                <w:rFonts w:hint="eastAsia" w:ascii="宋体" w:hAnsi="宋体" w:eastAsia="宋体" w:cs="微软雅黑"/>
                <w:color w:val="auto"/>
                <w:kern w:val="0"/>
                <w:sz w:val="24"/>
                <w:highlight w:val="none"/>
                <w:lang w:eastAsia="zh-CN" w:bidi="ar"/>
              </w:rPr>
              <w:t>8.状态显示：≥4个LED指示灯，指示电源、通讯、读卡、交易等状态</w:t>
            </w:r>
          </w:p>
          <w:p>
            <w:pPr>
              <w:pStyle w:val="201"/>
              <w:widowControl/>
              <w:autoSpaceDE/>
              <w:autoSpaceDN/>
              <w:spacing w:before="6" w:line="360" w:lineRule="auto"/>
              <w:ind w:left="0" w:right="105" w:rightChars="50"/>
              <w:rPr>
                <w:rFonts w:ascii="宋体" w:hAnsi="宋体" w:eastAsia="宋体" w:cs="微软雅黑"/>
                <w:color w:val="auto"/>
                <w:kern w:val="0"/>
                <w:sz w:val="24"/>
                <w:highlight w:val="none"/>
                <w:lang w:eastAsia="zh-CN" w:bidi="ar"/>
              </w:rPr>
            </w:pPr>
            <w:r>
              <w:rPr>
                <w:rFonts w:hint="eastAsia" w:ascii="宋体" w:hAnsi="宋体" w:eastAsia="宋体" w:cs="微软雅黑"/>
                <w:color w:val="auto"/>
                <w:kern w:val="0"/>
                <w:sz w:val="24"/>
                <w:highlight w:val="none"/>
                <w:lang w:eastAsia="zh-CN" w:bidi="ar"/>
              </w:rPr>
              <w:t>9.操作系统：支持 Windows 32位/64位、Unix以及Linux</w:t>
            </w:r>
          </w:p>
          <w:p>
            <w:pPr>
              <w:pStyle w:val="201"/>
              <w:widowControl/>
              <w:autoSpaceDE/>
              <w:autoSpaceDN/>
              <w:spacing w:before="6" w:line="360" w:lineRule="auto"/>
              <w:ind w:left="0" w:right="105" w:rightChars="50"/>
              <w:rPr>
                <w:rFonts w:ascii="宋体" w:hAnsi="宋体" w:eastAsia="宋体" w:cs="微软雅黑"/>
                <w:color w:val="auto"/>
                <w:kern w:val="0"/>
                <w:sz w:val="24"/>
                <w:highlight w:val="none"/>
                <w:lang w:eastAsia="zh-CN" w:bidi="ar"/>
              </w:rPr>
            </w:pPr>
            <w:r>
              <w:rPr>
                <w:rFonts w:hint="eastAsia" w:ascii="宋体" w:hAnsi="宋体" w:eastAsia="宋体"/>
                <w:bCs/>
                <w:color w:val="auto"/>
                <w:kern w:val="0"/>
                <w:sz w:val="24"/>
                <w:highlight w:val="none"/>
                <w:lang w:eastAsia="zh-CN"/>
              </w:rPr>
              <w:t>10.工作环境：温度：-20℃～50℃ ；相对湿度：10℅～90℅（非冷凝）</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6</w:t>
            </w:r>
            <w:r>
              <w:rPr>
                <w:rFonts w:ascii="宋体" w:hAnsi="宋体" w:eastAsia="宋体"/>
                <w:bCs/>
                <w:color w:val="auto"/>
                <w:kern w:val="0"/>
                <w:sz w:val="24"/>
                <w:highlight w:val="none"/>
                <w:lang w:eastAsia="zh-CN"/>
              </w:rPr>
              <w:t>8</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医联体扫描枪</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left="0" w:right="105" w:rightChars="50"/>
              <w:rPr>
                <w:rFonts w:ascii="宋体" w:hAnsi="宋体" w:eastAsia="宋体" w:cs="微软雅黑"/>
                <w:color w:val="auto"/>
                <w:kern w:val="0"/>
                <w:sz w:val="24"/>
                <w:highlight w:val="none"/>
                <w:lang w:eastAsia="zh-CN" w:bidi="ar"/>
              </w:rPr>
            </w:pPr>
            <w:r>
              <w:rPr>
                <w:rFonts w:hint="eastAsia" w:ascii="宋体" w:hAnsi="宋体" w:eastAsia="宋体" w:cs="微软雅黑"/>
                <w:color w:val="auto"/>
                <w:kern w:val="0"/>
                <w:sz w:val="24"/>
                <w:highlight w:val="none"/>
                <w:lang w:eastAsia="zh-CN" w:bidi="ar"/>
              </w:rPr>
              <w:t>1.光源类型：617NM LED瞄准光，白色LED照明光</w:t>
            </w:r>
            <w:r>
              <w:rPr>
                <w:rFonts w:hint="eastAsia" w:ascii="宋体" w:hAnsi="宋体" w:eastAsia="宋体" w:cs="微软雅黑"/>
                <w:color w:val="auto"/>
                <w:kern w:val="0"/>
                <w:sz w:val="24"/>
                <w:highlight w:val="none"/>
                <w:lang w:eastAsia="zh-CN" w:bidi="ar"/>
              </w:rPr>
              <w:tab/>
            </w:r>
          </w:p>
          <w:p>
            <w:pPr>
              <w:pStyle w:val="201"/>
              <w:widowControl/>
              <w:autoSpaceDE/>
              <w:autoSpaceDN/>
              <w:spacing w:before="6" w:line="360" w:lineRule="auto"/>
              <w:ind w:left="0" w:right="105" w:rightChars="50"/>
              <w:rPr>
                <w:rFonts w:ascii="宋体" w:hAnsi="宋体" w:eastAsia="宋体" w:cs="微软雅黑"/>
                <w:color w:val="auto"/>
                <w:kern w:val="0"/>
                <w:sz w:val="24"/>
                <w:highlight w:val="none"/>
                <w:lang w:eastAsia="zh-CN" w:bidi="ar"/>
              </w:rPr>
            </w:pPr>
            <w:r>
              <w:rPr>
                <w:rFonts w:hint="eastAsia" w:ascii="宋体" w:hAnsi="宋体" w:eastAsia="宋体" w:cs="微软雅黑"/>
                <w:color w:val="auto"/>
                <w:kern w:val="0"/>
                <w:sz w:val="24"/>
                <w:highlight w:val="none"/>
                <w:lang w:eastAsia="zh-CN" w:bidi="ar"/>
              </w:rPr>
              <w:t>2.传感器像素：≥640X480PIXELS</w:t>
            </w:r>
            <w:r>
              <w:rPr>
                <w:rFonts w:hint="eastAsia" w:ascii="宋体" w:hAnsi="宋体" w:eastAsia="宋体" w:cs="微软雅黑"/>
                <w:color w:val="auto"/>
                <w:kern w:val="0"/>
                <w:sz w:val="24"/>
                <w:highlight w:val="none"/>
                <w:lang w:eastAsia="zh-CN" w:bidi="ar"/>
              </w:rPr>
              <w:tab/>
            </w:r>
          </w:p>
          <w:p>
            <w:pPr>
              <w:pStyle w:val="201"/>
              <w:widowControl/>
              <w:autoSpaceDE/>
              <w:autoSpaceDN/>
              <w:spacing w:before="6" w:line="360" w:lineRule="auto"/>
              <w:ind w:left="0" w:right="105" w:rightChars="50"/>
              <w:rPr>
                <w:rFonts w:ascii="宋体" w:hAnsi="宋体" w:eastAsia="宋体" w:cs="微软雅黑"/>
                <w:color w:val="auto"/>
                <w:kern w:val="0"/>
                <w:sz w:val="24"/>
                <w:highlight w:val="none"/>
                <w:lang w:eastAsia="zh-CN" w:bidi="ar"/>
              </w:rPr>
            </w:pPr>
            <w:r>
              <w:rPr>
                <w:rFonts w:hint="eastAsia" w:ascii="宋体" w:hAnsi="宋体" w:eastAsia="宋体" w:cs="微软雅黑"/>
                <w:color w:val="auto"/>
                <w:kern w:val="0"/>
                <w:sz w:val="24"/>
                <w:highlight w:val="none"/>
                <w:lang w:eastAsia="zh-CN" w:bidi="ar"/>
              </w:rPr>
              <w:t>3.扫描精度：≥4mil/0.10mm@PCS90%</w:t>
            </w:r>
          </w:p>
          <w:p>
            <w:pPr>
              <w:pStyle w:val="201"/>
              <w:widowControl/>
              <w:autoSpaceDE/>
              <w:autoSpaceDN/>
              <w:spacing w:before="6" w:line="360" w:lineRule="auto"/>
              <w:ind w:left="0" w:right="105" w:rightChars="50"/>
              <w:rPr>
                <w:rFonts w:ascii="宋体" w:hAnsi="宋体" w:eastAsia="宋体" w:cs="微软雅黑"/>
                <w:color w:val="auto"/>
                <w:kern w:val="0"/>
                <w:sz w:val="24"/>
                <w:highlight w:val="none"/>
                <w:lang w:eastAsia="zh-CN" w:bidi="ar"/>
              </w:rPr>
            </w:pPr>
            <w:r>
              <w:rPr>
                <w:rFonts w:hint="eastAsia" w:ascii="宋体" w:hAnsi="宋体" w:eastAsia="宋体" w:cs="微软雅黑"/>
                <w:color w:val="auto"/>
                <w:kern w:val="0"/>
                <w:sz w:val="24"/>
                <w:highlight w:val="none"/>
                <w:lang w:eastAsia="zh-CN" w:bidi="ar"/>
              </w:rPr>
              <w:t>4.通讯接口：USB</w:t>
            </w:r>
            <w:r>
              <w:rPr>
                <w:rFonts w:hint="eastAsia" w:ascii="宋体" w:hAnsi="宋体" w:eastAsia="宋体" w:cs="微软雅黑"/>
                <w:color w:val="auto"/>
                <w:kern w:val="0"/>
                <w:sz w:val="24"/>
                <w:highlight w:val="none"/>
                <w:lang w:eastAsia="zh-CN" w:bidi="ar"/>
              </w:rPr>
              <w:tab/>
            </w:r>
          </w:p>
          <w:p>
            <w:pPr>
              <w:pStyle w:val="201"/>
              <w:widowControl/>
              <w:autoSpaceDE/>
              <w:autoSpaceDN/>
              <w:spacing w:before="6" w:line="360" w:lineRule="auto"/>
              <w:ind w:left="0" w:right="105" w:rightChars="50"/>
              <w:rPr>
                <w:rFonts w:ascii="宋体" w:hAnsi="宋体" w:eastAsia="宋体" w:cs="微软雅黑"/>
                <w:color w:val="auto"/>
                <w:kern w:val="0"/>
                <w:sz w:val="24"/>
                <w:highlight w:val="none"/>
                <w:lang w:eastAsia="zh-CN" w:bidi="ar"/>
              </w:rPr>
            </w:pPr>
            <w:r>
              <w:rPr>
                <w:rFonts w:hint="eastAsia" w:ascii="宋体" w:hAnsi="宋体" w:eastAsia="宋体" w:cs="微软雅黑"/>
                <w:color w:val="auto"/>
                <w:kern w:val="0"/>
                <w:sz w:val="24"/>
                <w:highlight w:val="none"/>
                <w:lang w:eastAsia="zh-CN" w:bidi="ar"/>
              </w:rPr>
              <w:t>5.</w:t>
            </w:r>
            <w:r>
              <w:rPr>
                <w:rFonts w:hint="eastAsia" w:ascii="宋体" w:hAnsi="宋体" w:eastAsia="宋体"/>
                <w:bCs/>
                <w:color w:val="auto"/>
                <w:kern w:val="0"/>
                <w:sz w:val="24"/>
                <w:highlight w:val="none"/>
                <w:lang w:eastAsia="zh-CN"/>
              </w:rPr>
              <w:t>触发方式：手动扫描/连续扫描/自动感应</w:t>
            </w:r>
          </w:p>
          <w:p>
            <w:pPr>
              <w:pStyle w:val="201"/>
              <w:widowControl/>
              <w:autoSpaceDE/>
              <w:autoSpaceDN/>
              <w:spacing w:before="6" w:line="360" w:lineRule="auto"/>
              <w:ind w:left="0" w:right="105" w:rightChars="50"/>
              <w:rPr>
                <w:rFonts w:ascii="宋体" w:hAnsi="宋体" w:eastAsia="宋体" w:cs="微软雅黑"/>
                <w:color w:val="auto"/>
                <w:kern w:val="0"/>
                <w:sz w:val="24"/>
                <w:highlight w:val="none"/>
                <w:lang w:eastAsia="zh-CN" w:bidi="ar"/>
              </w:rPr>
            </w:pPr>
            <w:r>
              <w:rPr>
                <w:rFonts w:hint="eastAsia" w:ascii="宋体" w:hAnsi="宋体" w:eastAsia="宋体" w:cs="微软雅黑"/>
                <w:color w:val="auto"/>
                <w:kern w:val="0"/>
                <w:sz w:val="24"/>
                <w:highlight w:val="none"/>
                <w:lang w:eastAsia="zh-CN" w:bidi="ar"/>
              </w:rPr>
              <w:t>6.工作温度： -20°C~60℃</w:t>
            </w:r>
            <w:r>
              <w:rPr>
                <w:rFonts w:hint="eastAsia" w:ascii="宋体" w:hAnsi="宋体" w:eastAsia="宋体" w:cs="微软雅黑"/>
                <w:color w:val="auto"/>
                <w:kern w:val="0"/>
                <w:sz w:val="24"/>
                <w:highlight w:val="none"/>
                <w:lang w:eastAsia="zh-CN" w:bidi="ar"/>
              </w:rPr>
              <w:tab/>
            </w:r>
            <w:r>
              <w:rPr>
                <w:rFonts w:hint="eastAsia" w:ascii="宋体" w:hAnsi="宋体" w:eastAsia="宋体" w:cs="微软雅黑"/>
                <w:color w:val="auto"/>
                <w:kern w:val="0"/>
                <w:sz w:val="24"/>
                <w:highlight w:val="none"/>
                <w:lang w:eastAsia="zh-CN" w:bidi="ar"/>
              </w:rPr>
              <w:t>相对湿度5%~95%</w:t>
            </w:r>
            <w:r>
              <w:rPr>
                <w:rFonts w:hint="eastAsia" w:ascii="宋体" w:hAnsi="宋体" w:eastAsia="宋体" w:cs="微软雅黑"/>
                <w:color w:val="auto"/>
                <w:kern w:val="0"/>
                <w:sz w:val="24"/>
                <w:highlight w:val="none"/>
                <w:lang w:eastAsia="zh-CN" w:bidi="ar"/>
              </w:rPr>
              <w:tab/>
            </w:r>
          </w:p>
          <w:p>
            <w:pPr>
              <w:pStyle w:val="201"/>
              <w:widowControl/>
              <w:autoSpaceDE/>
              <w:autoSpaceDN/>
              <w:spacing w:before="6" w:line="360" w:lineRule="auto"/>
              <w:ind w:left="0" w:right="105" w:rightChars="50"/>
              <w:rPr>
                <w:rFonts w:ascii="宋体" w:hAnsi="宋体" w:eastAsia="宋体" w:cs="微软雅黑"/>
                <w:color w:val="auto"/>
                <w:kern w:val="0"/>
                <w:sz w:val="24"/>
                <w:highlight w:val="none"/>
                <w:lang w:eastAsia="zh-CN" w:bidi="ar"/>
              </w:rPr>
            </w:pPr>
            <w:r>
              <w:rPr>
                <w:rFonts w:hint="eastAsia" w:ascii="宋体" w:hAnsi="宋体" w:eastAsia="宋体" w:cs="微软雅黑"/>
                <w:color w:val="auto"/>
                <w:kern w:val="0"/>
                <w:sz w:val="24"/>
                <w:highlight w:val="none"/>
                <w:lang w:eastAsia="zh-CN" w:bidi="ar"/>
              </w:rPr>
              <w:t>7.电压：DC5V±5%</w:t>
            </w:r>
            <w:r>
              <w:rPr>
                <w:rFonts w:hint="eastAsia" w:ascii="宋体" w:hAnsi="宋体" w:eastAsia="宋体" w:cs="微软雅黑"/>
                <w:color w:val="auto"/>
                <w:kern w:val="0"/>
                <w:sz w:val="24"/>
                <w:highlight w:val="none"/>
                <w:lang w:eastAsia="zh-CN" w:bidi="ar"/>
              </w:rPr>
              <w:tab/>
            </w:r>
            <w:r>
              <w:rPr>
                <w:rFonts w:hint="eastAsia" w:ascii="宋体" w:hAnsi="宋体" w:eastAsia="宋体" w:cs="微软雅黑"/>
                <w:color w:val="auto"/>
                <w:kern w:val="0"/>
                <w:sz w:val="24"/>
                <w:highlight w:val="none"/>
                <w:lang w:eastAsia="zh-CN" w:bidi="ar"/>
              </w:rPr>
              <w:tab/>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6</w:t>
            </w:r>
            <w:r>
              <w:rPr>
                <w:rFonts w:ascii="宋体" w:hAnsi="宋体" w:eastAsia="宋体"/>
                <w:bCs/>
                <w:color w:val="auto"/>
                <w:kern w:val="0"/>
                <w:sz w:val="24"/>
                <w:highlight w:val="none"/>
                <w:lang w:eastAsia="zh-CN"/>
              </w:rPr>
              <w:t>9</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医联体条码打印机</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left="0" w:right="105" w:rightChars="50"/>
              <w:rPr>
                <w:rFonts w:ascii="宋体" w:hAnsi="宋体" w:eastAsia="宋体" w:cs="微软雅黑"/>
                <w:color w:val="auto"/>
                <w:kern w:val="0"/>
                <w:sz w:val="24"/>
                <w:highlight w:val="none"/>
                <w:lang w:eastAsia="zh-CN" w:bidi="ar"/>
              </w:rPr>
            </w:pPr>
            <w:r>
              <w:rPr>
                <w:rFonts w:hint="eastAsia" w:ascii="宋体" w:hAnsi="宋体" w:eastAsia="宋体" w:cs="微软雅黑"/>
                <w:color w:val="auto"/>
                <w:kern w:val="0"/>
                <w:sz w:val="24"/>
                <w:highlight w:val="none"/>
                <w:lang w:eastAsia="zh-CN" w:bidi="ar"/>
              </w:rPr>
              <w:t>1.列印方式：热感式&amp;热转式</w:t>
            </w:r>
          </w:p>
          <w:p>
            <w:pPr>
              <w:pStyle w:val="201"/>
              <w:widowControl/>
              <w:autoSpaceDE/>
              <w:autoSpaceDN/>
              <w:spacing w:before="6" w:line="360" w:lineRule="auto"/>
              <w:ind w:left="0" w:right="105" w:rightChars="50"/>
              <w:rPr>
                <w:rFonts w:ascii="宋体" w:hAnsi="宋体" w:eastAsia="宋体" w:cs="微软雅黑"/>
                <w:color w:val="auto"/>
                <w:kern w:val="0"/>
                <w:sz w:val="24"/>
                <w:highlight w:val="none"/>
                <w:lang w:eastAsia="zh-CN" w:bidi="ar"/>
              </w:rPr>
            </w:pPr>
            <w:r>
              <w:rPr>
                <w:rFonts w:hint="eastAsia" w:ascii="宋体" w:hAnsi="宋体" w:eastAsia="宋体" w:cs="微软雅黑"/>
                <w:color w:val="auto"/>
                <w:kern w:val="0"/>
                <w:sz w:val="24"/>
                <w:highlight w:val="none"/>
                <w:lang w:eastAsia="zh-CN" w:bidi="ar"/>
              </w:rPr>
              <w:t>2.解析度：≥203 dpi(8 dots/mm)</w:t>
            </w:r>
          </w:p>
          <w:p>
            <w:pPr>
              <w:pStyle w:val="201"/>
              <w:widowControl/>
              <w:autoSpaceDE/>
              <w:autoSpaceDN/>
              <w:spacing w:before="6" w:line="360" w:lineRule="auto"/>
              <w:ind w:left="0" w:right="105" w:rightChars="50"/>
              <w:rPr>
                <w:rFonts w:ascii="宋体" w:hAnsi="宋体" w:eastAsia="宋体" w:cs="微软雅黑"/>
                <w:color w:val="auto"/>
                <w:kern w:val="0"/>
                <w:sz w:val="24"/>
                <w:highlight w:val="none"/>
                <w:lang w:eastAsia="zh-CN" w:bidi="ar"/>
              </w:rPr>
            </w:pPr>
            <w:r>
              <w:rPr>
                <w:rFonts w:hint="eastAsia" w:ascii="宋体" w:hAnsi="宋体" w:eastAsia="宋体" w:cs="微软雅黑"/>
                <w:color w:val="auto"/>
                <w:kern w:val="0"/>
                <w:sz w:val="24"/>
                <w:highlight w:val="none"/>
                <w:lang w:eastAsia="zh-CN" w:bidi="ar"/>
              </w:rPr>
              <w:t>3.最大列印速度：≥6 ips</w:t>
            </w:r>
          </w:p>
          <w:p>
            <w:pPr>
              <w:pStyle w:val="201"/>
              <w:widowControl/>
              <w:autoSpaceDE/>
              <w:autoSpaceDN/>
              <w:spacing w:before="6" w:line="360" w:lineRule="auto"/>
              <w:ind w:left="0" w:right="105" w:rightChars="50"/>
              <w:rPr>
                <w:rFonts w:ascii="宋体" w:hAnsi="宋体" w:eastAsia="宋体" w:cs="微软雅黑"/>
                <w:color w:val="auto"/>
                <w:kern w:val="0"/>
                <w:sz w:val="24"/>
                <w:highlight w:val="none"/>
                <w:lang w:eastAsia="zh-CN" w:bidi="ar"/>
              </w:rPr>
            </w:pPr>
            <w:r>
              <w:rPr>
                <w:rFonts w:hint="eastAsia" w:ascii="宋体" w:hAnsi="宋体" w:eastAsia="宋体" w:cs="微软雅黑"/>
                <w:color w:val="auto"/>
                <w:kern w:val="0"/>
                <w:sz w:val="24"/>
                <w:highlight w:val="none"/>
                <w:lang w:eastAsia="zh-CN" w:bidi="ar"/>
              </w:rPr>
              <w:t>4.最大列印长度：≥100”(2540毫米)</w:t>
            </w:r>
          </w:p>
          <w:p>
            <w:pPr>
              <w:pStyle w:val="201"/>
              <w:widowControl/>
              <w:autoSpaceDE/>
              <w:autoSpaceDN/>
              <w:spacing w:before="6" w:line="360" w:lineRule="auto"/>
              <w:ind w:left="0" w:right="105" w:rightChars="50"/>
              <w:rPr>
                <w:rFonts w:ascii="宋体" w:hAnsi="宋体" w:eastAsia="宋体" w:cs="微软雅黑"/>
                <w:color w:val="auto"/>
                <w:kern w:val="0"/>
                <w:sz w:val="24"/>
                <w:highlight w:val="none"/>
                <w:lang w:eastAsia="zh-CN" w:bidi="ar"/>
              </w:rPr>
            </w:pPr>
            <w:r>
              <w:rPr>
                <w:rFonts w:hint="eastAsia" w:ascii="宋体" w:hAnsi="宋体" w:eastAsia="宋体" w:cs="微软雅黑"/>
                <w:color w:val="auto"/>
                <w:kern w:val="0"/>
                <w:sz w:val="24"/>
                <w:highlight w:val="none"/>
                <w:lang w:eastAsia="zh-CN" w:bidi="ar"/>
              </w:rPr>
              <w:t>5.最大列印宽度：≥4.2”(108毫米)</w:t>
            </w:r>
          </w:p>
          <w:p>
            <w:pPr>
              <w:pStyle w:val="201"/>
              <w:widowControl/>
              <w:autoSpaceDE/>
              <w:autoSpaceDN/>
              <w:spacing w:before="6" w:line="360" w:lineRule="auto"/>
              <w:ind w:left="0" w:right="105" w:rightChars="50"/>
              <w:rPr>
                <w:rFonts w:ascii="宋体" w:hAnsi="宋体" w:eastAsia="宋体" w:cs="微软雅黑"/>
                <w:color w:val="auto"/>
                <w:kern w:val="0"/>
                <w:sz w:val="24"/>
                <w:highlight w:val="none"/>
                <w:lang w:eastAsia="zh-CN" w:bidi="ar"/>
              </w:rPr>
            </w:pPr>
            <w:r>
              <w:rPr>
                <w:rFonts w:hint="eastAsia" w:ascii="宋体" w:hAnsi="宋体" w:eastAsia="宋体" w:cs="微软雅黑"/>
                <w:color w:val="auto"/>
                <w:kern w:val="0"/>
                <w:sz w:val="24"/>
                <w:highlight w:val="none"/>
                <w:lang w:eastAsia="zh-CN" w:bidi="ar"/>
              </w:rPr>
              <w:t>6.纸张种类：纸卷式、标签式(间距纸、连续纸、折叠纸、票券、吊牌...等)</w:t>
            </w:r>
          </w:p>
          <w:p>
            <w:pPr>
              <w:pStyle w:val="201"/>
              <w:widowControl/>
              <w:autoSpaceDE/>
              <w:autoSpaceDN/>
              <w:spacing w:before="6" w:line="360" w:lineRule="auto"/>
              <w:ind w:left="0" w:right="105" w:rightChars="50"/>
              <w:rPr>
                <w:rFonts w:ascii="宋体" w:hAnsi="宋体" w:eastAsia="宋体" w:cs="微软雅黑"/>
                <w:color w:val="auto"/>
                <w:kern w:val="0"/>
                <w:sz w:val="24"/>
                <w:highlight w:val="none"/>
                <w:lang w:eastAsia="zh-CN" w:bidi="ar"/>
              </w:rPr>
            </w:pPr>
            <w:r>
              <w:rPr>
                <w:rFonts w:hint="eastAsia" w:ascii="宋体" w:hAnsi="宋体" w:eastAsia="宋体" w:cs="微软雅黑"/>
                <w:color w:val="auto"/>
                <w:kern w:val="0"/>
                <w:sz w:val="24"/>
                <w:highlight w:val="none"/>
                <w:lang w:eastAsia="zh-CN" w:bidi="ar"/>
              </w:rPr>
              <w:t>7.纸张规格：最大宽度:4.65”(118mm)，最小宽度:0.8”(20mm)</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ascii="宋体" w:hAnsi="宋体" w:eastAsia="宋体"/>
                <w:bCs/>
                <w:color w:val="auto"/>
                <w:kern w:val="0"/>
                <w:sz w:val="24"/>
                <w:highlight w:val="none"/>
                <w:lang w:eastAsia="zh-CN"/>
              </w:rPr>
              <w:t>70</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医联体POS打印机</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1.打印方式：直行式热敏</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2.点密度：576点/行或512点/行</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3.打印宽度：72毫米或64毫米</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4.打印速度：</w:t>
            </w:r>
            <w:r>
              <w:rPr>
                <w:rFonts w:hint="eastAsia" w:ascii="宋体" w:hAnsi="宋体" w:eastAsia="宋体" w:cs="微软雅黑"/>
                <w:color w:val="auto"/>
                <w:kern w:val="0"/>
                <w:sz w:val="24"/>
                <w:highlight w:val="none"/>
                <w:lang w:eastAsia="zh-CN" w:bidi="ar"/>
              </w:rPr>
              <w:t>≥</w:t>
            </w:r>
            <w:r>
              <w:rPr>
                <w:rFonts w:hint="eastAsia" w:ascii="宋体" w:hAnsi="宋体" w:eastAsia="宋体"/>
                <w:bCs/>
                <w:color w:val="auto"/>
                <w:kern w:val="0"/>
                <w:sz w:val="24"/>
                <w:highlight w:val="none"/>
                <w:lang w:eastAsia="zh-CN"/>
              </w:rPr>
              <w:t>180毫米/秒</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5.接口类型：串口+USB 网口</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6.打印纸：纸宽:79.5±0.5毫米</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7.字符</w:t>
            </w:r>
            <w:r>
              <w:rPr>
                <w:rFonts w:hint="eastAsia" w:ascii="宋体" w:hAnsi="宋体" w:eastAsia="宋体"/>
                <w:bCs/>
                <w:color w:val="auto"/>
                <w:kern w:val="0"/>
                <w:sz w:val="24"/>
                <w:highlight w:val="none"/>
                <w:lang w:eastAsia="zh-CN"/>
              </w:rPr>
              <w:tab/>
            </w:r>
            <w:r>
              <w:rPr>
                <w:rFonts w:hint="eastAsia" w:ascii="宋体" w:hAnsi="宋体" w:eastAsia="宋体"/>
                <w:bCs/>
                <w:color w:val="auto"/>
                <w:kern w:val="0"/>
                <w:sz w:val="24"/>
                <w:highlight w:val="none"/>
                <w:lang w:eastAsia="zh-CN"/>
              </w:rPr>
              <w:t>标配GB18030简体中文</w:t>
            </w:r>
          </w:p>
          <w:p>
            <w:pPr>
              <w:pStyle w:val="201"/>
              <w:widowControl/>
              <w:autoSpaceDE/>
              <w:autoSpaceDN/>
              <w:spacing w:before="6" w:line="360" w:lineRule="auto"/>
              <w:ind w:right="105" w:rightChars="50"/>
              <w:jc w:val="left"/>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8.字符大小：ANK字符，FontA:1.5x3.0mm(12x24点)</w:t>
            </w:r>
          </w:p>
          <w:p>
            <w:pPr>
              <w:pStyle w:val="201"/>
              <w:widowControl/>
              <w:autoSpaceDE/>
              <w:autoSpaceDN/>
              <w:spacing w:before="6" w:line="360" w:lineRule="auto"/>
              <w:ind w:left="0" w:right="105" w:rightChars="50"/>
              <w:rPr>
                <w:rFonts w:ascii="宋体" w:hAnsi="宋体" w:eastAsia="宋体" w:cs="微软雅黑"/>
                <w:color w:val="auto"/>
                <w:kern w:val="0"/>
                <w:sz w:val="24"/>
                <w:highlight w:val="none"/>
                <w:lang w:eastAsia="zh-CN" w:bidi="ar"/>
              </w:rPr>
            </w:pPr>
            <w:r>
              <w:rPr>
                <w:rFonts w:hint="eastAsia" w:ascii="宋体" w:hAnsi="宋体" w:eastAsia="宋体"/>
                <w:bCs/>
                <w:color w:val="auto"/>
                <w:kern w:val="0"/>
                <w:sz w:val="24"/>
                <w:highlight w:val="none"/>
                <w:lang w:eastAsia="zh-CN"/>
              </w:rPr>
              <w:t>FontB:1.1x2.1mm(9x17点)简体:30x3.0mm(24x24点)</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ascii="宋体" w:hAnsi="宋体" w:eastAsia="宋体"/>
                <w:bCs/>
                <w:color w:val="auto"/>
                <w:kern w:val="0"/>
                <w:sz w:val="24"/>
                <w:highlight w:val="none"/>
                <w:lang w:eastAsia="zh-CN"/>
              </w:rPr>
              <w:t>71</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医联体腕带打印机</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1.分辨率：≥203dpi(8点/毫米)</w:t>
            </w:r>
            <w:r>
              <w:rPr>
                <w:rFonts w:hint="eastAsia" w:ascii="宋体" w:hAnsi="宋体" w:eastAsia="宋体"/>
                <w:bCs/>
                <w:color w:val="auto"/>
                <w:kern w:val="0"/>
                <w:sz w:val="24"/>
                <w:highlight w:val="none"/>
                <w:lang w:eastAsia="zh-CN"/>
              </w:rPr>
              <w:tab/>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2.打印方式：热敏或热转印</w:t>
            </w:r>
            <w:r>
              <w:rPr>
                <w:rFonts w:hint="eastAsia" w:ascii="宋体" w:hAnsi="宋体" w:eastAsia="宋体"/>
                <w:bCs/>
                <w:color w:val="auto"/>
                <w:kern w:val="0"/>
                <w:sz w:val="24"/>
                <w:highlight w:val="none"/>
                <w:lang w:eastAsia="zh-CN"/>
              </w:rPr>
              <w:tab/>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3.打印速度：≥102mm/s</w:t>
            </w:r>
            <w:r>
              <w:rPr>
                <w:rFonts w:hint="eastAsia" w:ascii="宋体" w:hAnsi="宋体" w:eastAsia="宋体"/>
                <w:bCs/>
                <w:color w:val="auto"/>
                <w:kern w:val="0"/>
                <w:sz w:val="24"/>
                <w:highlight w:val="none"/>
                <w:lang w:eastAsia="zh-CN"/>
              </w:rPr>
              <w:tab/>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4.最大打印宽度：≥104mm</w:t>
            </w:r>
            <w:r>
              <w:rPr>
                <w:rFonts w:hint="eastAsia" w:ascii="宋体" w:hAnsi="宋体" w:eastAsia="宋体"/>
                <w:bCs/>
                <w:color w:val="auto"/>
                <w:kern w:val="0"/>
                <w:sz w:val="24"/>
                <w:highlight w:val="none"/>
                <w:lang w:eastAsia="zh-CN"/>
              </w:rPr>
              <w:tab/>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5.最大打印长度：≥991mm</w:t>
            </w:r>
            <w:r>
              <w:rPr>
                <w:rFonts w:hint="eastAsia" w:ascii="宋体" w:hAnsi="宋体" w:eastAsia="宋体"/>
                <w:bCs/>
                <w:color w:val="auto"/>
                <w:kern w:val="0"/>
                <w:sz w:val="24"/>
                <w:highlight w:val="none"/>
                <w:lang w:eastAsia="zh-CN"/>
              </w:rPr>
              <w:tab/>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6.一维码:支持Code 39，Code 93，Code128，UPC-A，UPC-E，EAN-8，EAN-13，EAN-14，UPC-A，Standard 2 of 5，Industrial 2 of 5，Interleaved 2 of 5</w:t>
            </w:r>
            <w:r>
              <w:rPr>
                <w:rFonts w:hint="eastAsia" w:ascii="宋体" w:hAnsi="宋体" w:eastAsia="宋体"/>
                <w:bCs/>
                <w:color w:val="auto"/>
                <w:kern w:val="0"/>
                <w:sz w:val="24"/>
                <w:highlight w:val="none"/>
                <w:lang w:eastAsia="zh-CN"/>
              </w:rPr>
              <w:tab/>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8.二维码: Aztec，Codablock，Data Matrix，Macro PDF417，MaxiCode，Micro PDF417，PDF417，QR Code</w:t>
            </w:r>
          </w:p>
          <w:p>
            <w:pPr>
              <w:pStyle w:val="201"/>
              <w:widowControl/>
              <w:autoSpaceDE/>
              <w:autoSpaceDN/>
              <w:spacing w:before="6" w:line="360" w:lineRule="auto"/>
              <w:ind w:right="105" w:rightChars="50"/>
              <w:rPr>
                <w:rFonts w:ascii="宋体" w:hAnsi="宋体" w:eastAsia="宋体" w:cs="微软雅黑"/>
                <w:color w:val="auto"/>
                <w:kern w:val="0"/>
                <w:sz w:val="24"/>
                <w:highlight w:val="none"/>
                <w:lang w:eastAsia="zh-CN" w:bidi="ar"/>
              </w:rPr>
            </w:pPr>
            <w:r>
              <w:rPr>
                <w:rFonts w:hint="eastAsia" w:ascii="宋体" w:hAnsi="宋体" w:eastAsia="宋体"/>
                <w:bCs/>
                <w:color w:val="auto"/>
                <w:kern w:val="0"/>
                <w:sz w:val="24"/>
                <w:highlight w:val="none"/>
                <w:lang w:eastAsia="zh-CN"/>
              </w:rPr>
              <w:t>9.通信接口：USB接口，RS232</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ascii="宋体" w:hAnsi="宋体" w:eastAsia="宋体"/>
                <w:bCs/>
                <w:color w:val="auto"/>
                <w:kern w:val="0"/>
                <w:sz w:val="24"/>
                <w:highlight w:val="none"/>
                <w:lang w:eastAsia="zh-CN"/>
              </w:rPr>
              <w:t>72</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医联体针式打印机</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left="0"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1.打印方式：24针点阵击打式</w:t>
            </w:r>
            <w:r>
              <w:rPr>
                <w:rFonts w:hint="eastAsia" w:ascii="宋体" w:hAnsi="宋体" w:eastAsia="宋体"/>
                <w:bCs/>
                <w:color w:val="auto"/>
                <w:kern w:val="0"/>
                <w:sz w:val="24"/>
                <w:highlight w:val="none"/>
                <w:lang w:eastAsia="zh-CN"/>
              </w:rPr>
              <w:tab/>
            </w:r>
          </w:p>
          <w:p>
            <w:pPr>
              <w:pStyle w:val="201"/>
              <w:widowControl/>
              <w:autoSpaceDE/>
              <w:autoSpaceDN/>
              <w:spacing w:before="6" w:line="360" w:lineRule="auto"/>
              <w:ind w:left="0"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2.打印头寿命：≥4亿次/针</w:t>
            </w:r>
            <w:r>
              <w:rPr>
                <w:rFonts w:hint="eastAsia" w:ascii="宋体" w:hAnsi="宋体" w:eastAsia="宋体"/>
                <w:bCs/>
                <w:color w:val="auto"/>
                <w:kern w:val="0"/>
                <w:sz w:val="24"/>
                <w:highlight w:val="none"/>
                <w:lang w:eastAsia="zh-CN"/>
              </w:rPr>
              <w:tab/>
            </w:r>
          </w:p>
          <w:p>
            <w:pPr>
              <w:pStyle w:val="201"/>
              <w:widowControl/>
              <w:autoSpaceDE/>
              <w:autoSpaceDN/>
              <w:spacing w:before="6" w:line="360" w:lineRule="auto"/>
              <w:ind w:left="0"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3.字符集：GB18030</w:t>
            </w:r>
            <w:r>
              <w:rPr>
                <w:rFonts w:hint="eastAsia" w:ascii="宋体" w:hAnsi="宋体" w:eastAsia="宋体"/>
                <w:bCs/>
                <w:color w:val="auto"/>
                <w:kern w:val="0"/>
                <w:sz w:val="24"/>
                <w:highlight w:val="none"/>
                <w:lang w:eastAsia="zh-CN"/>
              </w:rPr>
              <w:tab/>
            </w:r>
          </w:p>
          <w:p>
            <w:pPr>
              <w:pStyle w:val="201"/>
              <w:widowControl/>
              <w:autoSpaceDE/>
              <w:autoSpaceDN/>
              <w:spacing w:before="6" w:line="360" w:lineRule="auto"/>
              <w:ind w:left="0"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4.打印速度：≥430字/秒</w:t>
            </w:r>
            <w:r>
              <w:rPr>
                <w:rFonts w:hint="eastAsia" w:ascii="宋体" w:hAnsi="宋体" w:eastAsia="宋体"/>
                <w:bCs/>
                <w:color w:val="auto"/>
                <w:kern w:val="0"/>
                <w:sz w:val="24"/>
                <w:highlight w:val="none"/>
                <w:lang w:eastAsia="zh-CN"/>
              </w:rPr>
              <w:tab/>
            </w:r>
          </w:p>
          <w:p>
            <w:pPr>
              <w:pStyle w:val="201"/>
              <w:widowControl/>
              <w:autoSpaceDE/>
              <w:autoSpaceDN/>
              <w:spacing w:before="6" w:line="360" w:lineRule="auto"/>
              <w:ind w:left="0"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5.平均无故障时间：≥20000小时以上</w:t>
            </w:r>
          </w:p>
          <w:p>
            <w:pPr>
              <w:pStyle w:val="201"/>
              <w:widowControl/>
              <w:autoSpaceDE/>
              <w:autoSpaceDN/>
              <w:spacing w:before="6" w:line="360" w:lineRule="auto"/>
              <w:ind w:left="0" w:right="105" w:rightChars="50"/>
              <w:rPr>
                <w:rFonts w:ascii="宋体" w:hAnsi="宋体" w:eastAsia="宋体"/>
                <w:bCs/>
                <w:color w:val="auto"/>
                <w:kern w:val="0"/>
                <w:sz w:val="24"/>
                <w:highlight w:val="none"/>
                <w:lang w:eastAsia="zh-CN"/>
              </w:rPr>
            </w:pPr>
            <w:r>
              <w:rPr>
                <w:rFonts w:ascii="宋体" w:hAnsi="宋体" w:eastAsia="宋体"/>
                <w:bCs/>
                <w:color w:val="auto"/>
                <w:kern w:val="0"/>
                <w:sz w:val="24"/>
                <w:highlight w:val="none"/>
                <w:lang w:eastAsia="zh-CN"/>
              </w:rPr>
              <w:t>6</w:t>
            </w:r>
            <w:r>
              <w:rPr>
                <w:rFonts w:hint="eastAsia" w:ascii="宋体" w:hAnsi="宋体" w:eastAsia="宋体"/>
                <w:bCs/>
                <w:color w:val="auto"/>
                <w:kern w:val="0"/>
                <w:sz w:val="24"/>
                <w:highlight w:val="none"/>
                <w:lang w:eastAsia="zh-CN"/>
              </w:rPr>
              <w:t>.色带寿命：≥1000万字符</w:t>
            </w:r>
            <w:r>
              <w:rPr>
                <w:rFonts w:hint="eastAsia" w:ascii="宋体" w:hAnsi="宋体" w:eastAsia="宋体"/>
                <w:bCs/>
                <w:color w:val="auto"/>
                <w:kern w:val="0"/>
                <w:sz w:val="24"/>
                <w:highlight w:val="none"/>
                <w:lang w:eastAsia="zh-CN"/>
              </w:rPr>
              <w:tab/>
            </w:r>
          </w:p>
          <w:p>
            <w:pPr>
              <w:pStyle w:val="201"/>
              <w:widowControl/>
              <w:autoSpaceDE/>
              <w:autoSpaceDN/>
              <w:spacing w:before="6" w:line="360" w:lineRule="auto"/>
              <w:ind w:left="0" w:right="105" w:rightChars="50"/>
              <w:rPr>
                <w:rFonts w:ascii="宋体" w:hAnsi="宋体" w:eastAsia="宋体"/>
                <w:bCs/>
                <w:color w:val="auto"/>
                <w:kern w:val="0"/>
                <w:sz w:val="24"/>
                <w:highlight w:val="none"/>
                <w:lang w:eastAsia="zh-CN"/>
              </w:rPr>
            </w:pPr>
            <w:r>
              <w:rPr>
                <w:rFonts w:ascii="宋体" w:hAnsi="宋体" w:eastAsia="宋体"/>
                <w:bCs/>
                <w:color w:val="auto"/>
                <w:kern w:val="0"/>
                <w:sz w:val="24"/>
                <w:highlight w:val="none"/>
                <w:lang w:eastAsia="zh-CN"/>
              </w:rPr>
              <w:t>7</w:t>
            </w:r>
            <w:r>
              <w:rPr>
                <w:rFonts w:hint="eastAsia" w:ascii="宋体" w:hAnsi="宋体" w:eastAsia="宋体"/>
                <w:bCs/>
                <w:color w:val="auto"/>
                <w:kern w:val="0"/>
                <w:sz w:val="24"/>
                <w:highlight w:val="none"/>
                <w:lang w:eastAsia="zh-CN"/>
              </w:rPr>
              <w:t>.最大进纸宽度：≥297mm</w:t>
            </w:r>
            <w:r>
              <w:rPr>
                <w:rFonts w:hint="eastAsia" w:ascii="宋体" w:hAnsi="宋体" w:eastAsia="宋体"/>
                <w:bCs/>
                <w:color w:val="auto"/>
                <w:kern w:val="0"/>
                <w:sz w:val="24"/>
                <w:highlight w:val="none"/>
                <w:lang w:eastAsia="zh-CN"/>
              </w:rPr>
              <w:tab/>
            </w:r>
          </w:p>
          <w:p>
            <w:pPr>
              <w:pStyle w:val="201"/>
              <w:widowControl/>
              <w:autoSpaceDE/>
              <w:autoSpaceDN/>
              <w:spacing w:before="6" w:line="360" w:lineRule="auto"/>
              <w:ind w:left="0" w:right="105" w:rightChars="50"/>
              <w:rPr>
                <w:rFonts w:ascii="宋体" w:hAnsi="宋体" w:eastAsia="宋体" w:cs="微软雅黑"/>
                <w:color w:val="auto"/>
                <w:kern w:val="0"/>
                <w:sz w:val="24"/>
                <w:highlight w:val="none"/>
                <w:lang w:eastAsia="zh-CN" w:bidi="ar"/>
              </w:rPr>
            </w:pPr>
            <w:r>
              <w:rPr>
                <w:rFonts w:ascii="宋体" w:hAnsi="宋体" w:eastAsia="宋体"/>
                <w:bCs/>
                <w:color w:val="auto"/>
                <w:kern w:val="0"/>
                <w:sz w:val="24"/>
                <w:highlight w:val="none"/>
                <w:lang w:eastAsia="zh-CN"/>
              </w:rPr>
              <w:t>8</w:t>
            </w:r>
            <w:r>
              <w:rPr>
                <w:rFonts w:hint="eastAsia" w:ascii="宋体" w:hAnsi="宋体" w:eastAsia="宋体"/>
                <w:bCs/>
                <w:color w:val="auto"/>
                <w:kern w:val="0"/>
                <w:sz w:val="24"/>
                <w:highlight w:val="none"/>
                <w:lang w:eastAsia="zh-CN"/>
              </w:rPr>
              <w:t>.接口：USB接口</w:t>
            </w:r>
            <w:r>
              <w:rPr>
                <w:rFonts w:hint="eastAsia" w:ascii="宋体" w:hAnsi="宋体" w:eastAsia="宋体"/>
                <w:bCs/>
                <w:color w:val="auto"/>
                <w:kern w:val="0"/>
                <w:sz w:val="24"/>
                <w:highlight w:val="none"/>
                <w:lang w:eastAsia="zh-CN"/>
              </w:rPr>
              <w:tab/>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7</w:t>
            </w:r>
            <w:r>
              <w:rPr>
                <w:rFonts w:ascii="宋体" w:hAnsi="宋体" w:eastAsia="宋体"/>
                <w:bCs/>
                <w:color w:val="auto"/>
                <w:kern w:val="0"/>
                <w:sz w:val="24"/>
                <w:highlight w:val="none"/>
                <w:lang w:eastAsia="zh-CN"/>
              </w:rPr>
              <w:t>3</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光模块</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ind w:right="105" w:rightChars="50"/>
              <w:rPr>
                <w:rFonts w:ascii="宋体" w:hAnsi="宋体" w:eastAsia="宋体"/>
                <w:bCs/>
                <w:color w:val="auto"/>
                <w:kern w:val="0"/>
                <w:sz w:val="24"/>
                <w:highlight w:val="none"/>
              </w:rPr>
            </w:pPr>
            <w:r>
              <w:rPr>
                <w:rFonts w:hint="eastAsia" w:ascii="宋体" w:hAnsi="宋体" w:eastAsia="宋体"/>
                <w:bCs/>
                <w:color w:val="auto"/>
                <w:kern w:val="0"/>
                <w:sz w:val="24"/>
                <w:highlight w:val="none"/>
              </w:rPr>
              <w:t>1</w:t>
            </w:r>
            <w:r>
              <w:rPr>
                <w:rFonts w:hint="eastAsia" w:ascii="宋体" w:hAnsi="宋体" w:eastAsia="宋体"/>
                <w:bCs/>
                <w:color w:val="auto"/>
                <w:kern w:val="0"/>
                <w:sz w:val="24"/>
                <w:highlight w:val="none"/>
                <w:lang w:eastAsia="zh-CN"/>
              </w:rPr>
              <w:t>0</w:t>
            </w:r>
            <w:r>
              <w:rPr>
                <w:rFonts w:hint="eastAsia" w:ascii="宋体" w:hAnsi="宋体" w:eastAsia="宋体"/>
                <w:bCs/>
                <w:color w:val="auto"/>
                <w:kern w:val="0"/>
                <w:sz w:val="24"/>
                <w:highlight w:val="none"/>
              </w:rPr>
              <w:t>G</w:t>
            </w:r>
            <w:r>
              <w:rPr>
                <w:rFonts w:hint="eastAsia" w:ascii="宋体" w:hAnsi="宋体" w:eastAsia="宋体"/>
                <w:bCs/>
                <w:color w:val="auto"/>
                <w:kern w:val="0"/>
                <w:sz w:val="24"/>
                <w:highlight w:val="none"/>
                <w:lang w:eastAsia="zh-CN"/>
              </w:rPr>
              <w:t>单</w:t>
            </w:r>
            <w:r>
              <w:rPr>
                <w:rFonts w:hint="eastAsia" w:ascii="宋体" w:hAnsi="宋体" w:eastAsia="宋体"/>
                <w:bCs/>
                <w:color w:val="auto"/>
                <w:kern w:val="0"/>
                <w:sz w:val="24"/>
                <w:highlight w:val="none"/>
              </w:rPr>
              <w:t>模LC</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7</w:t>
            </w:r>
            <w:r>
              <w:rPr>
                <w:rFonts w:ascii="宋体" w:hAnsi="宋体" w:eastAsia="宋体"/>
                <w:bCs/>
                <w:color w:val="auto"/>
                <w:kern w:val="0"/>
                <w:sz w:val="24"/>
                <w:highlight w:val="none"/>
                <w:lang w:eastAsia="zh-CN"/>
              </w:rPr>
              <w:t>4</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光模块</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1G多模LC</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12</w:t>
            </w:r>
            <w:r>
              <w:rPr>
                <w:rFonts w:hint="eastAsia" w:ascii="宋体" w:hAnsi="宋体" w:eastAsia="宋体"/>
                <w:bCs/>
                <w:color w:val="auto"/>
                <w:kern w:val="0"/>
                <w:sz w:val="24"/>
                <w:highlight w:val="none"/>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7</w:t>
            </w:r>
            <w:r>
              <w:rPr>
                <w:rFonts w:ascii="宋体" w:hAnsi="宋体" w:eastAsia="宋体"/>
                <w:bCs/>
                <w:color w:val="auto"/>
                <w:kern w:val="0"/>
                <w:sz w:val="24"/>
                <w:highlight w:val="none"/>
                <w:lang w:eastAsia="zh-CN"/>
              </w:rPr>
              <w:t>5</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光模块</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40G多模MPO</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7</w:t>
            </w:r>
            <w:r>
              <w:rPr>
                <w:rFonts w:ascii="宋体" w:hAnsi="宋体" w:eastAsia="宋体"/>
                <w:bCs/>
                <w:color w:val="auto"/>
                <w:kern w:val="0"/>
                <w:sz w:val="24"/>
                <w:highlight w:val="none"/>
                <w:lang w:eastAsia="zh-CN"/>
              </w:rPr>
              <w:t>6</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光模块</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10G多模LC</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7</w:t>
            </w:r>
            <w:r>
              <w:rPr>
                <w:rFonts w:ascii="宋体" w:hAnsi="宋体" w:eastAsia="宋体"/>
                <w:bCs/>
                <w:color w:val="auto"/>
                <w:kern w:val="0"/>
                <w:sz w:val="24"/>
                <w:highlight w:val="none"/>
                <w:lang w:eastAsia="zh-CN"/>
              </w:rPr>
              <w:t>7</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光模块</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1G单模LC</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7</w:t>
            </w:r>
            <w:r>
              <w:rPr>
                <w:rFonts w:ascii="宋体" w:hAnsi="宋体" w:eastAsia="宋体"/>
                <w:bCs/>
                <w:color w:val="auto"/>
                <w:kern w:val="0"/>
                <w:sz w:val="24"/>
                <w:highlight w:val="none"/>
                <w:lang w:eastAsia="zh-CN"/>
              </w:rPr>
              <w:t>8</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数据中心</w:t>
            </w:r>
            <w:r>
              <w:rPr>
                <w:rFonts w:hint="eastAsia" w:ascii="宋体" w:hAnsi="宋体" w:eastAsia="宋体"/>
                <w:bCs/>
                <w:color w:val="auto"/>
                <w:kern w:val="0"/>
                <w:sz w:val="24"/>
                <w:highlight w:val="none"/>
              </w:rPr>
              <w:t>机房改扩建</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模块化机房建设：</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1、单排冷通道模块化机柜系统，12个机柜</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2、双排冷通道模块化机柜系统，24个机柜</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3、配套精密配电柜；</w:t>
            </w:r>
          </w:p>
          <w:p>
            <w:pPr>
              <w:pStyle w:val="201"/>
              <w:widowControl/>
              <w:autoSpaceDE/>
              <w:autoSpaceDN/>
              <w:spacing w:before="6" w:line="360" w:lineRule="auto"/>
              <w:ind w:right="105" w:rightChars="50"/>
              <w:rPr>
                <w:rFonts w:ascii="宋体" w:hAnsi="宋体" w:eastAsia="宋体"/>
                <w:bCs/>
                <w:color w:val="auto"/>
                <w:sz w:val="24"/>
                <w:highlight w:val="none"/>
                <w:lang w:eastAsia="zh-CN"/>
              </w:rPr>
            </w:pPr>
            <w:r>
              <w:rPr>
                <w:rFonts w:hint="eastAsia" w:ascii="宋体" w:hAnsi="宋体" w:eastAsia="宋体"/>
                <w:bCs/>
                <w:color w:val="auto"/>
                <w:kern w:val="0"/>
                <w:sz w:val="24"/>
                <w:highlight w:val="none"/>
                <w:lang w:eastAsia="zh-CN"/>
              </w:rPr>
              <w:t>4、配套UPS ：模块化机柜满配容量应不小于200kVA，本次UPS实际配置150kVA，输入输出制式为三相输入三相输出，输入电压范围应不小于138V-485VAC，输入频率范围不小于40Hz~70Hz；模块热插拔特性：功率模块、旁路模块、控制模块均可带电热插拔，要求UPS主机可提供CE认证证书和CQC节能认。配置蓄电池（80节）：阀控铅酸蓄电池，12V150Ah，含电池连接线、电池架等安装辅材；</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5、精密空调：模块化机柜配套精密空调，包含空调低温组件，共配置5台，单台精密空调总冷量≥46kw，显冷量≥46kw，风量≥9000m3/h</w:t>
            </w:r>
            <w:r>
              <w:rPr>
                <w:rFonts w:hint="eastAsia" w:ascii="宋体" w:hAnsi="宋体" w:eastAsia="宋体"/>
                <w:bCs/>
                <w:color w:val="auto"/>
                <w:kern w:val="0"/>
                <w:sz w:val="24"/>
                <w:highlight w:val="none"/>
                <w:lang w:val="en-US" w:eastAsia="zh-CN"/>
              </w:rPr>
              <w:t xml:space="preserve"> </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6、市电输入UPS输入输出一体配电柜：630A单路MCCB输入、适配200KVA的UPS,包含UPS输入/外部维修旁路开关400A3P*2 ，精密空调开关3P63A*8 UPS输出负载开关250A/3P*3 含防雷，智能三相电量仪，支持单路市电电源输入，需配置指示灯指示电源输入状态</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7、配套电力线缆：含市电输入电源线、UPS输入电源线、UPS输出电源线、空调电源线、PDU电源线、电池至UPS线缆等；</w:t>
            </w:r>
            <w:r>
              <w:rPr>
                <w:rFonts w:hint="eastAsia" w:ascii="宋体" w:hAnsi="宋体" w:eastAsia="宋体"/>
                <w:bCs/>
                <w:color w:val="auto"/>
                <w:kern w:val="0"/>
                <w:sz w:val="24"/>
                <w:highlight w:val="none"/>
                <w:lang w:eastAsia="zh-CN"/>
              </w:rPr>
              <w:br w:type="textWrapping"/>
            </w:r>
            <w:r>
              <w:rPr>
                <w:rFonts w:hint="eastAsia" w:ascii="宋体" w:hAnsi="宋体" w:eastAsia="宋体"/>
                <w:bCs/>
                <w:color w:val="auto"/>
                <w:kern w:val="0"/>
                <w:sz w:val="24"/>
                <w:highlight w:val="none"/>
                <w:lang w:eastAsia="zh-CN"/>
              </w:rPr>
              <w:t>8</w:t>
            </w:r>
            <w:r>
              <w:rPr>
                <w:rFonts w:hint="eastAsia" w:ascii="宋体" w:hAnsi="宋体" w:eastAsia="宋体"/>
                <w:bCs/>
                <w:color w:val="auto"/>
                <w:sz w:val="24"/>
                <w:highlight w:val="none"/>
                <w:lang w:eastAsia="zh-CN"/>
              </w:rPr>
              <w:t>、配套门禁系统；</w:t>
            </w:r>
            <w:r>
              <w:rPr>
                <w:rFonts w:hint="eastAsia" w:ascii="宋体" w:hAnsi="宋体" w:eastAsia="宋体"/>
                <w:bCs/>
                <w:color w:val="auto"/>
                <w:sz w:val="24"/>
                <w:highlight w:val="none"/>
                <w:lang w:eastAsia="zh-CN"/>
              </w:rPr>
              <w:br w:type="textWrapping"/>
            </w:r>
            <w:r>
              <w:rPr>
                <w:rFonts w:hint="eastAsia" w:ascii="宋体" w:hAnsi="宋体" w:eastAsia="宋体"/>
                <w:bCs/>
                <w:color w:val="auto"/>
                <w:sz w:val="24"/>
                <w:highlight w:val="none"/>
                <w:lang w:eastAsia="zh-CN"/>
              </w:rPr>
              <w:t>9、配套视频监控系统；</w:t>
            </w:r>
          </w:p>
          <w:p>
            <w:pPr>
              <w:pStyle w:val="201"/>
              <w:widowControl/>
              <w:autoSpaceDE/>
              <w:autoSpaceDN/>
              <w:spacing w:before="6" w:line="360" w:lineRule="auto"/>
              <w:ind w:right="105" w:rightChars="50"/>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10、机房气体消防系统；</w:t>
            </w:r>
            <w:r>
              <w:rPr>
                <w:rFonts w:hint="eastAsia" w:ascii="宋体" w:hAnsi="宋体" w:eastAsia="宋体"/>
                <w:bCs/>
                <w:color w:val="auto"/>
                <w:sz w:val="24"/>
                <w:highlight w:val="none"/>
                <w:lang w:eastAsia="zh-CN"/>
              </w:rPr>
              <w:br w:type="textWrapping"/>
            </w:r>
            <w:r>
              <w:rPr>
                <w:rFonts w:hint="eastAsia" w:ascii="宋体" w:hAnsi="宋体" w:eastAsia="宋体"/>
                <w:bCs/>
                <w:color w:val="auto"/>
                <w:sz w:val="24"/>
                <w:highlight w:val="none"/>
                <w:lang w:eastAsia="zh-CN"/>
              </w:rPr>
              <w:t>11、施工辅材：包含铜鼻子、扎带、便签纸、超五类网线、光纤跳线，管线，接地线等常用辅材；</w:t>
            </w:r>
            <w:r>
              <w:rPr>
                <w:rFonts w:hint="eastAsia" w:ascii="宋体" w:hAnsi="宋体" w:eastAsia="宋体"/>
                <w:bCs/>
                <w:color w:val="auto"/>
                <w:sz w:val="24"/>
                <w:highlight w:val="none"/>
                <w:lang w:eastAsia="zh-CN"/>
              </w:rPr>
              <w:br w:type="textWrapping"/>
            </w:r>
            <w:r>
              <w:rPr>
                <w:rFonts w:hint="eastAsia" w:ascii="宋体" w:hAnsi="宋体" w:eastAsia="宋体"/>
                <w:bCs/>
                <w:color w:val="auto"/>
                <w:sz w:val="24"/>
                <w:highlight w:val="none"/>
                <w:lang w:eastAsia="zh-CN"/>
              </w:rPr>
              <w:t>12、动环监控系统：B/S架构，支持机柜级、微模块级、机房级和数据中心级的多场景、统一化和实时性的动环监控；能够监控数据中心（机房）内各种智能设备(包括但不限于UPS、列间空调、精密配电柜、视频、门禁)的运行情况，以及通过各种传感器获得的包括温湿度、漏水、门磁、消防告警等在内的各类模拟量和开关量信号，并设定报警阈值；支持2.5D组态，可通过组件拖拽生成立体机房布局图。组件支持和监控对象的数据对接，支持点击查看数据。支持空间容量、温度场在布局图中的展示。</w:t>
            </w:r>
          </w:p>
          <w:p>
            <w:pPr>
              <w:pStyle w:val="201"/>
              <w:widowControl/>
              <w:autoSpaceDE/>
              <w:autoSpaceDN/>
              <w:spacing w:before="6" w:line="360" w:lineRule="auto"/>
              <w:ind w:right="105" w:rightChars="50"/>
              <w:rPr>
                <w:rFonts w:ascii="宋体" w:hAnsi="宋体" w:eastAsia="宋体"/>
                <w:bCs/>
                <w:color w:val="auto"/>
                <w:sz w:val="24"/>
                <w:highlight w:val="none"/>
                <w:lang w:eastAsia="zh-CN"/>
              </w:rPr>
            </w:pPr>
            <w:r>
              <w:rPr>
                <w:rFonts w:hint="eastAsia" w:ascii="宋体" w:hAnsi="宋体" w:eastAsia="宋体"/>
                <w:bCs/>
                <w:color w:val="auto"/>
                <w:sz w:val="24"/>
                <w:highlight w:val="none"/>
                <w:lang w:eastAsia="zh-CN"/>
              </w:rPr>
              <w:t>13、机房满足等保三级系统对机房物理环境的要求</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7</w:t>
            </w:r>
            <w:r>
              <w:rPr>
                <w:rFonts w:ascii="宋体" w:hAnsi="宋体" w:eastAsia="宋体"/>
                <w:bCs/>
                <w:color w:val="auto"/>
                <w:kern w:val="0"/>
                <w:sz w:val="24"/>
                <w:highlight w:val="none"/>
                <w:lang w:eastAsia="zh-CN"/>
              </w:rPr>
              <w:t>9</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院区网络</w:t>
            </w:r>
            <w:r>
              <w:rPr>
                <w:rFonts w:hint="eastAsia" w:ascii="宋体" w:hAnsi="宋体" w:eastAsia="宋体"/>
                <w:bCs/>
                <w:color w:val="auto"/>
                <w:kern w:val="0"/>
                <w:sz w:val="24"/>
                <w:highlight w:val="none"/>
              </w:rPr>
              <w:t>机房建设</w:t>
            </w:r>
          </w:p>
        </w:tc>
        <w:tc>
          <w:tcPr>
            <w:tcW w:w="6388" w:type="dxa"/>
            <w:gridSpan w:val="2"/>
            <w:tcBorders>
              <w:top w:val="nil"/>
              <w:left w:val="nil"/>
              <w:bottom w:val="single" w:color="auto" w:sz="4" w:space="0"/>
              <w:right w:val="single" w:color="auto" w:sz="4" w:space="0"/>
            </w:tcBorders>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包含以下建设内容：</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w:t>
            </w:r>
            <w:r>
              <w:rPr>
                <w:rFonts w:ascii="宋体" w:hAnsi="宋体" w:eastAsia="宋体"/>
                <w:bCs/>
                <w:color w:val="auto"/>
                <w:kern w:val="0"/>
                <w:sz w:val="24"/>
                <w:highlight w:val="none"/>
                <w:lang w:eastAsia="zh-CN"/>
              </w:rPr>
              <w:t>净化系统-机房装</w:t>
            </w:r>
            <w:r>
              <w:rPr>
                <w:rFonts w:hint="eastAsia" w:ascii="宋体" w:hAnsi="宋体" w:eastAsia="宋体"/>
                <w:bCs/>
                <w:color w:val="auto"/>
                <w:kern w:val="0"/>
                <w:sz w:val="24"/>
                <w:highlight w:val="none"/>
                <w:lang w:eastAsia="zh-CN"/>
              </w:rPr>
              <w:t>修：5</w:t>
            </w:r>
            <w:r>
              <w:rPr>
                <w:rFonts w:ascii="宋体" w:hAnsi="宋体" w:eastAsia="宋体"/>
                <w:bCs/>
                <w:color w:val="auto"/>
                <w:kern w:val="0"/>
                <w:sz w:val="24"/>
                <w:highlight w:val="none"/>
                <w:lang w:eastAsia="zh-CN"/>
              </w:rPr>
              <w:t>0平米地面防静电地板、墙面粉刷、顶部吊顶、防尘漆、照明系统及各种管线</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w:t>
            </w:r>
            <w:r>
              <w:rPr>
                <w:rFonts w:ascii="宋体" w:hAnsi="宋体" w:eastAsia="宋体"/>
                <w:bCs/>
                <w:color w:val="auto"/>
                <w:kern w:val="0"/>
                <w:sz w:val="24"/>
                <w:highlight w:val="none"/>
                <w:lang w:eastAsia="zh-CN"/>
              </w:rPr>
              <w:t>配电、UPS系统：工频在线式40KVA、延时1小时配置</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3、精密空调系统：</w:t>
            </w:r>
            <w:r>
              <w:rPr>
                <w:rFonts w:ascii="宋体" w:hAnsi="宋体" w:eastAsia="宋体"/>
                <w:bCs/>
                <w:color w:val="auto"/>
                <w:kern w:val="0"/>
                <w:sz w:val="24"/>
                <w:highlight w:val="none"/>
                <w:lang w:eastAsia="zh-CN"/>
              </w:rPr>
              <w:t>房间级精密空调 室内机 制冷量12.5kW 风冷型、低温组件、恒温系统2</w:t>
            </w:r>
            <w:r>
              <w:rPr>
                <w:rFonts w:hint="eastAsia" w:ascii="宋体" w:hAnsi="宋体" w:eastAsia="宋体"/>
                <w:bCs/>
                <w:color w:val="auto"/>
                <w:kern w:val="0"/>
                <w:sz w:val="24"/>
                <w:highlight w:val="none"/>
                <w:lang w:eastAsia="zh-CN"/>
              </w:rPr>
              <w:t>套</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4、</w:t>
            </w:r>
            <w:r>
              <w:rPr>
                <w:rFonts w:ascii="宋体" w:hAnsi="宋体" w:eastAsia="宋体"/>
                <w:bCs/>
                <w:color w:val="auto"/>
                <w:kern w:val="0"/>
                <w:sz w:val="24"/>
                <w:highlight w:val="none"/>
                <w:lang w:eastAsia="zh-CN"/>
              </w:rPr>
              <w:t>42U 600*1000*2000服务器机柜8台、双PDU、防水插座</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ascii="宋体" w:hAnsi="宋体" w:eastAsia="宋体"/>
                <w:bCs/>
                <w:color w:val="auto"/>
                <w:kern w:val="0"/>
                <w:sz w:val="24"/>
                <w:highlight w:val="none"/>
                <w:lang w:eastAsia="zh-CN"/>
              </w:rPr>
              <w:t>5、动力配电电缆系统：各类上走线加、各类电缆等</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6、动力监测系统：</w:t>
            </w:r>
            <w:r>
              <w:rPr>
                <w:rFonts w:ascii="宋体" w:hAnsi="宋体" w:eastAsia="宋体"/>
                <w:bCs/>
                <w:color w:val="auto"/>
                <w:kern w:val="0"/>
                <w:sz w:val="24"/>
                <w:highlight w:val="none"/>
                <w:lang w:eastAsia="zh-CN"/>
              </w:rPr>
              <w:t>电量监测仪、温湿度传感器、漏水报警控制器、门禁管制系统、视频子系统、防入侵红外监测报警、监测接口软件等，通过网络汇聚主机房平</w:t>
            </w:r>
            <w:r>
              <w:rPr>
                <w:rFonts w:hint="eastAsia" w:ascii="宋体" w:hAnsi="宋体" w:eastAsia="宋体"/>
                <w:bCs/>
                <w:color w:val="auto"/>
                <w:kern w:val="0"/>
                <w:sz w:val="24"/>
                <w:highlight w:val="none"/>
                <w:lang w:eastAsia="zh-CN"/>
              </w:rPr>
              <w:t>台</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7、静电地网及室外接地系统：</w:t>
            </w:r>
            <w:r>
              <w:rPr>
                <w:rFonts w:ascii="宋体" w:hAnsi="宋体" w:eastAsia="宋体"/>
                <w:bCs/>
                <w:color w:val="auto"/>
                <w:kern w:val="0"/>
                <w:sz w:val="24"/>
                <w:highlight w:val="none"/>
                <w:lang w:eastAsia="zh-CN"/>
              </w:rPr>
              <w:t>室外接地、室内泄漏网和等电位系统</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8、机房综合布线</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ascii="宋体" w:hAnsi="宋体" w:eastAsia="宋体"/>
                <w:bCs/>
                <w:color w:val="auto"/>
                <w:kern w:val="0"/>
                <w:sz w:val="24"/>
                <w:highlight w:val="none"/>
                <w:lang w:eastAsia="zh-CN"/>
              </w:rPr>
              <w:t>9、机房新风系统</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w:t>
            </w:r>
            <w:r>
              <w:rPr>
                <w:rFonts w:ascii="宋体" w:hAnsi="宋体" w:eastAsia="宋体"/>
                <w:bCs/>
                <w:color w:val="auto"/>
                <w:kern w:val="0"/>
                <w:sz w:val="24"/>
                <w:highlight w:val="none"/>
                <w:lang w:eastAsia="zh-CN"/>
              </w:rPr>
              <w:t>0、消防系统：机房内部七氟丙烷消防系</w:t>
            </w:r>
            <w:r>
              <w:rPr>
                <w:rFonts w:hint="eastAsia" w:ascii="宋体" w:hAnsi="宋体" w:eastAsia="宋体"/>
                <w:bCs/>
                <w:color w:val="auto"/>
                <w:kern w:val="0"/>
                <w:sz w:val="24"/>
                <w:highlight w:val="none"/>
                <w:lang w:eastAsia="zh-CN"/>
              </w:rPr>
              <w:t>统</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hint="default" w:ascii="宋体" w:hAnsi="宋体" w:eastAsia="宋体"/>
                <w:bCs/>
                <w:color w:val="auto"/>
                <w:kern w:val="0"/>
                <w:sz w:val="24"/>
                <w:highlight w:val="none"/>
                <w:lang w:eastAsia="zh-CN"/>
              </w:rPr>
            </w:pPr>
            <w:r>
              <w:rPr>
                <w:rFonts w:hint="default" w:ascii="宋体" w:hAnsi="宋体" w:eastAsia="宋体"/>
                <w:bCs/>
                <w:color w:val="auto"/>
                <w:kern w:val="0"/>
                <w:sz w:val="24"/>
                <w:highlight w:val="none"/>
                <w:lang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ascii="宋体" w:hAnsi="宋体" w:eastAsia="宋体"/>
                <w:bCs/>
                <w:color w:val="auto"/>
                <w:kern w:val="0"/>
                <w:sz w:val="24"/>
                <w:highlight w:val="none"/>
                <w:lang w:eastAsia="zh-CN"/>
              </w:rPr>
              <w:t>80</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密码服务机</w:t>
            </w:r>
          </w:p>
        </w:tc>
        <w:tc>
          <w:tcPr>
            <w:tcW w:w="6388" w:type="dxa"/>
            <w:gridSpan w:val="2"/>
            <w:tcBorders>
              <w:top w:val="nil"/>
              <w:left w:val="nil"/>
              <w:bottom w:val="single" w:color="auto" w:sz="4" w:space="0"/>
              <w:right w:val="single" w:color="auto" w:sz="4" w:space="0"/>
            </w:tcBorders>
            <w:vAlign w:val="center"/>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1、硬件要求：2U高机架式硬件架构，可扩展至冗余电源，8G内存以上，2T硬盘容量以上，配置4个以太网千兆电口以上</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2、同时符合GM/T 0030《服务器密码机技术规范》、GM/T 0028《密码模块安全技术要求》技术要求</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3、对称密钥对数：1024个以上；非对称密钥对数：1024对以上；SM2生成密钥，10000对/s以上；SM2加密，2000次/s以上；SM2解密，3000次/s；SM2签名，12000次/s以上；SM2验签，4000次/s以上；SM1加解密，200Mbps以上；SM4加解密，400Mbps以上；SM3加解密，400Mbps以上；</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4、支持国密SM1、SM4；国际DES、3DES、AES；国密SM2；国际RSA1024、RSA2048、RSA3072、RSA4096；国密SM3；国际SHA1、SHA256、SHA512；</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5、具备密钥管理、消息验证、数据加解密等密码服务。</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6、提供整机商用密码产品认证证书</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7、</w:t>
            </w:r>
            <w:r>
              <w:rPr>
                <w:rFonts w:hint="eastAsia" w:ascii="宋体" w:hAnsi="宋体" w:eastAsia="宋体"/>
                <w:color w:val="auto"/>
                <w:sz w:val="24"/>
                <w:highlight w:val="none"/>
                <w:lang w:eastAsia="zh-CN"/>
              </w:rPr>
              <w:t>▲</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80"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ascii="宋体" w:hAnsi="宋体" w:eastAsia="宋体"/>
                <w:bCs/>
                <w:color w:val="auto"/>
                <w:kern w:val="0"/>
                <w:sz w:val="24"/>
                <w:highlight w:val="none"/>
                <w:lang w:eastAsia="zh-CN"/>
              </w:rPr>
              <w:t>81</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签名验签和时间戳服务器</w:t>
            </w:r>
          </w:p>
        </w:tc>
        <w:tc>
          <w:tcPr>
            <w:tcW w:w="6388" w:type="dxa"/>
            <w:gridSpan w:val="2"/>
            <w:tcBorders>
              <w:top w:val="nil"/>
              <w:left w:val="nil"/>
              <w:bottom w:val="single" w:color="auto" w:sz="4" w:space="0"/>
              <w:right w:val="single" w:color="auto" w:sz="4" w:space="0"/>
            </w:tcBorders>
            <w:vAlign w:val="center"/>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1、硬件要求：2U高机架式硬件架构，冗余电源，8GB内存以上，2TB硬盘容量以上，配置4个以太网千兆电口以上。</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2、同时符合GM/T 0029《签名验签服务器技术规范》、GM/T 0033 《时间戳接口规范》、GM/T 0028《密码模块安全技术要求》等相关技术要求</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3、签名验签性能：SM2单包数字签名验签，20000次/s以上；SM2单包消息签名验签，15000次/s以上；SM2数字信封解封，10000次/s以上；SM2签名数字信封解封，5000次/s以上；SM3杂凑算法，600Mbps以上；RSA1024单包数字签名验签，30000次/s以上；RSA2048单包数字签名验签，20000次/s以上；时间戳性能：sm2时间戳验签，10000次/s以上；SM3杂凑算法，600Mbp以上s；RSA1024时间戳验签，10000次/s以上；RSA2048时间戳验签，6000次/s以上</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4、支持SM1、SM2、SM3、SM4密码算法。</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5、提供基于SM2算法的数字签名和认证功能，可用于证书生成和验证、身份认证等。</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6、提供整机商用密码产品认证证书</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7、</w:t>
            </w:r>
            <w:r>
              <w:rPr>
                <w:rFonts w:hint="eastAsia" w:ascii="宋体" w:hAnsi="宋体" w:eastAsia="宋体"/>
                <w:color w:val="auto"/>
                <w:sz w:val="24"/>
                <w:highlight w:val="none"/>
                <w:lang w:eastAsia="zh-CN"/>
              </w:rPr>
              <w:t>▲</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ascii="宋体" w:hAnsi="宋体" w:eastAsia="宋体"/>
                <w:bCs/>
                <w:color w:val="auto"/>
                <w:kern w:val="0"/>
                <w:sz w:val="24"/>
                <w:highlight w:val="none"/>
                <w:lang w:eastAsia="zh-CN"/>
              </w:rPr>
              <w:t>82</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rPr>
            </w:pPr>
            <w:r>
              <w:rPr>
                <w:rFonts w:hint="eastAsia" w:ascii="宋体" w:hAnsi="宋体" w:eastAsia="宋体"/>
                <w:bCs/>
                <w:color w:val="auto"/>
                <w:kern w:val="0"/>
                <w:sz w:val="24"/>
                <w:highlight w:val="none"/>
                <w:lang w:eastAsia="zh-CN"/>
              </w:rPr>
              <w:t>VPN</w:t>
            </w:r>
            <w:r>
              <w:rPr>
                <w:rFonts w:hint="eastAsia" w:ascii="宋体" w:hAnsi="宋体" w:eastAsia="宋体"/>
                <w:bCs/>
                <w:color w:val="auto"/>
                <w:kern w:val="0"/>
                <w:sz w:val="24"/>
                <w:highlight w:val="none"/>
              </w:rPr>
              <w:t>综合安全网关</w:t>
            </w:r>
          </w:p>
        </w:tc>
        <w:tc>
          <w:tcPr>
            <w:tcW w:w="6388" w:type="dxa"/>
            <w:gridSpan w:val="2"/>
            <w:tcBorders>
              <w:top w:val="nil"/>
              <w:left w:val="nil"/>
              <w:bottom w:val="single" w:color="auto" w:sz="4" w:space="0"/>
              <w:right w:val="single" w:color="auto" w:sz="4" w:space="0"/>
            </w:tcBorders>
            <w:vAlign w:val="center"/>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1、作为国密VPN通道设备，起IPSEC 或者SSL VPN功能；</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2、作为国密SSL代理网关，实现管理终端到云管服务端之间建立国密HTTPS加密传输通道。</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3、硬件架构：配置冗余可插拔电源模块，冗余可插拔风扇模块；</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4、硬件性能：吞吐量≥4Gbps，接口规格：千兆电口≥4个，万兆光口≥2个（含多模光模块）</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5、支持IPsec VPN智能选路，根据隧道质量调度流量；</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6、可针对HTTP/HTTPS的安全策略来专门为Web应用提供保护。对来自Web应用程序客户端的各类请求进行内容检测和验证，确保其安全性与合法性，对非法的请求予以实时阻断，从而对各类网站进行有效防护；</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7、支持国密SM1/2/3/4算法；</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8、提供商用密码认证证书；</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9、</w:t>
            </w:r>
            <w:r>
              <w:rPr>
                <w:rFonts w:hint="eastAsia" w:ascii="宋体" w:hAnsi="宋体" w:eastAsia="宋体"/>
                <w:color w:val="auto"/>
                <w:sz w:val="24"/>
                <w:highlight w:val="none"/>
                <w:lang w:eastAsia="zh-CN"/>
              </w:rPr>
              <w:t>▲</w:t>
            </w:r>
            <w:r>
              <w:rPr>
                <w:rFonts w:hint="eastAsia" w:ascii="宋体" w:hAnsi="宋体" w:eastAsia="宋体"/>
                <w:bCs/>
                <w:color w:val="auto"/>
                <w:kern w:val="0"/>
                <w:sz w:val="24"/>
                <w:highlight w:val="none"/>
                <w:lang w:eastAsia="zh-CN"/>
              </w:rPr>
              <w:t>提供3年硬件原厂维保，需提供原厂售后服务承诺函并加盖公章</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0"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8</w:t>
            </w:r>
            <w:r>
              <w:rPr>
                <w:rFonts w:ascii="宋体" w:hAnsi="宋体" w:eastAsia="宋体"/>
                <w:bCs/>
                <w:color w:val="auto"/>
                <w:kern w:val="0"/>
                <w:sz w:val="24"/>
                <w:highlight w:val="none"/>
                <w:lang w:eastAsia="zh-CN"/>
              </w:rPr>
              <w:t>3</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rPr>
            </w:pPr>
            <w:r>
              <w:rPr>
                <w:rFonts w:hint="eastAsia" w:ascii="宋体" w:hAnsi="宋体" w:eastAsia="宋体"/>
                <w:bCs/>
                <w:color w:val="auto"/>
                <w:kern w:val="0"/>
                <w:sz w:val="24"/>
                <w:highlight w:val="none"/>
              </w:rPr>
              <w:t>智能密码钥匙</w:t>
            </w:r>
          </w:p>
        </w:tc>
        <w:tc>
          <w:tcPr>
            <w:tcW w:w="6388" w:type="dxa"/>
            <w:gridSpan w:val="2"/>
            <w:tcBorders>
              <w:top w:val="nil"/>
              <w:left w:val="nil"/>
              <w:bottom w:val="single" w:color="auto" w:sz="4" w:space="0"/>
              <w:right w:val="single" w:color="auto" w:sz="4" w:space="0"/>
            </w:tcBorders>
            <w:vAlign w:val="center"/>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1.符合规范《GM/T 0027-2014《密码钥匙技术规范》、GM/T 0028《密码模块安全技术要求》，具有国家密码管理局颁发的商用密码产品认证证书</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2.使用的核心芯片具备国家密码管理局颁发的商用密码产品认证证书</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3.SM1加解密速度 20Mbps以上</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06" w:type="dxa"/>
            <w:vAlign w:val="center"/>
          </w:tcPr>
          <w:p>
            <w:pPr>
              <w:pStyle w:val="201"/>
              <w:spacing w:before="6"/>
              <w:ind w:left="105" w:leftChars="50"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8</w:t>
            </w:r>
            <w:r>
              <w:rPr>
                <w:rFonts w:ascii="宋体" w:hAnsi="宋体" w:eastAsia="宋体"/>
                <w:bCs/>
                <w:color w:val="auto"/>
                <w:kern w:val="0"/>
                <w:sz w:val="24"/>
                <w:highlight w:val="none"/>
                <w:lang w:eastAsia="zh-CN"/>
              </w:rPr>
              <w:t>4</w:t>
            </w:r>
          </w:p>
        </w:tc>
        <w:tc>
          <w:tcPr>
            <w:tcW w:w="1432" w:type="dxa"/>
            <w:gridSpan w:val="2"/>
            <w:tcBorders>
              <w:top w:val="nil"/>
              <w:left w:val="single" w:color="auto" w:sz="4" w:space="0"/>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rPr>
            </w:pPr>
            <w:r>
              <w:rPr>
                <w:rFonts w:hint="eastAsia" w:ascii="宋体" w:hAnsi="宋体" w:eastAsia="宋体"/>
                <w:bCs/>
                <w:color w:val="auto"/>
                <w:kern w:val="0"/>
                <w:sz w:val="24"/>
                <w:highlight w:val="none"/>
              </w:rPr>
              <w:t>浏览器密码模块</w:t>
            </w:r>
          </w:p>
        </w:tc>
        <w:tc>
          <w:tcPr>
            <w:tcW w:w="6388" w:type="dxa"/>
            <w:gridSpan w:val="2"/>
            <w:tcBorders>
              <w:top w:val="nil"/>
              <w:left w:val="nil"/>
              <w:bottom w:val="single" w:color="auto" w:sz="4" w:space="0"/>
              <w:right w:val="single" w:color="auto" w:sz="4" w:space="0"/>
            </w:tcBorders>
            <w:vAlign w:val="center"/>
          </w:tcPr>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1</w:t>
            </w:r>
            <w:r>
              <w:rPr>
                <w:rFonts w:ascii="宋体" w:hAnsi="宋体" w:eastAsia="宋体"/>
                <w:bCs/>
                <w:color w:val="auto"/>
                <w:kern w:val="0"/>
                <w:sz w:val="24"/>
                <w:highlight w:val="none"/>
                <w:lang w:eastAsia="zh-CN"/>
              </w:rPr>
              <w:t>.</w:t>
            </w:r>
            <w:r>
              <w:rPr>
                <w:rFonts w:hint="eastAsia" w:ascii="宋体" w:hAnsi="宋体" w:eastAsia="宋体"/>
                <w:bCs/>
                <w:color w:val="auto"/>
                <w:kern w:val="0"/>
                <w:sz w:val="24"/>
                <w:highlight w:val="none"/>
                <w:lang w:eastAsia="zh-CN"/>
              </w:rPr>
              <w:t xml:space="preserve">双算法支持，同时支持国密算法和国际通用算法。 </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 xml:space="preserve">对称算法支持 SM4、3DES、AES。 </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 xml:space="preserve">非对称算法支持 SM2、RSA（1024、2048、4096）、ECC。 </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 xml:space="preserve">杂凑密码算法支持 SM3、SHA_1、SHA_256、SHA_512。 </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w:t>
            </w:r>
            <w:r>
              <w:rPr>
                <w:rFonts w:ascii="宋体" w:hAnsi="宋体" w:eastAsia="宋体"/>
                <w:bCs/>
                <w:color w:val="auto"/>
                <w:kern w:val="0"/>
                <w:sz w:val="24"/>
                <w:highlight w:val="none"/>
                <w:lang w:eastAsia="zh-CN"/>
              </w:rPr>
              <w:t>.</w:t>
            </w:r>
            <w:r>
              <w:rPr>
                <w:rFonts w:hint="eastAsia" w:ascii="宋体" w:hAnsi="宋体" w:eastAsia="宋体"/>
                <w:bCs/>
                <w:color w:val="auto"/>
                <w:kern w:val="0"/>
                <w:sz w:val="24"/>
                <w:highlight w:val="none"/>
                <w:lang w:eastAsia="zh-CN"/>
              </w:rPr>
              <w:t xml:space="preserve">支持 SSL 链接，浏览器支持 SSL，TLS，可支持配置国密/国际算法。 </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 xml:space="preserve">3.支持 SSL 单项及双向链接，与 Web 服务器之间建立安全通道，保证 Web 网页访问的安全性。 </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4.支持基于 SM2算法 、RSA算法的数字证书、数字证书撤销列表（CRL）。</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 xml:space="preserve">5.支持 NPAPI、PPAPI 控件。 </w:t>
            </w:r>
          </w:p>
          <w:p>
            <w:pPr>
              <w:pStyle w:val="201"/>
              <w:widowControl/>
              <w:autoSpaceDE/>
              <w:autoSpaceDN/>
              <w:spacing w:before="6" w:line="360" w:lineRule="auto"/>
              <w:ind w:right="105" w:rightChars="50"/>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 xml:space="preserve">6.支持通过国密 SKF 接口访问硬件数字证书。 </w:t>
            </w:r>
          </w:p>
        </w:tc>
        <w:tc>
          <w:tcPr>
            <w:tcW w:w="939" w:type="dxa"/>
            <w:gridSpan w:val="2"/>
            <w:tcBorders>
              <w:top w:val="nil"/>
              <w:left w:val="nil"/>
              <w:bottom w:val="single" w:color="auto" w:sz="4" w:space="0"/>
              <w:right w:val="single" w:color="auto" w:sz="4" w:space="0"/>
            </w:tcBorders>
            <w:vAlign w:val="center"/>
          </w:tcPr>
          <w:p>
            <w:pPr>
              <w:pStyle w:val="201"/>
              <w:widowControl/>
              <w:autoSpaceDE/>
              <w:autoSpaceDN/>
              <w:spacing w:before="6"/>
              <w:ind w:right="105" w:rightChars="50"/>
              <w:jc w:val="center"/>
              <w:rPr>
                <w:rFonts w:ascii="宋体" w:hAnsi="宋体" w:eastAsia="宋体"/>
                <w:bCs/>
                <w:color w:val="auto"/>
                <w:kern w:val="0"/>
                <w:sz w:val="24"/>
                <w:highlight w:val="none"/>
                <w:lang w:eastAsia="zh-CN"/>
              </w:rPr>
            </w:pPr>
            <w:r>
              <w:rPr>
                <w:rFonts w:hint="eastAsia" w:ascii="宋体" w:hAnsi="宋体" w:eastAsia="宋体"/>
                <w:bCs/>
                <w:color w:val="auto"/>
                <w:kern w:val="0"/>
                <w:sz w:val="24"/>
                <w:highlight w:val="none"/>
                <w:lang w:eastAsia="zh-CN"/>
              </w:rPr>
              <w:t>20</w:t>
            </w:r>
          </w:p>
        </w:tc>
      </w:tr>
    </w:tbl>
    <w:p>
      <w:pPr>
        <w:pStyle w:val="8"/>
        <w:ind w:firstLine="0" w:firstLineChars="0"/>
        <w:jc w:val="center"/>
        <w:rPr>
          <w:rFonts w:hint="eastAsia" w:ascii="微软雅黑" w:hAnsi="微软雅黑" w:eastAsia="微软雅黑" w:cs="微软雅黑"/>
          <w:b/>
          <w:bCs/>
          <w:color w:val="auto"/>
          <w:sz w:val="24"/>
          <w:szCs w:val="24"/>
          <w:highlight w:val="none"/>
          <w:lang w:val="en-US" w:eastAsia="zh-CN"/>
        </w:rPr>
      </w:pPr>
      <w:r>
        <w:rPr>
          <w:rFonts w:hint="eastAsia" w:ascii="微软雅黑" w:hAnsi="微软雅黑" w:eastAsia="微软雅黑" w:cs="微软雅黑"/>
          <w:b/>
          <w:bCs/>
          <w:color w:val="auto"/>
          <w:sz w:val="24"/>
          <w:szCs w:val="24"/>
          <w:highlight w:val="none"/>
          <w:lang w:val="en-US" w:eastAsia="zh-CN"/>
        </w:rPr>
        <w:t>备注：1.以上硬件产品须为国产。</w:t>
      </w:r>
    </w:p>
    <w:p>
      <w:pPr>
        <w:pStyle w:val="8"/>
        <w:ind w:firstLine="0" w:firstLineChars="0"/>
        <w:jc w:val="center"/>
        <w:rPr>
          <w:rStyle w:val="51"/>
          <w:rFonts w:hint="default"/>
          <w:b/>
          <w:bCs/>
          <w:color w:val="auto"/>
          <w:sz w:val="22"/>
          <w:szCs w:val="22"/>
          <w:highlight w:val="none"/>
          <w:lang w:val="en-US" w:eastAsia="zh-CN"/>
        </w:rPr>
      </w:pPr>
      <w:r>
        <w:rPr>
          <w:rFonts w:hint="eastAsia" w:ascii="微软雅黑" w:hAnsi="微软雅黑" w:eastAsia="微软雅黑" w:cs="微软雅黑"/>
          <w:b/>
          <w:bCs/>
          <w:color w:val="auto"/>
          <w:sz w:val="24"/>
          <w:szCs w:val="24"/>
          <w:highlight w:val="none"/>
          <w:lang w:val="en-US" w:eastAsia="zh-CN"/>
        </w:rPr>
        <w:t>2.所有升级扩容类产品需与原有系统兼容使用</w:t>
      </w:r>
    </w:p>
    <w:p>
      <w:pPr>
        <w:pStyle w:val="8"/>
        <w:ind w:firstLine="0" w:firstLineChars="0"/>
        <w:jc w:val="center"/>
        <w:rPr>
          <w:rStyle w:val="51"/>
          <w:rFonts w:hint="default"/>
          <w:b/>
          <w:bCs/>
          <w:color w:val="auto"/>
          <w:sz w:val="22"/>
          <w:szCs w:val="22"/>
          <w:highlight w:val="none"/>
          <w:lang w:val="en-US" w:eastAsia="zh-CN"/>
        </w:rPr>
      </w:pPr>
    </w:p>
    <w:p>
      <w:pPr>
        <w:pStyle w:val="3"/>
        <w:numPr>
          <w:ilvl w:val="0"/>
          <w:numId w:val="8"/>
        </w:numPr>
        <w:autoSpaceDE/>
        <w:autoSpaceDN/>
        <w:adjustRightInd/>
        <w:spacing w:before="340" w:after="330" w:line="578" w:lineRule="auto"/>
        <w:jc w:val="both"/>
        <w:rPr>
          <w:rFonts w:hAnsi="宋体"/>
          <w:color w:val="auto"/>
          <w:sz w:val="24"/>
          <w:szCs w:val="24"/>
          <w:highlight w:val="none"/>
        </w:rPr>
      </w:pPr>
      <w:bookmarkStart w:id="1027" w:name="_Toc138439938"/>
      <w:bookmarkStart w:id="1028" w:name="_Toc359905688"/>
      <w:bookmarkStart w:id="1029" w:name="_Toc24194"/>
      <w:r>
        <w:rPr>
          <w:rFonts w:hAnsi="宋体"/>
          <w:color w:val="auto"/>
          <w:sz w:val="24"/>
          <w:szCs w:val="24"/>
          <w:highlight w:val="none"/>
        </w:rPr>
        <w:t>系统集成</w:t>
      </w:r>
      <w:r>
        <w:rPr>
          <w:rFonts w:hint="eastAsia" w:hAnsi="宋体"/>
          <w:color w:val="auto"/>
          <w:sz w:val="24"/>
          <w:szCs w:val="24"/>
          <w:highlight w:val="none"/>
        </w:rPr>
        <w:t>服务</w:t>
      </w:r>
      <w:bookmarkEnd w:id="1027"/>
      <w:bookmarkEnd w:id="1028"/>
      <w:bookmarkEnd w:id="1029"/>
    </w:p>
    <w:p>
      <w:pPr>
        <w:pStyle w:val="8"/>
        <w:ind w:firstLine="480"/>
        <w:rPr>
          <w:color w:val="auto"/>
          <w:highlight w:val="none"/>
        </w:rPr>
      </w:pPr>
      <w:r>
        <w:rPr>
          <w:rFonts w:hint="eastAsia"/>
          <w:color w:val="auto"/>
          <w:highlight w:val="none"/>
        </w:rPr>
        <w:t>对所投产品提供系统集成服务，含各业务系统、网络、安全、服务器、存储、虚拟化、操作系统、数据库等。</w:t>
      </w:r>
    </w:p>
    <w:p>
      <w:pPr>
        <w:pStyle w:val="3"/>
        <w:numPr>
          <w:ilvl w:val="0"/>
          <w:numId w:val="8"/>
        </w:numPr>
        <w:autoSpaceDE/>
        <w:autoSpaceDN/>
        <w:adjustRightInd/>
        <w:spacing w:before="340" w:after="330" w:line="578" w:lineRule="auto"/>
        <w:jc w:val="both"/>
        <w:rPr>
          <w:rFonts w:hAnsi="宋体"/>
          <w:color w:val="auto"/>
          <w:sz w:val="24"/>
          <w:szCs w:val="24"/>
          <w:highlight w:val="none"/>
        </w:rPr>
      </w:pPr>
      <w:bookmarkStart w:id="1030" w:name="_Toc1620948264"/>
      <w:bookmarkStart w:id="1031" w:name="_Toc31079"/>
      <w:r>
        <w:rPr>
          <w:rFonts w:hint="eastAsia" w:hAnsi="宋体"/>
          <w:color w:val="auto"/>
          <w:sz w:val="24"/>
          <w:szCs w:val="24"/>
          <w:highlight w:val="none"/>
        </w:rPr>
        <w:t>系统技术及规范要求</w:t>
      </w:r>
      <w:bookmarkEnd w:id="1022"/>
      <w:bookmarkEnd w:id="1030"/>
      <w:bookmarkEnd w:id="1031"/>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rPr>
        <w:t>本项目设计须采用当今业界先进成熟的技术架构和路线，如SOA架构、三层或多层架构、B/S架构、云计算架构、数据服务总线ESB、Java技术体系技术等，采用国家和卫生健康委相关标准及HL7、IHE、ICD10、CDA等国际标准，以保障系统及其运行平台的先进性、高效性、可靠性、扩展性、互联互通性和可持续性。</w:t>
      </w:r>
    </w:p>
    <w:p>
      <w:pPr>
        <w:pStyle w:val="4"/>
        <w:keepNext w:val="0"/>
        <w:keepLines w:val="0"/>
        <w:numPr>
          <w:ilvl w:val="1"/>
          <w:numId w:val="8"/>
        </w:numPr>
        <w:tabs>
          <w:tab w:val="left" w:pos="720"/>
        </w:tabs>
        <w:autoSpaceDE/>
        <w:autoSpaceDN/>
        <w:adjustRightInd/>
        <w:spacing w:before="0" w:line="240" w:lineRule="auto"/>
        <w:jc w:val="both"/>
        <w:outlineLvl w:val="2"/>
        <w:rPr>
          <w:rFonts w:ascii="宋体" w:hAnsi="宋体"/>
          <w:color w:val="auto"/>
          <w:sz w:val="24"/>
          <w:highlight w:val="none"/>
        </w:rPr>
      </w:pPr>
      <w:bookmarkStart w:id="1032" w:name="_Toc299927206"/>
      <w:bookmarkStart w:id="1033" w:name="_Toc15822"/>
      <w:bookmarkStart w:id="1034" w:name="_Toc138247847"/>
      <w:r>
        <w:rPr>
          <w:rFonts w:hint="eastAsia" w:ascii="宋体" w:hAnsi="宋体"/>
          <w:color w:val="auto"/>
          <w:sz w:val="24"/>
          <w:highlight w:val="none"/>
        </w:rPr>
        <w:t>HIS架构与技术要求</w:t>
      </w:r>
      <w:bookmarkEnd w:id="1032"/>
      <w:bookmarkEnd w:id="1033"/>
      <w:bookmarkEnd w:id="1034"/>
    </w:p>
    <w:p>
      <w:pPr>
        <w:pStyle w:val="5"/>
        <w:numPr>
          <w:ilvl w:val="2"/>
          <w:numId w:val="8"/>
        </w:numPr>
        <w:autoSpaceDE/>
        <w:autoSpaceDN/>
        <w:adjustRightInd/>
        <w:spacing w:before="260" w:after="260" w:line="416" w:lineRule="auto"/>
        <w:jc w:val="both"/>
        <w:rPr>
          <w:rFonts w:hAnsi="宋体"/>
          <w:color w:val="auto"/>
          <w:szCs w:val="24"/>
          <w:highlight w:val="none"/>
        </w:rPr>
      </w:pPr>
      <w:bookmarkStart w:id="1035" w:name="_Toc732431733"/>
      <w:bookmarkStart w:id="1036" w:name="_Toc29828"/>
      <w:bookmarkStart w:id="1037" w:name="_Toc138247848"/>
      <w:r>
        <w:rPr>
          <w:rFonts w:hint="eastAsia" w:hAnsi="宋体"/>
          <w:color w:val="auto"/>
          <w:szCs w:val="24"/>
          <w:highlight w:val="none"/>
        </w:rPr>
        <w:t>技术要求</w:t>
      </w:r>
      <w:bookmarkEnd w:id="1035"/>
      <w:bookmarkEnd w:id="1036"/>
      <w:bookmarkEnd w:id="1037"/>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rPr>
        <w:t>系统应秉承轻前端、重后端、应用APP化，业务组件化，按需搭建应用的设计理念，在此理念的前提下，满足新一代移动互联网应用技术架构，实现私有云、公有云、混合云多种环境支持。能够基于自有的统一平台开发定义业务应用，支持Unix、Linux 、Windows Server操作系统，支持C/C（Client/Cloud）、C/S/S、B/S/S的体系结构，所有应用可以统一连接企业、医疗机构互联网服务平台、移动端、PC端,充分开放产品、平台接口。</w:t>
      </w:r>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rPr>
        <w:t>数据库：业务数据库应支持主流ORACLE、SQLSERVER、DB2数据库。</w:t>
      </w:r>
    </w:p>
    <w:p>
      <w:pPr>
        <w:pStyle w:val="5"/>
        <w:numPr>
          <w:ilvl w:val="2"/>
          <w:numId w:val="8"/>
        </w:numPr>
        <w:autoSpaceDE/>
        <w:autoSpaceDN/>
        <w:adjustRightInd/>
        <w:spacing w:before="260" w:after="260" w:line="416" w:lineRule="auto"/>
        <w:jc w:val="both"/>
        <w:rPr>
          <w:rFonts w:hAnsi="宋体"/>
          <w:color w:val="auto"/>
          <w:szCs w:val="24"/>
          <w:highlight w:val="none"/>
        </w:rPr>
      </w:pPr>
      <w:bookmarkStart w:id="1038" w:name="_Toc603871927"/>
      <w:bookmarkStart w:id="1039" w:name="_Toc15121"/>
      <w:bookmarkStart w:id="1040" w:name="_Toc138247849"/>
      <w:r>
        <w:rPr>
          <w:rFonts w:hint="eastAsia" w:hAnsi="宋体"/>
          <w:color w:val="auto"/>
          <w:szCs w:val="24"/>
          <w:highlight w:val="none"/>
        </w:rPr>
        <w:t>一体化要求</w:t>
      </w:r>
      <w:bookmarkEnd w:id="1038"/>
      <w:bookmarkEnd w:id="1039"/>
      <w:bookmarkEnd w:id="1040"/>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rPr>
        <w:t>系统要求一体化，即业务一体，不是技术一体，要求医疗一体化，前后（医疗业务，后勤）一体化，医卫一体化。</w:t>
      </w:r>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rPr>
        <w:t>系统基于组件设计，可自由搭建个性化工作台，真正实现业务一体化。</w:t>
      </w:r>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rPr>
        <w:t>系统提供自绘控件库，不受限于第三方控件库的UI局限。</w:t>
      </w:r>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rPr>
        <w:t>系统支持插件技术，内置基于元数据的自主表单设计器，具备快速客户化能力及热插拔部署以满足医院需求。</w:t>
      </w:r>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rPr>
        <w:t>系统需满足集团化医院（管理）、医联体（转诊，协同医疗）的需求。</w:t>
      </w:r>
    </w:p>
    <w:p>
      <w:pPr>
        <w:pStyle w:val="4"/>
        <w:keepNext w:val="0"/>
        <w:keepLines w:val="0"/>
        <w:numPr>
          <w:ilvl w:val="1"/>
          <w:numId w:val="8"/>
        </w:numPr>
        <w:tabs>
          <w:tab w:val="left" w:pos="720"/>
        </w:tabs>
        <w:autoSpaceDE/>
        <w:autoSpaceDN/>
        <w:adjustRightInd/>
        <w:spacing w:before="0" w:line="240" w:lineRule="auto"/>
        <w:jc w:val="both"/>
        <w:outlineLvl w:val="2"/>
        <w:rPr>
          <w:rFonts w:ascii="宋体" w:hAnsi="宋体"/>
          <w:color w:val="auto"/>
          <w:sz w:val="24"/>
          <w:highlight w:val="none"/>
        </w:rPr>
      </w:pPr>
      <w:bookmarkStart w:id="1041" w:name="_Toc1036"/>
      <w:bookmarkStart w:id="1042" w:name="_Toc267761367"/>
      <w:bookmarkStart w:id="1043" w:name="_Toc138247850"/>
      <w:r>
        <w:rPr>
          <w:rFonts w:hint="eastAsia" w:ascii="宋体" w:hAnsi="宋体"/>
          <w:color w:val="auto"/>
          <w:sz w:val="24"/>
          <w:highlight w:val="none"/>
        </w:rPr>
        <w:t>集成平台架构及技术要求</w:t>
      </w:r>
      <w:bookmarkEnd w:id="1041"/>
      <w:bookmarkEnd w:id="1042"/>
      <w:bookmarkEnd w:id="1043"/>
    </w:p>
    <w:p>
      <w:pPr>
        <w:pStyle w:val="5"/>
        <w:numPr>
          <w:ilvl w:val="2"/>
          <w:numId w:val="8"/>
        </w:numPr>
        <w:autoSpaceDE/>
        <w:autoSpaceDN/>
        <w:adjustRightInd/>
        <w:spacing w:before="260" w:after="260" w:line="416" w:lineRule="auto"/>
        <w:jc w:val="both"/>
        <w:rPr>
          <w:rFonts w:hAnsi="宋体"/>
          <w:color w:val="auto"/>
          <w:szCs w:val="24"/>
          <w:highlight w:val="none"/>
        </w:rPr>
      </w:pPr>
      <w:bookmarkStart w:id="1044" w:name="_Toc32038"/>
      <w:bookmarkStart w:id="1045" w:name="_Toc1287054704"/>
      <w:bookmarkStart w:id="1046" w:name="_Toc138247851"/>
      <w:r>
        <w:rPr>
          <w:rFonts w:hint="eastAsia" w:hAnsi="宋体"/>
          <w:color w:val="auto"/>
          <w:szCs w:val="24"/>
          <w:highlight w:val="none"/>
        </w:rPr>
        <w:t>数据交换服务总线要求</w:t>
      </w:r>
      <w:bookmarkEnd w:id="1044"/>
      <w:bookmarkEnd w:id="1045"/>
      <w:bookmarkEnd w:id="1046"/>
    </w:p>
    <w:p>
      <w:pPr>
        <w:pStyle w:val="8"/>
        <w:spacing w:line="360" w:lineRule="auto"/>
        <w:ind w:firstLine="480"/>
        <w:rPr>
          <w:rFonts w:ascii="宋体" w:hAnsi="宋体"/>
          <w:color w:val="auto"/>
          <w:szCs w:val="24"/>
          <w:highlight w:val="none"/>
        </w:rPr>
      </w:pPr>
      <w:r>
        <w:rPr>
          <w:rFonts w:ascii="宋体" w:hAnsi="宋体"/>
          <w:color w:val="auto"/>
          <w:szCs w:val="24"/>
          <w:highlight w:val="none"/>
        </w:rPr>
        <w:t>1</w:t>
      </w:r>
      <w:r>
        <w:rPr>
          <w:rFonts w:hint="eastAsia" w:ascii="宋体" w:hAnsi="宋体"/>
          <w:color w:val="auto"/>
          <w:szCs w:val="24"/>
          <w:highlight w:val="none"/>
        </w:rPr>
        <w:t>、遵循</w:t>
      </w:r>
      <w:r>
        <w:rPr>
          <w:rFonts w:ascii="宋体" w:hAnsi="宋体"/>
          <w:color w:val="auto"/>
          <w:szCs w:val="24"/>
          <w:highlight w:val="none"/>
        </w:rPr>
        <w:t>SOA</w:t>
      </w:r>
      <w:r>
        <w:rPr>
          <w:rFonts w:hint="eastAsia" w:ascii="宋体" w:hAnsi="宋体"/>
          <w:color w:val="auto"/>
          <w:szCs w:val="24"/>
          <w:highlight w:val="none"/>
        </w:rPr>
        <w:t>设计原则和技术标准，能够构建标准的企业服务总线平台，提供松耦合模式，将业务逻辑和应用逻辑、数据逻辑等分离开，提供一个满足医院的应用集成和信息调解需求的中间件产品。</w:t>
      </w:r>
    </w:p>
    <w:p>
      <w:pPr>
        <w:pStyle w:val="8"/>
        <w:spacing w:line="360" w:lineRule="auto"/>
        <w:ind w:firstLine="480"/>
        <w:rPr>
          <w:rFonts w:ascii="宋体" w:hAnsi="宋体"/>
          <w:color w:val="auto"/>
          <w:szCs w:val="24"/>
          <w:highlight w:val="none"/>
        </w:rPr>
      </w:pPr>
      <w:r>
        <w:rPr>
          <w:rFonts w:ascii="宋体" w:hAnsi="宋体"/>
          <w:color w:val="auto"/>
          <w:szCs w:val="24"/>
          <w:highlight w:val="none"/>
        </w:rPr>
        <w:t>2</w:t>
      </w:r>
      <w:r>
        <w:rPr>
          <w:rFonts w:hint="eastAsia" w:ascii="宋体" w:hAnsi="宋体"/>
          <w:color w:val="auto"/>
          <w:szCs w:val="24"/>
          <w:highlight w:val="none"/>
        </w:rPr>
        <w:t>、支持最新</w:t>
      </w:r>
      <w:r>
        <w:rPr>
          <w:rFonts w:ascii="宋体" w:hAnsi="宋体"/>
          <w:color w:val="auto"/>
          <w:szCs w:val="24"/>
          <w:highlight w:val="none"/>
        </w:rPr>
        <w:t>Web Services</w:t>
      </w:r>
      <w:r>
        <w:rPr>
          <w:rFonts w:hint="eastAsia" w:ascii="宋体" w:hAnsi="宋体"/>
          <w:color w:val="auto"/>
          <w:szCs w:val="24"/>
          <w:highlight w:val="none"/>
        </w:rPr>
        <w:t>标准，包括</w:t>
      </w:r>
      <w:r>
        <w:rPr>
          <w:rFonts w:ascii="宋体" w:hAnsi="宋体"/>
          <w:color w:val="auto"/>
          <w:szCs w:val="24"/>
          <w:highlight w:val="none"/>
        </w:rPr>
        <w:t>SOAP 1.1/1.2</w:t>
      </w:r>
      <w:r>
        <w:rPr>
          <w:rFonts w:hint="eastAsia" w:ascii="宋体" w:hAnsi="宋体"/>
          <w:color w:val="auto"/>
          <w:szCs w:val="24"/>
          <w:highlight w:val="none"/>
        </w:rPr>
        <w:t>、</w:t>
      </w:r>
      <w:r>
        <w:rPr>
          <w:rFonts w:ascii="宋体" w:hAnsi="宋体"/>
          <w:color w:val="auto"/>
          <w:szCs w:val="24"/>
          <w:highlight w:val="none"/>
        </w:rPr>
        <w:t>WSDL 1.1</w:t>
      </w:r>
      <w:r>
        <w:rPr>
          <w:rFonts w:hint="eastAsia" w:ascii="宋体" w:hAnsi="宋体"/>
          <w:color w:val="auto"/>
          <w:szCs w:val="24"/>
          <w:highlight w:val="none"/>
        </w:rPr>
        <w:t>、</w:t>
      </w:r>
      <w:r>
        <w:rPr>
          <w:rFonts w:ascii="宋体" w:hAnsi="宋体"/>
          <w:color w:val="auto"/>
          <w:szCs w:val="24"/>
          <w:highlight w:val="none"/>
        </w:rPr>
        <w:t>MTOM/XOP</w:t>
      </w:r>
      <w:r>
        <w:rPr>
          <w:rFonts w:hint="eastAsia" w:ascii="宋体" w:hAnsi="宋体"/>
          <w:color w:val="auto"/>
          <w:szCs w:val="24"/>
          <w:highlight w:val="none"/>
        </w:rPr>
        <w:t>、</w:t>
      </w:r>
      <w:r>
        <w:rPr>
          <w:rFonts w:ascii="宋体" w:hAnsi="宋体"/>
          <w:color w:val="auto"/>
          <w:szCs w:val="24"/>
          <w:highlight w:val="none"/>
        </w:rPr>
        <w:t>WS-I Basic Profile 1.1</w:t>
      </w:r>
      <w:r>
        <w:rPr>
          <w:rFonts w:hint="eastAsia" w:ascii="宋体" w:hAnsi="宋体"/>
          <w:color w:val="auto"/>
          <w:szCs w:val="24"/>
          <w:highlight w:val="none"/>
        </w:rPr>
        <w:t>等，支持</w:t>
      </w:r>
      <w:r>
        <w:rPr>
          <w:rFonts w:ascii="宋体" w:hAnsi="宋体"/>
          <w:color w:val="auto"/>
          <w:szCs w:val="24"/>
          <w:highlight w:val="none"/>
        </w:rPr>
        <w:t>Web Services</w:t>
      </w:r>
      <w:r>
        <w:rPr>
          <w:rFonts w:hint="eastAsia" w:ascii="宋体" w:hAnsi="宋体"/>
          <w:color w:val="auto"/>
          <w:szCs w:val="24"/>
          <w:highlight w:val="none"/>
        </w:rPr>
        <w:t>自有的安全性</w:t>
      </w:r>
      <w:r>
        <w:rPr>
          <w:rFonts w:ascii="宋体" w:hAnsi="宋体"/>
          <w:color w:val="auto"/>
          <w:szCs w:val="24"/>
          <w:highlight w:val="none"/>
        </w:rPr>
        <w:t>WS-Security</w:t>
      </w:r>
      <w:r>
        <w:rPr>
          <w:rFonts w:hint="eastAsia" w:ascii="宋体" w:hAnsi="宋体"/>
          <w:color w:val="auto"/>
          <w:szCs w:val="24"/>
          <w:highlight w:val="none"/>
        </w:rPr>
        <w:t>和寻址功能</w:t>
      </w:r>
      <w:r>
        <w:rPr>
          <w:rFonts w:ascii="宋体" w:hAnsi="宋体"/>
          <w:color w:val="auto"/>
          <w:szCs w:val="24"/>
          <w:highlight w:val="none"/>
        </w:rPr>
        <w:t>WS-Addressing</w:t>
      </w:r>
      <w:r>
        <w:rPr>
          <w:rFonts w:hint="eastAsia" w:ascii="宋体" w:hAnsi="宋体"/>
          <w:color w:val="auto"/>
          <w:szCs w:val="24"/>
          <w:highlight w:val="none"/>
        </w:rPr>
        <w:t>，可以实现</w:t>
      </w:r>
      <w:r>
        <w:rPr>
          <w:rFonts w:ascii="宋体" w:hAnsi="宋体"/>
          <w:color w:val="auto"/>
          <w:szCs w:val="24"/>
          <w:highlight w:val="none"/>
        </w:rPr>
        <w:t xml:space="preserve">Web Services </w:t>
      </w:r>
      <w:r>
        <w:rPr>
          <w:rFonts w:hint="eastAsia" w:ascii="宋体" w:hAnsi="宋体"/>
          <w:color w:val="auto"/>
          <w:szCs w:val="24"/>
          <w:highlight w:val="none"/>
        </w:rPr>
        <w:t>同步和异步不同形式的调用。</w:t>
      </w:r>
    </w:p>
    <w:p>
      <w:pPr>
        <w:pStyle w:val="8"/>
        <w:spacing w:line="360" w:lineRule="auto"/>
        <w:ind w:firstLine="480"/>
        <w:rPr>
          <w:rFonts w:ascii="宋体" w:hAnsi="宋体"/>
          <w:color w:val="auto"/>
          <w:szCs w:val="24"/>
          <w:highlight w:val="none"/>
        </w:rPr>
      </w:pPr>
      <w:r>
        <w:rPr>
          <w:rFonts w:ascii="宋体" w:hAnsi="宋体"/>
          <w:color w:val="auto"/>
          <w:szCs w:val="24"/>
          <w:highlight w:val="none"/>
        </w:rPr>
        <w:t>3</w:t>
      </w:r>
      <w:r>
        <w:rPr>
          <w:rFonts w:hint="eastAsia" w:ascii="宋体" w:hAnsi="宋体"/>
          <w:color w:val="auto"/>
          <w:szCs w:val="24"/>
          <w:highlight w:val="none"/>
        </w:rPr>
        <w:t>、灵活的消息路由方式，支持基于消息内容的处理和路由；而且还可以执行一系列方式的消息交互，包括了过滤、充实、监视、分发、关联、拆分（一对多）和合成（多对一）等。</w:t>
      </w:r>
    </w:p>
    <w:p>
      <w:pPr>
        <w:pStyle w:val="8"/>
        <w:spacing w:line="360" w:lineRule="auto"/>
        <w:ind w:firstLine="480"/>
        <w:rPr>
          <w:rFonts w:ascii="宋体" w:hAnsi="宋体"/>
          <w:color w:val="auto"/>
          <w:szCs w:val="24"/>
          <w:highlight w:val="none"/>
        </w:rPr>
      </w:pPr>
      <w:r>
        <w:rPr>
          <w:rFonts w:ascii="宋体" w:hAnsi="宋体"/>
          <w:color w:val="auto"/>
          <w:szCs w:val="24"/>
          <w:highlight w:val="none"/>
        </w:rPr>
        <w:t>4</w:t>
      </w:r>
      <w:r>
        <w:rPr>
          <w:rFonts w:hint="eastAsia" w:ascii="宋体" w:hAnsi="宋体"/>
          <w:color w:val="auto"/>
          <w:szCs w:val="24"/>
          <w:highlight w:val="none"/>
        </w:rPr>
        <w:t>、标准</w:t>
      </w:r>
      <w:r>
        <w:rPr>
          <w:rFonts w:ascii="宋体" w:hAnsi="宋体"/>
          <w:color w:val="auto"/>
          <w:szCs w:val="24"/>
          <w:highlight w:val="none"/>
        </w:rPr>
        <w:t>XML</w:t>
      </w:r>
      <w:r>
        <w:rPr>
          <w:rFonts w:hint="eastAsia" w:ascii="宋体" w:hAnsi="宋体"/>
          <w:color w:val="auto"/>
          <w:szCs w:val="24"/>
          <w:highlight w:val="none"/>
        </w:rPr>
        <w:t>数据的格式转换，并且可以通过图形化映射组件、</w:t>
      </w:r>
      <w:r>
        <w:rPr>
          <w:rFonts w:ascii="宋体" w:hAnsi="宋体"/>
          <w:color w:val="auto"/>
          <w:szCs w:val="24"/>
          <w:highlight w:val="none"/>
        </w:rPr>
        <w:t>XSLT</w:t>
      </w:r>
      <w:r>
        <w:rPr>
          <w:rFonts w:hint="eastAsia" w:ascii="宋体" w:hAnsi="宋体"/>
          <w:color w:val="auto"/>
          <w:szCs w:val="24"/>
          <w:highlight w:val="none"/>
        </w:rPr>
        <w:t>、客户化</w:t>
      </w:r>
      <w:r>
        <w:rPr>
          <w:rFonts w:ascii="宋体" w:hAnsi="宋体"/>
          <w:color w:val="auto"/>
          <w:szCs w:val="24"/>
          <w:highlight w:val="none"/>
        </w:rPr>
        <w:t>Java</w:t>
      </w:r>
      <w:r>
        <w:rPr>
          <w:rFonts w:hint="eastAsia" w:ascii="宋体" w:hAnsi="宋体"/>
          <w:color w:val="auto"/>
          <w:szCs w:val="24"/>
          <w:highlight w:val="none"/>
        </w:rPr>
        <w:t>程序、</w:t>
      </w:r>
      <w:r>
        <w:rPr>
          <w:rFonts w:ascii="宋体" w:hAnsi="宋体"/>
          <w:color w:val="auto"/>
          <w:szCs w:val="24"/>
          <w:highlight w:val="none"/>
        </w:rPr>
        <w:t>ESQL</w:t>
      </w:r>
      <w:r>
        <w:rPr>
          <w:rFonts w:hint="eastAsia" w:ascii="宋体" w:hAnsi="宋体"/>
          <w:color w:val="auto"/>
          <w:szCs w:val="24"/>
          <w:highlight w:val="none"/>
        </w:rPr>
        <w:t>等多种方式实现转换功能。</w:t>
      </w:r>
    </w:p>
    <w:p>
      <w:pPr>
        <w:pStyle w:val="8"/>
        <w:spacing w:line="360" w:lineRule="auto"/>
        <w:ind w:firstLine="480"/>
        <w:rPr>
          <w:rFonts w:ascii="宋体" w:hAnsi="宋体"/>
          <w:color w:val="auto"/>
          <w:szCs w:val="24"/>
          <w:highlight w:val="none"/>
        </w:rPr>
      </w:pPr>
      <w:r>
        <w:rPr>
          <w:rFonts w:ascii="宋体" w:hAnsi="宋体"/>
          <w:color w:val="auto"/>
          <w:szCs w:val="24"/>
          <w:highlight w:val="none"/>
        </w:rPr>
        <w:t>5</w:t>
      </w:r>
      <w:r>
        <w:rPr>
          <w:rFonts w:hint="eastAsia" w:ascii="宋体" w:hAnsi="宋体"/>
          <w:color w:val="auto"/>
          <w:szCs w:val="24"/>
          <w:highlight w:val="none"/>
        </w:rPr>
        <w:t>、非标准</w:t>
      </w:r>
      <w:r>
        <w:rPr>
          <w:rFonts w:ascii="宋体" w:hAnsi="宋体"/>
          <w:color w:val="auto"/>
          <w:szCs w:val="24"/>
          <w:highlight w:val="none"/>
        </w:rPr>
        <w:t>XML</w:t>
      </w:r>
      <w:r>
        <w:rPr>
          <w:rFonts w:hint="eastAsia" w:ascii="宋体" w:hAnsi="宋体"/>
          <w:color w:val="auto"/>
          <w:szCs w:val="24"/>
          <w:highlight w:val="none"/>
        </w:rPr>
        <w:t>数据的格式转换，实现</w:t>
      </w:r>
      <w:r>
        <w:rPr>
          <w:rFonts w:ascii="宋体" w:hAnsi="宋体"/>
          <w:color w:val="auto"/>
          <w:szCs w:val="24"/>
          <w:highlight w:val="none"/>
        </w:rPr>
        <w:t>XML</w:t>
      </w:r>
      <w:r>
        <w:rPr>
          <w:rFonts w:hint="eastAsia" w:ascii="宋体" w:hAnsi="宋体"/>
          <w:color w:val="auto"/>
          <w:szCs w:val="24"/>
          <w:highlight w:val="none"/>
        </w:rPr>
        <w:t>消息格式和其他数据格式之间的映射，包括了</w:t>
      </w:r>
      <w:r>
        <w:rPr>
          <w:rFonts w:ascii="宋体" w:hAnsi="宋体"/>
          <w:color w:val="auto"/>
          <w:szCs w:val="24"/>
          <w:highlight w:val="none"/>
        </w:rPr>
        <w:t>C Record</w:t>
      </w:r>
      <w:r>
        <w:rPr>
          <w:rFonts w:hint="eastAsia" w:ascii="宋体" w:hAnsi="宋体"/>
          <w:color w:val="auto"/>
          <w:szCs w:val="24"/>
          <w:highlight w:val="none"/>
        </w:rPr>
        <w:t>、</w:t>
      </w:r>
      <w:r>
        <w:rPr>
          <w:rFonts w:ascii="宋体" w:hAnsi="宋体"/>
          <w:color w:val="auto"/>
          <w:szCs w:val="24"/>
          <w:highlight w:val="none"/>
        </w:rPr>
        <w:t>JMS</w:t>
      </w:r>
      <w:r>
        <w:rPr>
          <w:rFonts w:hint="eastAsia" w:ascii="宋体" w:hAnsi="宋体"/>
          <w:color w:val="auto"/>
          <w:szCs w:val="24"/>
          <w:highlight w:val="none"/>
        </w:rPr>
        <w:t>、</w:t>
      </w:r>
      <w:r>
        <w:rPr>
          <w:rFonts w:ascii="宋体" w:hAnsi="宋体"/>
          <w:color w:val="auto"/>
          <w:szCs w:val="24"/>
          <w:highlight w:val="none"/>
        </w:rPr>
        <w:t>TDS</w:t>
      </w:r>
      <w:r>
        <w:rPr>
          <w:rFonts w:hint="eastAsia" w:ascii="宋体" w:hAnsi="宋体"/>
          <w:color w:val="auto"/>
          <w:szCs w:val="24"/>
          <w:highlight w:val="none"/>
        </w:rPr>
        <w:t>分隔符、平文本、行业专有数据格式等多种格式，同时也要支持自定义数据格式。</w:t>
      </w:r>
    </w:p>
    <w:p>
      <w:pPr>
        <w:pStyle w:val="8"/>
        <w:spacing w:line="360" w:lineRule="auto"/>
        <w:ind w:firstLine="480"/>
        <w:rPr>
          <w:rFonts w:ascii="宋体" w:hAnsi="宋体"/>
          <w:color w:val="auto"/>
          <w:szCs w:val="24"/>
          <w:highlight w:val="none"/>
        </w:rPr>
      </w:pPr>
      <w:r>
        <w:rPr>
          <w:rFonts w:ascii="宋体" w:hAnsi="宋体"/>
          <w:color w:val="auto"/>
          <w:szCs w:val="24"/>
          <w:highlight w:val="none"/>
        </w:rPr>
        <w:t>6</w:t>
      </w:r>
      <w:r>
        <w:rPr>
          <w:rFonts w:hint="eastAsia" w:ascii="宋体" w:hAnsi="宋体"/>
          <w:color w:val="auto"/>
          <w:szCs w:val="24"/>
          <w:highlight w:val="none"/>
        </w:rPr>
        <w:t>、提供发布</w:t>
      </w:r>
      <w:r>
        <w:rPr>
          <w:rFonts w:ascii="宋体" w:hAnsi="宋体"/>
          <w:color w:val="auto"/>
          <w:szCs w:val="24"/>
          <w:highlight w:val="none"/>
        </w:rPr>
        <w:t>/</w:t>
      </w:r>
      <w:r>
        <w:rPr>
          <w:rFonts w:hint="eastAsia" w:ascii="宋体" w:hAnsi="宋体"/>
          <w:color w:val="auto"/>
          <w:szCs w:val="24"/>
          <w:highlight w:val="none"/>
        </w:rPr>
        <w:t>订阅功能，支持队列和主题两种订阅模式，主题订阅模式支持树状结构，即支持多级主题模式，支持主题模糊的匹配方式，同时支持跨越多节点的发布订阅能力。</w:t>
      </w:r>
    </w:p>
    <w:p>
      <w:pPr>
        <w:pStyle w:val="8"/>
        <w:spacing w:line="360" w:lineRule="auto"/>
        <w:ind w:firstLine="480"/>
        <w:rPr>
          <w:rFonts w:ascii="宋体" w:hAnsi="宋体"/>
          <w:color w:val="auto"/>
          <w:szCs w:val="24"/>
          <w:highlight w:val="none"/>
        </w:rPr>
      </w:pPr>
      <w:r>
        <w:rPr>
          <w:rFonts w:ascii="宋体" w:hAnsi="宋体"/>
          <w:color w:val="auto"/>
          <w:szCs w:val="24"/>
          <w:highlight w:val="none"/>
        </w:rPr>
        <w:t>7</w:t>
      </w:r>
      <w:r>
        <w:rPr>
          <w:rFonts w:hint="eastAsia" w:ascii="宋体" w:hAnsi="宋体"/>
          <w:color w:val="auto"/>
          <w:szCs w:val="24"/>
          <w:highlight w:val="none"/>
        </w:rPr>
        <w:t>、提供统一的、基于开放接口的工具，实现开发、编译、测试、调试、部署和管理的功能，支持团队的开发和版本控制。</w:t>
      </w:r>
    </w:p>
    <w:p>
      <w:pPr>
        <w:pStyle w:val="8"/>
        <w:spacing w:line="360" w:lineRule="auto"/>
        <w:ind w:firstLine="480"/>
        <w:rPr>
          <w:rFonts w:ascii="宋体" w:hAnsi="宋体"/>
          <w:color w:val="auto"/>
          <w:szCs w:val="24"/>
          <w:highlight w:val="none"/>
        </w:rPr>
      </w:pPr>
      <w:r>
        <w:rPr>
          <w:rFonts w:ascii="宋体" w:hAnsi="宋体"/>
          <w:color w:val="auto"/>
          <w:szCs w:val="24"/>
          <w:highlight w:val="none"/>
        </w:rPr>
        <w:t>8</w:t>
      </w:r>
      <w:r>
        <w:rPr>
          <w:rFonts w:hint="eastAsia" w:ascii="宋体" w:hAnsi="宋体"/>
          <w:color w:val="auto"/>
          <w:szCs w:val="24"/>
          <w:highlight w:val="none"/>
        </w:rPr>
        <w:t>、提供图形化界面开发工具，实现简单和复杂的数据流程设计，提供图形化界面的数据映射和拖拽方式，以及配置功能的开发。</w:t>
      </w:r>
    </w:p>
    <w:p>
      <w:pPr>
        <w:pStyle w:val="8"/>
        <w:spacing w:line="360" w:lineRule="auto"/>
        <w:ind w:firstLine="480"/>
        <w:rPr>
          <w:rFonts w:ascii="宋体" w:hAnsi="宋体"/>
          <w:color w:val="auto"/>
          <w:szCs w:val="24"/>
          <w:highlight w:val="none"/>
        </w:rPr>
      </w:pPr>
      <w:r>
        <w:rPr>
          <w:rFonts w:ascii="宋体" w:hAnsi="宋体"/>
          <w:color w:val="auto"/>
          <w:szCs w:val="24"/>
          <w:highlight w:val="none"/>
        </w:rPr>
        <w:t>9</w:t>
      </w:r>
      <w:r>
        <w:rPr>
          <w:rFonts w:hint="eastAsia" w:ascii="宋体" w:hAnsi="宋体"/>
          <w:color w:val="auto"/>
          <w:szCs w:val="24"/>
          <w:highlight w:val="none"/>
        </w:rPr>
        <w:t>、提供多种内置功能组件和节点，功能涵盖协议接入、路由、转换、监控、例外处理等，同时要支持自定义的处理节点，提供多种编程语言</w:t>
      </w:r>
      <w:r>
        <w:rPr>
          <w:rFonts w:ascii="宋体" w:hAnsi="宋体"/>
          <w:color w:val="auto"/>
          <w:szCs w:val="24"/>
          <w:highlight w:val="none"/>
        </w:rPr>
        <w:t>(C/C++, Java</w:t>
      </w:r>
      <w:r>
        <w:rPr>
          <w:rFonts w:hint="eastAsia" w:ascii="宋体" w:hAnsi="宋体"/>
          <w:color w:val="auto"/>
          <w:szCs w:val="24"/>
          <w:highlight w:val="none"/>
        </w:rPr>
        <w:t>等</w:t>
      </w:r>
      <w:r>
        <w:rPr>
          <w:rFonts w:ascii="宋体" w:hAnsi="宋体"/>
          <w:color w:val="auto"/>
          <w:szCs w:val="24"/>
          <w:highlight w:val="none"/>
        </w:rPr>
        <w:t>)</w:t>
      </w:r>
      <w:r>
        <w:rPr>
          <w:rFonts w:hint="eastAsia" w:ascii="宋体" w:hAnsi="宋体"/>
          <w:color w:val="auto"/>
          <w:szCs w:val="24"/>
          <w:highlight w:val="none"/>
        </w:rPr>
        <w:t>的实现接口。</w:t>
      </w:r>
    </w:p>
    <w:p>
      <w:pPr>
        <w:pStyle w:val="8"/>
        <w:spacing w:line="360" w:lineRule="auto"/>
        <w:ind w:firstLine="480"/>
        <w:rPr>
          <w:rFonts w:ascii="宋体" w:hAnsi="宋体"/>
          <w:color w:val="auto"/>
          <w:szCs w:val="24"/>
          <w:highlight w:val="none"/>
        </w:rPr>
      </w:pPr>
      <w:r>
        <w:rPr>
          <w:rFonts w:ascii="宋体" w:hAnsi="宋体"/>
          <w:color w:val="auto"/>
          <w:szCs w:val="24"/>
          <w:highlight w:val="none"/>
        </w:rPr>
        <w:t>10</w:t>
      </w:r>
      <w:r>
        <w:rPr>
          <w:rFonts w:hint="eastAsia" w:ascii="宋体" w:hAnsi="宋体"/>
          <w:color w:val="auto"/>
          <w:szCs w:val="24"/>
          <w:highlight w:val="none"/>
        </w:rPr>
        <w:t>开发工具支持基于</w:t>
      </w:r>
      <w:r>
        <w:rPr>
          <w:rFonts w:ascii="宋体" w:hAnsi="宋体"/>
          <w:color w:val="auto"/>
          <w:szCs w:val="24"/>
          <w:highlight w:val="none"/>
        </w:rPr>
        <w:t xml:space="preserve"> XML Schema </w:t>
      </w:r>
      <w:r>
        <w:rPr>
          <w:rFonts w:hint="eastAsia" w:ascii="宋体" w:hAnsi="宋体"/>
          <w:color w:val="auto"/>
          <w:szCs w:val="24"/>
          <w:highlight w:val="none"/>
        </w:rPr>
        <w:t>的消息集的定义和描述。全面支持</w:t>
      </w:r>
      <w:r>
        <w:rPr>
          <w:rFonts w:ascii="宋体" w:hAnsi="宋体"/>
          <w:color w:val="auto"/>
          <w:szCs w:val="24"/>
          <w:highlight w:val="none"/>
        </w:rPr>
        <w:t xml:space="preserve"> XML Namespace </w:t>
      </w:r>
      <w:r>
        <w:rPr>
          <w:rFonts w:hint="eastAsia" w:ascii="宋体" w:hAnsi="宋体"/>
          <w:color w:val="auto"/>
          <w:szCs w:val="24"/>
          <w:highlight w:val="none"/>
        </w:rPr>
        <w:t>和</w:t>
      </w:r>
      <w:r>
        <w:rPr>
          <w:rFonts w:ascii="宋体" w:hAnsi="宋体"/>
          <w:color w:val="auto"/>
          <w:szCs w:val="24"/>
          <w:highlight w:val="none"/>
        </w:rPr>
        <w:t xml:space="preserve">XML style sheet </w:t>
      </w:r>
      <w:r>
        <w:rPr>
          <w:rFonts w:hint="eastAsia" w:ascii="宋体" w:hAnsi="宋体"/>
          <w:color w:val="auto"/>
          <w:szCs w:val="24"/>
          <w:highlight w:val="none"/>
        </w:rPr>
        <w:t>转换操作，支持</w:t>
      </w:r>
      <w:r>
        <w:rPr>
          <w:rFonts w:ascii="宋体" w:hAnsi="宋体"/>
          <w:color w:val="auto"/>
          <w:szCs w:val="24"/>
          <w:highlight w:val="none"/>
        </w:rPr>
        <w:t>XPath</w:t>
      </w:r>
      <w:r>
        <w:rPr>
          <w:rFonts w:hint="eastAsia" w:ascii="宋体" w:hAnsi="宋体"/>
          <w:color w:val="auto"/>
          <w:szCs w:val="24"/>
          <w:highlight w:val="none"/>
        </w:rPr>
        <w:t>标准。</w:t>
      </w:r>
    </w:p>
    <w:p>
      <w:pPr>
        <w:pStyle w:val="8"/>
        <w:spacing w:line="360" w:lineRule="auto"/>
        <w:ind w:firstLine="480"/>
        <w:rPr>
          <w:rFonts w:ascii="宋体" w:hAnsi="宋体"/>
          <w:color w:val="auto"/>
          <w:szCs w:val="24"/>
          <w:highlight w:val="none"/>
        </w:rPr>
      </w:pPr>
      <w:r>
        <w:rPr>
          <w:rFonts w:ascii="宋体" w:hAnsi="宋体"/>
          <w:color w:val="auto"/>
          <w:szCs w:val="24"/>
          <w:highlight w:val="none"/>
        </w:rPr>
        <w:t>11</w:t>
      </w:r>
      <w:r>
        <w:rPr>
          <w:rFonts w:hint="eastAsia" w:ascii="宋体" w:hAnsi="宋体"/>
          <w:color w:val="auto"/>
          <w:szCs w:val="24"/>
          <w:highlight w:val="none"/>
        </w:rPr>
        <w:t>、开发工具要提供</w:t>
      </w:r>
      <w:r>
        <w:rPr>
          <w:rFonts w:ascii="宋体" w:hAnsi="宋体"/>
          <w:color w:val="auto"/>
          <w:szCs w:val="24"/>
          <w:highlight w:val="none"/>
        </w:rPr>
        <w:t>XML Schema</w:t>
      </w:r>
      <w:r>
        <w:rPr>
          <w:rFonts w:hint="eastAsia" w:ascii="宋体" w:hAnsi="宋体"/>
          <w:color w:val="auto"/>
          <w:szCs w:val="24"/>
          <w:highlight w:val="none"/>
        </w:rPr>
        <w:t>，</w:t>
      </w:r>
      <w:r>
        <w:rPr>
          <w:rFonts w:ascii="宋体" w:hAnsi="宋体"/>
          <w:color w:val="auto"/>
          <w:szCs w:val="24"/>
          <w:highlight w:val="none"/>
        </w:rPr>
        <w:t>WSDL</w:t>
      </w:r>
      <w:r>
        <w:rPr>
          <w:rFonts w:hint="eastAsia" w:ascii="宋体" w:hAnsi="宋体"/>
          <w:color w:val="auto"/>
          <w:szCs w:val="24"/>
          <w:highlight w:val="none"/>
        </w:rPr>
        <w:t>，</w:t>
      </w:r>
      <w:r>
        <w:rPr>
          <w:rFonts w:ascii="宋体" w:hAnsi="宋体"/>
          <w:color w:val="auto"/>
          <w:szCs w:val="24"/>
          <w:highlight w:val="none"/>
        </w:rPr>
        <w:t>HTML</w:t>
      </w:r>
      <w:r>
        <w:rPr>
          <w:rFonts w:hint="eastAsia" w:ascii="宋体" w:hAnsi="宋体"/>
          <w:color w:val="auto"/>
          <w:szCs w:val="24"/>
          <w:highlight w:val="none"/>
        </w:rPr>
        <w:t>等快速生成引导功能，提供对</w:t>
      </w:r>
      <w:r>
        <w:rPr>
          <w:rFonts w:ascii="宋体" w:hAnsi="宋体"/>
          <w:color w:val="auto"/>
          <w:szCs w:val="24"/>
          <w:highlight w:val="none"/>
        </w:rPr>
        <w:t>Web Services</w:t>
      </w:r>
      <w:r>
        <w:rPr>
          <w:rFonts w:hint="eastAsia" w:ascii="宋体" w:hAnsi="宋体"/>
          <w:color w:val="auto"/>
          <w:szCs w:val="24"/>
          <w:highlight w:val="none"/>
        </w:rPr>
        <w:t>开发和测试功能。</w:t>
      </w:r>
    </w:p>
    <w:p>
      <w:pPr>
        <w:pStyle w:val="8"/>
        <w:spacing w:line="360" w:lineRule="auto"/>
        <w:ind w:firstLine="480"/>
        <w:rPr>
          <w:rFonts w:ascii="宋体" w:hAnsi="宋体"/>
          <w:color w:val="auto"/>
          <w:szCs w:val="24"/>
          <w:highlight w:val="none"/>
        </w:rPr>
      </w:pPr>
      <w:r>
        <w:rPr>
          <w:rFonts w:ascii="宋体" w:hAnsi="宋体"/>
          <w:color w:val="auto"/>
          <w:szCs w:val="24"/>
          <w:highlight w:val="none"/>
        </w:rPr>
        <w:t>12</w:t>
      </w:r>
      <w:r>
        <w:rPr>
          <w:rFonts w:hint="eastAsia" w:ascii="宋体" w:hAnsi="宋体"/>
          <w:color w:val="auto"/>
          <w:szCs w:val="24"/>
          <w:highlight w:val="none"/>
        </w:rPr>
        <w:t>、开发工具提供对各种开放标准的应用数据接口的支持，包括</w:t>
      </w:r>
      <w:r>
        <w:rPr>
          <w:rFonts w:ascii="宋体" w:hAnsi="宋体"/>
          <w:color w:val="auto"/>
          <w:szCs w:val="24"/>
          <w:highlight w:val="none"/>
        </w:rPr>
        <w:t>XML DTD, XML Schema</w:t>
      </w:r>
      <w:r>
        <w:rPr>
          <w:rFonts w:hint="eastAsia" w:ascii="宋体" w:hAnsi="宋体"/>
          <w:color w:val="auto"/>
          <w:szCs w:val="24"/>
          <w:highlight w:val="none"/>
        </w:rPr>
        <w:t>、</w:t>
      </w:r>
      <w:r>
        <w:rPr>
          <w:rFonts w:ascii="宋体" w:hAnsi="宋体"/>
          <w:color w:val="auto"/>
          <w:szCs w:val="24"/>
          <w:highlight w:val="none"/>
        </w:rPr>
        <w:t>XML Namespace</w:t>
      </w:r>
      <w:r>
        <w:rPr>
          <w:rFonts w:hint="eastAsia" w:ascii="宋体" w:hAnsi="宋体"/>
          <w:color w:val="auto"/>
          <w:szCs w:val="24"/>
          <w:highlight w:val="none"/>
        </w:rPr>
        <w:t>、</w:t>
      </w:r>
      <w:r>
        <w:rPr>
          <w:rFonts w:ascii="宋体" w:hAnsi="宋体"/>
          <w:color w:val="auto"/>
          <w:szCs w:val="24"/>
          <w:highlight w:val="none"/>
        </w:rPr>
        <w:t>SOAP</w:t>
      </w:r>
      <w:r>
        <w:rPr>
          <w:rFonts w:hint="eastAsia" w:ascii="宋体" w:hAnsi="宋体"/>
          <w:color w:val="auto"/>
          <w:szCs w:val="24"/>
          <w:highlight w:val="none"/>
        </w:rPr>
        <w:t>、</w:t>
      </w:r>
      <w:r>
        <w:rPr>
          <w:rFonts w:ascii="宋体" w:hAnsi="宋体"/>
          <w:color w:val="auto"/>
          <w:szCs w:val="24"/>
          <w:highlight w:val="none"/>
        </w:rPr>
        <w:t>JMS</w:t>
      </w:r>
      <w:r>
        <w:rPr>
          <w:rFonts w:hint="eastAsia" w:ascii="宋体" w:hAnsi="宋体"/>
          <w:color w:val="auto"/>
          <w:szCs w:val="24"/>
          <w:highlight w:val="none"/>
        </w:rPr>
        <w:t>、</w:t>
      </w:r>
      <w:r>
        <w:rPr>
          <w:rFonts w:ascii="宋体" w:hAnsi="宋体"/>
          <w:color w:val="auto"/>
          <w:szCs w:val="24"/>
          <w:highlight w:val="none"/>
        </w:rPr>
        <w:t>C</w:t>
      </w:r>
      <w:r>
        <w:rPr>
          <w:rFonts w:hint="eastAsia" w:ascii="宋体" w:hAnsi="宋体"/>
          <w:color w:val="auto"/>
          <w:szCs w:val="24"/>
          <w:highlight w:val="none"/>
        </w:rPr>
        <w:t>、</w:t>
      </w:r>
      <w:r>
        <w:rPr>
          <w:rFonts w:ascii="宋体" w:hAnsi="宋体"/>
          <w:color w:val="auto"/>
          <w:szCs w:val="24"/>
          <w:highlight w:val="none"/>
        </w:rPr>
        <w:t xml:space="preserve">COBOL </w:t>
      </w:r>
      <w:r>
        <w:rPr>
          <w:rFonts w:hint="eastAsia" w:ascii="宋体" w:hAnsi="宋体"/>
          <w:color w:val="auto"/>
          <w:szCs w:val="24"/>
          <w:highlight w:val="none"/>
        </w:rPr>
        <w:t>以及</w:t>
      </w:r>
      <w:r>
        <w:rPr>
          <w:rFonts w:ascii="宋体" w:hAnsi="宋体"/>
          <w:color w:val="auto"/>
          <w:szCs w:val="24"/>
          <w:highlight w:val="none"/>
        </w:rPr>
        <w:t>BLOB</w:t>
      </w:r>
      <w:r>
        <w:rPr>
          <w:rFonts w:hint="eastAsia" w:ascii="宋体" w:hAnsi="宋体"/>
          <w:color w:val="auto"/>
          <w:szCs w:val="24"/>
          <w:highlight w:val="none"/>
        </w:rPr>
        <w:t>等，提供数据字典功能，对异构数据进行统一开发和管理。</w:t>
      </w:r>
    </w:p>
    <w:p>
      <w:pPr>
        <w:pStyle w:val="8"/>
        <w:spacing w:line="360" w:lineRule="auto"/>
        <w:ind w:firstLine="480"/>
        <w:rPr>
          <w:rFonts w:ascii="宋体" w:hAnsi="宋体"/>
          <w:color w:val="auto"/>
          <w:szCs w:val="24"/>
          <w:highlight w:val="none"/>
        </w:rPr>
      </w:pPr>
      <w:r>
        <w:rPr>
          <w:rFonts w:ascii="宋体" w:hAnsi="宋体"/>
          <w:color w:val="auto"/>
          <w:szCs w:val="24"/>
          <w:highlight w:val="none"/>
        </w:rPr>
        <w:t>13</w:t>
      </w:r>
      <w:r>
        <w:rPr>
          <w:rFonts w:hint="eastAsia" w:ascii="宋体" w:hAnsi="宋体"/>
          <w:color w:val="auto"/>
          <w:szCs w:val="24"/>
          <w:highlight w:val="none"/>
        </w:rPr>
        <w:t>、开发部署工具提供更为灵活的</w:t>
      </w:r>
      <w:r>
        <w:rPr>
          <w:rFonts w:ascii="宋体" w:hAnsi="宋体"/>
          <w:color w:val="auto"/>
          <w:szCs w:val="24"/>
          <w:highlight w:val="none"/>
        </w:rPr>
        <w:t xml:space="preserve"> SQL </w:t>
      </w:r>
      <w:r>
        <w:rPr>
          <w:rFonts w:hint="eastAsia" w:ascii="宋体" w:hAnsi="宋体"/>
          <w:color w:val="auto"/>
          <w:szCs w:val="24"/>
          <w:highlight w:val="none"/>
        </w:rPr>
        <w:t>语言支持，可以直接实现</w:t>
      </w:r>
      <w:r>
        <w:rPr>
          <w:rFonts w:ascii="宋体" w:hAnsi="宋体"/>
          <w:color w:val="auto"/>
          <w:szCs w:val="24"/>
          <w:highlight w:val="none"/>
        </w:rPr>
        <w:t>SQL</w:t>
      </w:r>
      <w:r>
        <w:rPr>
          <w:rFonts w:hint="eastAsia" w:ascii="宋体" w:hAnsi="宋体"/>
          <w:color w:val="auto"/>
          <w:szCs w:val="24"/>
          <w:highlight w:val="none"/>
        </w:rPr>
        <w:t>语句的操作和编译，在业务逻辑中实现对数据库、</w:t>
      </w:r>
      <w:r>
        <w:rPr>
          <w:rFonts w:ascii="宋体" w:hAnsi="宋体"/>
          <w:color w:val="auto"/>
          <w:szCs w:val="24"/>
          <w:highlight w:val="none"/>
        </w:rPr>
        <w:t>XML</w:t>
      </w:r>
      <w:r>
        <w:rPr>
          <w:rFonts w:hint="eastAsia" w:ascii="宋体" w:hAnsi="宋体"/>
          <w:color w:val="auto"/>
          <w:szCs w:val="24"/>
          <w:highlight w:val="none"/>
        </w:rPr>
        <w:t>等的处理和操作。</w:t>
      </w:r>
    </w:p>
    <w:p>
      <w:pPr>
        <w:pStyle w:val="8"/>
        <w:spacing w:line="360" w:lineRule="auto"/>
        <w:ind w:firstLine="480"/>
        <w:rPr>
          <w:rFonts w:ascii="宋体" w:hAnsi="宋体"/>
          <w:color w:val="auto"/>
          <w:szCs w:val="24"/>
          <w:highlight w:val="none"/>
        </w:rPr>
      </w:pPr>
      <w:r>
        <w:rPr>
          <w:rFonts w:ascii="宋体" w:hAnsi="宋体"/>
          <w:color w:val="auto"/>
          <w:szCs w:val="24"/>
          <w:highlight w:val="none"/>
        </w:rPr>
        <w:t>14</w:t>
      </w:r>
      <w:r>
        <w:rPr>
          <w:rFonts w:hint="eastAsia" w:ascii="宋体" w:hAnsi="宋体"/>
          <w:color w:val="auto"/>
          <w:szCs w:val="24"/>
          <w:highlight w:val="none"/>
        </w:rPr>
        <w:t>、提供高可用性，保证平台</w:t>
      </w:r>
      <w:r>
        <w:rPr>
          <w:rFonts w:ascii="宋体" w:hAnsi="宋体"/>
          <w:color w:val="auto"/>
          <w:szCs w:val="24"/>
          <w:highlight w:val="none"/>
        </w:rPr>
        <w:t>7*24</w:t>
      </w:r>
      <w:r>
        <w:rPr>
          <w:rFonts w:hint="eastAsia" w:ascii="宋体" w:hAnsi="宋体"/>
          <w:color w:val="auto"/>
          <w:szCs w:val="24"/>
          <w:highlight w:val="none"/>
        </w:rPr>
        <w:t>小时的运行；提供高稳定性，保证在数据量或应用连接数高峰运行时的系统运行正常，保障持久化的系统运行。</w:t>
      </w:r>
    </w:p>
    <w:p>
      <w:pPr>
        <w:pStyle w:val="8"/>
        <w:spacing w:line="360" w:lineRule="auto"/>
        <w:ind w:firstLine="480"/>
        <w:rPr>
          <w:rFonts w:ascii="宋体" w:hAnsi="宋体"/>
          <w:color w:val="auto"/>
          <w:szCs w:val="24"/>
          <w:highlight w:val="none"/>
        </w:rPr>
      </w:pPr>
      <w:r>
        <w:rPr>
          <w:rFonts w:ascii="宋体" w:hAnsi="宋体"/>
          <w:color w:val="auto"/>
          <w:szCs w:val="24"/>
          <w:highlight w:val="none"/>
        </w:rPr>
        <w:t>15</w:t>
      </w:r>
      <w:r>
        <w:rPr>
          <w:rFonts w:hint="eastAsia" w:ascii="宋体" w:hAnsi="宋体"/>
          <w:color w:val="auto"/>
          <w:szCs w:val="24"/>
          <w:highlight w:val="none"/>
        </w:rPr>
        <w:t>提供多种安全机制，用户级别的认证、授权，支持标准的</w:t>
      </w:r>
      <w:r>
        <w:rPr>
          <w:rFonts w:ascii="宋体" w:hAnsi="宋体"/>
          <w:color w:val="auto"/>
          <w:szCs w:val="24"/>
          <w:highlight w:val="none"/>
        </w:rPr>
        <w:t>LDAP</w:t>
      </w:r>
      <w:r>
        <w:rPr>
          <w:rFonts w:hint="eastAsia" w:ascii="宋体" w:hAnsi="宋体"/>
          <w:color w:val="auto"/>
          <w:szCs w:val="24"/>
          <w:highlight w:val="none"/>
        </w:rPr>
        <w:t>服务器；访问级别的</w:t>
      </w:r>
      <w:r>
        <w:rPr>
          <w:rFonts w:ascii="宋体" w:hAnsi="宋体"/>
          <w:color w:val="auto"/>
          <w:szCs w:val="24"/>
          <w:highlight w:val="none"/>
        </w:rPr>
        <w:t>SSL</w:t>
      </w:r>
      <w:r>
        <w:rPr>
          <w:rFonts w:hint="eastAsia" w:ascii="宋体" w:hAnsi="宋体"/>
          <w:color w:val="auto"/>
          <w:szCs w:val="24"/>
          <w:highlight w:val="none"/>
        </w:rPr>
        <w:t>传输机制；数据内容级别的数字签名等机制。</w:t>
      </w:r>
    </w:p>
    <w:p>
      <w:pPr>
        <w:pStyle w:val="5"/>
        <w:numPr>
          <w:ilvl w:val="2"/>
          <w:numId w:val="8"/>
        </w:numPr>
        <w:autoSpaceDE/>
        <w:autoSpaceDN/>
        <w:adjustRightInd/>
        <w:spacing w:before="260" w:after="260" w:line="416" w:lineRule="auto"/>
        <w:jc w:val="both"/>
        <w:rPr>
          <w:rFonts w:hAnsi="宋体"/>
          <w:color w:val="auto"/>
          <w:szCs w:val="24"/>
          <w:highlight w:val="none"/>
        </w:rPr>
      </w:pPr>
      <w:bookmarkStart w:id="1047" w:name="_Toc2073117544"/>
      <w:bookmarkStart w:id="1048" w:name="_Toc22504"/>
      <w:bookmarkStart w:id="1049" w:name="_Toc138247852"/>
      <w:r>
        <w:rPr>
          <w:rFonts w:hint="eastAsia" w:hAnsi="宋体"/>
          <w:color w:val="auto"/>
          <w:szCs w:val="24"/>
          <w:highlight w:val="none"/>
        </w:rPr>
        <w:t>集成平台应用集成开发技术要求</w:t>
      </w:r>
      <w:bookmarkEnd w:id="1047"/>
      <w:bookmarkEnd w:id="1048"/>
      <w:bookmarkEnd w:id="1049"/>
    </w:p>
    <w:p>
      <w:pPr>
        <w:pStyle w:val="8"/>
        <w:spacing w:line="360" w:lineRule="auto"/>
        <w:ind w:firstLine="480"/>
        <w:rPr>
          <w:rFonts w:ascii="宋体" w:hAnsi="宋体"/>
          <w:color w:val="auto"/>
          <w:szCs w:val="24"/>
          <w:highlight w:val="none"/>
        </w:rPr>
      </w:pPr>
      <w:r>
        <w:rPr>
          <w:rFonts w:ascii="宋体" w:hAnsi="宋体"/>
          <w:color w:val="auto"/>
          <w:szCs w:val="24"/>
          <w:highlight w:val="none"/>
        </w:rPr>
        <w:t>1</w:t>
      </w:r>
      <w:r>
        <w:rPr>
          <w:rFonts w:hint="eastAsia" w:ascii="宋体" w:hAnsi="宋体"/>
          <w:color w:val="auto"/>
          <w:szCs w:val="24"/>
          <w:highlight w:val="none"/>
        </w:rPr>
        <w:t>、应用编程接口（</w:t>
      </w:r>
      <w:r>
        <w:rPr>
          <w:rFonts w:ascii="宋体" w:hAnsi="宋体"/>
          <w:color w:val="auto"/>
          <w:szCs w:val="24"/>
          <w:highlight w:val="none"/>
        </w:rPr>
        <w:t>API</w:t>
      </w:r>
      <w:r>
        <w:rPr>
          <w:rFonts w:hint="eastAsia" w:ascii="宋体" w:hAnsi="宋体"/>
          <w:color w:val="auto"/>
          <w:szCs w:val="24"/>
          <w:highlight w:val="none"/>
        </w:rPr>
        <w:t>）支持各种运行平台，并且在各平台上的</w:t>
      </w:r>
      <w:r>
        <w:rPr>
          <w:rFonts w:ascii="宋体" w:hAnsi="宋体"/>
          <w:color w:val="auto"/>
          <w:szCs w:val="24"/>
          <w:highlight w:val="none"/>
        </w:rPr>
        <w:t>API</w:t>
      </w:r>
      <w:r>
        <w:rPr>
          <w:rFonts w:hint="eastAsia" w:ascii="宋体" w:hAnsi="宋体"/>
          <w:color w:val="auto"/>
          <w:szCs w:val="24"/>
          <w:highlight w:val="none"/>
        </w:rPr>
        <w:t>接口一致。如</w:t>
      </w:r>
      <w:r>
        <w:rPr>
          <w:rFonts w:ascii="宋体" w:hAnsi="宋体"/>
          <w:color w:val="auto"/>
          <w:szCs w:val="24"/>
          <w:highlight w:val="none"/>
        </w:rPr>
        <w:t>HP-UX</w:t>
      </w:r>
      <w:r>
        <w:rPr>
          <w:rFonts w:hint="eastAsia" w:ascii="宋体" w:hAnsi="宋体"/>
          <w:color w:val="auto"/>
          <w:szCs w:val="24"/>
          <w:highlight w:val="none"/>
        </w:rPr>
        <w:t>、</w:t>
      </w:r>
      <w:r>
        <w:rPr>
          <w:rFonts w:ascii="宋体" w:hAnsi="宋体"/>
          <w:color w:val="auto"/>
          <w:szCs w:val="24"/>
          <w:highlight w:val="none"/>
        </w:rPr>
        <w:t>IBM AIX</w:t>
      </w:r>
      <w:r>
        <w:rPr>
          <w:rFonts w:hint="eastAsia" w:ascii="宋体" w:hAnsi="宋体"/>
          <w:color w:val="auto"/>
          <w:szCs w:val="24"/>
          <w:highlight w:val="none"/>
        </w:rPr>
        <w:t>、</w:t>
      </w:r>
      <w:r>
        <w:rPr>
          <w:rFonts w:ascii="宋体" w:hAnsi="宋体"/>
          <w:color w:val="auto"/>
          <w:szCs w:val="24"/>
          <w:highlight w:val="none"/>
        </w:rPr>
        <w:t>SUN SOLARIS</w:t>
      </w:r>
      <w:r>
        <w:rPr>
          <w:rFonts w:hint="eastAsia" w:ascii="宋体" w:hAnsi="宋体"/>
          <w:color w:val="auto"/>
          <w:szCs w:val="24"/>
          <w:highlight w:val="none"/>
        </w:rPr>
        <w:t>、</w:t>
      </w:r>
      <w:r>
        <w:rPr>
          <w:rFonts w:ascii="宋体" w:hAnsi="宋体"/>
          <w:color w:val="auto"/>
          <w:szCs w:val="24"/>
          <w:highlight w:val="none"/>
        </w:rPr>
        <w:t>WINDOWS NT</w:t>
      </w:r>
      <w:r>
        <w:rPr>
          <w:rFonts w:hint="eastAsia" w:ascii="宋体" w:hAnsi="宋体"/>
          <w:color w:val="auto"/>
          <w:szCs w:val="24"/>
          <w:highlight w:val="none"/>
        </w:rPr>
        <w:t>、</w:t>
      </w:r>
      <w:r>
        <w:rPr>
          <w:rFonts w:ascii="宋体" w:hAnsi="宋体"/>
          <w:color w:val="auto"/>
          <w:szCs w:val="24"/>
          <w:highlight w:val="none"/>
        </w:rPr>
        <w:t>Digital UNIX</w:t>
      </w:r>
      <w:r>
        <w:rPr>
          <w:rFonts w:hint="eastAsia" w:ascii="宋体" w:hAnsi="宋体"/>
          <w:color w:val="auto"/>
          <w:szCs w:val="24"/>
          <w:highlight w:val="none"/>
        </w:rPr>
        <w:t>、</w:t>
      </w:r>
      <w:r>
        <w:rPr>
          <w:rFonts w:ascii="宋体" w:hAnsi="宋体"/>
          <w:color w:val="auto"/>
          <w:szCs w:val="24"/>
          <w:highlight w:val="none"/>
        </w:rPr>
        <w:t>SGI</w:t>
      </w:r>
      <w:r>
        <w:rPr>
          <w:rFonts w:hint="eastAsia" w:ascii="宋体" w:hAnsi="宋体"/>
          <w:color w:val="auto"/>
          <w:szCs w:val="24"/>
          <w:highlight w:val="none"/>
        </w:rPr>
        <w:t>、</w:t>
      </w:r>
      <w:r>
        <w:rPr>
          <w:rFonts w:ascii="宋体" w:hAnsi="宋体"/>
          <w:color w:val="auto"/>
          <w:szCs w:val="24"/>
          <w:highlight w:val="none"/>
        </w:rPr>
        <w:t>TRU UNIX</w:t>
      </w:r>
      <w:r>
        <w:rPr>
          <w:rFonts w:hint="eastAsia" w:ascii="宋体" w:hAnsi="宋体"/>
          <w:color w:val="auto"/>
          <w:szCs w:val="24"/>
          <w:highlight w:val="none"/>
        </w:rPr>
        <w:t>、</w:t>
      </w:r>
      <w:r>
        <w:rPr>
          <w:rFonts w:ascii="宋体" w:hAnsi="宋体"/>
          <w:color w:val="auto"/>
          <w:szCs w:val="24"/>
          <w:highlight w:val="none"/>
        </w:rPr>
        <w:t>WINDOWS2000</w:t>
      </w:r>
      <w:r>
        <w:rPr>
          <w:rFonts w:hint="eastAsia" w:ascii="宋体" w:hAnsi="宋体"/>
          <w:color w:val="auto"/>
          <w:szCs w:val="24"/>
          <w:highlight w:val="none"/>
        </w:rPr>
        <w:t>、</w:t>
      </w:r>
      <w:r>
        <w:rPr>
          <w:rFonts w:ascii="宋体" w:hAnsi="宋体"/>
          <w:color w:val="auto"/>
          <w:szCs w:val="24"/>
          <w:highlight w:val="none"/>
        </w:rPr>
        <w:t>Linux</w:t>
      </w:r>
      <w:r>
        <w:rPr>
          <w:rFonts w:hint="eastAsia" w:ascii="宋体" w:hAnsi="宋体"/>
          <w:color w:val="auto"/>
          <w:szCs w:val="24"/>
          <w:highlight w:val="none"/>
        </w:rPr>
        <w:t>等。</w:t>
      </w:r>
    </w:p>
    <w:p>
      <w:pPr>
        <w:pStyle w:val="8"/>
        <w:spacing w:line="360" w:lineRule="auto"/>
        <w:ind w:firstLine="480"/>
        <w:rPr>
          <w:rFonts w:ascii="宋体" w:hAnsi="宋体"/>
          <w:color w:val="auto"/>
          <w:szCs w:val="24"/>
          <w:highlight w:val="none"/>
        </w:rPr>
      </w:pPr>
      <w:r>
        <w:rPr>
          <w:rFonts w:ascii="宋体" w:hAnsi="宋体"/>
          <w:color w:val="auto"/>
          <w:szCs w:val="24"/>
          <w:highlight w:val="none"/>
        </w:rPr>
        <w:t>2</w:t>
      </w:r>
      <w:r>
        <w:rPr>
          <w:rFonts w:hint="eastAsia" w:ascii="宋体" w:hAnsi="宋体"/>
          <w:color w:val="auto"/>
          <w:szCs w:val="24"/>
          <w:highlight w:val="none"/>
        </w:rPr>
        <w:t>、支持多种开发工具，特别是流行的开发工具。如</w:t>
      </w:r>
      <w:r>
        <w:rPr>
          <w:rFonts w:ascii="宋体" w:hAnsi="宋体"/>
          <w:color w:val="auto"/>
          <w:szCs w:val="24"/>
          <w:highlight w:val="none"/>
        </w:rPr>
        <w:t>C</w:t>
      </w:r>
      <w:r>
        <w:rPr>
          <w:rFonts w:hint="eastAsia" w:ascii="宋体" w:hAnsi="宋体"/>
          <w:color w:val="auto"/>
          <w:szCs w:val="24"/>
          <w:highlight w:val="none"/>
        </w:rPr>
        <w:t>、</w:t>
      </w:r>
      <w:r>
        <w:rPr>
          <w:rFonts w:ascii="宋体" w:hAnsi="宋体"/>
          <w:color w:val="auto"/>
          <w:szCs w:val="24"/>
          <w:highlight w:val="none"/>
        </w:rPr>
        <w:t>C++</w:t>
      </w:r>
      <w:r>
        <w:rPr>
          <w:rFonts w:hint="eastAsia" w:ascii="宋体" w:hAnsi="宋体"/>
          <w:color w:val="auto"/>
          <w:szCs w:val="24"/>
          <w:highlight w:val="none"/>
        </w:rPr>
        <w:t>、</w:t>
      </w:r>
      <w:r>
        <w:rPr>
          <w:rFonts w:ascii="宋体" w:hAnsi="宋体"/>
          <w:color w:val="auto"/>
          <w:szCs w:val="24"/>
          <w:highlight w:val="none"/>
        </w:rPr>
        <w:t>Java</w:t>
      </w:r>
      <w:r>
        <w:rPr>
          <w:rFonts w:hint="eastAsia" w:ascii="宋体" w:hAnsi="宋体"/>
          <w:color w:val="auto"/>
          <w:szCs w:val="24"/>
          <w:highlight w:val="none"/>
        </w:rPr>
        <w:t>、</w:t>
      </w:r>
      <w:r>
        <w:rPr>
          <w:rFonts w:ascii="宋体" w:hAnsi="宋体"/>
          <w:color w:val="auto"/>
          <w:szCs w:val="24"/>
          <w:highlight w:val="none"/>
        </w:rPr>
        <w:t>COBOL</w:t>
      </w:r>
      <w:r>
        <w:rPr>
          <w:rFonts w:hint="eastAsia" w:ascii="宋体" w:hAnsi="宋体"/>
          <w:color w:val="auto"/>
          <w:szCs w:val="24"/>
          <w:highlight w:val="none"/>
        </w:rPr>
        <w:t>、</w:t>
      </w:r>
      <w:r>
        <w:rPr>
          <w:rFonts w:ascii="宋体" w:hAnsi="宋体"/>
          <w:color w:val="auto"/>
          <w:szCs w:val="24"/>
          <w:highlight w:val="none"/>
        </w:rPr>
        <w:t>PB</w:t>
      </w:r>
      <w:r>
        <w:rPr>
          <w:rFonts w:hint="eastAsia" w:ascii="宋体" w:hAnsi="宋体"/>
          <w:color w:val="auto"/>
          <w:szCs w:val="24"/>
          <w:highlight w:val="none"/>
        </w:rPr>
        <w:t>、</w:t>
      </w:r>
      <w:r>
        <w:rPr>
          <w:rFonts w:ascii="宋体" w:hAnsi="宋体"/>
          <w:color w:val="auto"/>
          <w:szCs w:val="24"/>
          <w:highlight w:val="none"/>
        </w:rPr>
        <w:t>VB</w:t>
      </w:r>
      <w:r>
        <w:rPr>
          <w:rFonts w:hint="eastAsia" w:ascii="宋体" w:hAnsi="宋体"/>
          <w:color w:val="auto"/>
          <w:szCs w:val="24"/>
          <w:highlight w:val="none"/>
        </w:rPr>
        <w:t>、</w:t>
      </w:r>
      <w:r>
        <w:rPr>
          <w:rFonts w:ascii="宋体" w:hAnsi="宋体"/>
          <w:color w:val="auto"/>
          <w:szCs w:val="24"/>
          <w:highlight w:val="none"/>
        </w:rPr>
        <w:t>DELPHI</w:t>
      </w:r>
      <w:r>
        <w:rPr>
          <w:rFonts w:hint="eastAsia" w:ascii="宋体" w:hAnsi="宋体"/>
          <w:color w:val="auto"/>
          <w:szCs w:val="24"/>
          <w:highlight w:val="none"/>
        </w:rPr>
        <w:t>等等。实现对这些工具的灵活接口。</w:t>
      </w:r>
    </w:p>
    <w:p>
      <w:pPr>
        <w:pStyle w:val="8"/>
        <w:spacing w:line="360" w:lineRule="auto"/>
        <w:ind w:firstLine="480"/>
        <w:rPr>
          <w:rFonts w:ascii="宋体" w:hAnsi="宋体"/>
          <w:color w:val="auto"/>
          <w:szCs w:val="24"/>
          <w:highlight w:val="none"/>
        </w:rPr>
      </w:pPr>
      <w:r>
        <w:rPr>
          <w:rFonts w:ascii="宋体" w:hAnsi="宋体"/>
          <w:color w:val="auto"/>
          <w:szCs w:val="24"/>
          <w:highlight w:val="none"/>
        </w:rPr>
        <w:t>3</w:t>
      </w:r>
      <w:r>
        <w:rPr>
          <w:rFonts w:hint="eastAsia" w:ascii="宋体" w:hAnsi="宋体"/>
          <w:color w:val="auto"/>
          <w:szCs w:val="24"/>
          <w:highlight w:val="none"/>
        </w:rPr>
        <w:t>、支持多种网络环境，如以太网、</w:t>
      </w:r>
      <w:r>
        <w:rPr>
          <w:rFonts w:ascii="宋体" w:hAnsi="宋体"/>
          <w:color w:val="auto"/>
          <w:szCs w:val="24"/>
          <w:highlight w:val="none"/>
        </w:rPr>
        <w:t>SDH</w:t>
      </w:r>
      <w:r>
        <w:rPr>
          <w:rFonts w:hint="eastAsia" w:ascii="宋体" w:hAnsi="宋体"/>
          <w:color w:val="auto"/>
          <w:szCs w:val="24"/>
          <w:highlight w:val="none"/>
        </w:rPr>
        <w:t>、</w:t>
      </w:r>
      <w:r>
        <w:rPr>
          <w:rFonts w:ascii="宋体" w:hAnsi="宋体"/>
          <w:color w:val="auto"/>
          <w:szCs w:val="24"/>
          <w:highlight w:val="none"/>
        </w:rPr>
        <w:t>DDN</w:t>
      </w:r>
      <w:r>
        <w:rPr>
          <w:rFonts w:hint="eastAsia" w:ascii="宋体" w:hAnsi="宋体"/>
          <w:color w:val="auto"/>
          <w:szCs w:val="24"/>
          <w:highlight w:val="none"/>
        </w:rPr>
        <w:t>、帧中继、拨号网络等。</w:t>
      </w:r>
    </w:p>
    <w:p>
      <w:pPr>
        <w:pStyle w:val="8"/>
        <w:spacing w:line="360" w:lineRule="auto"/>
        <w:ind w:firstLine="480"/>
        <w:rPr>
          <w:rFonts w:ascii="宋体" w:hAnsi="宋体"/>
          <w:color w:val="auto"/>
          <w:szCs w:val="24"/>
          <w:highlight w:val="none"/>
        </w:rPr>
      </w:pPr>
      <w:r>
        <w:rPr>
          <w:rFonts w:ascii="宋体" w:hAnsi="宋体"/>
          <w:color w:val="auto"/>
          <w:szCs w:val="24"/>
          <w:highlight w:val="none"/>
        </w:rPr>
        <w:t>4</w:t>
      </w:r>
      <w:r>
        <w:rPr>
          <w:rFonts w:hint="eastAsia" w:ascii="宋体" w:hAnsi="宋体"/>
          <w:color w:val="auto"/>
          <w:szCs w:val="24"/>
          <w:highlight w:val="none"/>
        </w:rPr>
        <w:t>、支持树型结构和网状结构，支持同步、异步、广播、队列通讯的通讯模式。</w:t>
      </w:r>
    </w:p>
    <w:p>
      <w:pPr>
        <w:pStyle w:val="8"/>
        <w:spacing w:line="360" w:lineRule="auto"/>
        <w:ind w:firstLine="480"/>
        <w:rPr>
          <w:rFonts w:ascii="宋体" w:hAnsi="宋体"/>
          <w:color w:val="auto"/>
          <w:szCs w:val="24"/>
          <w:highlight w:val="none"/>
        </w:rPr>
      </w:pPr>
      <w:r>
        <w:rPr>
          <w:rFonts w:ascii="宋体" w:hAnsi="宋体"/>
          <w:color w:val="auto"/>
          <w:szCs w:val="24"/>
          <w:highlight w:val="none"/>
        </w:rPr>
        <w:t>5</w:t>
      </w:r>
      <w:r>
        <w:rPr>
          <w:rFonts w:hint="eastAsia" w:ascii="宋体" w:hAnsi="宋体"/>
          <w:color w:val="auto"/>
          <w:szCs w:val="24"/>
          <w:highlight w:val="none"/>
        </w:rPr>
        <w:t>、支持多种网络协议，如</w:t>
      </w:r>
      <w:r>
        <w:rPr>
          <w:rFonts w:ascii="宋体" w:hAnsi="宋体"/>
          <w:color w:val="auto"/>
          <w:szCs w:val="24"/>
          <w:highlight w:val="none"/>
        </w:rPr>
        <w:t>TCP/IP</w:t>
      </w:r>
      <w:r>
        <w:rPr>
          <w:rFonts w:hint="eastAsia" w:ascii="宋体" w:hAnsi="宋体"/>
          <w:color w:val="auto"/>
          <w:szCs w:val="24"/>
          <w:highlight w:val="none"/>
        </w:rPr>
        <w:t>、</w:t>
      </w:r>
      <w:r>
        <w:rPr>
          <w:rFonts w:ascii="宋体" w:hAnsi="宋体"/>
          <w:color w:val="auto"/>
          <w:szCs w:val="24"/>
          <w:highlight w:val="none"/>
        </w:rPr>
        <w:t>NETBIOS</w:t>
      </w:r>
      <w:r>
        <w:rPr>
          <w:rFonts w:hint="eastAsia" w:ascii="宋体" w:hAnsi="宋体"/>
          <w:color w:val="auto"/>
          <w:szCs w:val="24"/>
          <w:highlight w:val="none"/>
        </w:rPr>
        <w:t>、</w:t>
      </w:r>
      <w:r>
        <w:rPr>
          <w:rFonts w:ascii="宋体" w:hAnsi="宋体"/>
          <w:color w:val="auto"/>
          <w:szCs w:val="24"/>
          <w:highlight w:val="none"/>
        </w:rPr>
        <w:t>SNA</w:t>
      </w:r>
      <w:r>
        <w:rPr>
          <w:rFonts w:hint="eastAsia" w:ascii="宋体" w:hAnsi="宋体"/>
          <w:color w:val="auto"/>
          <w:szCs w:val="24"/>
          <w:highlight w:val="none"/>
        </w:rPr>
        <w:t>等。</w:t>
      </w:r>
    </w:p>
    <w:p>
      <w:pPr>
        <w:pStyle w:val="8"/>
        <w:spacing w:line="360" w:lineRule="auto"/>
        <w:ind w:firstLine="480"/>
        <w:rPr>
          <w:rFonts w:ascii="宋体" w:hAnsi="宋体"/>
          <w:color w:val="auto"/>
          <w:szCs w:val="24"/>
          <w:highlight w:val="none"/>
        </w:rPr>
      </w:pPr>
      <w:r>
        <w:rPr>
          <w:rFonts w:ascii="宋体" w:hAnsi="宋体"/>
          <w:color w:val="auto"/>
          <w:szCs w:val="24"/>
          <w:highlight w:val="none"/>
        </w:rPr>
        <w:t>6</w:t>
      </w:r>
      <w:r>
        <w:rPr>
          <w:rFonts w:hint="eastAsia" w:ascii="宋体" w:hAnsi="宋体"/>
          <w:color w:val="auto"/>
          <w:szCs w:val="24"/>
          <w:highlight w:val="none"/>
        </w:rPr>
        <w:t>、支持实时响应的程序间通讯。</w:t>
      </w:r>
    </w:p>
    <w:p>
      <w:pPr>
        <w:pStyle w:val="8"/>
        <w:spacing w:line="360" w:lineRule="auto"/>
        <w:ind w:firstLine="480"/>
        <w:rPr>
          <w:rFonts w:ascii="宋体" w:hAnsi="宋体"/>
          <w:color w:val="auto"/>
          <w:szCs w:val="24"/>
          <w:highlight w:val="none"/>
        </w:rPr>
      </w:pPr>
      <w:r>
        <w:rPr>
          <w:rFonts w:ascii="宋体" w:hAnsi="宋体"/>
          <w:color w:val="auto"/>
          <w:szCs w:val="24"/>
          <w:highlight w:val="none"/>
        </w:rPr>
        <w:t>7</w:t>
      </w:r>
      <w:r>
        <w:rPr>
          <w:rFonts w:hint="eastAsia" w:ascii="宋体" w:hAnsi="宋体"/>
          <w:color w:val="auto"/>
          <w:szCs w:val="24"/>
          <w:highlight w:val="none"/>
        </w:rPr>
        <w:t>、支持异步的程序间通讯，网络不能连通时仍然可以正常工作，不导致数据丢失和应用程序故障。</w:t>
      </w:r>
    </w:p>
    <w:p>
      <w:pPr>
        <w:pStyle w:val="8"/>
        <w:spacing w:line="360" w:lineRule="auto"/>
        <w:ind w:firstLine="480"/>
        <w:rPr>
          <w:rFonts w:ascii="宋体" w:hAnsi="宋体"/>
          <w:color w:val="auto"/>
          <w:szCs w:val="24"/>
          <w:highlight w:val="none"/>
        </w:rPr>
      </w:pPr>
      <w:r>
        <w:rPr>
          <w:rFonts w:ascii="宋体" w:hAnsi="宋体"/>
          <w:color w:val="auto"/>
          <w:szCs w:val="24"/>
          <w:highlight w:val="none"/>
        </w:rPr>
        <w:t>8</w:t>
      </w:r>
      <w:r>
        <w:rPr>
          <w:rFonts w:hint="eastAsia" w:ascii="宋体" w:hAnsi="宋体"/>
          <w:color w:val="auto"/>
          <w:szCs w:val="24"/>
          <w:highlight w:val="none"/>
        </w:rPr>
        <w:t>、支持点对点（</w:t>
      </w:r>
      <w:r>
        <w:rPr>
          <w:rFonts w:ascii="宋体" w:hAnsi="宋体"/>
          <w:color w:val="auto"/>
          <w:szCs w:val="24"/>
          <w:highlight w:val="none"/>
        </w:rPr>
        <w:t>POINT-TO-POINT</w:t>
      </w:r>
      <w:r>
        <w:rPr>
          <w:rFonts w:hint="eastAsia" w:ascii="宋体" w:hAnsi="宋体"/>
          <w:color w:val="auto"/>
          <w:szCs w:val="24"/>
          <w:highlight w:val="none"/>
        </w:rPr>
        <w:t>，</w:t>
      </w:r>
      <w:r>
        <w:rPr>
          <w:rFonts w:ascii="宋体" w:hAnsi="宋体"/>
          <w:color w:val="auto"/>
          <w:szCs w:val="24"/>
          <w:highlight w:val="none"/>
        </w:rPr>
        <w:t>PTP</w:t>
      </w:r>
      <w:r>
        <w:rPr>
          <w:rFonts w:hint="eastAsia" w:ascii="宋体" w:hAnsi="宋体"/>
          <w:color w:val="auto"/>
          <w:szCs w:val="24"/>
          <w:highlight w:val="none"/>
        </w:rPr>
        <w:t>）传输信息。</w:t>
      </w:r>
    </w:p>
    <w:p>
      <w:pPr>
        <w:pStyle w:val="8"/>
        <w:spacing w:line="360" w:lineRule="auto"/>
        <w:ind w:firstLine="480"/>
        <w:rPr>
          <w:rFonts w:ascii="宋体" w:hAnsi="宋体"/>
          <w:color w:val="auto"/>
          <w:szCs w:val="24"/>
          <w:highlight w:val="none"/>
        </w:rPr>
      </w:pPr>
      <w:r>
        <w:rPr>
          <w:rFonts w:ascii="宋体" w:hAnsi="宋体"/>
          <w:color w:val="auto"/>
          <w:szCs w:val="24"/>
          <w:highlight w:val="none"/>
        </w:rPr>
        <w:t>9</w:t>
      </w:r>
      <w:r>
        <w:rPr>
          <w:rFonts w:hint="eastAsia" w:ascii="宋体" w:hAnsi="宋体"/>
          <w:color w:val="auto"/>
          <w:szCs w:val="24"/>
          <w:highlight w:val="none"/>
        </w:rPr>
        <w:t>、支持消息订阅</w:t>
      </w:r>
      <w:r>
        <w:rPr>
          <w:rFonts w:ascii="宋体" w:hAnsi="宋体"/>
          <w:color w:val="auto"/>
          <w:szCs w:val="24"/>
          <w:highlight w:val="none"/>
        </w:rPr>
        <w:t>/</w:t>
      </w:r>
      <w:r>
        <w:rPr>
          <w:rFonts w:hint="eastAsia" w:ascii="宋体" w:hAnsi="宋体"/>
          <w:color w:val="auto"/>
          <w:szCs w:val="24"/>
          <w:highlight w:val="none"/>
        </w:rPr>
        <w:t>发布（</w:t>
      </w:r>
      <w:r>
        <w:rPr>
          <w:rFonts w:ascii="宋体" w:hAnsi="宋体"/>
          <w:color w:val="auto"/>
          <w:szCs w:val="24"/>
          <w:highlight w:val="none"/>
        </w:rPr>
        <w:t>PUBLISH-SUBSCRIBE</w:t>
      </w:r>
      <w:r>
        <w:rPr>
          <w:rFonts w:hint="eastAsia" w:ascii="宋体" w:hAnsi="宋体"/>
          <w:color w:val="auto"/>
          <w:szCs w:val="24"/>
          <w:highlight w:val="none"/>
        </w:rPr>
        <w:t>）方式。</w:t>
      </w:r>
    </w:p>
    <w:p>
      <w:pPr>
        <w:pStyle w:val="8"/>
        <w:spacing w:line="360" w:lineRule="auto"/>
        <w:ind w:firstLine="480"/>
        <w:rPr>
          <w:rFonts w:ascii="宋体" w:hAnsi="宋体"/>
          <w:color w:val="auto"/>
          <w:szCs w:val="24"/>
          <w:highlight w:val="none"/>
        </w:rPr>
      </w:pPr>
      <w:r>
        <w:rPr>
          <w:rFonts w:ascii="宋体" w:hAnsi="宋体"/>
          <w:color w:val="auto"/>
          <w:szCs w:val="24"/>
          <w:highlight w:val="none"/>
        </w:rPr>
        <w:t>10</w:t>
      </w:r>
      <w:r>
        <w:rPr>
          <w:rFonts w:hint="eastAsia" w:ascii="宋体" w:hAnsi="宋体"/>
          <w:color w:val="auto"/>
          <w:szCs w:val="24"/>
          <w:highlight w:val="none"/>
        </w:rPr>
        <w:t>、支持多种类型（包括声音、图象等多媒体数据）的数据交换，支持异构数据格式的透明转换。</w:t>
      </w:r>
    </w:p>
    <w:p>
      <w:pPr>
        <w:pStyle w:val="8"/>
        <w:spacing w:line="360" w:lineRule="auto"/>
        <w:ind w:firstLine="480"/>
        <w:rPr>
          <w:rFonts w:ascii="宋体" w:hAnsi="宋体"/>
          <w:color w:val="auto"/>
          <w:szCs w:val="24"/>
          <w:highlight w:val="none"/>
        </w:rPr>
      </w:pPr>
      <w:r>
        <w:rPr>
          <w:rFonts w:ascii="宋体" w:hAnsi="宋体"/>
          <w:color w:val="auto"/>
          <w:szCs w:val="24"/>
          <w:highlight w:val="none"/>
        </w:rPr>
        <w:t>11</w:t>
      </w:r>
      <w:r>
        <w:rPr>
          <w:rFonts w:hint="eastAsia" w:ascii="宋体" w:hAnsi="宋体"/>
          <w:color w:val="auto"/>
          <w:szCs w:val="24"/>
          <w:highlight w:val="none"/>
        </w:rPr>
        <w:t>、可靠的信息传输。支持传输失败控制，在网络和系统发生故障等各种情况下应确保消息不丢、不重。</w:t>
      </w:r>
    </w:p>
    <w:p>
      <w:pPr>
        <w:pStyle w:val="8"/>
        <w:spacing w:line="360" w:lineRule="auto"/>
        <w:ind w:firstLine="480"/>
        <w:rPr>
          <w:rFonts w:ascii="宋体" w:hAnsi="宋体"/>
          <w:color w:val="auto"/>
          <w:szCs w:val="24"/>
          <w:highlight w:val="none"/>
        </w:rPr>
      </w:pPr>
      <w:r>
        <w:rPr>
          <w:rFonts w:ascii="宋体" w:hAnsi="宋体"/>
          <w:color w:val="auto"/>
          <w:szCs w:val="24"/>
          <w:highlight w:val="none"/>
        </w:rPr>
        <w:t>12</w:t>
      </w:r>
      <w:r>
        <w:rPr>
          <w:rFonts w:hint="eastAsia" w:ascii="宋体" w:hAnsi="宋体"/>
          <w:color w:val="auto"/>
          <w:szCs w:val="24"/>
          <w:highlight w:val="none"/>
        </w:rPr>
        <w:t>、必须提供对服务和节点的故障恢复能力。</w:t>
      </w:r>
    </w:p>
    <w:p>
      <w:pPr>
        <w:pStyle w:val="8"/>
        <w:spacing w:line="360" w:lineRule="auto"/>
        <w:ind w:firstLine="480"/>
        <w:rPr>
          <w:rFonts w:ascii="宋体" w:hAnsi="宋体"/>
          <w:color w:val="auto"/>
          <w:szCs w:val="24"/>
          <w:highlight w:val="none"/>
        </w:rPr>
      </w:pPr>
      <w:r>
        <w:rPr>
          <w:rFonts w:ascii="宋体" w:hAnsi="宋体"/>
          <w:color w:val="auto"/>
          <w:szCs w:val="24"/>
          <w:highlight w:val="none"/>
        </w:rPr>
        <w:t>13</w:t>
      </w:r>
      <w:r>
        <w:rPr>
          <w:rFonts w:hint="eastAsia" w:ascii="宋体" w:hAnsi="宋体"/>
          <w:color w:val="auto"/>
          <w:szCs w:val="24"/>
          <w:highlight w:val="none"/>
        </w:rPr>
        <w:t>、必须提供网络调度与通讯失败的自动恢复，提供独立于硬件产品实现的客户端到服务器端以及服务器端到服务器端的网络故障恢复机制。</w:t>
      </w:r>
    </w:p>
    <w:p>
      <w:pPr>
        <w:pStyle w:val="8"/>
        <w:spacing w:line="360" w:lineRule="auto"/>
        <w:ind w:firstLine="480"/>
        <w:rPr>
          <w:rFonts w:ascii="宋体" w:hAnsi="宋体"/>
          <w:color w:val="auto"/>
          <w:szCs w:val="24"/>
          <w:highlight w:val="none"/>
        </w:rPr>
      </w:pPr>
      <w:r>
        <w:rPr>
          <w:rFonts w:ascii="宋体" w:hAnsi="宋体"/>
          <w:color w:val="auto"/>
          <w:szCs w:val="24"/>
          <w:highlight w:val="none"/>
        </w:rPr>
        <w:t>14</w:t>
      </w:r>
      <w:r>
        <w:rPr>
          <w:rFonts w:hint="eastAsia" w:ascii="宋体" w:hAnsi="宋体"/>
          <w:color w:val="auto"/>
          <w:szCs w:val="24"/>
          <w:highlight w:val="none"/>
        </w:rPr>
        <w:t>、传输优先级管理，能够支持消息按优先级传输，即消息被赋予一定的优先级，优先级较高的消息优先传输。</w:t>
      </w:r>
    </w:p>
    <w:p>
      <w:pPr>
        <w:pStyle w:val="8"/>
        <w:spacing w:line="360" w:lineRule="auto"/>
        <w:ind w:firstLine="480"/>
        <w:rPr>
          <w:rFonts w:ascii="宋体" w:hAnsi="宋体"/>
          <w:color w:val="auto"/>
          <w:szCs w:val="24"/>
          <w:highlight w:val="none"/>
        </w:rPr>
      </w:pPr>
      <w:r>
        <w:rPr>
          <w:rFonts w:ascii="宋体" w:hAnsi="宋体"/>
          <w:color w:val="auto"/>
          <w:szCs w:val="24"/>
          <w:highlight w:val="none"/>
        </w:rPr>
        <w:t>15</w:t>
      </w:r>
      <w:r>
        <w:rPr>
          <w:rFonts w:hint="eastAsia" w:ascii="宋体" w:hAnsi="宋体"/>
          <w:color w:val="auto"/>
          <w:szCs w:val="24"/>
          <w:highlight w:val="none"/>
        </w:rPr>
        <w:t>、支持事件驱动机制；在触发条件满足时，唤醒应用程序的执行，即应用程序不必总是在运行中的。当第一个或第几个信息到达一个指定的队列时，一个应用可以有选择的被触发起来。</w:t>
      </w:r>
    </w:p>
    <w:p>
      <w:pPr>
        <w:pStyle w:val="8"/>
        <w:spacing w:line="360" w:lineRule="auto"/>
        <w:ind w:firstLine="480"/>
        <w:rPr>
          <w:rFonts w:ascii="宋体" w:hAnsi="宋体"/>
          <w:color w:val="auto"/>
          <w:szCs w:val="24"/>
          <w:highlight w:val="none"/>
        </w:rPr>
      </w:pPr>
      <w:r>
        <w:rPr>
          <w:rFonts w:ascii="宋体" w:hAnsi="宋体"/>
          <w:color w:val="auto"/>
          <w:szCs w:val="24"/>
          <w:highlight w:val="none"/>
        </w:rPr>
        <w:t>16</w:t>
      </w:r>
      <w:r>
        <w:rPr>
          <w:rFonts w:hint="eastAsia" w:ascii="宋体" w:hAnsi="宋体"/>
          <w:color w:val="auto"/>
          <w:szCs w:val="24"/>
          <w:highlight w:val="none"/>
        </w:rPr>
        <w:t>、支持交易管理：</w:t>
      </w:r>
      <w:r>
        <w:rPr>
          <w:rFonts w:ascii="宋体" w:hAnsi="宋体"/>
          <w:color w:val="auto"/>
          <w:szCs w:val="24"/>
          <w:highlight w:val="none"/>
        </w:rPr>
        <w:t xml:space="preserve"> </w:t>
      </w:r>
      <w:r>
        <w:rPr>
          <w:rFonts w:hint="eastAsia" w:ascii="宋体" w:hAnsi="宋体"/>
          <w:color w:val="auto"/>
          <w:szCs w:val="24"/>
          <w:highlight w:val="none"/>
        </w:rPr>
        <w:t>多个队列的存取操作构成一个逻辑工作单元，进行统一提交或回退。同时它还支持两阶段提交，即通过标准的</w:t>
      </w:r>
      <w:r>
        <w:rPr>
          <w:rFonts w:ascii="宋体" w:hAnsi="宋体"/>
          <w:color w:val="auto"/>
          <w:szCs w:val="24"/>
          <w:highlight w:val="none"/>
        </w:rPr>
        <w:t>XA</w:t>
      </w:r>
      <w:r>
        <w:rPr>
          <w:rFonts w:hint="eastAsia" w:ascii="宋体" w:hAnsi="宋体"/>
          <w:color w:val="auto"/>
          <w:szCs w:val="24"/>
          <w:highlight w:val="none"/>
        </w:rPr>
        <w:t>标准，可以在多种交易处理软件的参与下实现队列操作与数据库操作的同步，完成两阶段提交。</w:t>
      </w:r>
    </w:p>
    <w:p>
      <w:pPr>
        <w:pStyle w:val="8"/>
        <w:spacing w:line="360" w:lineRule="auto"/>
        <w:ind w:firstLine="480"/>
        <w:rPr>
          <w:rFonts w:ascii="宋体" w:hAnsi="宋体"/>
          <w:color w:val="auto"/>
          <w:szCs w:val="24"/>
          <w:highlight w:val="none"/>
        </w:rPr>
      </w:pPr>
      <w:r>
        <w:rPr>
          <w:rFonts w:ascii="宋体" w:hAnsi="宋体"/>
          <w:color w:val="auto"/>
          <w:szCs w:val="24"/>
          <w:highlight w:val="none"/>
        </w:rPr>
        <w:t>17</w:t>
      </w:r>
      <w:r>
        <w:rPr>
          <w:rFonts w:hint="eastAsia" w:ascii="宋体" w:hAnsi="宋体"/>
          <w:color w:val="auto"/>
          <w:szCs w:val="24"/>
          <w:highlight w:val="none"/>
        </w:rPr>
        <w:t>、对大型消息和文件的支持</w:t>
      </w:r>
      <w:r>
        <w:rPr>
          <w:rFonts w:ascii="宋体" w:hAnsi="宋体"/>
          <w:color w:val="auto"/>
          <w:szCs w:val="24"/>
          <w:highlight w:val="none"/>
        </w:rPr>
        <w:t>,</w:t>
      </w:r>
      <w:r>
        <w:rPr>
          <w:rFonts w:hint="eastAsia" w:ascii="宋体" w:hAnsi="宋体"/>
          <w:color w:val="auto"/>
          <w:szCs w:val="24"/>
          <w:highlight w:val="none"/>
        </w:rPr>
        <w:t>传输数据的长度支持不小于</w:t>
      </w:r>
      <w:r>
        <w:rPr>
          <w:rFonts w:ascii="宋体" w:hAnsi="宋体"/>
          <w:color w:val="auto"/>
          <w:szCs w:val="24"/>
          <w:highlight w:val="none"/>
        </w:rPr>
        <w:t>100M,</w:t>
      </w:r>
      <w:r>
        <w:rPr>
          <w:rFonts w:hint="eastAsia" w:ascii="宋体" w:hAnsi="宋体"/>
          <w:color w:val="auto"/>
          <w:szCs w:val="24"/>
          <w:highlight w:val="none"/>
        </w:rPr>
        <w:t>并且支持大型消息的自动分组传输和自动重组。</w:t>
      </w:r>
    </w:p>
    <w:p>
      <w:pPr>
        <w:pStyle w:val="8"/>
        <w:spacing w:line="360" w:lineRule="auto"/>
        <w:ind w:firstLine="480"/>
        <w:rPr>
          <w:rFonts w:hint="eastAsia" w:ascii="宋体" w:hAnsi="宋体"/>
          <w:color w:val="auto"/>
          <w:szCs w:val="24"/>
          <w:highlight w:val="none"/>
        </w:rPr>
      </w:pPr>
      <w:r>
        <w:rPr>
          <w:rFonts w:ascii="宋体" w:hAnsi="宋体"/>
          <w:color w:val="auto"/>
          <w:szCs w:val="24"/>
          <w:highlight w:val="none"/>
        </w:rPr>
        <w:t>18</w:t>
      </w:r>
      <w:r>
        <w:rPr>
          <w:rFonts w:hint="eastAsia" w:ascii="宋体" w:hAnsi="宋体"/>
          <w:color w:val="auto"/>
          <w:szCs w:val="24"/>
          <w:highlight w:val="none"/>
        </w:rPr>
        <w:t>、支持群集功能。队列管理器之间能够共享负载，进行自动负载均衡。</w:t>
      </w:r>
    </w:p>
    <w:p>
      <w:pPr>
        <w:pStyle w:val="3"/>
        <w:numPr>
          <w:ilvl w:val="0"/>
          <w:numId w:val="8"/>
        </w:numPr>
        <w:autoSpaceDE/>
        <w:autoSpaceDN/>
        <w:adjustRightInd/>
        <w:spacing w:before="340" w:after="0" w:line="578" w:lineRule="auto"/>
        <w:jc w:val="both"/>
        <w:rPr>
          <w:rFonts w:ascii="宋体" w:hAnsi="宋体"/>
          <w:color w:val="auto"/>
          <w:sz w:val="24"/>
          <w:highlight w:val="none"/>
        </w:rPr>
      </w:pPr>
      <w:bookmarkStart w:id="1050" w:name="_Toc138247804"/>
      <w:bookmarkStart w:id="1051" w:name="_Toc1282246019"/>
      <w:bookmarkStart w:id="1052" w:name="_Toc28386"/>
      <w:bookmarkStart w:id="1053" w:name="_Toc110249517"/>
      <w:r>
        <w:rPr>
          <w:rFonts w:hint="eastAsia" w:ascii="宋体" w:hAnsi="宋体"/>
          <w:color w:val="auto"/>
          <w:sz w:val="24"/>
          <w:highlight w:val="none"/>
        </w:rPr>
        <w:t>标准依据</w:t>
      </w:r>
      <w:bookmarkEnd w:id="1050"/>
      <w:bookmarkEnd w:id="1051"/>
      <w:bookmarkEnd w:id="1052"/>
      <w:bookmarkEnd w:id="1053"/>
    </w:p>
    <w:p>
      <w:pPr>
        <w:pStyle w:val="64"/>
        <w:widowControl w:val="0"/>
        <w:numPr>
          <w:ilvl w:val="0"/>
          <w:numId w:val="40"/>
        </w:numPr>
        <w:spacing w:line="360" w:lineRule="auto"/>
        <w:ind w:firstLineChars="0"/>
        <w:jc w:val="both"/>
        <w:rPr>
          <w:rFonts w:ascii="宋体" w:hAnsi="宋体" w:cs="仿宋_GB2312"/>
          <w:b/>
          <w:bCs/>
          <w:color w:val="auto"/>
          <w:highlight w:val="none"/>
        </w:rPr>
      </w:pPr>
      <w:r>
        <w:rPr>
          <w:rFonts w:hint="eastAsia" w:ascii="宋体" w:hAnsi="宋体" w:cs="仿宋_GB2312"/>
          <w:b/>
          <w:bCs/>
          <w:color w:val="auto"/>
          <w:highlight w:val="none"/>
        </w:rPr>
        <w:t>智慧医院方面</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bookmarkStart w:id="1054" w:name="OLE_LINK26"/>
      <w:bookmarkEnd w:id="1054"/>
      <w:bookmarkStart w:id="1055" w:name="OLE_LINK27"/>
      <w:bookmarkEnd w:id="1055"/>
      <w:bookmarkStart w:id="1056" w:name="OLE_LINK25"/>
      <w:bookmarkEnd w:id="1056"/>
      <w:r>
        <w:rPr>
          <w:rFonts w:ascii="宋体" w:hAnsi="宋体" w:cs="仿宋_GB2312"/>
          <w:color w:val="auto"/>
          <w:highlight w:val="none"/>
        </w:rPr>
        <w:t>电子病历系统应用水平分级评价标准（试行）</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《医院智慧管理分级评估标准体系（试行）》</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《医院智慧服务分级评估标准体系（试行）》</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医院信息互联互通标准化成熟度测评方案（2020年版）</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全国医院信息化建设标准与规范（试行）</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医院信息化建设应用技术指引（2017年版）</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医院信息平台应用功能指引</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公立医院运营管理信息化功能指引</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《三级医院等级评审</w:t>
      </w:r>
      <w:r>
        <w:rPr>
          <w:rFonts w:ascii="宋体" w:hAnsi="宋体" w:cs="仿宋_GB2312"/>
          <w:color w:val="auto"/>
          <w:highlight w:val="none"/>
        </w:rPr>
        <w:t>（2022年版）</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ascii="宋体" w:hAnsi="宋体" w:cs="仿宋_GB2312"/>
          <w:color w:val="auto"/>
          <w:highlight w:val="none"/>
        </w:rPr>
        <w:t>《三级医院评审标准（2022年版）实施细则》</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电子病历基本数据集编制规范-临床文档基础模板数据集</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WS 445—2014电子病历基本数据集</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WS/T 500—2016电子病历共享文档规范</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WS/T 501—2016电子病历与医院信息平台标准符合性测试规范</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WS/T 526—2016 妇幼保健服务信息系统基本功能规范</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WS 670—2021 医疗机构感染监测基本数据集</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WS/T778—2021 药品采购使用管理分类代码与标识码</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ascii="宋体" w:hAnsi="宋体" w:cs="仿宋_GB2312"/>
          <w:color w:val="auto"/>
          <w:highlight w:val="none"/>
        </w:rPr>
        <w:t>《公立医院成本核算规范》</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ascii="宋体" w:hAnsi="宋体" w:cs="仿宋_GB2312"/>
          <w:color w:val="auto"/>
          <w:highlight w:val="none"/>
        </w:rPr>
        <w:t>《国家三级公立医院绩效考核操作手册（2023版）》</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手术操作分类代码国家临床版3.0</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绩效考核与医疗质量管理住院病案首页数据采集质量与接口标准</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绩效考核与医疗质量管理附加指标项数据采集质量与接口标准</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ascii="宋体" w:hAnsi="宋体" w:cs="仿宋_GB2312"/>
          <w:color w:val="auto"/>
          <w:highlight w:val="none"/>
        </w:rPr>
        <w:t>《国家医疗保障DRG分组与付费技术规范》</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ascii="宋体" w:hAnsi="宋体" w:cs="仿宋_GB2312"/>
          <w:color w:val="auto"/>
          <w:highlight w:val="none"/>
        </w:rPr>
        <w:t>《国家医疗保障DRG（CHS-DRG）分组方案》</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国家医疗保障疾病诊断相关分组（CHS-DRG）细分组（1.0版）</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国家医疗保障按病种分值付费</w:t>
      </w:r>
      <w:r>
        <w:rPr>
          <w:rFonts w:hint="eastAsia" w:ascii="宋体" w:hAnsi="宋体" w:cs="仿宋_GB2312"/>
          <w:color w:val="auto"/>
          <w:highlight w:val="none"/>
        </w:rPr>
        <w:t>（D</w:t>
      </w:r>
      <w:r>
        <w:rPr>
          <w:rFonts w:ascii="宋体" w:hAnsi="宋体" w:cs="仿宋_GB2312"/>
          <w:color w:val="auto"/>
          <w:highlight w:val="none"/>
        </w:rPr>
        <w:t>IP</w:t>
      </w:r>
      <w:r>
        <w:rPr>
          <w:rFonts w:hint="eastAsia" w:ascii="宋体" w:hAnsi="宋体" w:cs="仿宋_GB2312"/>
          <w:color w:val="auto"/>
          <w:highlight w:val="none"/>
        </w:rPr>
        <w:t>）</w:t>
      </w:r>
      <w:r>
        <w:rPr>
          <w:rFonts w:ascii="宋体" w:hAnsi="宋体" w:cs="仿宋_GB2312"/>
          <w:color w:val="auto"/>
          <w:highlight w:val="none"/>
        </w:rPr>
        <w:t>技术规范和DIP病种目录库（1.0版）</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全国医院上报数据统计分析指标集（试行）</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ascii="宋体" w:hAnsi="宋体" w:cs="仿宋_GB2312"/>
          <w:color w:val="auto"/>
          <w:highlight w:val="none"/>
        </w:rPr>
        <w:t>《全国医院数据上报管理方案（试行）》</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WS/T 598—2018卫生统计指标</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ascii="宋体" w:hAnsi="宋体" w:cs="仿宋_GB2312"/>
          <w:color w:val="auto"/>
          <w:highlight w:val="none"/>
        </w:rPr>
        <w:t>《互联网医疗健康信息安全管理规范（征求意见稿）》</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互联网诊疗监管细则（试行）</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“互联网+医疗服务”项目技术规范</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ascii="宋体" w:hAnsi="宋体" w:cs="仿宋_GB2312"/>
          <w:color w:val="auto"/>
          <w:highlight w:val="none"/>
        </w:rPr>
        <w:t>《中华人民共和国电子签名法》</w:t>
      </w:r>
    </w:p>
    <w:p>
      <w:pPr>
        <w:pStyle w:val="64"/>
        <w:widowControl w:val="0"/>
        <w:numPr>
          <w:ilvl w:val="0"/>
          <w:numId w:val="40"/>
        </w:numPr>
        <w:spacing w:line="360" w:lineRule="auto"/>
        <w:ind w:firstLineChars="0"/>
        <w:jc w:val="both"/>
        <w:rPr>
          <w:rFonts w:ascii="宋体" w:hAnsi="宋体" w:cs="仿宋_GB2312"/>
          <w:b/>
          <w:bCs/>
          <w:color w:val="auto"/>
          <w:highlight w:val="none"/>
        </w:rPr>
      </w:pPr>
      <w:r>
        <w:rPr>
          <w:rFonts w:hint="eastAsia" w:ascii="宋体" w:hAnsi="宋体" w:cs="仿宋_GB2312"/>
          <w:b/>
          <w:bCs/>
          <w:color w:val="auto"/>
          <w:highlight w:val="none"/>
        </w:rPr>
        <w:t>区域医疗中心方面</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国家传染病医学中心设置标准</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国家传染病区域医疗中心设置标准</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紧密型县域医疗卫生共同体建设评判标准和监测指标体系（试行）</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各省（区、市）推进公立医院高质量发展评价指标（试行）</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ascii="宋体" w:hAnsi="宋体" w:cs="仿宋_GB2312"/>
          <w:color w:val="auto"/>
          <w:highlight w:val="none"/>
        </w:rPr>
        <w:t>《医疗机构设置规划指导原则（2021-2025年）》</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《全国基层医疗卫生机构信息化建设标准与规范（试行）》</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区域全民健康信息互联互通标准化成熟度测评方案（2020年版）</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WS/T 483—2016健康档案共享文档规范</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WS/T 502—2016电子健康档案与区域卫生信息平台标准符合性测试规范</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WS/T 517—2016 基层医疗卫生信息系统基本功能规范</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WS/T 529—2016远程医疗信息系统基本功能规范</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WS/T 545—2017 远程医疗信息系统技术规范</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WS/T 790—2021 区域卫生信息平台交互标准</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居民健康卡数据集》等18项卫生行业标准</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T/CMDA 003-2020 肝胆疾病标准数据规范-肝癌科研病历标准数据集</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《国家健康医疗大数据标准、安全和服务管理办法（试行）》</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《中华人民共和国国民经济和社会发展第十四个五年规划和</w:t>
      </w:r>
      <w:r>
        <w:rPr>
          <w:rFonts w:ascii="宋体" w:hAnsi="宋体" w:cs="仿宋_GB2312"/>
          <w:color w:val="auto"/>
          <w:highlight w:val="none"/>
        </w:rPr>
        <w:t>2035年远景目标纲要》</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《“十四五”优质高效医疗卫生服务体系建设实施方案》（发改社会〔</w:t>
      </w:r>
      <w:r>
        <w:rPr>
          <w:rFonts w:ascii="宋体" w:hAnsi="宋体" w:cs="仿宋_GB2312"/>
          <w:color w:val="auto"/>
          <w:highlight w:val="none"/>
        </w:rPr>
        <w:t>2021〕893号）</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《国务院办公厅关于推动公立医院高质量发展的意见》（国办发〔</w:t>
      </w:r>
      <w:r>
        <w:rPr>
          <w:rFonts w:ascii="宋体" w:hAnsi="宋体" w:cs="仿宋_GB2312"/>
          <w:color w:val="auto"/>
          <w:highlight w:val="none"/>
        </w:rPr>
        <w:t>2021〕18号）</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《公立医院高质量发展促进行动（</w:t>
      </w:r>
      <w:r>
        <w:rPr>
          <w:rFonts w:ascii="宋体" w:hAnsi="宋体" w:cs="仿宋_GB2312"/>
          <w:color w:val="auto"/>
          <w:highlight w:val="none"/>
        </w:rPr>
        <w:t>2021-2025年）》</w:t>
      </w:r>
      <w:r>
        <w:rPr>
          <w:rFonts w:hint="eastAsia" w:ascii="宋体" w:hAnsi="宋体" w:cs="仿宋_GB2312"/>
          <w:color w:val="auto"/>
          <w:highlight w:val="none"/>
        </w:rPr>
        <w:t>（国卫医发〔</w:t>
      </w:r>
      <w:r>
        <w:rPr>
          <w:rFonts w:ascii="宋体" w:hAnsi="宋体" w:cs="仿宋_GB2312"/>
          <w:color w:val="auto"/>
          <w:highlight w:val="none"/>
        </w:rPr>
        <w:t>2021〕27号）</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《有序扩大国家区域医疗中心建设工作方案》（发改社会〔</w:t>
      </w:r>
      <w:r>
        <w:rPr>
          <w:rFonts w:ascii="宋体" w:hAnsi="宋体" w:cs="仿宋_GB2312"/>
          <w:color w:val="auto"/>
          <w:highlight w:val="none"/>
        </w:rPr>
        <w:t>2022〕527号）</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《国家区域医疗中心管理办法（试行）》国卫办医政发〔</w:t>
      </w:r>
      <w:r>
        <w:rPr>
          <w:rFonts w:ascii="宋体" w:hAnsi="宋体" w:cs="仿宋_GB2312"/>
          <w:color w:val="auto"/>
          <w:highlight w:val="none"/>
        </w:rPr>
        <w:t>2022〕17号</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《关于印发“十四五”全民健康信息化规划的通知》（国卫规划发〔</w:t>
      </w:r>
      <w:r>
        <w:rPr>
          <w:rFonts w:ascii="宋体" w:hAnsi="宋体" w:cs="仿宋_GB2312"/>
          <w:color w:val="auto"/>
          <w:highlight w:val="none"/>
        </w:rPr>
        <w:t>2022〕30号</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《紧密型城市医疗集团建设试点工作方案》国家卫健委、国家发改委、财政部等</w:t>
      </w:r>
      <w:r>
        <w:rPr>
          <w:rFonts w:ascii="宋体" w:hAnsi="宋体" w:cs="仿宋_GB2312"/>
          <w:color w:val="auto"/>
          <w:highlight w:val="none"/>
        </w:rPr>
        <w:t>6部门 国卫医政函〔2023〕27号</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《关于印发自治区推动公立医院高质量发展实施意见的通知》（新政办发[2021]118号）等</w:t>
      </w:r>
    </w:p>
    <w:p>
      <w:pPr>
        <w:pStyle w:val="64"/>
        <w:widowControl w:val="0"/>
        <w:numPr>
          <w:ilvl w:val="0"/>
          <w:numId w:val="40"/>
        </w:numPr>
        <w:spacing w:line="360" w:lineRule="auto"/>
        <w:ind w:firstLineChars="0"/>
        <w:jc w:val="both"/>
        <w:rPr>
          <w:rFonts w:ascii="宋体" w:hAnsi="宋体" w:cs="仿宋_GB2312"/>
          <w:b/>
          <w:bCs/>
          <w:color w:val="auto"/>
          <w:highlight w:val="none"/>
        </w:rPr>
      </w:pPr>
      <w:r>
        <w:rPr>
          <w:rFonts w:hint="eastAsia" w:ascii="宋体" w:hAnsi="宋体" w:cs="仿宋_GB2312"/>
          <w:b/>
          <w:bCs/>
          <w:color w:val="auto"/>
          <w:highlight w:val="none"/>
        </w:rPr>
        <w:t>医疗质量管理方面</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病种临床路径（2019年版）</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十八项医疗质量安全核心制度</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TCHAS 10-4-4—2019 中国医院质量安全管理第 4-4 部分 医疗管理 医疗风险管理</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病案管理质量控制指标（2021年版）</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2022 年国家医疗质量安全改进目标</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医疗质量管理与控制指标汇编3.0</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医院感染管理质量控制指标（2015年版）</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重症医学专业医疗质量控制指标（2015年版）</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麻醉专业医疗质量控制指标（2015年版）</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急诊专业医疗质量控制指标（2015年版）</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临床检验专业医疗质量控制指标（2015年版）</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病理专业医疗质量控制指标（2015年版）</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临床用血质量控制指标（2019年版）</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呼吸内科和产科专业医疗质量控制指标（2019年版）</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药事管理和护理专业医疗质量控制指标（2020年版）</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心血管系统疾病相关专业医疗质量控制指标（2021年版）</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心血管疾病介入等4个介入类诊疗技术临床应用管理规范</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抗肿瘤药物临床合理应用管理指标（2021年版）</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超声诊断等5个专业医疗质量控制指标（2022年版）</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食源性疾病监测报告工作规范（试行）</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肿瘤和血液病相关病种诊疗指南（2022年版）</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医疗机构门诊质量管理暂行规定</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医疗废物集中处置设施能力建设实施方案</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hint="eastAsia" w:ascii="宋体" w:hAnsi="宋体" w:cs="仿宋_GB2312"/>
          <w:color w:val="auto"/>
          <w:highlight w:val="none"/>
        </w:rPr>
        <w:t>《</w:t>
      </w:r>
      <w:r>
        <w:rPr>
          <w:rFonts w:ascii="宋体" w:hAnsi="宋体" w:cs="仿宋_GB2312"/>
          <w:color w:val="auto"/>
          <w:highlight w:val="none"/>
        </w:rPr>
        <w:t>GB/T 39725-2020信息安全技术健康医疗数据安全指南</w:t>
      </w:r>
      <w:r>
        <w:rPr>
          <w:rFonts w:hint="eastAsia" w:ascii="宋体" w:hAnsi="宋体" w:cs="仿宋_GB2312"/>
          <w:color w:val="auto"/>
          <w:highlight w:val="none"/>
        </w:rPr>
        <w:t>》</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ascii="宋体" w:hAnsi="宋体" w:cs="仿宋_GB2312"/>
          <w:color w:val="auto"/>
          <w:highlight w:val="none"/>
        </w:rPr>
        <w:t>《中华人民共和国网络安全法》</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ascii="宋体" w:hAnsi="宋体" w:cs="仿宋_GB2312"/>
          <w:color w:val="auto"/>
          <w:highlight w:val="none"/>
        </w:rPr>
        <w:t>《中华人民共和国数据安全法》</w:t>
      </w:r>
    </w:p>
    <w:p>
      <w:pPr>
        <w:pStyle w:val="64"/>
        <w:widowControl w:val="0"/>
        <w:numPr>
          <w:ilvl w:val="0"/>
          <w:numId w:val="41"/>
        </w:numPr>
        <w:shd w:val="clear" w:color="auto" w:fill="FFFFFF"/>
        <w:spacing w:line="360" w:lineRule="auto"/>
        <w:ind w:firstLineChars="0"/>
        <w:jc w:val="both"/>
        <w:rPr>
          <w:rFonts w:ascii="宋体" w:hAnsi="宋体" w:cs="仿宋_GB2312"/>
          <w:color w:val="auto"/>
          <w:highlight w:val="none"/>
        </w:rPr>
      </w:pPr>
      <w:r>
        <w:rPr>
          <w:rFonts w:ascii="宋体" w:hAnsi="宋体" w:cs="仿宋_GB2312"/>
          <w:color w:val="auto"/>
          <w:highlight w:val="none"/>
        </w:rPr>
        <w:t>《中华人民共和国标准化法》</w:t>
      </w:r>
    </w:p>
    <w:p>
      <w:pPr>
        <w:pStyle w:val="3"/>
        <w:numPr>
          <w:ilvl w:val="0"/>
          <w:numId w:val="8"/>
        </w:numPr>
        <w:autoSpaceDE/>
        <w:autoSpaceDN/>
        <w:adjustRightInd/>
        <w:spacing w:before="340" w:after="330" w:line="578" w:lineRule="auto"/>
        <w:jc w:val="both"/>
        <w:rPr>
          <w:rFonts w:hAnsi="宋体"/>
          <w:color w:val="auto"/>
          <w:sz w:val="24"/>
          <w:szCs w:val="24"/>
          <w:highlight w:val="none"/>
        </w:rPr>
      </w:pPr>
      <w:bookmarkStart w:id="1057" w:name="_Toc138247853"/>
      <w:bookmarkStart w:id="1058" w:name="_Toc2111873080"/>
      <w:bookmarkStart w:id="1059" w:name="_Toc480700340"/>
      <w:bookmarkStart w:id="1060" w:name="_Toc2018"/>
      <w:bookmarkStart w:id="1061" w:name="_Toc477293997"/>
      <w:bookmarkStart w:id="1062" w:name="_Toc519611370"/>
      <w:bookmarkStart w:id="1063" w:name="_Toc480888439"/>
      <w:r>
        <w:rPr>
          <w:rFonts w:hAnsi="宋体"/>
          <w:color w:val="auto"/>
          <w:sz w:val="24"/>
          <w:szCs w:val="24"/>
          <w:highlight w:val="none"/>
        </w:rPr>
        <w:t>项目实施及售后服务要求</w:t>
      </w:r>
      <w:bookmarkEnd w:id="1057"/>
      <w:bookmarkEnd w:id="1058"/>
      <w:bookmarkEnd w:id="1059"/>
      <w:bookmarkEnd w:id="1060"/>
      <w:bookmarkEnd w:id="1061"/>
      <w:bookmarkEnd w:id="1062"/>
      <w:bookmarkEnd w:id="1063"/>
    </w:p>
    <w:p>
      <w:pPr>
        <w:pStyle w:val="4"/>
        <w:keepNext w:val="0"/>
        <w:keepLines w:val="0"/>
        <w:numPr>
          <w:ilvl w:val="1"/>
          <w:numId w:val="8"/>
        </w:numPr>
        <w:tabs>
          <w:tab w:val="left" w:pos="720"/>
        </w:tabs>
        <w:autoSpaceDE/>
        <w:autoSpaceDN/>
        <w:adjustRightInd/>
        <w:spacing w:before="0" w:line="240" w:lineRule="auto"/>
        <w:jc w:val="both"/>
        <w:outlineLvl w:val="2"/>
        <w:rPr>
          <w:rFonts w:ascii="宋体" w:hAnsi="宋体"/>
          <w:color w:val="auto"/>
          <w:sz w:val="24"/>
          <w:highlight w:val="none"/>
        </w:rPr>
      </w:pPr>
      <w:bookmarkStart w:id="1064" w:name="_Toc138247854"/>
      <w:bookmarkStart w:id="1065" w:name="_Toc519611371"/>
      <w:bookmarkStart w:id="1066" w:name="_Toc477293998"/>
      <w:bookmarkStart w:id="1067" w:name="_Toc26635"/>
      <w:bookmarkStart w:id="1068" w:name="_Toc480700341"/>
      <w:bookmarkStart w:id="1069" w:name="_Toc480888440"/>
      <w:bookmarkStart w:id="1070" w:name="_Toc641137944"/>
      <w:r>
        <w:rPr>
          <w:rFonts w:hint="eastAsia" w:ascii="宋体" w:hAnsi="宋体"/>
          <w:color w:val="auto"/>
          <w:sz w:val="24"/>
          <w:highlight w:val="none"/>
        </w:rPr>
        <w:t>项目进度要求</w:t>
      </w:r>
      <w:bookmarkEnd w:id="1064"/>
      <w:bookmarkEnd w:id="1065"/>
      <w:bookmarkEnd w:id="1066"/>
      <w:bookmarkEnd w:id="1067"/>
      <w:bookmarkEnd w:id="1068"/>
      <w:bookmarkEnd w:id="1069"/>
      <w:bookmarkEnd w:id="1070"/>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rPr>
        <w:t>项目总周期3年，202</w:t>
      </w:r>
      <w:r>
        <w:rPr>
          <w:rFonts w:ascii="宋体" w:hAnsi="宋体"/>
          <w:color w:val="auto"/>
          <w:szCs w:val="24"/>
          <w:highlight w:val="none"/>
        </w:rPr>
        <w:t>3</w:t>
      </w:r>
      <w:r>
        <w:rPr>
          <w:rFonts w:hint="eastAsia" w:ascii="宋体" w:hAnsi="宋体"/>
          <w:color w:val="auto"/>
          <w:szCs w:val="24"/>
          <w:highlight w:val="none"/>
        </w:rPr>
        <w:t>年至2025年，其中：智慧医院一体化及接口服务建设周期180天，区域大数据中心、区域传染病防控平台及区域监管平台等区域平台建设周期3年。运维服务：202</w:t>
      </w:r>
      <w:r>
        <w:rPr>
          <w:rFonts w:ascii="宋体" w:hAnsi="宋体"/>
          <w:color w:val="auto"/>
          <w:szCs w:val="24"/>
          <w:highlight w:val="none"/>
        </w:rPr>
        <w:t>3</w:t>
      </w:r>
      <w:r>
        <w:rPr>
          <w:rFonts w:hint="eastAsia" w:ascii="宋体" w:hAnsi="宋体"/>
          <w:color w:val="auto"/>
          <w:szCs w:val="24"/>
          <w:highlight w:val="none"/>
        </w:rPr>
        <w:t>年至2025共计3年。以双方合同签署日期为起始日期计算。</w:t>
      </w:r>
    </w:p>
    <w:p>
      <w:pPr>
        <w:pStyle w:val="8"/>
        <w:spacing w:line="360" w:lineRule="auto"/>
        <w:ind w:firstLine="480"/>
        <w:rPr>
          <w:rFonts w:ascii="宋体" w:hAnsi="宋体"/>
          <w:color w:val="auto"/>
          <w:highlight w:val="none"/>
        </w:rPr>
      </w:pPr>
      <w:r>
        <w:rPr>
          <w:rFonts w:hint="eastAsia" w:ascii="宋体" w:hAnsi="宋体"/>
          <w:color w:val="auto"/>
          <w:szCs w:val="24"/>
          <w:highlight w:val="none"/>
        </w:rPr>
        <w:t>硬件供货期：3</w:t>
      </w:r>
      <w:r>
        <w:rPr>
          <w:rFonts w:ascii="宋体" w:hAnsi="宋体"/>
          <w:color w:val="auto"/>
          <w:szCs w:val="24"/>
          <w:highlight w:val="none"/>
        </w:rPr>
        <w:t>0</w:t>
      </w:r>
      <w:r>
        <w:rPr>
          <w:rFonts w:hint="eastAsia" w:ascii="宋体" w:hAnsi="宋体"/>
          <w:color w:val="auto"/>
          <w:szCs w:val="24"/>
          <w:highlight w:val="none"/>
        </w:rPr>
        <w:t>天。</w:t>
      </w:r>
    </w:p>
    <w:p>
      <w:pPr>
        <w:pStyle w:val="4"/>
        <w:keepNext w:val="0"/>
        <w:keepLines w:val="0"/>
        <w:numPr>
          <w:ilvl w:val="1"/>
          <w:numId w:val="8"/>
        </w:numPr>
        <w:tabs>
          <w:tab w:val="left" w:pos="720"/>
        </w:tabs>
        <w:autoSpaceDE/>
        <w:autoSpaceDN/>
        <w:adjustRightInd/>
        <w:spacing w:before="0" w:line="240" w:lineRule="auto"/>
        <w:jc w:val="both"/>
        <w:outlineLvl w:val="2"/>
        <w:rPr>
          <w:rFonts w:ascii="宋体" w:hAnsi="宋体"/>
          <w:color w:val="auto"/>
          <w:sz w:val="24"/>
          <w:highlight w:val="none"/>
        </w:rPr>
      </w:pPr>
      <w:bookmarkStart w:id="1071" w:name="_Toc519611372"/>
      <w:bookmarkStart w:id="1072" w:name="_Toc480700342"/>
      <w:bookmarkStart w:id="1073" w:name="_Toc14147"/>
      <w:bookmarkStart w:id="1074" w:name="_Toc480888441"/>
      <w:bookmarkStart w:id="1075" w:name="_Toc138247855"/>
      <w:bookmarkStart w:id="1076" w:name="_Toc477293999"/>
      <w:bookmarkStart w:id="1077" w:name="_Toc1679967809"/>
      <w:r>
        <w:rPr>
          <w:rFonts w:hint="eastAsia" w:ascii="宋体" w:hAnsi="宋体"/>
          <w:color w:val="auto"/>
          <w:sz w:val="24"/>
          <w:highlight w:val="none"/>
        </w:rPr>
        <w:t>系统集成实施要求</w:t>
      </w:r>
      <w:bookmarkEnd w:id="1071"/>
      <w:bookmarkEnd w:id="1072"/>
      <w:bookmarkEnd w:id="1073"/>
      <w:bookmarkEnd w:id="1074"/>
      <w:bookmarkEnd w:id="1075"/>
      <w:bookmarkEnd w:id="1076"/>
      <w:bookmarkEnd w:id="1077"/>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rPr>
        <w:t>1、项目系统集成实施的进度计划及控制</w:t>
      </w:r>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rPr>
        <w:t>项目实施进度要求：要求</w:t>
      </w:r>
      <w:r>
        <w:rPr>
          <w:rFonts w:hint="eastAsia" w:ascii="宋体" w:hAnsi="宋体"/>
          <w:color w:val="auto"/>
          <w:szCs w:val="24"/>
          <w:highlight w:val="none"/>
          <w:lang w:eastAsia="zh-CN"/>
        </w:rPr>
        <w:t>投标人</w:t>
      </w:r>
      <w:r>
        <w:rPr>
          <w:rFonts w:hint="eastAsia" w:ascii="宋体" w:hAnsi="宋体"/>
          <w:color w:val="auto"/>
          <w:szCs w:val="24"/>
          <w:highlight w:val="none"/>
        </w:rPr>
        <w:t>根据项目建设单位的实际情况，科学合理的定出集成实施的时间表。</w:t>
      </w:r>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rPr>
        <w:t>对项目实施的各个阶段：需求分析阶段、系统配置、系统集成实施准备阶段、系统培训阶段、系统部署阶段、系统初验测试阶段、系统试运行阶段、系统终验阶段的进度做出详细的计划。</w:t>
      </w:r>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rPr>
        <w:t>对项目实施的进度计划及控制中各阶段中投标人所要做的工作及保障措施做出详细安排。</w:t>
      </w:r>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rPr>
        <w:t>2、全面的项目质量管理体系</w:t>
      </w:r>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lang w:eastAsia="zh-CN"/>
        </w:rPr>
        <w:t>投标人</w:t>
      </w:r>
      <w:r>
        <w:rPr>
          <w:rFonts w:hint="eastAsia" w:ascii="宋体" w:hAnsi="宋体"/>
          <w:color w:val="auto"/>
          <w:szCs w:val="24"/>
          <w:highlight w:val="none"/>
        </w:rPr>
        <w:t>须提出项目实施中的集成技术设计、系统开发、安装调试和项目售后服务的全过程质量管理及控制提出具体措施，并提出质量保障目标的承诺。</w:t>
      </w:r>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rPr>
        <w:t>要求</w:t>
      </w:r>
      <w:r>
        <w:rPr>
          <w:rFonts w:hint="eastAsia" w:ascii="宋体" w:hAnsi="宋体"/>
          <w:color w:val="auto"/>
          <w:szCs w:val="24"/>
          <w:highlight w:val="none"/>
          <w:lang w:eastAsia="zh-CN"/>
        </w:rPr>
        <w:t>投标人</w:t>
      </w:r>
      <w:r>
        <w:rPr>
          <w:rFonts w:hint="eastAsia" w:ascii="宋体" w:hAnsi="宋体"/>
          <w:color w:val="auto"/>
          <w:szCs w:val="24"/>
          <w:highlight w:val="none"/>
        </w:rPr>
        <w:t>对本项目的工程实施进行风险控制。</w:t>
      </w:r>
    </w:p>
    <w:p>
      <w:pPr>
        <w:pStyle w:val="4"/>
        <w:keepNext w:val="0"/>
        <w:keepLines w:val="0"/>
        <w:numPr>
          <w:ilvl w:val="1"/>
          <w:numId w:val="8"/>
        </w:numPr>
        <w:tabs>
          <w:tab w:val="left" w:pos="720"/>
        </w:tabs>
        <w:autoSpaceDE/>
        <w:autoSpaceDN/>
        <w:adjustRightInd/>
        <w:spacing w:before="0" w:line="240" w:lineRule="auto"/>
        <w:jc w:val="both"/>
        <w:outlineLvl w:val="2"/>
        <w:rPr>
          <w:rFonts w:ascii="宋体" w:hAnsi="宋体"/>
          <w:color w:val="auto"/>
          <w:sz w:val="24"/>
          <w:highlight w:val="none"/>
        </w:rPr>
      </w:pPr>
      <w:bookmarkStart w:id="1078" w:name="_Toc519611373"/>
      <w:bookmarkStart w:id="1079" w:name="_Toc480888442"/>
      <w:bookmarkStart w:id="1080" w:name="_Toc477294000"/>
      <w:bookmarkStart w:id="1081" w:name="_Toc138247856"/>
      <w:bookmarkStart w:id="1082" w:name="_Toc480700343"/>
      <w:bookmarkStart w:id="1083" w:name="_Toc103975107"/>
      <w:bookmarkStart w:id="1084" w:name="_Toc26361"/>
      <w:r>
        <w:rPr>
          <w:rFonts w:hint="eastAsia" w:ascii="宋体" w:hAnsi="宋体"/>
          <w:color w:val="auto"/>
          <w:sz w:val="24"/>
          <w:highlight w:val="none"/>
        </w:rPr>
        <w:t>项目验收要求</w:t>
      </w:r>
      <w:bookmarkEnd w:id="1078"/>
      <w:bookmarkEnd w:id="1079"/>
      <w:bookmarkEnd w:id="1080"/>
      <w:bookmarkEnd w:id="1081"/>
      <w:bookmarkEnd w:id="1082"/>
      <w:bookmarkEnd w:id="1083"/>
      <w:bookmarkEnd w:id="1084"/>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rPr>
        <w:t>1、系统集成安装时，</w:t>
      </w:r>
      <w:r>
        <w:rPr>
          <w:rFonts w:hint="eastAsia" w:ascii="宋体" w:hAnsi="宋体"/>
          <w:color w:val="auto"/>
          <w:szCs w:val="24"/>
          <w:highlight w:val="none"/>
          <w:lang w:eastAsia="zh-CN"/>
        </w:rPr>
        <w:t>投标人</w:t>
      </w:r>
      <w:r>
        <w:rPr>
          <w:rFonts w:hint="eastAsia" w:ascii="宋体" w:hAnsi="宋体"/>
          <w:color w:val="auto"/>
          <w:szCs w:val="24"/>
          <w:highlight w:val="none"/>
        </w:rPr>
        <w:t>应提供最新型号和软件的最新版本。</w:t>
      </w:r>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rPr>
        <w:t>2、</w:t>
      </w:r>
      <w:r>
        <w:rPr>
          <w:rFonts w:hint="eastAsia" w:ascii="宋体" w:hAnsi="宋体"/>
          <w:color w:val="auto"/>
          <w:szCs w:val="24"/>
          <w:highlight w:val="none"/>
          <w:lang w:eastAsia="zh-CN"/>
        </w:rPr>
        <w:t>投标人</w:t>
      </w:r>
      <w:r>
        <w:rPr>
          <w:rFonts w:hint="eastAsia" w:ascii="宋体" w:hAnsi="宋体"/>
          <w:color w:val="auto"/>
          <w:szCs w:val="24"/>
          <w:highlight w:val="none"/>
        </w:rPr>
        <w:t>必须在合同规定的时间内，以完工验收申请报告形式书面通知招标人以声明整个系统完毕，招标人确认申请报告的第三个工作日为验收测试开始日。</w:t>
      </w:r>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rPr>
        <w:t>3、招标人与</w:t>
      </w:r>
      <w:r>
        <w:rPr>
          <w:rFonts w:hint="eastAsia" w:ascii="宋体" w:hAnsi="宋体"/>
          <w:color w:val="auto"/>
          <w:szCs w:val="24"/>
          <w:highlight w:val="none"/>
          <w:lang w:eastAsia="zh-CN"/>
        </w:rPr>
        <w:t>投标人</w:t>
      </w:r>
      <w:r>
        <w:rPr>
          <w:rFonts w:hint="eastAsia" w:ascii="宋体" w:hAnsi="宋体"/>
          <w:color w:val="auto"/>
          <w:szCs w:val="24"/>
          <w:highlight w:val="none"/>
        </w:rPr>
        <w:t>一起对整个系统集成依据合同要求进行检查测试；对集成的每一部分进行诊断，并对系统进行48小时测试。</w:t>
      </w:r>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rPr>
        <w:t>4、测试结束后，招标人按《用户手册》和经过调研后双方确认的功能模块和客户化需求确认书对中标方提供的应用软件进行验收。</w:t>
      </w:r>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rPr>
        <w:t>5、验收由招标方组织有关人员进行，乙方应派人到场参加，双方对验收结果确认，并签署《验收报告书》，甲乙双方各执贰份。</w:t>
      </w:r>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rPr>
        <w:t>6、验收交付文档：</w:t>
      </w:r>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rPr>
        <w:t>(1)需求分析说明书；</w:t>
      </w:r>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rPr>
        <w:t>(2)概要设计说明书；</w:t>
      </w:r>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rPr>
        <w:t>(3)详细设计说明书；</w:t>
      </w:r>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rPr>
        <w:t>(4)测试报告；</w:t>
      </w:r>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rPr>
        <w:t>(5)用户使用手册；</w:t>
      </w:r>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rPr>
        <w:t>(6)程序文件；</w:t>
      </w:r>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rPr>
        <w:t>(7)项目验收报告。</w:t>
      </w:r>
    </w:p>
    <w:p>
      <w:pPr>
        <w:pStyle w:val="4"/>
        <w:keepNext w:val="0"/>
        <w:keepLines w:val="0"/>
        <w:numPr>
          <w:ilvl w:val="1"/>
          <w:numId w:val="8"/>
        </w:numPr>
        <w:tabs>
          <w:tab w:val="left" w:pos="720"/>
        </w:tabs>
        <w:autoSpaceDE/>
        <w:autoSpaceDN/>
        <w:adjustRightInd/>
        <w:spacing w:before="0" w:line="240" w:lineRule="auto"/>
        <w:jc w:val="both"/>
        <w:outlineLvl w:val="2"/>
        <w:rPr>
          <w:rFonts w:ascii="宋体" w:hAnsi="宋体"/>
          <w:color w:val="auto"/>
          <w:sz w:val="24"/>
          <w:highlight w:val="none"/>
        </w:rPr>
      </w:pPr>
      <w:bookmarkStart w:id="1085" w:name="_Toc519611374"/>
      <w:bookmarkStart w:id="1086" w:name="_Toc1605418338"/>
      <w:bookmarkStart w:id="1087" w:name="_Toc480700344"/>
      <w:bookmarkStart w:id="1088" w:name="_Toc477294001"/>
      <w:bookmarkStart w:id="1089" w:name="_Toc480888443"/>
      <w:bookmarkStart w:id="1090" w:name="_Toc31336"/>
      <w:bookmarkStart w:id="1091" w:name="_Toc138247857"/>
      <w:r>
        <w:rPr>
          <w:rFonts w:hint="eastAsia" w:ascii="宋体" w:hAnsi="宋体"/>
          <w:color w:val="auto"/>
          <w:sz w:val="24"/>
          <w:highlight w:val="none"/>
        </w:rPr>
        <w:t>项目培训要求</w:t>
      </w:r>
      <w:bookmarkEnd w:id="1085"/>
      <w:bookmarkEnd w:id="1086"/>
      <w:bookmarkEnd w:id="1087"/>
      <w:bookmarkEnd w:id="1088"/>
      <w:bookmarkEnd w:id="1089"/>
      <w:bookmarkEnd w:id="1090"/>
      <w:bookmarkEnd w:id="1091"/>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rPr>
        <w:t>投标人必须提供满足以下要求的培训服务：</w:t>
      </w:r>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rPr>
        <w:t>投标人应提供完善的培训方案，培训方案包含培训内容、培训课时等。系统的培训工作要在系统上线试运行前实施，并在培训实施前编制专门的培训材料。</w:t>
      </w:r>
    </w:p>
    <w:p>
      <w:pPr>
        <w:pStyle w:val="8"/>
        <w:spacing w:line="360" w:lineRule="auto"/>
        <w:ind w:firstLine="480"/>
        <w:rPr>
          <w:rFonts w:ascii="宋体" w:hAnsi="宋体"/>
          <w:color w:val="auto"/>
          <w:szCs w:val="24"/>
          <w:highlight w:val="none"/>
        </w:rPr>
      </w:pPr>
      <w:r>
        <w:rPr>
          <w:rFonts w:ascii="宋体" w:hAnsi="宋体"/>
          <w:color w:val="auto"/>
          <w:szCs w:val="24"/>
          <w:highlight w:val="none"/>
        </w:rPr>
        <w:t>1</w:t>
      </w:r>
      <w:r>
        <w:rPr>
          <w:rFonts w:hint="eastAsia" w:ascii="宋体" w:hAnsi="宋体"/>
          <w:color w:val="auto"/>
          <w:szCs w:val="24"/>
          <w:highlight w:val="none"/>
        </w:rPr>
        <w:t>、对采购人主要技术人员和骨干用户提供使用及维护培训，对普通用户提供使用培训；</w:t>
      </w:r>
    </w:p>
    <w:p>
      <w:pPr>
        <w:pStyle w:val="8"/>
        <w:spacing w:line="360" w:lineRule="auto"/>
        <w:ind w:firstLine="480"/>
        <w:rPr>
          <w:rFonts w:ascii="宋体" w:hAnsi="宋体"/>
          <w:color w:val="auto"/>
          <w:szCs w:val="24"/>
          <w:highlight w:val="none"/>
        </w:rPr>
      </w:pPr>
      <w:r>
        <w:rPr>
          <w:rFonts w:ascii="宋体" w:hAnsi="宋体"/>
          <w:color w:val="auto"/>
          <w:szCs w:val="24"/>
          <w:highlight w:val="none"/>
        </w:rPr>
        <w:t>2</w:t>
      </w:r>
      <w:r>
        <w:rPr>
          <w:rFonts w:hint="eastAsia" w:ascii="宋体" w:hAnsi="宋体"/>
          <w:color w:val="auto"/>
          <w:szCs w:val="24"/>
          <w:highlight w:val="none"/>
        </w:rPr>
        <w:t>、对采购人主要技术人员提供对系统开发用到的主要技术培训，如操作系统、数据库、开发工具的厂家认证培训，以及应用系统平台的二次开发培训；</w:t>
      </w:r>
    </w:p>
    <w:p>
      <w:pPr>
        <w:pStyle w:val="8"/>
        <w:spacing w:line="360" w:lineRule="auto"/>
        <w:ind w:firstLine="480"/>
        <w:rPr>
          <w:rFonts w:ascii="宋体" w:hAnsi="宋体"/>
          <w:color w:val="auto"/>
          <w:szCs w:val="24"/>
          <w:highlight w:val="none"/>
        </w:rPr>
      </w:pPr>
      <w:r>
        <w:rPr>
          <w:rFonts w:ascii="宋体" w:hAnsi="宋体"/>
          <w:color w:val="auto"/>
          <w:szCs w:val="24"/>
          <w:highlight w:val="none"/>
        </w:rPr>
        <w:t>3</w:t>
      </w:r>
      <w:r>
        <w:rPr>
          <w:rFonts w:hint="eastAsia" w:ascii="宋体" w:hAnsi="宋体"/>
          <w:color w:val="auto"/>
          <w:szCs w:val="24"/>
          <w:highlight w:val="none"/>
        </w:rPr>
        <w:t>、所提供的培训课程表随投标文件一起提交；</w:t>
      </w:r>
    </w:p>
    <w:p>
      <w:pPr>
        <w:pStyle w:val="8"/>
        <w:spacing w:line="360" w:lineRule="auto"/>
        <w:ind w:firstLine="480"/>
        <w:rPr>
          <w:rFonts w:ascii="宋体" w:hAnsi="宋体"/>
          <w:color w:val="auto"/>
          <w:szCs w:val="24"/>
          <w:highlight w:val="none"/>
        </w:rPr>
      </w:pPr>
      <w:r>
        <w:rPr>
          <w:rFonts w:ascii="宋体" w:hAnsi="宋体"/>
          <w:color w:val="auto"/>
          <w:szCs w:val="24"/>
          <w:highlight w:val="none"/>
        </w:rPr>
        <w:t>4</w:t>
      </w:r>
      <w:r>
        <w:rPr>
          <w:rFonts w:hint="eastAsia" w:ascii="宋体" w:hAnsi="宋体"/>
          <w:color w:val="auto"/>
          <w:szCs w:val="24"/>
          <w:highlight w:val="none"/>
        </w:rPr>
        <w:t>、投标人必须为所有被培训人员提供培训用文字资料和讲义等相关用品，所有的资料必须是中文书写。</w:t>
      </w:r>
    </w:p>
    <w:p>
      <w:pPr>
        <w:pStyle w:val="4"/>
        <w:keepNext w:val="0"/>
        <w:keepLines w:val="0"/>
        <w:numPr>
          <w:ilvl w:val="1"/>
          <w:numId w:val="8"/>
        </w:numPr>
        <w:tabs>
          <w:tab w:val="left" w:pos="720"/>
        </w:tabs>
        <w:autoSpaceDE/>
        <w:autoSpaceDN/>
        <w:adjustRightInd/>
        <w:spacing w:before="0" w:line="240" w:lineRule="auto"/>
        <w:jc w:val="both"/>
        <w:outlineLvl w:val="2"/>
        <w:rPr>
          <w:rFonts w:ascii="宋体" w:hAnsi="宋体"/>
          <w:color w:val="auto"/>
          <w:sz w:val="24"/>
          <w:highlight w:val="none"/>
        </w:rPr>
      </w:pPr>
      <w:bookmarkStart w:id="1092" w:name="_Toc477294004"/>
      <w:bookmarkStart w:id="1093" w:name="_Toc10321"/>
      <w:bookmarkStart w:id="1094" w:name="_Toc138247858"/>
      <w:bookmarkStart w:id="1095" w:name="_Toc1281465858"/>
      <w:bookmarkStart w:id="1096" w:name="_Toc480888446"/>
      <w:bookmarkStart w:id="1097" w:name="_Toc519611377"/>
      <w:bookmarkStart w:id="1098" w:name="_Toc480700347"/>
      <w:r>
        <w:rPr>
          <w:rFonts w:hint="eastAsia" w:ascii="宋体" w:hAnsi="宋体"/>
          <w:color w:val="auto"/>
          <w:sz w:val="24"/>
          <w:highlight w:val="none"/>
        </w:rPr>
        <w:t>项目售后服务要求</w:t>
      </w:r>
      <w:bookmarkEnd w:id="1092"/>
      <w:bookmarkEnd w:id="1093"/>
      <w:bookmarkEnd w:id="1094"/>
      <w:bookmarkEnd w:id="1095"/>
      <w:bookmarkEnd w:id="1096"/>
      <w:bookmarkEnd w:id="1097"/>
      <w:bookmarkEnd w:id="1098"/>
    </w:p>
    <w:p>
      <w:pPr>
        <w:pStyle w:val="5"/>
        <w:numPr>
          <w:ilvl w:val="2"/>
          <w:numId w:val="8"/>
        </w:numPr>
        <w:autoSpaceDE/>
        <w:autoSpaceDN/>
        <w:adjustRightInd/>
        <w:spacing w:before="260" w:after="260" w:line="416" w:lineRule="auto"/>
        <w:jc w:val="both"/>
        <w:rPr>
          <w:rFonts w:hAnsi="宋体"/>
          <w:color w:val="auto"/>
          <w:szCs w:val="24"/>
          <w:highlight w:val="none"/>
        </w:rPr>
      </w:pPr>
      <w:bookmarkStart w:id="1099" w:name="_Toc138247859"/>
      <w:bookmarkStart w:id="1100" w:name="_Toc13860"/>
      <w:bookmarkStart w:id="1101" w:name="_Toc477294007"/>
      <w:bookmarkStart w:id="1102" w:name="_Toc480700350"/>
      <w:bookmarkStart w:id="1103" w:name="_Toc483179643"/>
      <w:r>
        <w:rPr>
          <w:rFonts w:hint="eastAsia" w:hAnsi="宋体"/>
          <w:color w:val="auto"/>
          <w:szCs w:val="24"/>
          <w:highlight w:val="none"/>
        </w:rPr>
        <w:t>售后服务要求</w:t>
      </w:r>
      <w:bookmarkEnd w:id="1099"/>
      <w:bookmarkEnd w:id="1100"/>
      <w:bookmarkEnd w:id="1101"/>
      <w:bookmarkEnd w:id="1102"/>
      <w:bookmarkEnd w:id="1103"/>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rPr>
        <w:t>1、投标人必须承诺在本项目系统实施中提供充分的技术支持、良好的工程维护和培训服务、及时的售后服务以及系统升级服务。</w:t>
      </w:r>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rPr>
        <w:t>2、运维内容主要包括：改正性维护，即在软件使用过程中识别和纠正软件错误，改正软件性能缺陷；适应性开发服务，即当软件外部环境或数据环境发生变化，修改软件以适应变化，根据系统使用单位的业务发展以及相关政策调整的要求进行适应性修改。质量保质期内，要求提供免费版本升级和免费现场技术支持服务，并成立专门的售后服务小组，安排有丰富售后服务经验的、熟悉本项目建设的售后服务人员提供完善周到的本地化服务，保证售后服务质量。</w:t>
      </w:r>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rPr>
        <w:t>3、投标人必须按招标方指定的方式提供7×24小时支持维护服务，包括邮件、电话、远程维护、现场服务等方式。必须保证有足够的人员及技术支持电话负责本系统运维工作，并保证1小时之内响应、4小时内派工程师到达现场、24小时之内解决问题。</w:t>
      </w:r>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rPr>
        <w:t>4、投标人对系统软件进行更新及升级时应不影响原有应用系统的正常运行和效率，不涉及到对原有应用系统重新设计。对系统软件的更新及升级时，未经招标人同意，不得改变针对本项目定制的功能。</w:t>
      </w:r>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rPr>
        <w:t>5、针对本项目售后服务的要求，制定完善、可实施和操作性强的售后服务方案，依此来指导售后服务的组织和实施工作。售后服务方案至少要求确定售后服务原则和售后服务对象、明确售后服务方式和内容、以及建立售后服务组织结构和服务人员安排等。</w:t>
      </w:r>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rPr>
        <w:t>6、在系统质保期满后，投标人仍应满足招标人对所出现故障的系统进行维修的要求。</w:t>
      </w:r>
    </w:p>
    <w:p>
      <w:pPr>
        <w:pStyle w:val="5"/>
        <w:numPr>
          <w:ilvl w:val="2"/>
          <w:numId w:val="8"/>
        </w:numPr>
        <w:autoSpaceDE/>
        <w:autoSpaceDN/>
        <w:adjustRightInd/>
        <w:spacing w:before="260" w:after="260" w:line="416" w:lineRule="auto"/>
        <w:jc w:val="both"/>
        <w:rPr>
          <w:rFonts w:hAnsi="宋体"/>
          <w:color w:val="auto"/>
          <w:szCs w:val="24"/>
          <w:highlight w:val="none"/>
        </w:rPr>
      </w:pPr>
      <w:bookmarkStart w:id="1104" w:name="_Toc477294008"/>
      <w:bookmarkStart w:id="1105" w:name="_Toc138247860"/>
      <w:bookmarkStart w:id="1106" w:name="_Toc1164590594"/>
      <w:bookmarkStart w:id="1107" w:name="_Toc5493"/>
      <w:bookmarkStart w:id="1108" w:name="_Toc480700351"/>
      <w:r>
        <w:rPr>
          <w:rFonts w:hint="eastAsia" w:hAnsi="宋体"/>
          <w:color w:val="auto"/>
          <w:szCs w:val="24"/>
          <w:highlight w:val="none"/>
        </w:rPr>
        <w:t>质保期内的技术服务</w:t>
      </w:r>
      <w:bookmarkEnd w:id="1104"/>
      <w:bookmarkEnd w:id="1105"/>
      <w:bookmarkEnd w:id="1106"/>
      <w:bookmarkEnd w:id="1107"/>
      <w:bookmarkEnd w:id="1108"/>
    </w:p>
    <w:p>
      <w:pPr>
        <w:pStyle w:val="8"/>
        <w:spacing w:line="360" w:lineRule="auto"/>
        <w:ind w:firstLine="480"/>
        <w:rPr>
          <w:rFonts w:hint="default" w:ascii="宋体" w:hAnsi="宋体" w:eastAsia="宋体"/>
          <w:color w:val="auto"/>
          <w:szCs w:val="24"/>
          <w:highlight w:val="none"/>
          <w:lang w:val="en-US" w:eastAsia="zh-CN"/>
        </w:rPr>
      </w:pPr>
      <w:r>
        <w:rPr>
          <w:rFonts w:hint="eastAsia" w:ascii="宋体" w:hAnsi="宋体"/>
          <w:color w:val="auto"/>
          <w:szCs w:val="24"/>
          <w:highlight w:val="none"/>
          <w:lang w:val="en-US" w:eastAsia="zh-CN"/>
        </w:rPr>
        <w:t>质保期：硬件质保期为原厂三年维保，软件及服务质保期为项目周期（三年)。</w:t>
      </w:r>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rPr>
        <w:t>1、升级服务：提供在正常条件下保证系统正常稳定运行的系统扩充、版本更新升级及功能更新服务。</w:t>
      </w:r>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rPr>
        <w:t>2、优化服务：提出在正常条件下改进系统性能的各项建议，包括系统资源分配与效率改进建议、软件配置规划和性能优化建议、系统容量预测建议等。</w:t>
      </w:r>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rPr>
        <w:t>3、咨询服务：在质保期内提供系统软件应用和维护技术咨询服务。</w:t>
      </w:r>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rPr>
        <w:t>4、电话或现场技术服务：在质保期内提供电话或现场技术服务。</w:t>
      </w:r>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rPr>
        <w:t>5、质保期内的技术服务不再另行收费。</w:t>
      </w:r>
    </w:p>
    <w:p>
      <w:pPr>
        <w:pStyle w:val="5"/>
        <w:numPr>
          <w:ilvl w:val="2"/>
          <w:numId w:val="8"/>
        </w:numPr>
        <w:autoSpaceDE/>
        <w:autoSpaceDN/>
        <w:adjustRightInd/>
        <w:spacing w:before="260" w:after="260" w:line="416" w:lineRule="auto"/>
        <w:jc w:val="both"/>
        <w:rPr>
          <w:rFonts w:hAnsi="宋体"/>
          <w:color w:val="auto"/>
          <w:szCs w:val="24"/>
          <w:highlight w:val="none"/>
        </w:rPr>
      </w:pPr>
      <w:bookmarkStart w:id="1109" w:name="_Toc138247861"/>
      <w:bookmarkStart w:id="1110" w:name="_Toc519611380"/>
      <w:bookmarkStart w:id="1111" w:name="_Toc11991"/>
      <w:bookmarkStart w:id="1112" w:name="_Toc480700352"/>
      <w:bookmarkStart w:id="1113" w:name="_Toc83634722"/>
      <w:bookmarkStart w:id="1114" w:name="_Toc1108154600"/>
      <w:bookmarkStart w:id="1115" w:name="_Toc477294009"/>
      <w:bookmarkStart w:id="1116" w:name="_Toc480888449"/>
      <w:r>
        <w:rPr>
          <w:rFonts w:hint="eastAsia" w:hAnsi="宋体"/>
          <w:color w:val="auto"/>
          <w:szCs w:val="24"/>
          <w:highlight w:val="none"/>
        </w:rPr>
        <w:t>质保期后的技术服务</w:t>
      </w:r>
      <w:bookmarkEnd w:id="1109"/>
      <w:bookmarkEnd w:id="1110"/>
      <w:bookmarkEnd w:id="1111"/>
      <w:bookmarkEnd w:id="1112"/>
      <w:bookmarkEnd w:id="1113"/>
      <w:bookmarkEnd w:id="1114"/>
      <w:bookmarkEnd w:id="1115"/>
      <w:bookmarkEnd w:id="1116"/>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rPr>
        <w:t>质保期后，投标人仍应根据合同要求向招标人提供技术服务，以合理价格提供招标人需要的系统维护及系统更新服务。</w:t>
      </w:r>
    </w:p>
    <w:p>
      <w:pPr>
        <w:pStyle w:val="8"/>
        <w:spacing w:line="360" w:lineRule="auto"/>
        <w:ind w:firstLine="480"/>
        <w:rPr>
          <w:rFonts w:ascii="宋体" w:hAnsi="宋体"/>
          <w:color w:val="auto"/>
          <w:szCs w:val="24"/>
          <w:highlight w:val="none"/>
        </w:rPr>
      </w:pPr>
      <w:r>
        <w:rPr>
          <w:rFonts w:hint="eastAsia" w:ascii="宋体" w:hAnsi="宋体"/>
          <w:color w:val="auto"/>
          <w:szCs w:val="24"/>
          <w:highlight w:val="none"/>
        </w:rPr>
        <w:t>投标人应提出质保期后每年的收费技术支持和售后服务的内容、费用和服务方式、范围（产品、技术、模块、部件），设计质保期后的售后服务方案。质保期后，相关系统的运维根据实际情况双方协商确定。</w:t>
      </w:r>
    </w:p>
    <w:p>
      <w:pPr>
        <w:pStyle w:val="8"/>
        <w:spacing w:line="360" w:lineRule="auto"/>
        <w:ind w:firstLine="480"/>
        <w:rPr>
          <w:rFonts w:hint="eastAsia" w:ascii="宋体" w:hAnsi="宋体"/>
          <w:color w:val="auto"/>
          <w:szCs w:val="24"/>
          <w:highlight w:val="none"/>
        </w:rPr>
      </w:pPr>
      <w:r>
        <w:rPr>
          <w:rFonts w:hint="eastAsia" w:ascii="宋体" w:hAnsi="宋体"/>
          <w:color w:val="auto"/>
          <w:szCs w:val="24"/>
          <w:highlight w:val="none"/>
        </w:rPr>
        <w:t>对于系统相关维护的咨询应是免费的。</w:t>
      </w:r>
    </w:p>
    <w:p>
      <w:pPr>
        <w:pStyle w:val="3"/>
        <w:numPr>
          <w:ilvl w:val="0"/>
          <w:numId w:val="8"/>
        </w:numPr>
        <w:autoSpaceDE/>
        <w:autoSpaceDN/>
        <w:adjustRightInd/>
        <w:spacing w:before="340" w:after="0" w:line="578" w:lineRule="auto"/>
        <w:jc w:val="both"/>
        <w:rPr>
          <w:rFonts w:hAnsi="宋体"/>
          <w:color w:val="auto"/>
          <w:sz w:val="24"/>
          <w:szCs w:val="24"/>
          <w:highlight w:val="none"/>
        </w:rPr>
      </w:pPr>
      <w:bookmarkStart w:id="1117" w:name="_Toc138247807"/>
      <w:bookmarkStart w:id="1118" w:name="_Toc686751735"/>
      <w:bookmarkStart w:id="1119" w:name="_Toc1311414448"/>
      <w:bookmarkStart w:id="1120" w:name="_Toc1952"/>
      <w:r>
        <w:rPr>
          <w:rFonts w:hint="eastAsia" w:hAnsi="宋体"/>
          <w:color w:val="auto"/>
          <w:sz w:val="24"/>
          <w:szCs w:val="24"/>
          <w:highlight w:val="none"/>
        </w:rPr>
        <w:t>项目建设周期及服务周期</w:t>
      </w:r>
      <w:bookmarkEnd w:id="1117"/>
      <w:bookmarkEnd w:id="1118"/>
      <w:bookmarkEnd w:id="1119"/>
      <w:bookmarkEnd w:id="1120"/>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项目总周期3年，202</w:t>
      </w:r>
      <w:r>
        <w:rPr>
          <w:rFonts w:ascii="宋体" w:hAnsi="宋体"/>
          <w:color w:val="auto"/>
          <w:sz w:val="24"/>
          <w:highlight w:val="none"/>
        </w:rPr>
        <w:t>3</w:t>
      </w:r>
      <w:r>
        <w:rPr>
          <w:rFonts w:hint="eastAsia" w:ascii="宋体" w:hAnsi="宋体"/>
          <w:color w:val="auto"/>
          <w:sz w:val="24"/>
          <w:highlight w:val="none"/>
        </w:rPr>
        <w:t>年至2025年，其中：智慧医院一体化及接口服务建设周期180天，区域大数据中心、区域传染病防控平台及区域监管平台等区域平台建设周期3年。</w:t>
      </w:r>
    </w:p>
    <w:p>
      <w:pPr>
        <w:spacing w:line="360" w:lineRule="auto"/>
        <w:ind w:firstLine="480" w:firstLineChars="200"/>
        <w:rPr>
          <w:rFonts w:ascii="宋体" w:hAnsi="宋体"/>
          <w:color w:val="auto"/>
          <w:sz w:val="24"/>
          <w:highlight w:val="none"/>
        </w:rPr>
        <w:sectPr>
          <w:footerReference r:id="rId11" w:type="first"/>
          <w:headerReference r:id="rId9" w:type="default"/>
          <w:footerReference r:id="rId10" w:type="default"/>
          <w:pgSz w:w="11906" w:h="16838"/>
          <w:pgMar w:top="1440" w:right="1418" w:bottom="1440" w:left="1418" w:header="851" w:footer="838" w:gutter="0"/>
          <w:cols w:space="720" w:num="1"/>
          <w:titlePg/>
          <w:docGrid w:type="lines" w:linePitch="326" w:charSpace="0"/>
        </w:sectPr>
      </w:pPr>
      <w:r>
        <w:rPr>
          <w:rFonts w:hint="eastAsia" w:ascii="宋体" w:hAnsi="宋体"/>
          <w:color w:val="auto"/>
          <w:sz w:val="24"/>
          <w:highlight w:val="none"/>
          <w:lang w:eastAsia="zh-CN"/>
        </w:rPr>
        <w:t>服务周期</w:t>
      </w:r>
      <w:r>
        <w:rPr>
          <w:rFonts w:hint="eastAsia" w:ascii="宋体" w:hAnsi="宋体"/>
          <w:color w:val="auto"/>
          <w:sz w:val="24"/>
          <w:highlight w:val="none"/>
        </w:rPr>
        <w:t>：202</w:t>
      </w:r>
      <w:r>
        <w:rPr>
          <w:rFonts w:ascii="宋体" w:hAnsi="宋体"/>
          <w:color w:val="auto"/>
          <w:sz w:val="24"/>
          <w:highlight w:val="none"/>
        </w:rPr>
        <w:t>3</w:t>
      </w:r>
      <w:r>
        <w:rPr>
          <w:rFonts w:hint="eastAsia" w:ascii="宋体" w:hAnsi="宋体"/>
          <w:color w:val="auto"/>
          <w:sz w:val="24"/>
          <w:highlight w:val="none"/>
        </w:rPr>
        <w:t>年至2025</w:t>
      </w:r>
      <w:r>
        <w:rPr>
          <w:rFonts w:hint="eastAsia" w:ascii="宋体" w:hAnsi="宋体"/>
          <w:color w:val="auto"/>
          <w:sz w:val="24"/>
          <w:highlight w:val="none"/>
          <w:lang w:eastAsia="zh-CN"/>
        </w:rPr>
        <w:t>，</w:t>
      </w:r>
      <w:r>
        <w:rPr>
          <w:rFonts w:hint="eastAsia" w:ascii="宋体" w:hAnsi="宋体"/>
          <w:color w:val="auto"/>
          <w:sz w:val="24"/>
          <w:highlight w:val="none"/>
        </w:rPr>
        <w:t>共计3年。</w:t>
      </w:r>
    </w:p>
    <w:p>
      <w:pPr>
        <w:pStyle w:val="3"/>
        <w:numPr>
          <w:ilvl w:val="0"/>
          <w:numId w:val="8"/>
        </w:numPr>
        <w:autoSpaceDE/>
        <w:autoSpaceDN/>
        <w:adjustRightInd/>
        <w:spacing w:before="340" w:after="0" w:line="578" w:lineRule="auto"/>
        <w:jc w:val="both"/>
        <w:rPr>
          <w:rFonts w:hAnsi="宋体"/>
          <w:color w:val="auto"/>
          <w:sz w:val="24"/>
          <w:szCs w:val="24"/>
          <w:highlight w:val="none"/>
        </w:rPr>
      </w:pPr>
      <w:bookmarkStart w:id="1121" w:name="_Toc28073"/>
      <w:r>
        <w:rPr>
          <w:rFonts w:hint="eastAsia" w:hAnsi="宋体"/>
          <w:color w:val="auto"/>
          <w:sz w:val="24"/>
          <w:szCs w:val="24"/>
          <w:highlight w:val="none"/>
          <w:lang w:eastAsia="zh-CN"/>
        </w:rPr>
        <w:t>支付方式</w:t>
      </w:r>
      <w:bookmarkEnd w:id="1121"/>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auto"/>
          <w:sz w:val="24"/>
          <w:highlight w:val="none"/>
        </w:rPr>
      </w:pPr>
      <w:r>
        <w:rPr>
          <w:rFonts w:hint="eastAsia" w:ascii="宋体" w:hAnsi="宋体"/>
          <w:color w:val="auto"/>
          <w:sz w:val="24"/>
          <w:highlight w:val="none"/>
        </w:rPr>
        <w:t>按资金计划年度付款，第一年度（2023年）支付中标金额的30%费用，第二年度（2024年）支付中标金额的30%费用，第三年度（2025年）支付中标金额的40%费用。</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auto"/>
          <w:sz w:val="24"/>
          <w:highlight w:val="none"/>
        </w:rPr>
      </w:pPr>
      <w:r>
        <w:rPr>
          <w:rFonts w:hint="eastAsia" w:ascii="宋体" w:hAnsi="宋体"/>
          <w:color w:val="auto"/>
          <w:sz w:val="24"/>
          <w:highlight w:val="none"/>
        </w:rPr>
        <w:t>第一年度（2023年）签订合同后7工作日内支付年度资金计划的30%，硬件设备到货后7个工作日内支付年度资金计划的30%,按照与甲方签订智慧医院一体化平台正式上线确认单支付年度资金计划的40%；</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第二年度（2024年）第一季度支付年度资金计划的50%，按照与甲方签订区域大数据中心、区域传染病防控平台、区域监管平台上线确认单后，支付年度资金计划的50%</w:t>
      </w:r>
      <w:r>
        <w:rPr>
          <w:rFonts w:hint="eastAsia" w:ascii="宋体" w:hAnsi="宋体"/>
          <w:color w:val="auto"/>
          <w:sz w:val="24"/>
          <w:highlight w:val="none"/>
          <w:lang w:eastAsia="zh-CN"/>
        </w:rPr>
        <w:t>；</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auto"/>
          <w:sz w:val="24"/>
          <w:highlight w:val="none"/>
        </w:rPr>
      </w:pPr>
      <w:r>
        <w:rPr>
          <w:rFonts w:hint="eastAsia" w:ascii="宋体" w:hAnsi="宋体"/>
          <w:color w:val="auto"/>
          <w:sz w:val="24"/>
          <w:highlight w:val="none"/>
        </w:rPr>
        <w:t>第三年度（2025年）第一季度支付年度资金计划的50%，整体项目终验支付年度资金计划的50%。</w:t>
      </w:r>
    </w:p>
    <w:p>
      <w:pPr>
        <w:pStyle w:val="3"/>
        <w:numPr>
          <w:ilvl w:val="0"/>
          <w:numId w:val="8"/>
        </w:numPr>
        <w:autoSpaceDE/>
        <w:autoSpaceDN/>
        <w:adjustRightInd/>
        <w:spacing w:before="340" w:after="0" w:line="578" w:lineRule="auto"/>
        <w:jc w:val="both"/>
        <w:rPr>
          <w:rFonts w:hint="eastAsia" w:hAnsi="宋体"/>
          <w:color w:val="auto"/>
          <w:sz w:val="24"/>
          <w:szCs w:val="24"/>
          <w:highlight w:val="none"/>
          <w:lang w:val="en-US" w:eastAsia="zh-CN"/>
        </w:rPr>
      </w:pPr>
      <w:bookmarkStart w:id="1122" w:name="_Toc3278"/>
      <w:r>
        <w:rPr>
          <w:rFonts w:hint="eastAsia" w:hAnsi="宋体"/>
          <w:color w:val="auto"/>
          <w:sz w:val="24"/>
          <w:szCs w:val="24"/>
          <w:highlight w:val="none"/>
          <w:lang w:val="en-US" w:eastAsia="zh-CN"/>
        </w:rPr>
        <w:t>人员要求</w:t>
      </w:r>
      <w:bookmarkEnd w:id="1122"/>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项目团队人员至少具有信息系统项目管理师不少于1名、系统分析师不少于1名、软件设计师不少于1名、注册信息安全工程师不少于1名、网络工程师不少于1名、软件评测师证书不少于1名、HL7 CDA专家不少于1名、HL7 V2.7专家不少于1名。</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highlight w:val="none"/>
          <w:lang w:val="en-US" w:eastAsia="zh-CN"/>
        </w:rPr>
        <w:br w:type="page"/>
      </w:r>
    </w:p>
    <w:p>
      <w:pPr>
        <w:pStyle w:val="2"/>
        <w:rPr>
          <w:rFonts w:hint="eastAsia"/>
          <w:lang w:val="en-US" w:eastAsia="zh-CN"/>
        </w:rPr>
      </w:pPr>
    </w:p>
    <w:bookmarkEnd w:id="508"/>
    <w:bookmarkEnd w:id="509"/>
    <w:bookmarkEnd w:id="510"/>
    <w:bookmarkEnd w:id="511"/>
    <w:p>
      <w:pPr>
        <w:pStyle w:val="3"/>
        <w:tabs>
          <w:tab w:val="left" w:pos="0"/>
        </w:tabs>
        <w:spacing w:before="0" w:after="0" w:line="360" w:lineRule="auto"/>
        <w:ind w:firstLine="1606" w:firstLineChars="500"/>
        <w:jc w:val="center"/>
        <w:rPr>
          <w:rFonts w:ascii="宋体" w:hAnsi="宋体" w:cs="宋体"/>
          <w:color w:val="auto"/>
          <w:highlight w:val="none"/>
        </w:rPr>
      </w:pPr>
      <w:bookmarkStart w:id="1123" w:name="_Toc1776175416"/>
      <w:bookmarkStart w:id="1124" w:name="_Toc219175639"/>
      <w:bookmarkStart w:id="1125" w:name="_Toc218935355"/>
      <w:bookmarkStart w:id="1126" w:name="_Toc5204"/>
      <w:bookmarkStart w:id="1127" w:name="_Toc216582826"/>
      <w:r>
        <w:rPr>
          <w:rFonts w:hint="eastAsia" w:ascii="宋体" w:hAnsi="宋体" w:eastAsia="宋体" w:cs="宋体"/>
          <w:b/>
          <w:color w:val="auto"/>
          <w:kern w:val="44"/>
          <w:sz w:val="32"/>
          <w:szCs w:val="20"/>
          <w:highlight w:val="none"/>
          <w:lang w:val="en-US" w:eastAsia="zh-CN" w:bidi="ar-SA"/>
        </w:rPr>
        <w:t xml:space="preserve">第6章  </w:t>
      </w:r>
      <w:bookmarkStart w:id="1128" w:name="_Toc10220"/>
      <w:bookmarkStart w:id="1129" w:name="_Toc518923127"/>
      <w:bookmarkStart w:id="1130" w:name="_Toc507399907"/>
      <w:r>
        <w:rPr>
          <w:rFonts w:hint="eastAsia" w:ascii="宋体" w:hAnsi="宋体" w:eastAsia="宋体" w:cs="宋体"/>
          <w:b/>
          <w:color w:val="auto"/>
          <w:kern w:val="44"/>
          <w:sz w:val="32"/>
          <w:szCs w:val="20"/>
          <w:highlight w:val="none"/>
          <w:lang w:val="en-US" w:eastAsia="zh-CN" w:bidi="ar-SA"/>
        </w:rPr>
        <w:t>评标方法和标准</w:t>
      </w:r>
      <w:bookmarkEnd w:id="1123"/>
      <w:bookmarkEnd w:id="1124"/>
      <w:bookmarkEnd w:id="1125"/>
      <w:bookmarkEnd w:id="1126"/>
      <w:bookmarkEnd w:id="1127"/>
      <w:bookmarkEnd w:id="1128"/>
      <w:bookmarkEnd w:id="1129"/>
      <w:bookmarkEnd w:id="1130"/>
    </w:p>
    <w:p>
      <w:pPr>
        <w:pStyle w:val="19"/>
        <w:tabs>
          <w:tab w:val="clear" w:pos="567"/>
        </w:tabs>
        <w:spacing w:before="0" w:line="360" w:lineRule="auto"/>
        <w:ind w:firstLine="540" w:firstLineChars="225"/>
        <w:rPr>
          <w:rFonts w:cs="宋体"/>
          <w:color w:val="auto"/>
          <w:highlight w:val="none"/>
        </w:rPr>
      </w:pPr>
      <w:r>
        <w:rPr>
          <w:rFonts w:hint="eastAsia" w:cs="宋体"/>
          <w:color w:val="auto"/>
          <w:highlight w:val="none"/>
        </w:rPr>
        <w:t>本项目将按照招标文件第一章投标人须知中“五 开标及评标”、“六 确定中标”及本章的规定评标。</w:t>
      </w:r>
    </w:p>
    <w:p>
      <w:pPr>
        <w:pStyle w:val="19"/>
        <w:tabs>
          <w:tab w:val="clear" w:pos="567"/>
        </w:tabs>
        <w:spacing w:before="100" w:beforeAutospacing="1" w:after="100" w:afterAutospacing="1" w:line="360" w:lineRule="auto"/>
        <w:ind w:left="1080" w:leftChars="257" w:hanging="540"/>
        <w:rPr>
          <w:rFonts w:cs="宋体"/>
          <w:i/>
          <w:color w:val="auto"/>
          <w:highlight w:val="none"/>
        </w:rPr>
      </w:pPr>
      <w:r>
        <w:rPr>
          <w:rFonts w:hint="eastAsia" w:cs="宋体"/>
          <w:i/>
          <w:color w:val="auto"/>
          <w:highlight w:val="none"/>
        </w:rPr>
        <w:t>（内容要包括</w:t>
      </w:r>
      <w:r>
        <w:rPr>
          <w:rFonts w:hint="eastAsia" w:cs="宋体"/>
          <w:b/>
          <w:i/>
          <w:color w:val="auto"/>
          <w:highlight w:val="none"/>
        </w:rPr>
        <w:t>投标无效</w:t>
      </w:r>
      <w:r>
        <w:rPr>
          <w:rFonts w:hint="eastAsia" w:cs="宋体"/>
          <w:i/>
          <w:color w:val="auto"/>
          <w:highlight w:val="none"/>
        </w:rPr>
        <w:t>界定和详细评标标准）</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1.根据《政府采购促进中小企业发展管理办法》（财库[2020]46号）、《关    于进一步加大政府采购支持中小企业力度的通知》（财库【2022】19号）、《财政部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宋体" w:hAnsi="宋体" w:cs="宋体"/>
          <w:color w:val="auto"/>
          <w:sz w:val="24"/>
          <w:highlight w:val="none"/>
          <w:u w:val="single"/>
        </w:rPr>
        <w:t xml:space="preserve">  10 </w:t>
      </w:r>
      <w:r>
        <w:rPr>
          <w:rFonts w:hint="eastAsia" w:ascii="宋体" w:hAnsi="宋体" w:cs="宋体"/>
          <w:color w:val="auto"/>
          <w:sz w:val="24"/>
          <w:highlight w:val="none"/>
        </w:rPr>
        <w:t xml:space="preserve"> %后参与评审。对于同时属于小微企业、监狱企业或残疾人福利性单位的，不重复进行投标报价扣除。如有其它政策支持因素（如鼓励创新等）需一并列出。</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2.联合协议中约定，小型、微型企业和监狱企业的协议合同金额占到联合体协议合同总金额30%以上的，可给予联合体</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%的价格扣除。</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联合体各方均为小型、微型企业和监狱企业的，联合体视同为小型、微型企业和监狱企业。</w:t>
      </w:r>
    </w:p>
    <w:p>
      <w:pPr>
        <w:pStyle w:val="19"/>
        <w:tabs>
          <w:tab w:val="clear" w:pos="567"/>
        </w:tabs>
        <w:spacing w:before="0" w:line="360" w:lineRule="auto"/>
        <w:ind w:left="-61" w:leftChars="-29" w:firstLine="540" w:firstLineChars="225"/>
        <w:rPr>
          <w:rFonts w:cs="宋体"/>
          <w:color w:val="auto"/>
          <w:highlight w:val="none"/>
          <w:u w:val="single"/>
        </w:rPr>
      </w:pPr>
      <w:r>
        <w:rPr>
          <w:rFonts w:hint="eastAsia" w:cs="宋体"/>
          <w:color w:val="auto"/>
          <w:highlight w:val="none"/>
        </w:rPr>
        <w:t>3.投标人为提供服务在投标中伴随投标的产品如被列入财政部与国家主管部门颁发的节能产品目录或环境标志产品目录或无线局域网产品目录，应提供相关证明，在评标时予以优先采购，具体优惠措施为</w:t>
      </w:r>
      <w:r>
        <w:rPr>
          <w:rFonts w:hint="eastAsia" w:cs="宋体"/>
          <w:color w:val="auto"/>
          <w:highlight w:val="none"/>
          <w:u w:val="single"/>
        </w:rPr>
        <w:t>：《财政部、发展改革委、生态环境部、市场监管总局关于优化节能产品、环境标志产品政府采购执行机制的通知》（财库〔2019〕9号）。</w:t>
      </w:r>
    </w:p>
    <w:p>
      <w:pPr>
        <w:pStyle w:val="19"/>
        <w:tabs>
          <w:tab w:val="clear" w:pos="567"/>
        </w:tabs>
        <w:spacing w:before="0" w:line="360" w:lineRule="auto"/>
        <w:ind w:left="-181" w:leftChars="-86" w:firstLine="660" w:firstLineChars="275"/>
        <w:rPr>
          <w:rFonts w:cs="宋体"/>
          <w:color w:val="auto"/>
          <w:highlight w:val="none"/>
        </w:rPr>
      </w:pPr>
      <w:r>
        <w:rPr>
          <w:rFonts w:hint="eastAsia" w:cs="宋体"/>
          <w:color w:val="auto"/>
          <w:highlight w:val="none"/>
        </w:rPr>
        <w:t xml:space="preserve">4.中标候选人并列时的处理方式：   </w:t>
      </w:r>
    </w:p>
    <w:p>
      <w:pPr>
        <w:pStyle w:val="19"/>
        <w:tabs>
          <w:tab w:val="clear" w:pos="567"/>
        </w:tabs>
        <w:spacing w:before="0" w:line="360" w:lineRule="auto"/>
        <w:ind w:left="-181" w:leftChars="-86" w:firstLine="180" w:firstLineChars="75"/>
        <w:rPr>
          <w:rFonts w:cs="宋体"/>
          <w:color w:val="auto"/>
          <w:highlight w:val="none"/>
        </w:rPr>
      </w:pPr>
      <w:r>
        <w:rPr>
          <w:rFonts w:hint="eastAsia" w:cs="宋体"/>
          <w:color w:val="auto"/>
          <w:highlight w:val="none"/>
        </w:rPr>
        <w:t>如采用最低评标办法，则：</w:t>
      </w:r>
      <w:r>
        <w:rPr>
          <w:rFonts w:hint="eastAsia" w:cs="宋体"/>
          <w:color w:val="auto"/>
          <w:highlight w:val="none"/>
          <w:u w:val="single"/>
        </w:rPr>
        <w:t xml:space="preserve">  随机抽取决定  </w:t>
      </w:r>
      <w:r>
        <w:rPr>
          <w:rFonts w:hint="eastAsia" w:cs="宋体"/>
          <w:color w:val="auto"/>
          <w:highlight w:val="none"/>
        </w:rPr>
        <w:t>；</w:t>
      </w:r>
    </w:p>
    <w:p>
      <w:pPr>
        <w:pStyle w:val="19"/>
        <w:tabs>
          <w:tab w:val="clear" w:pos="567"/>
        </w:tabs>
        <w:spacing w:before="0" w:line="360" w:lineRule="auto"/>
        <w:ind w:left="-181" w:leftChars="-86" w:firstLine="180" w:firstLineChars="75"/>
        <w:rPr>
          <w:rFonts w:cs="宋体"/>
          <w:color w:val="auto"/>
          <w:highlight w:val="none"/>
        </w:rPr>
      </w:pPr>
      <w:r>
        <w:rPr>
          <w:rFonts w:hint="eastAsia" w:cs="宋体"/>
          <w:color w:val="auto"/>
          <w:highlight w:val="none"/>
        </w:rPr>
        <w:t>如采用综合评标法，则：</w:t>
      </w:r>
      <w:r>
        <w:rPr>
          <w:rFonts w:hint="eastAsia" w:cs="宋体"/>
          <w:color w:val="auto"/>
          <w:highlight w:val="none"/>
          <w:u w:val="single"/>
        </w:rPr>
        <w:t>评审得分相同的且投标报价不同的，按投标报价低的中标；评审得分相同且投标报价相同的，随机抽取决定</w:t>
      </w:r>
      <w:r>
        <w:rPr>
          <w:rFonts w:hint="eastAsia" w:cs="宋体"/>
          <w:color w:val="auto"/>
          <w:highlight w:val="none"/>
        </w:rPr>
        <w:t>。</w:t>
      </w:r>
    </w:p>
    <w:p>
      <w:pPr>
        <w:pStyle w:val="19"/>
        <w:tabs>
          <w:tab w:val="clear" w:pos="567"/>
        </w:tabs>
        <w:spacing w:before="0" w:line="360" w:lineRule="auto"/>
        <w:rPr>
          <w:rFonts w:cs="宋体"/>
          <w:color w:val="auto"/>
          <w:highlight w:val="none"/>
        </w:rPr>
      </w:pPr>
    </w:p>
    <w:tbl>
      <w:tblPr>
        <w:tblStyle w:val="43"/>
        <w:tblW w:w="8700" w:type="dxa"/>
        <w:tblInd w:w="108" w:type="dxa"/>
        <w:tblLayout w:type="fixed"/>
        <w:tblCellMar>
          <w:top w:w="0" w:type="dxa"/>
          <w:left w:w="108" w:type="dxa"/>
          <w:bottom w:w="0" w:type="dxa"/>
          <w:right w:w="108" w:type="dxa"/>
        </w:tblCellMar>
      </w:tblPr>
      <w:tblGrid>
        <w:gridCol w:w="2126"/>
        <w:gridCol w:w="2127"/>
        <w:gridCol w:w="1417"/>
        <w:gridCol w:w="1418"/>
        <w:gridCol w:w="1612"/>
      </w:tblGrid>
      <w:tr>
        <w:tblPrEx>
          <w:tblCellMar>
            <w:top w:w="0" w:type="dxa"/>
            <w:left w:w="108" w:type="dxa"/>
            <w:bottom w:w="0" w:type="dxa"/>
            <w:right w:w="108" w:type="dxa"/>
          </w:tblCellMar>
        </w:tblPrEx>
        <w:trPr>
          <w:trHeight w:val="585" w:hRule="atLeast"/>
        </w:trPr>
        <w:tc>
          <w:tcPr>
            <w:tcW w:w="8700" w:type="dxa"/>
            <w:gridSpan w:val="5"/>
            <w:tcBorders>
              <w:top w:val="nil"/>
              <w:left w:val="nil"/>
              <w:bottom w:val="single" w:color="auto" w:sz="4" w:space="0"/>
              <w:right w:val="nil"/>
            </w:tcBorders>
            <w:vAlign w:val="center"/>
          </w:tcPr>
          <w:p>
            <w:pPr>
              <w:widowControl/>
              <w:spacing w:line="360" w:lineRule="auto"/>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一、商务符合性审查表</w:t>
            </w:r>
          </w:p>
        </w:tc>
      </w:tr>
      <w:tr>
        <w:tblPrEx>
          <w:tblCellMar>
            <w:top w:w="0" w:type="dxa"/>
            <w:left w:w="108" w:type="dxa"/>
            <w:bottom w:w="0" w:type="dxa"/>
            <w:right w:w="108" w:type="dxa"/>
          </w:tblCellMar>
        </w:tblPrEx>
        <w:trPr>
          <w:trHeight w:val="754" w:hRule="atLeast"/>
        </w:trPr>
        <w:tc>
          <w:tcPr>
            <w:tcW w:w="4253"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审查事项</w:t>
            </w:r>
          </w:p>
        </w:tc>
        <w:tc>
          <w:tcPr>
            <w:tcW w:w="4447"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投标人名称及审查情况</w:t>
            </w:r>
          </w:p>
        </w:tc>
      </w:tr>
      <w:tr>
        <w:tblPrEx>
          <w:tblCellMar>
            <w:top w:w="0" w:type="dxa"/>
            <w:left w:w="108" w:type="dxa"/>
            <w:bottom w:w="0" w:type="dxa"/>
            <w:right w:w="108" w:type="dxa"/>
          </w:tblCellMar>
        </w:tblPrEx>
        <w:trPr>
          <w:trHeight w:val="57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招标文件条款（投标人须知、投标人须知资料表条款号）</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本项目要求</w:t>
            </w:r>
          </w:p>
        </w:tc>
        <w:tc>
          <w:tcPr>
            <w:tcW w:w="141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6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654"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中小企业投标要求（1.3.5）</w:t>
            </w:r>
          </w:p>
        </w:tc>
        <w:tc>
          <w:tcPr>
            <w:tcW w:w="212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本项目</w:t>
            </w:r>
            <w:r>
              <w:rPr>
                <w:rFonts w:hint="eastAsia" w:ascii="宋体" w:hAnsi="宋体" w:cs="宋体"/>
                <w:i/>
                <w:color w:val="auto"/>
                <w:kern w:val="0"/>
                <w:szCs w:val="21"/>
                <w:highlight w:val="none"/>
                <w:u w:val="single"/>
              </w:rPr>
              <w:t>适用</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p>
        </w:tc>
        <w:tc>
          <w:tcPr>
            <w:tcW w:w="16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联合体投标规定</w:t>
            </w:r>
          </w:p>
          <w:p>
            <w:pPr>
              <w:widowControl/>
              <w:spacing w:line="360" w:lineRule="auto"/>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（1.4）</w:t>
            </w:r>
          </w:p>
        </w:tc>
        <w:tc>
          <w:tcPr>
            <w:tcW w:w="212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本项目</w:t>
            </w:r>
            <w:r>
              <w:rPr>
                <w:rFonts w:hint="eastAsia" w:ascii="宋体" w:hAnsi="宋体" w:cs="宋体"/>
                <w:i/>
                <w:color w:val="auto"/>
                <w:kern w:val="0"/>
                <w:szCs w:val="21"/>
                <w:highlight w:val="none"/>
                <w:u w:val="single"/>
              </w:rPr>
              <w:t>不接受联合体投标</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6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投标人的关联性</w:t>
            </w:r>
          </w:p>
          <w:p>
            <w:pPr>
              <w:widowControl/>
              <w:spacing w:line="360" w:lineRule="auto"/>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（1.5）</w:t>
            </w:r>
          </w:p>
        </w:tc>
        <w:tc>
          <w:tcPr>
            <w:tcW w:w="212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在同一标包内，单位负责人非同一人或者不存在直接控股、管理关系的不同供应商。 </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6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未参与其他服务</w:t>
            </w:r>
          </w:p>
          <w:p>
            <w:pPr>
              <w:widowControl/>
              <w:spacing w:line="360" w:lineRule="auto"/>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（1.6）</w:t>
            </w:r>
          </w:p>
        </w:tc>
        <w:tc>
          <w:tcPr>
            <w:tcW w:w="212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szCs w:val="21"/>
                <w:highlight w:val="none"/>
              </w:rPr>
              <w:t>未为本项目提供整体设计、规范编制或者项目管理、监理、检测等服务。</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6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未发现影响采购人决策行为（1.7）</w:t>
            </w:r>
          </w:p>
        </w:tc>
        <w:tc>
          <w:tcPr>
            <w:tcW w:w="212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szCs w:val="21"/>
                <w:highlight w:val="none"/>
              </w:rPr>
              <w:t>投标人在投标过程中未向采购人提供、给予任何有价值的物品，影响其正常决策行为。</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6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满足投标范围的完整性要求</w:t>
            </w:r>
          </w:p>
          <w:p>
            <w:pPr>
              <w:widowControl/>
              <w:spacing w:line="360" w:lineRule="auto"/>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（8.1）</w:t>
            </w:r>
          </w:p>
        </w:tc>
        <w:tc>
          <w:tcPr>
            <w:tcW w:w="212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szCs w:val="21"/>
                <w:highlight w:val="none"/>
              </w:rPr>
              <w:t xml:space="preserve">投标人对所投分包招标文件中所列的所有服务内容进行投标。 </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p>
        </w:tc>
        <w:tc>
          <w:tcPr>
            <w:tcW w:w="16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未包含价格调整要求</w:t>
            </w:r>
          </w:p>
          <w:p>
            <w:pPr>
              <w:widowControl/>
              <w:spacing w:line="360" w:lineRule="auto"/>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（11.4）</w:t>
            </w:r>
          </w:p>
        </w:tc>
        <w:tc>
          <w:tcPr>
            <w:tcW w:w="212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szCs w:val="21"/>
                <w:highlight w:val="none"/>
              </w:rPr>
              <w:t>投标人所报的各分项投标报价在合同履行过程中是固定不变的，不得以任何理由予以变更。</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6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投标保证金（12.1）</w:t>
            </w:r>
          </w:p>
        </w:tc>
        <w:tc>
          <w:tcPr>
            <w:tcW w:w="212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符合招标文件要求</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p>
        </w:tc>
        <w:tc>
          <w:tcPr>
            <w:tcW w:w="16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投标有效期满足要求</w:t>
            </w:r>
          </w:p>
          <w:p>
            <w:pPr>
              <w:widowControl/>
              <w:spacing w:line="360" w:lineRule="auto"/>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（13.1）</w:t>
            </w:r>
          </w:p>
        </w:tc>
        <w:tc>
          <w:tcPr>
            <w:tcW w:w="212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szCs w:val="21"/>
                <w:highlight w:val="none"/>
              </w:rPr>
              <w:t>自提交投标文件截止之日起</w:t>
            </w:r>
            <w:r>
              <w:rPr>
                <w:rFonts w:hint="eastAsia" w:ascii="宋体" w:hAnsi="宋体" w:cs="宋体"/>
                <w:color w:val="auto"/>
                <w:szCs w:val="21"/>
                <w:highlight w:val="none"/>
                <w:u w:val="single"/>
              </w:rPr>
              <w:t xml:space="preserve">  90日</w:t>
            </w:r>
            <w:r>
              <w:rPr>
                <w:rFonts w:hint="eastAsia" w:ascii="宋体" w:hAnsi="宋体" w:cs="宋体"/>
                <w:color w:val="auto"/>
                <w:szCs w:val="21"/>
                <w:highlight w:val="none"/>
              </w:rPr>
              <w:t>历日内</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6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投标文件的签署和盖章符合要求</w:t>
            </w:r>
          </w:p>
          <w:p>
            <w:pPr>
              <w:widowControl/>
              <w:spacing w:line="360" w:lineRule="auto"/>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（14.2、14.4）</w:t>
            </w:r>
          </w:p>
        </w:tc>
        <w:tc>
          <w:tcPr>
            <w:tcW w:w="212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szCs w:val="21"/>
                <w:highlight w:val="none"/>
              </w:rPr>
            </w:pPr>
            <w:r>
              <w:rPr>
                <w:rFonts w:hint="eastAsia" w:ascii="宋体" w:hAnsi="宋体" w:cs="宋体"/>
                <w:color w:val="auto"/>
                <w:szCs w:val="21"/>
                <w:highlight w:val="none"/>
              </w:rPr>
              <w:t>按照招标文件规定要求签署、盖章。</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6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接受价格的算术修正</w:t>
            </w:r>
          </w:p>
          <w:p>
            <w:pPr>
              <w:widowControl/>
              <w:spacing w:line="360" w:lineRule="auto"/>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（20.2）</w:t>
            </w:r>
          </w:p>
        </w:tc>
        <w:tc>
          <w:tcPr>
            <w:tcW w:w="212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szCs w:val="21"/>
                <w:highlight w:val="none"/>
              </w:rPr>
              <w:t>投标文件报价出现前后不一致的，应按照招标文件规定的顺序修正。</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6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符合强制采购节能产品要求</w:t>
            </w:r>
          </w:p>
          <w:p>
            <w:pPr>
              <w:widowControl/>
              <w:spacing w:line="360" w:lineRule="auto"/>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（20.3）</w:t>
            </w:r>
          </w:p>
        </w:tc>
        <w:tc>
          <w:tcPr>
            <w:tcW w:w="212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本项目</w:t>
            </w:r>
            <w:r>
              <w:rPr>
                <w:rFonts w:hint="eastAsia" w:ascii="宋体" w:hAnsi="宋体" w:cs="宋体"/>
                <w:i/>
                <w:color w:val="auto"/>
                <w:kern w:val="0"/>
                <w:szCs w:val="21"/>
                <w:highlight w:val="none"/>
                <w:u w:val="single"/>
              </w:rPr>
              <w:t>适用</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6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未发现串通投标（22.2）</w:t>
            </w:r>
          </w:p>
        </w:tc>
        <w:tc>
          <w:tcPr>
            <w:tcW w:w="212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szCs w:val="21"/>
                <w:highlight w:val="none"/>
              </w:rPr>
              <w:t>未与其他投标人串通投标，或者与招标人串通投标。</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6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报价说明可以接受（22.2）</w:t>
            </w:r>
          </w:p>
        </w:tc>
        <w:tc>
          <w:tcPr>
            <w:tcW w:w="212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szCs w:val="21"/>
                <w:highlight w:val="none"/>
              </w:rPr>
              <w:t>投标人的报价明显低于其他通过符合性审查投标人的报价，有可能影响履约的，投标人能按照规定证明其报价合理性。</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c>
          <w:tcPr>
            <w:tcW w:w="16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r>
              <w:rPr>
                <w:rFonts w:hint="eastAsia" w:ascii="宋体" w:hAnsi="宋体" w:cs="宋体"/>
                <w:color w:val="auto"/>
                <w:kern w:val="0"/>
                <w:sz w:val="22"/>
                <w:szCs w:val="22"/>
                <w:highlight w:val="none"/>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auto"/>
                <w:kern w:val="0"/>
                <w:sz w:val="22"/>
                <w:szCs w:val="22"/>
                <w:highlight w:val="none"/>
              </w:rPr>
            </w:pPr>
            <w:r>
              <w:rPr>
                <w:rFonts w:hint="eastAsia" w:ascii="宋体" w:hAnsi="宋体" w:cs="宋体"/>
                <w:color w:val="auto"/>
                <w:sz w:val="22"/>
                <w:szCs w:val="22"/>
                <w:highlight w:val="none"/>
              </w:rPr>
              <w:t>无采购人不能接受的附加条件（22.2）</w:t>
            </w:r>
          </w:p>
        </w:tc>
        <w:tc>
          <w:tcPr>
            <w:tcW w:w="212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szCs w:val="21"/>
                <w:highlight w:val="none"/>
              </w:rPr>
              <w:t xml:space="preserve">投标文件未含有采购人不能接受的附加条件。 </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p>
        </w:tc>
        <w:tc>
          <w:tcPr>
            <w:tcW w:w="1612" w:type="dxa"/>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cs="宋体"/>
                <w:color w:val="auto"/>
                <w:kern w:val="0"/>
                <w:sz w:val="22"/>
                <w:szCs w:val="22"/>
                <w:highlight w:val="none"/>
              </w:rPr>
            </w:pPr>
          </w:p>
        </w:tc>
      </w:tr>
      <w:tr>
        <w:tblPrEx>
          <w:tblCellMar>
            <w:top w:w="0" w:type="dxa"/>
            <w:left w:w="108" w:type="dxa"/>
            <w:bottom w:w="0" w:type="dxa"/>
            <w:right w:w="108" w:type="dxa"/>
          </w:tblCellMar>
        </w:tblPrEx>
        <w:trPr>
          <w:trHeight w:val="774" w:hRule="atLeast"/>
        </w:trPr>
        <w:tc>
          <w:tcPr>
            <w:tcW w:w="4253"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color w:val="auto"/>
                <w:szCs w:val="21"/>
                <w:highlight w:val="none"/>
              </w:rPr>
            </w:pPr>
            <w:r>
              <w:rPr>
                <w:rFonts w:hint="eastAsia" w:ascii="宋体" w:hAnsi="宋体" w:cs="宋体"/>
                <w:b/>
                <w:color w:val="auto"/>
                <w:kern w:val="0"/>
                <w:sz w:val="22"/>
                <w:szCs w:val="22"/>
                <w:highlight w:val="none"/>
              </w:rPr>
              <w:t>结论</w:t>
            </w:r>
          </w:p>
        </w:tc>
        <w:tc>
          <w:tcPr>
            <w:tcW w:w="141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kern w:val="0"/>
                <w:sz w:val="22"/>
                <w:szCs w:val="22"/>
                <w:highlight w:val="none"/>
              </w:rPr>
            </w:pP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kern w:val="0"/>
                <w:sz w:val="22"/>
                <w:szCs w:val="22"/>
                <w:highlight w:val="none"/>
              </w:rPr>
            </w:pPr>
          </w:p>
        </w:tc>
        <w:tc>
          <w:tcPr>
            <w:tcW w:w="161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color w:val="auto"/>
                <w:kern w:val="0"/>
                <w:sz w:val="22"/>
                <w:szCs w:val="22"/>
                <w:highlight w:val="none"/>
              </w:rPr>
            </w:pPr>
          </w:p>
        </w:tc>
      </w:tr>
    </w:tbl>
    <w:p>
      <w:pPr>
        <w:pStyle w:val="19"/>
        <w:tabs>
          <w:tab w:val="clear" w:pos="567"/>
        </w:tabs>
        <w:spacing w:before="0" w:line="360" w:lineRule="auto"/>
        <w:rPr>
          <w:rFonts w:cs="宋体"/>
          <w:color w:val="auto"/>
          <w:highlight w:val="none"/>
        </w:rPr>
      </w:pPr>
      <w:r>
        <w:rPr>
          <w:rFonts w:hint="eastAsia" w:cs="宋体"/>
          <w:color w:val="auto"/>
          <w:highlight w:val="none"/>
        </w:rPr>
        <w:br w:type="page"/>
      </w:r>
    </w:p>
    <w:p>
      <w:pPr>
        <w:pStyle w:val="19"/>
        <w:numPr>
          <w:ilvl w:val="0"/>
          <w:numId w:val="42"/>
        </w:numPr>
        <w:tabs>
          <w:tab w:val="clear" w:pos="567"/>
        </w:tabs>
        <w:spacing w:before="0" w:line="360" w:lineRule="auto"/>
        <w:ind w:left="-181" w:leftChars="-86" w:firstLine="883" w:firstLineChars="275"/>
        <w:rPr>
          <w:rFonts w:cs="宋体"/>
          <w:b/>
          <w:bCs/>
          <w:color w:val="auto"/>
          <w:kern w:val="0"/>
          <w:sz w:val="32"/>
          <w:szCs w:val="32"/>
          <w:highlight w:val="none"/>
        </w:rPr>
      </w:pPr>
      <w:r>
        <w:rPr>
          <w:rFonts w:hint="eastAsia" w:cs="宋体"/>
          <w:b/>
          <w:bCs/>
          <w:color w:val="auto"/>
          <w:kern w:val="0"/>
          <w:sz w:val="32"/>
          <w:szCs w:val="32"/>
          <w:highlight w:val="none"/>
        </w:rPr>
        <w:t>综合评分法评分标准</w:t>
      </w:r>
    </w:p>
    <w:tbl>
      <w:tblPr>
        <w:tblStyle w:val="43"/>
        <w:tblW w:w="84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8"/>
        <w:gridCol w:w="788"/>
        <w:gridCol w:w="69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bookmarkStart w:id="1131" w:name="_Toc507399904"/>
            <w:r>
              <w:rPr>
                <w:rFonts w:hint="eastAsia" w:ascii="宋体" w:hAnsi="宋体" w:eastAsia="宋体" w:cs="宋体"/>
                <w:i w:val="0"/>
                <w:iCs w:val="0"/>
                <w:color w:val="auto"/>
                <w:kern w:val="0"/>
                <w:sz w:val="21"/>
                <w:szCs w:val="21"/>
                <w:u w:val="none"/>
                <w:lang w:val="en-US" w:eastAsia="zh-CN" w:bidi="ar"/>
              </w:rPr>
              <w:t>评分项目</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评分</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评分细则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2"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报价部分（10分）</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报价</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有效投标价的最低价为评标基准价，其价格分为满分（10分）。其他投标人的价格分统一按照下列公式计算：投标报价得分＝（评标基准价／投标报价)×10，最高得10分，各投标人的投标总报价不得超过采购预算，超出预算的投标人，做无效投标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3" w:hRule="atLeast"/>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商务部分（51分）</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企业资质（2分）</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1、投标人具有ISO9001质量管理体系认证证书且认证范围包括计算机应用软件和系统集成的设计、开发和服务。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2、投标人具有ISO20000IT服务管理体系认证证书且认证范围包括计算机软件的设计开发、软硬件的运维服务。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3、投标人具有ISOIEC27001信息安全管理体系认证证书且认证范围包括计算机软件和系统集成的设计、开发、销售和服务。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4、投标人具有信息技术服务运行维护标准ITSS符合性证书二级及以上。</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5、投标人具有ISO14001环境管理体系认证证书且认证范围包括计算机应用软件的设计开发、信息系统集成服务及相关管理活动。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6、投标人具有ISO45001职业健康安全管理体系认证证书且认证范围包括计算机应用软件的设计开发、信息系统集成服务及相关管理活动。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以上需提供相关证明文件，全部满足得2分，每缺一项扣0.5分，扣完为止，通过证书加盖投标人公章，证书获得日期需在招标公告发布日期之前。</w:t>
            </w:r>
            <w:r>
              <w:rPr>
                <w:rStyle w:val="240"/>
                <w:color w:val="auto"/>
                <w:sz w:val="21"/>
                <w:szCs w:val="21"/>
                <w:lang w:val="en-US" w:eastAsia="zh-CN" w:bidi="ar"/>
              </w:rPr>
              <w:t>（原件备查）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788" w:type="dxa"/>
            <w:vMerge w:val="restart"/>
            <w:tcBorders>
              <w:top w:val="single" w:color="000000" w:sz="4" w:space="0"/>
              <w:left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1"/>
                <w:szCs w:val="21"/>
                <w:u w:val="none"/>
              </w:rPr>
            </w:pP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（1）投标人同时通过电子病历分级评价5级（含5级）及以上、医院信息互联互通标准化成熟度评价四级甲等（含四甲）及以上、医院智慧服务分级3级（含3级）及以上案例业绩的，每提供1个得</w:t>
            </w:r>
            <w:r>
              <w:rPr>
                <w:rFonts w:hint="eastAsia" w:ascii="宋体" w:hAnsi="宋体" w:cs="宋体"/>
                <w:i w:val="0"/>
                <w:iCs w:val="0"/>
                <w:color w:val="FF0000"/>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分，满分8分；要求同一案例同时满足三项评级要求，提供通过评审公告证明或其发布的评级结果公告通知）以及投标人集成平台项目合同关键页（含合同首页、甲乙双方盖章页和主要服务内容）复印件并加盖投标人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1"/>
                <w:szCs w:val="21"/>
                <w:u w:val="none"/>
              </w:rPr>
            </w:pP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为考察投标人集成平台的异构集成能力，投标人集成平台具有与异构HIS系统、异构EMR系统深度集成能力。投标人所投集成平台产品具有与非自产HIS系统、非自产EMR系统（要求非自产HIS与非自产EMR案例为同一案例医院）成功集成案例且通过国家卫健委互联互通四级甲等及以上测评的，每提供一个得1分，最高6分。要求同时提供投标人与其合作甲方的合同关键页（含合同首页、甲乙双方盖章页和主要服务内容）及通过评级证明文件（提供国家卫生健康委医院管理研究所颁发的等级牌照图片或其官网发布的评级结果公告通知）并加盖投标人公章、甲方联系人及联系方式及异构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6"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著作权证书（3分）</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人具有医院信息管理系统、集成平台、电子病历、预约平台、门诊诊间结算系统、数据资产平台、科研学术服务平台、医疗质量管理与控制系统、统一支付系统、临床数据中心、共享文档系统、数据质量管理系统、统一数据上报平台相关软件著作权证书的（著作权名字可略微不同，但需满足功能要求），得3分，少一项扣0.5分。（要求提供扫描件并加盖公章），著作权证书日期需在招标公告之前。</w:t>
            </w:r>
            <w:r>
              <w:rPr>
                <w:rStyle w:val="240"/>
                <w:color w:val="auto"/>
                <w:sz w:val="21"/>
                <w:szCs w:val="21"/>
                <w:lang w:val="en-US" w:eastAsia="zh-CN" w:bidi="ar"/>
              </w:rPr>
              <w:t>（原件备查）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产品安全性认证（13分）</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投标人医疗信息系统（HIS）系统、电子病历、集成平台系统、数据中心系统需具备第三方安全测试报告及对应证书。每提供一项产品证书和报告得2分，最高得8分，提供不全或者证明资料模糊不清不得分。（要求提供产品安全测试报告和证书扫描件并加盖公章，测试报告获得日期需在招标公告发布日期之前）。</w:t>
            </w:r>
            <w:r>
              <w:rPr>
                <w:rStyle w:val="240"/>
                <w:color w:val="auto"/>
                <w:sz w:val="21"/>
                <w:szCs w:val="21"/>
                <w:lang w:val="en-US" w:eastAsia="zh-CN" w:bidi="ar"/>
              </w:rPr>
              <w:t xml:space="preserve">（原件备查）                          </w:t>
            </w:r>
            <w:r>
              <w:rPr>
                <w:rStyle w:val="240"/>
                <w:color w:val="auto"/>
                <w:sz w:val="21"/>
                <w:szCs w:val="21"/>
                <w:lang w:val="en-US" w:eastAsia="zh-CN" w:bidi="ar"/>
              </w:rPr>
              <w:br w:type="textWrapping"/>
            </w:r>
            <w:r>
              <w:rPr>
                <w:rStyle w:val="241"/>
                <w:color w:val="auto"/>
                <w:sz w:val="21"/>
                <w:szCs w:val="21"/>
                <w:lang w:val="en-US" w:eastAsia="zh-CN" w:bidi="ar"/>
              </w:rPr>
              <w:t>2、投标人的医院信息系统在其实施项目案例中符合商用密码应用安全性评估第三级别测试，评估结论为基本符合或者符合的，能够提供案例证明的得5分，评估结论为不符合不得分。（要求同时提供投标人与其合作甲方的合同关键页（含合同首页、甲乙双方盖章页和主要服务内容）、实施案例甲方通过的第三方的商用密码应用安全性评估报告（报告获得日期需在招标公告发布日期之前）及实施案例甲方的证明函，证明材料需加盖投标人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2"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78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FF0000"/>
                <w:kern w:val="0"/>
                <w:sz w:val="21"/>
                <w:szCs w:val="21"/>
                <w:u w:val="none"/>
                <w:lang w:val="en-US" w:eastAsia="zh-CN" w:bidi="ar"/>
              </w:rPr>
              <w:t>产品标准符合度（19分）</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投标人通过国家医疗健康信息互联互通标准化成熟度测评（医院、区域卫生），且数据资源、互操作性、技术架构测试均达到A级认证的</w:t>
            </w:r>
            <w:r>
              <w:rPr>
                <w:rFonts w:hint="eastAsia" w:ascii="宋体" w:hAnsi="宋体" w:eastAsia="宋体" w:cs="宋体"/>
                <w:i w:val="0"/>
                <w:iCs w:val="0"/>
                <w:color w:val="FF0000"/>
                <w:kern w:val="0"/>
                <w:sz w:val="21"/>
                <w:szCs w:val="21"/>
                <w:u w:val="none"/>
                <w:lang w:val="en-US" w:eastAsia="zh-CN" w:bidi="ar"/>
              </w:rPr>
              <w:t>得3分，</w:t>
            </w:r>
            <w:r>
              <w:rPr>
                <w:rFonts w:hint="eastAsia" w:ascii="宋体" w:hAnsi="宋体" w:eastAsia="宋体" w:cs="宋体"/>
                <w:i w:val="0"/>
                <w:iCs w:val="0"/>
                <w:color w:val="auto"/>
                <w:kern w:val="0"/>
                <w:sz w:val="21"/>
                <w:szCs w:val="21"/>
                <w:u w:val="none"/>
                <w:lang w:val="en-US" w:eastAsia="zh-CN" w:bidi="ar"/>
              </w:rPr>
              <w:t>其他不得分。提供第三方软件测评中心出具的测评证明材料，并加盖投标人公章，证明材料获得日期需在招标公告发布日期之前。（原件备查）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9"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788" w:type="dxa"/>
            <w:vMerge w:val="continue"/>
            <w:tcBorders>
              <w:top w:val="single" w:color="000000" w:sz="4" w:space="0"/>
              <w:left w:val="single" w:color="000000" w:sz="4" w:space="0"/>
              <w:bottom w:val="nil"/>
              <w:right w:val="single" w:color="000000" w:sz="4" w:space="0"/>
            </w:tcBorders>
            <w:shd w:val="clear" w:color="auto" w:fill="auto"/>
            <w:vAlign w:val="center"/>
          </w:tcPr>
          <w:p>
            <w:pPr>
              <w:jc w:val="both"/>
              <w:rPr>
                <w:rFonts w:hint="eastAsia" w:ascii="宋体" w:hAnsi="宋体" w:eastAsia="宋体" w:cs="宋体"/>
                <w:i w:val="0"/>
                <w:iCs w:val="0"/>
                <w:color w:val="auto"/>
                <w:sz w:val="21"/>
                <w:szCs w:val="21"/>
                <w:u w:val="none"/>
              </w:rPr>
            </w:pP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投标人参与医疗交互新标准兼容测试（FHIR Connectathon）且全部通过患者、院内检验报告、院外检验报告、就诊、检查申请、检查报告、预约、手术、用药医嘱、术语、电子病历生成和读取、电子病历共享交换（XDS）、临床辅助诊疗CDS十三个场景测试的，全部通过测试</w:t>
            </w:r>
            <w:r>
              <w:rPr>
                <w:rFonts w:hint="eastAsia" w:ascii="宋体" w:hAnsi="宋体" w:eastAsia="宋体" w:cs="宋体"/>
                <w:i w:val="0"/>
                <w:iCs w:val="0"/>
                <w:color w:val="FF0000"/>
                <w:kern w:val="0"/>
                <w:sz w:val="21"/>
                <w:szCs w:val="21"/>
                <w:u w:val="none"/>
                <w:lang w:val="en-US" w:eastAsia="zh-CN" w:bidi="ar"/>
              </w:rPr>
              <w:t>得6分</w:t>
            </w:r>
            <w:r>
              <w:rPr>
                <w:rFonts w:hint="eastAsia" w:ascii="宋体" w:hAnsi="宋体" w:eastAsia="宋体" w:cs="宋体"/>
                <w:i w:val="0"/>
                <w:iCs w:val="0"/>
                <w:color w:val="auto"/>
                <w:kern w:val="0"/>
                <w:sz w:val="21"/>
                <w:szCs w:val="21"/>
                <w:u w:val="none"/>
                <w:lang w:val="en-US" w:eastAsia="zh-CN" w:bidi="ar"/>
              </w:rPr>
              <w:t>，其他不得分。以上提供投标人参与证明文件及通过测试相关证明材料，并加盖公章，证明文件及通过测试相关证明材料获得日期需在招标公告发布日期之前。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788" w:type="dxa"/>
            <w:vMerge w:val="continue"/>
            <w:tcBorders>
              <w:top w:val="single" w:color="000000" w:sz="4" w:space="0"/>
              <w:left w:val="single" w:color="000000" w:sz="4" w:space="0"/>
              <w:bottom w:val="nil"/>
              <w:right w:val="single" w:color="000000" w:sz="4" w:space="0"/>
            </w:tcBorders>
            <w:shd w:val="clear" w:color="auto" w:fill="auto"/>
            <w:vAlign w:val="center"/>
          </w:tcPr>
          <w:p>
            <w:pPr>
              <w:jc w:val="both"/>
              <w:rPr>
                <w:rFonts w:hint="eastAsia" w:ascii="宋体" w:hAnsi="宋体" w:eastAsia="宋体" w:cs="宋体"/>
                <w:i w:val="0"/>
                <w:iCs w:val="0"/>
                <w:color w:val="auto"/>
                <w:sz w:val="21"/>
                <w:szCs w:val="21"/>
                <w:u w:val="none"/>
              </w:rPr>
            </w:pP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投标人医疗信息系统（HIS）、医院信息集成平台具备IHE测试通过证书，HIS系统每提供一个得0.5分，</w:t>
            </w:r>
            <w:r>
              <w:rPr>
                <w:rFonts w:hint="eastAsia" w:ascii="宋体" w:hAnsi="宋体" w:eastAsia="宋体" w:cs="宋体"/>
                <w:i w:val="0"/>
                <w:iCs w:val="0"/>
                <w:color w:val="FF0000"/>
                <w:kern w:val="0"/>
                <w:sz w:val="21"/>
                <w:szCs w:val="21"/>
                <w:u w:val="none"/>
                <w:lang w:val="en-US" w:eastAsia="zh-CN" w:bidi="ar"/>
              </w:rPr>
              <w:t>满分3分，</w:t>
            </w:r>
            <w:r>
              <w:rPr>
                <w:rFonts w:hint="eastAsia" w:ascii="宋体" w:hAnsi="宋体" w:eastAsia="宋体" w:cs="宋体"/>
                <w:i w:val="0"/>
                <w:iCs w:val="0"/>
                <w:color w:val="auto"/>
                <w:kern w:val="0"/>
                <w:sz w:val="21"/>
                <w:szCs w:val="21"/>
                <w:u w:val="none"/>
                <w:lang w:val="en-US" w:eastAsia="zh-CN" w:bidi="ar"/>
              </w:rPr>
              <w:t>医院信息集成平台每提供一个得0.5分，</w:t>
            </w:r>
            <w:r>
              <w:rPr>
                <w:rFonts w:hint="eastAsia" w:ascii="宋体" w:hAnsi="宋体" w:eastAsia="宋体" w:cs="宋体"/>
                <w:i w:val="0"/>
                <w:iCs w:val="0"/>
                <w:color w:val="FF0000"/>
                <w:kern w:val="0"/>
                <w:sz w:val="21"/>
                <w:szCs w:val="21"/>
                <w:u w:val="none"/>
                <w:lang w:val="en-US" w:eastAsia="zh-CN" w:bidi="ar"/>
              </w:rPr>
              <w:t>满分3分。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需提供测试通过证书加盖投标人公章，证书获得日期需在招标公告发布日期之前。</w:t>
            </w:r>
            <w:r>
              <w:rPr>
                <w:rStyle w:val="240"/>
                <w:color w:val="auto"/>
                <w:sz w:val="21"/>
                <w:szCs w:val="21"/>
                <w:lang w:val="en-US" w:eastAsia="zh-CN" w:bidi="ar"/>
              </w:rPr>
              <w:t>（原件备查）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0"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u w:val="none"/>
              </w:rPr>
            </w:pPr>
          </w:p>
        </w:tc>
        <w:tc>
          <w:tcPr>
            <w:tcW w:w="788" w:type="dxa"/>
            <w:vMerge w:val="continue"/>
            <w:tcBorders>
              <w:top w:val="single" w:color="000000" w:sz="4" w:space="0"/>
              <w:left w:val="single" w:color="000000" w:sz="4" w:space="0"/>
              <w:bottom w:val="nil"/>
              <w:right w:val="single" w:color="000000" w:sz="4" w:space="0"/>
            </w:tcBorders>
            <w:shd w:val="clear" w:color="auto" w:fill="auto"/>
            <w:vAlign w:val="center"/>
          </w:tcPr>
          <w:p>
            <w:pPr>
              <w:jc w:val="both"/>
              <w:rPr>
                <w:rFonts w:hint="eastAsia" w:ascii="宋体" w:hAnsi="宋体" w:eastAsia="宋体" w:cs="宋体"/>
                <w:i w:val="0"/>
                <w:iCs w:val="0"/>
                <w:color w:val="auto"/>
                <w:sz w:val="21"/>
                <w:szCs w:val="21"/>
                <w:u w:val="none"/>
              </w:rPr>
            </w:pP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投标人的医疗信息系统（HIS）、临床数据中心需要支持信创国产化需求：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（1）临床数据中心系统支持与国产化分布式数据库兼容，能够提供的得1分，不提供不得分，需提供认证证书加盖投标人公章，证书获得日期需在招标公告发布日期之前。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（2）医疗信息系统（HIS）支持与国产化数据库兼容，能够提供的得1分，不提供不得分，需提供认证证书加盖投标人公章，证书获得日期需在招标公告发布日期之前。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（3）医疗信息系统（HIS）支持与国产化服务器操作系统兼容，能够提供的得1分，不提供不得分，需提供认证证书加盖投标人公章，证书获得日期需在招标公告发布日期之前。</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（4）医疗信息系统（HIS）支持与国产化服务器兼容，能够提供的得1分，不提供不得分，需提供认证证书加盖投标人公章，证书获得日期需在招标公告发布日期之前。</w:t>
            </w:r>
            <w:r>
              <w:rPr>
                <w:rStyle w:val="240"/>
                <w:color w:val="auto"/>
                <w:sz w:val="21"/>
                <w:szCs w:val="21"/>
                <w:lang w:val="en-US" w:eastAsia="zh-CN" w:bidi="ar"/>
              </w:rPr>
              <w:t>（原件备查）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4" w:hRule="atLeast"/>
        </w:trPr>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技术部分（39分）</w:t>
            </w:r>
          </w:p>
        </w:tc>
        <w:tc>
          <w:tcPr>
            <w:tcW w:w="78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拟派项目建设成员资质评价（3分）</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项目团队人员具有信息系统项目管理师、系统分析师、软件设计师、注册信息安全工程师、网络工程师、软件评测师证书、HL7 CDA专家、HL7 V2.7专家，提供全部证书的得3分，每少一个证书减0.5分。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需提供资格证书或者电子版证书网站查询截图证明复印件，否则不计分，需要提供投入团队人员在投标人公司的社保缴纳证明文件（要求近六个月的社保缴纳证明文件），证书获得日期需在招标公告发布日期之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1"/>
                <w:szCs w:val="21"/>
                <w:u w:val="none"/>
              </w:rPr>
            </w:pP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实施方案（3分）</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对项目实施的各个阶段评价：需求分析阶段、系统配置、系统集成实施准备阶段、系统培训阶段、系统部署阶段、硬件安装调试、系统试运行阶段、系统验收阶段的进度做出详细的计划。对项目实施的进度计划及控制中各阶段中投标人所要做的工作及保障措施做出详细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1"/>
                <w:szCs w:val="21"/>
                <w:u w:val="none"/>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1"/>
                <w:szCs w:val="21"/>
                <w:u w:val="none"/>
              </w:rPr>
            </w:pP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1.实施方案满足上述要求且详细的得2-3分；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1"/>
                <w:szCs w:val="21"/>
                <w:u w:val="none"/>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1"/>
                <w:szCs w:val="21"/>
                <w:u w:val="none"/>
              </w:rPr>
            </w:pP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2.实施方案部分满足上述要求且安排一般的得1-2分；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1"/>
                <w:szCs w:val="21"/>
                <w:u w:val="none"/>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1"/>
                <w:szCs w:val="21"/>
                <w:u w:val="none"/>
              </w:rPr>
            </w:pP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3.评价较差者得0-1分；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1"/>
                <w:szCs w:val="21"/>
                <w:u w:val="none"/>
              </w:rPr>
            </w:pP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售后方案（3分）</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提供完善的售后服务和应急响应方案，包括但不限于人员安排、服务计划和服务措施、本地化售后服务的相关承诺，评委对服务方案进行综合评价，划分不同档次。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1"/>
                <w:szCs w:val="21"/>
                <w:u w:val="none"/>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1"/>
                <w:szCs w:val="21"/>
                <w:u w:val="none"/>
              </w:rPr>
            </w:pP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1.售后方案满足上述要求且详细的得2-3分；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1"/>
                <w:szCs w:val="21"/>
                <w:u w:val="none"/>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1"/>
                <w:szCs w:val="21"/>
                <w:u w:val="none"/>
              </w:rPr>
            </w:pP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2.售后方案部分满足上述要求且安排一般的得1-2分；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1"/>
                <w:szCs w:val="21"/>
                <w:u w:val="none"/>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1"/>
                <w:szCs w:val="21"/>
                <w:u w:val="none"/>
              </w:rPr>
            </w:pP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3.售后方案评价较差者得0-1分；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1"/>
                <w:szCs w:val="21"/>
                <w:u w:val="none"/>
              </w:rPr>
            </w:pP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培训方案（3分）</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投标人应针对系统使用人员、系统运行维护管理人员等不同对象制定有针对性的培训计划评价：方案包含培训内容；培训课程及教材；讲师类型；培训时间及方式等。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1"/>
                <w:szCs w:val="21"/>
                <w:u w:val="none"/>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1"/>
                <w:szCs w:val="21"/>
                <w:u w:val="none"/>
              </w:rPr>
            </w:pP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1.培训方案满足上述要求且详细的得2-3分；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1"/>
                <w:szCs w:val="21"/>
                <w:u w:val="none"/>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1"/>
                <w:szCs w:val="21"/>
                <w:u w:val="none"/>
              </w:rPr>
            </w:pP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 培训方案部分满足上述要求且安排一般的得1-2分；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1"/>
                <w:szCs w:val="21"/>
                <w:u w:val="none"/>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1"/>
                <w:szCs w:val="21"/>
                <w:u w:val="none"/>
              </w:rPr>
            </w:pP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 培训方案评价较差者得0-1分；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51"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参数条款响应（12分）</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一、带★为重要条款，投标人所投产品需要满足以下条款要求（10分）：</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1、提供操作视频条款：要求采用真实系统录制，</w:t>
            </w:r>
            <w:r>
              <w:rPr>
                <w:rStyle w:val="241"/>
                <w:color w:val="auto"/>
                <w:sz w:val="21"/>
                <w:szCs w:val="21"/>
                <w:lang w:val="en-US" w:eastAsia="zh-CN" w:bidi="ar"/>
              </w:rPr>
              <w:t>单个视频时长不超过3分钟</w:t>
            </w:r>
            <w:r>
              <w:rPr>
                <w:rStyle w:val="242"/>
                <w:color w:val="auto"/>
                <w:sz w:val="21"/>
                <w:szCs w:val="21"/>
                <w:lang w:val="en-US" w:eastAsia="zh-CN" w:bidi="ar"/>
              </w:rPr>
              <w:t>。全部满足且能完整展现的得9分，每缺少一条扣1.5分，扣完为止，其他如PPT、word等录制，不得分。</w:t>
            </w:r>
            <w:r>
              <w:rPr>
                <w:rStyle w:val="242"/>
                <w:color w:val="auto"/>
                <w:sz w:val="21"/>
                <w:szCs w:val="21"/>
                <w:lang w:val="en-US" w:eastAsia="zh-CN" w:bidi="ar"/>
              </w:rPr>
              <w:br w:type="textWrapping"/>
            </w:r>
            <w:r>
              <w:rPr>
                <w:rStyle w:val="242"/>
                <w:color w:val="auto"/>
                <w:sz w:val="21"/>
                <w:szCs w:val="21"/>
                <w:lang w:val="en-US" w:eastAsia="zh-CN" w:bidi="ar"/>
              </w:rPr>
              <w:t>2、提供系统截图条款：要求采用真实系统截图，全部满足且能完整展现的得1分，每缺少一条扣0.2分，扣完为止。</w:t>
            </w:r>
            <w:r>
              <w:rPr>
                <w:rStyle w:val="241"/>
                <w:color w:val="auto"/>
                <w:sz w:val="21"/>
                <w:szCs w:val="21"/>
                <w:lang w:val="en-US" w:eastAsia="zh-CN" w:bidi="ar"/>
              </w:rPr>
              <w:br w:type="textWrapping"/>
            </w:r>
            <w:r>
              <w:rPr>
                <w:rStyle w:val="241"/>
                <w:color w:val="auto"/>
                <w:sz w:val="21"/>
                <w:szCs w:val="21"/>
                <w:lang w:val="en-US" w:eastAsia="zh-CN" w:bidi="ar"/>
              </w:rPr>
              <w:t>二、（2分）不带★或▲参数为一般性参数，每负偏离一项扣0.1分，扣完为止。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 w:hRule="atLeast"/>
        </w:trPr>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auto"/>
                <w:sz w:val="21"/>
                <w:szCs w:val="21"/>
                <w:u w:val="none"/>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投标人系统演示（15分）演示时间共20分钟以内，要求按照演示条款顺序演示。</w:t>
            </w:r>
          </w:p>
        </w:tc>
        <w:tc>
          <w:tcPr>
            <w:tcW w:w="6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 系统登录及界面一体化演示要求：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通过单点登录，使用同一用户名与密码可根据不同权限登录住院医生工作站、门诊医生工作站、护士工作站、门诊管理、住院管理、药品管理、医技管理等应用系统，界面风格一致并支持自由配置工作界面，支持第三方系统集成嵌入，如DRGs系统、邮箱等。系统支持分屏显示，打开一次系统在一个屏幕中同时显示多个业务窗口。</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 临床工作站一体化演示要求：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医生工作站实现临床医嘱、病历、临床路径、诊疗视图等主要功能的一体化整合，支持界面个性化定制，支持以角色为场景的全景工作站模式。支持医生登录提供基本操作流程导航，点击流程节点可直接跳转至相应工作场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 临床数据一体化演示要求：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以时间轴的方式在同一界面展现患者的诊疗视图，包括生命体征、用药情况、检查检验、病历文书等临床事件，并可直接查看医嘱闭环执行状态，能够实现医疗过程的直观呈现和追踪。可在同一界面中直接查看报告信息，检验报告可绘制多项指标多次结果的历史趋势图。可对重要诊疗节点（入出院、手术等）进行过滤。可查看包括门诊、住院历次就诊既往数据，了解病情诊疗变化，并支持以时间轴的方式直观展现单次就诊诊断过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 医嘱开立一体化演示要求：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系统一体化医嘱智能开立模式，融合医嘱和申请单，能够提供统一的药物治疗、检查、检验、手术、用血、会诊申请的开立界面，可根据医生开立项目的不同，显示不同类型的申请单，部分已有信息可自动带出。申请单开立完成后可自动生成相应医嘱，无需再到其他地方单独开立。</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 病历书写、质控智能化演示要求：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在病历编辑中支持并演示本次和既往病历、医嘱、检查、检验、过敏、护理、诊断、图表、公式、符号、康复评定等信息的快速写入病历，提高效率及质量；病历系统有多种智能化病历质控规则，支持病历自动质控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6、 临床路径一体化演示要求：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支持直观图形化和传统表格化模式，内容覆盖医嘱、病历、护理，可无缝跳转至病历和医嘱系统。</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7、 资源一体化管理演示要求：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系统支持挂医技、住院、手术等多种医疗资源的预约，支持时间片预约，支持多号源池、多渠道管理，每个排班计划均可设置独立号源释放规则。医技预约支持项目互斥规则定义。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 多院区管控一体化演示要求：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从基础数据和业务数据两个维度对多院区进行多级管控，需演示集团、医院、科室组织架构下的维护界面；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9、 自主运维支持演示要求：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提供可视化的系统运行维护功能，支持可视化的服务器运维、客户端运维和数据库运维，支持主机集群、文件系统、共享缓存、负载均衡和数据库运行情况的监控与优化。</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10、 自主开发支持演示要求：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数据实体、表单和界面布局的开发完全脱离第三方的开发环境。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cs="宋体"/>
                <w:i w:val="0"/>
                <w:iCs w:val="0"/>
                <w:color w:val="FF0000"/>
                <w:kern w:val="0"/>
                <w:sz w:val="21"/>
                <w:szCs w:val="21"/>
                <w:u w:val="none"/>
                <w:lang w:val="en-US" w:eastAsia="zh-CN" w:bidi="ar"/>
              </w:rPr>
              <w:t>每一项</w:t>
            </w:r>
            <w:r>
              <w:rPr>
                <w:rFonts w:hint="eastAsia" w:ascii="宋体" w:hAnsi="宋体" w:eastAsia="宋体" w:cs="宋体"/>
                <w:i w:val="0"/>
                <w:iCs w:val="0"/>
                <w:color w:val="FF0000"/>
                <w:kern w:val="0"/>
                <w:sz w:val="21"/>
                <w:szCs w:val="21"/>
                <w:u w:val="none"/>
                <w:lang w:val="en-US" w:eastAsia="zh-CN" w:bidi="ar"/>
              </w:rPr>
              <w:t>内容采用真实系统演示全部满足且能完整展现的得1.5分。其他</w:t>
            </w:r>
            <w:r>
              <w:rPr>
                <w:rFonts w:hint="eastAsia" w:ascii="宋体" w:hAnsi="宋体" w:cs="宋体"/>
                <w:i w:val="0"/>
                <w:iCs w:val="0"/>
                <w:color w:val="FF0000"/>
                <w:kern w:val="0"/>
                <w:sz w:val="21"/>
                <w:szCs w:val="21"/>
                <w:u w:val="none"/>
                <w:lang w:val="en-US" w:eastAsia="zh-CN" w:bidi="ar"/>
              </w:rPr>
              <w:t>方式</w:t>
            </w:r>
            <w:r>
              <w:rPr>
                <w:rFonts w:hint="eastAsia" w:ascii="宋体" w:hAnsi="宋体" w:eastAsia="宋体" w:cs="宋体"/>
                <w:i w:val="0"/>
                <w:iCs w:val="0"/>
                <w:color w:val="FF0000"/>
                <w:kern w:val="0"/>
                <w:sz w:val="21"/>
                <w:szCs w:val="21"/>
                <w:u w:val="none"/>
                <w:lang w:val="en-US" w:eastAsia="zh-CN" w:bidi="ar"/>
              </w:rPr>
              <w:t>演示，如PPT、WORD得0.2分，其余不得分。</w:t>
            </w:r>
            <w:r>
              <w:rPr>
                <w:rFonts w:hint="eastAsia" w:ascii="宋体" w:hAnsi="宋体" w:cs="宋体"/>
                <w:i w:val="0"/>
                <w:iCs w:val="0"/>
                <w:color w:val="FF0000"/>
                <w:kern w:val="0"/>
                <w:sz w:val="21"/>
                <w:szCs w:val="21"/>
                <w:u w:val="none"/>
                <w:lang w:val="en-US" w:eastAsia="zh-CN" w:bidi="ar"/>
              </w:rPr>
              <w:t>满分15分。</w:t>
            </w:r>
          </w:p>
        </w:tc>
      </w:tr>
    </w:tbl>
    <w:p>
      <w:pPr>
        <w:spacing w:line="360" w:lineRule="auto"/>
        <w:rPr>
          <w:rFonts w:ascii="宋体" w:hAnsi="宋体" w:cs="宋体"/>
          <w:b/>
          <w:color w:val="auto"/>
          <w:sz w:val="44"/>
          <w:szCs w:val="44"/>
          <w:highlight w:val="none"/>
        </w:rPr>
      </w:pPr>
    </w:p>
    <w:p>
      <w:pPr>
        <w:rPr>
          <w:rFonts w:cs="宋体"/>
          <w:b/>
          <w:color w:val="auto"/>
          <w:sz w:val="44"/>
          <w:szCs w:val="44"/>
          <w:highlight w:val="none"/>
        </w:rPr>
      </w:pPr>
      <w:r>
        <w:rPr>
          <w:rFonts w:cs="宋体"/>
          <w:b/>
          <w:color w:val="auto"/>
          <w:sz w:val="44"/>
          <w:szCs w:val="44"/>
          <w:highlight w:val="none"/>
        </w:rPr>
        <w:br w:type="page"/>
      </w:r>
    </w:p>
    <w:p>
      <w:pPr>
        <w:rPr>
          <w:color w:val="auto"/>
          <w:highlight w:val="none"/>
        </w:rPr>
      </w:pPr>
    </w:p>
    <w:p>
      <w:pPr>
        <w:pStyle w:val="19"/>
        <w:rPr>
          <w:rFonts w:cs="宋体"/>
          <w:b/>
          <w:color w:val="auto"/>
          <w:sz w:val="52"/>
          <w:szCs w:val="52"/>
          <w:highlight w:val="none"/>
        </w:rPr>
      </w:pPr>
      <w:bookmarkStart w:id="1132" w:name="_Toc27580"/>
      <w:bookmarkStart w:id="1133" w:name="_Toc3601"/>
      <w:bookmarkStart w:id="1134" w:name="_Toc518923128"/>
      <w:bookmarkStart w:id="1135" w:name="_Toc23018"/>
    </w:p>
    <w:p>
      <w:pPr>
        <w:spacing w:line="400" w:lineRule="atLeast"/>
        <w:jc w:val="center"/>
        <w:rPr>
          <w:rFonts w:ascii="宋体" w:hAnsi="宋体" w:cs="宋体"/>
          <w:b/>
          <w:color w:val="auto"/>
          <w:sz w:val="36"/>
          <w:szCs w:val="36"/>
          <w:highlight w:val="none"/>
        </w:rPr>
      </w:pPr>
      <w:r>
        <w:rPr>
          <w:rFonts w:hint="eastAsia" w:ascii="宋体" w:hAnsi="宋体" w:cs="宋体"/>
          <w:b/>
          <w:color w:val="auto"/>
          <w:sz w:val="36"/>
          <w:szCs w:val="36"/>
          <w:highlight w:val="none"/>
        </w:rPr>
        <w:t>喀什地区第一人民医院国家区域医疗中心智慧医院、多学科（专科、专病）数据中心信息化</w:t>
      </w:r>
    </w:p>
    <w:p>
      <w:pPr>
        <w:spacing w:line="400" w:lineRule="atLeast"/>
        <w:jc w:val="center"/>
        <w:rPr>
          <w:rFonts w:ascii="宋体" w:hAnsi="宋体" w:cs="宋体"/>
          <w:b/>
          <w:color w:val="auto"/>
          <w:sz w:val="36"/>
          <w:szCs w:val="36"/>
          <w:highlight w:val="none"/>
        </w:rPr>
      </w:pPr>
      <w:r>
        <w:rPr>
          <w:rFonts w:hint="eastAsia" w:ascii="宋体" w:hAnsi="宋体" w:cs="宋体"/>
          <w:b/>
          <w:color w:val="auto"/>
          <w:sz w:val="36"/>
          <w:szCs w:val="36"/>
          <w:highlight w:val="none"/>
        </w:rPr>
        <w:t>建设项目</w:t>
      </w:r>
    </w:p>
    <w:p>
      <w:pPr>
        <w:widowControl/>
        <w:spacing w:line="360" w:lineRule="auto"/>
        <w:jc w:val="left"/>
        <w:rPr>
          <w:rFonts w:ascii="宋体" w:hAnsi="宋体" w:cs="宋体"/>
          <w:color w:val="auto"/>
          <w:highlight w:val="none"/>
        </w:rPr>
      </w:pPr>
    </w:p>
    <w:p>
      <w:pPr>
        <w:spacing w:line="400" w:lineRule="atLeast"/>
        <w:jc w:val="center"/>
        <w:rPr>
          <w:rFonts w:ascii="宋体" w:hAnsi="宋体" w:cs="宋体"/>
          <w:b/>
          <w:color w:val="auto"/>
          <w:sz w:val="72"/>
          <w:szCs w:val="72"/>
          <w:highlight w:val="none"/>
        </w:rPr>
      </w:pPr>
      <w:r>
        <w:rPr>
          <w:rFonts w:hint="eastAsia" w:ascii="宋体" w:hAnsi="宋体" w:cs="宋体"/>
          <w:b/>
          <w:color w:val="auto"/>
          <w:sz w:val="72"/>
          <w:szCs w:val="72"/>
          <w:highlight w:val="none"/>
        </w:rPr>
        <w:t xml:space="preserve"> 公开招标文件</w:t>
      </w:r>
    </w:p>
    <w:p>
      <w:pPr>
        <w:spacing w:line="360" w:lineRule="auto"/>
        <w:ind w:left="1080" w:leftChars="257" w:hanging="540"/>
        <w:jc w:val="center"/>
        <w:rPr>
          <w:rFonts w:ascii="宋体" w:hAnsi="宋体" w:cs="宋体"/>
          <w:bCs/>
          <w:color w:val="auto"/>
          <w:sz w:val="52"/>
          <w:szCs w:val="52"/>
          <w:highlight w:val="none"/>
        </w:rPr>
      </w:pPr>
    </w:p>
    <w:p>
      <w:pPr>
        <w:spacing w:line="360" w:lineRule="auto"/>
        <w:ind w:left="1080" w:leftChars="257" w:hanging="540"/>
        <w:jc w:val="center"/>
        <w:rPr>
          <w:rFonts w:ascii="宋体" w:hAnsi="宋体" w:cs="宋体"/>
          <w:bCs/>
          <w:color w:val="auto"/>
          <w:sz w:val="32"/>
          <w:szCs w:val="32"/>
          <w:highlight w:val="none"/>
        </w:rPr>
      </w:pPr>
      <w:r>
        <w:rPr>
          <w:rFonts w:hint="eastAsia" w:ascii="宋体" w:hAnsi="宋体" w:cs="宋体"/>
          <w:bCs/>
          <w:color w:val="auto"/>
          <w:sz w:val="32"/>
          <w:szCs w:val="32"/>
          <w:highlight w:val="none"/>
        </w:rPr>
        <w:t>（项目编号：KSDQZFCG（GK）2023-</w:t>
      </w:r>
      <w:r>
        <w:rPr>
          <w:rFonts w:hint="eastAsia" w:ascii="宋体" w:hAnsi="宋体" w:cs="宋体"/>
          <w:bCs/>
          <w:color w:val="auto"/>
          <w:sz w:val="32"/>
          <w:szCs w:val="32"/>
          <w:highlight w:val="none"/>
          <w:lang w:val="en-US" w:eastAsia="zh-CN"/>
        </w:rPr>
        <w:t>26</w:t>
      </w:r>
      <w:r>
        <w:rPr>
          <w:rFonts w:hint="eastAsia" w:ascii="宋体" w:hAnsi="宋体" w:cs="宋体"/>
          <w:bCs/>
          <w:color w:val="auto"/>
          <w:sz w:val="32"/>
          <w:szCs w:val="32"/>
          <w:highlight w:val="none"/>
        </w:rPr>
        <w:t>）</w:t>
      </w:r>
    </w:p>
    <w:p>
      <w:pPr>
        <w:spacing w:line="360" w:lineRule="auto"/>
        <w:ind w:left="1080" w:leftChars="257" w:hanging="540"/>
        <w:jc w:val="center"/>
        <w:rPr>
          <w:rFonts w:ascii="宋体" w:hAnsi="宋体" w:cs="宋体"/>
          <w:b/>
          <w:color w:val="auto"/>
          <w:sz w:val="32"/>
          <w:szCs w:val="32"/>
          <w:highlight w:val="none"/>
        </w:rPr>
      </w:pPr>
    </w:p>
    <w:p>
      <w:pPr>
        <w:spacing w:line="360" w:lineRule="auto"/>
        <w:ind w:left="1080" w:leftChars="257" w:hanging="540"/>
        <w:jc w:val="center"/>
        <w:rPr>
          <w:rFonts w:ascii="宋体" w:hAnsi="宋体" w:cs="宋体"/>
          <w:b/>
          <w:color w:val="auto"/>
          <w:sz w:val="36"/>
          <w:szCs w:val="36"/>
          <w:highlight w:val="none"/>
        </w:rPr>
      </w:pPr>
      <w:r>
        <w:rPr>
          <w:rFonts w:hint="eastAsia" w:ascii="宋体" w:hAnsi="宋体" w:cs="宋体"/>
          <w:b/>
          <w:color w:val="auto"/>
          <w:sz w:val="36"/>
          <w:szCs w:val="36"/>
          <w:highlight w:val="none"/>
        </w:rPr>
        <w:t>第三册</w:t>
      </w:r>
    </w:p>
    <w:p>
      <w:pPr>
        <w:spacing w:line="360" w:lineRule="auto"/>
        <w:ind w:left="1080" w:leftChars="257" w:hanging="540"/>
        <w:jc w:val="center"/>
        <w:rPr>
          <w:rFonts w:ascii="宋体" w:hAnsi="宋体" w:cs="宋体"/>
          <w:b/>
          <w:color w:val="auto"/>
          <w:sz w:val="52"/>
          <w:highlight w:val="none"/>
        </w:rPr>
      </w:pPr>
    </w:p>
    <w:p>
      <w:pPr>
        <w:pStyle w:val="19"/>
        <w:rPr>
          <w:rFonts w:cs="宋体"/>
          <w:b/>
          <w:color w:val="auto"/>
          <w:sz w:val="52"/>
          <w:highlight w:val="none"/>
        </w:rPr>
      </w:pPr>
    </w:p>
    <w:p>
      <w:pPr>
        <w:pStyle w:val="19"/>
        <w:rPr>
          <w:rFonts w:cs="宋体"/>
          <w:b/>
          <w:color w:val="auto"/>
          <w:sz w:val="52"/>
          <w:highlight w:val="none"/>
        </w:rPr>
      </w:pPr>
    </w:p>
    <w:p>
      <w:pPr>
        <w:spacing w:line="360" w:lineRule="auto"/>
        <w:ind w:firstLine="837" w:firstLineChars="299"/>
        <w:jc w:val="left"/>
        <w:rPr>
          <w:rFonts w:ascii="宋体" w:hAnsi="宋体" w:cs="宋体"/>
          <w:color w:val="auto"/>
          <w:sz w:val="28"/>
          <w:szCs w:val="28"/>
          <w:highlight w:val="none"/>
          <w:u w:val="single"/>
        </w:rPr>
      </w:pPr>
      <w:r>
        <w:rPr>
          <w:rFonts w:hint="eastAsia" w:ascii="宋体" w:hAnsi="宋体" w:cs="宋体"/>
          <w:color w:val="auto"/>
          <w:sz w:val="28"/>
          <w:szCs w:val="28"/>
          <w:highlight w:val="none"/>
        </w:rPr>
        <w:t>采 购 人：</w:t>
      </w:r>
      <w:r>
        <w:rPr>
          <w:rFonts w:hint="eastAsia" w:ascii="宋体" w:hAnsi="宋体" w:cs="宋体"/>
          <w:color w:val="auto"/>
          <w:sz w:val="28"/>
          <w:szCs w:val="28"/>
          <w:highlight w:val="none"/>
          <w:u w:val="single"/>
        </w:rPr>
        <w:t>喀什地区第一人民医院</w:t>
      </w:r>
    </w:p>
    <w:p>
      <w:pPr>
        <w:spacing w:line="360" w:lineRule="auto"/>
        <w:ind w:firstLine="837" w:firstLineChars="299"/>
        <w:rPr>
          <w:rFonts w:ascii="宋体" w:hAnsi="宋体" w:cs="宋体"/>
          <w:color w:val="auto"/>
          <w:sz w:val="28"/>
          <w:szCs w:val="28"/>
          <w:highlight w:val="none"/>
        </w:rPr>
      </w:pPr>
      <w:r>
        <w:rPr>
          <w:rFonts w:hint="eastAsia" w:ascii="宋体" w:hAnsi="宋体" w:cs="宋体"/>
          <w:color w:val="auto"/>
          <w:sz w:val="28"/>
          <w:szCs w:val="28"/>
          <w:highlight w:val="none"/>
        </w:rPr>
        <w:t>采购机构：</w:t>
      </w:r>
      <w:r>
        <w:rPr>
          <w:rFonts w:hint="eastAsia" w:ascii="宋体" w:hAnsi="宋体" w:cs="宋体"/>
          <w:color w:val="auto"/>
          <w:sz w:val="28"/>
          <w:szCs w:val="28"/>
          <w:highlight w:val="none"/>
          <w:u w:val="single"/>
        </w:rPr>
        <w:t>喀什地区公共资源交易中心</w:t>
      </w:r>
      <w:r>
        <w:rPr>
          <w:rFonts w:hint="eastAsia" w:ascii="宋体" w:hAnsi="宋体" w:cs="宋体"/>
          <w:color w:val="auto"/>
          <w:sz w:val="28"/>
          <w:szCs w:val="28"/>
          <w:highlight w:val="none"/>
        </w:rPr>
        <w:t xml:space="preserve"> </w:t>
      </w:r>
    </w:p>
    <w:p>
      <w:pPr>
        <w:spacing w:line="360" w:lineRule="auto"/>
        <w:ind w:firstLine="837" w:firstLineChars="299"/>
        <w:rPr>
          <w:rFonts w:hAnsi="宋体" w:cs="宋体"/>
          <w:color w:val="auto"/>
          <w:highlight w:val="none"/>
        </w:rPr>
      </w:pPr>
      <w:r>
        <w:rPr>
          <w:rFonts w:hint="eastAsia" w:ascii="宋体" w:hAnsi="宋体" w:cs="宋体"/>
          <w:color w:val="auto"/>
          <w:sz w:val="28"/>
          <w:szCs w:val="28"/>
          <w:highlight w:val="none"/>
        </w:rPr>
        <w:t>发出日期：</w:t>
      </w:r>
      <w:r>
        <w:rPr>
          <w:rFonts w:hint="eastAsia" w:ascii="宋体" w:hAnsi="宋体" w:cs="宋体"/>
          <w:color w:val="auto"/>
          <w:sz w:val="28"/>
          <w:szCs w:val="28"/>
          <w:highlight w:val="none"/>
          <w:u w:val="single"/>
        </w:rPr>
        <w:t>2023年</w:t>
      </w:r>
      <w:r>
        <w:rPr>
          <w:rFonts w:hint="eastAsia" w:ascii="宋体" w:hAnsi="宋体" w:cs="宋体"/>
          <w:color w:val="auto"/>
          <w:sz w:val="28"/>
          <w:szCs w:val="28"/>
          <w:highlight w:val="none"/>
          <w:u w:val="single"/>
          <w:lang w:val="en-US" w:eastAsia="zh-CN"/>
        </w:rPr>
        <w:t>7</w:t>
      </w:r>
      <w:r>
        <w:rPr>
          <w:rFonts w:hint="eastAsia" w:ascii="宋体" w:hAnsi="宋体" w:cs="宋体"/>
          <w:color w:val="auto"/>
          <w:sz w:val="28"/>
          <w:szCs w:val="28"/>
          <w:highlight w:val="none"/>
          <w:u w:val="single"/>
        </w:rPr>
        <w:t>月</w:t>
      </w:r>
    </w:p>
    <w:p>
      <w:pPr>
        <w:rPr>
          <w:rFonts w:hAnsi="宋体" w:cs="宋体"/>
          <w:color w:val="auto"/>
          <w:highlight w:val="none"/>
        </w:rPr>
      </w:pPr>
    </w:p>
    <w:p>
      <w:pPr>
        <w:rPr>
          <w:color w:val="auto"/>
          <w:highlight w:val="none"/>
        </w:rPr>
      </w:pPr>
      <w:r>
        <w:rPr>
          <w:color w:val="auto"/>
          <w:highlight w:val="none"/>
        </w:rPr>
        <w:br w:type="page"/>
      </w:r>
    </w:p>
    <w:p>
      <w:pPr>
        <w:pStyle w:val="15"/>
        <w:rPr>
          <w:color w:val="auto"/>
          <w:highlight w:val="none"/>
        </w:rPr>
      </w:pPr>
    </w:p>
    <w:p>
      <w:pPr>
        <w:pStyle w:val="3"/>
        <w:tabs>
          <w:tab w:val="left" w:pos="0"/>
        </w:tabs>
        <w:spacing w:before="0" w:after="0" w:line="360" w:lineRule="auto"/>
        <w:ind w:firstLine="1606" w:firstLineChars="500"/>
        <w:jc w:val="center"/>
        <w:rPr>
          <w:rFonts w:hAnsi="宋体" w:cs="宋体"/>
          <w:color w:val="auto"/>
          <w:highlight w:val="none"/>
        </w:rPr>
      </w:pPr>
      <w:bookmarkStart w:id="1136" w:name="_Toc1235"/>
      <w:bookmarkStart w:id="1137" w:name="_Toc10039765"/>
      <w:r>
        <w:rPr>
          <w:rFonts w:hint="eastAsia" w:hAnsi="宋体" w:cs="宋体"/>
          <w:color w:val="auto"/>
          <w:highlight w:val="none"/>
        </w:rPr>
        <w:t>第7章  政府采购合同</w:t>
      </w:r>
      <w:bookmarkEnd w:id="1131"/>
      <w:bookmarkEnd w:id="1132"/>
      <w:bookmarkEnd w:id="1133"/>
      <w:bookmarkEnd w:id="1134"/>
      <w:bookmarkEnd w:id="1135"/>
      <w:bookmarkEnd w:id="1136"/>
      <w:bookmarkEnd w:id="1137"/>
      <w:bookmarkStart w:id="1138" w:name="_Hlt487972895"/>
      <w:bookmarkEnd w:id="1138"/>
      <w:bookmarkStart w:id="1139" w:name="_Toc487900382"/>
      <w:bookmarkStart w:id="1140" w:name="_Toc216513788"/>
    </w:p>
    <w:bookmarkEnd w:id="1139"/>
    <w:bookmarkEnd w:id="1140"/>
    <w:p>
      <w:pPr>
        <w:pStyle w:val="15"/>
        <w:spacing w:line="360" w:lineRule="auto"/>
        <w:ind w:left="1080" w:leftChars="257" w:hanging="540"/>
        <w:jc w:val="center"/>
        <w:rPr>
          <w:rFonts w:hAnsi="宋体" w:cs="宋体"/>
          <w:color w:val="auto"/>
          <w:sz w:val="28"/>
          <w:highlight w:val="none"/>
        </w:rPr>
      </w:pPr>
    </w:p>
    <w:p>
      <w:pPr>
        <w:spacing w:line="360" w:lineRule="auto"/>
        <w:ind w:left="-567" w:leftChars="-270" w:firstLine="540"/>
        <w:jc w:val="center"/>
        <w:outlineLvl w:val="0"/>
        <w:rPr>
          <w:rFonts w:eastAsia="仿宋"/>
          <w:color w:val="auto"/>
          <w:kern w:val="44"/>
          <w:sz w:val="28"/>
          <w:szCs w:val="28"/>
          <w:highlight w:val="none"/>
        </w:rPr>
      </w:pPr>
      <w:r>
        <w:rPr>
          <w:rFonts w:eastAsia="仿宋"/>
          <w:color w:val="auto"/>
          <w:kern w:val="44"/>
          <w:sz w:val="28"/>
          <w:szCs w:val="28"/>
          <w:highlight w:val="none"/>
        </w:rPr>
        <w:t>请参照服务类政府采购合同参考范本订立采购合同。</w:t>
      </w:r>
    </w:p>
    <w:p>
      <w:pPr>
        <w:spacing w:line="360" w:lineRule="auto"/>
        <w:rPr>
          <w:rFonts w:eastAsia="仿宋"/>
          <w:color w:val="auto"/>
          <w:sz w:val="28"/>
          <w:szCs w:val="28"/>
          <w:highlight w:val="none"/>
          <w:u w:val="single"/>
        </w:rPr>
      </w:pPr>
      <w:r>
        <w:rPr>
          <w:rFonts w:eastAsia="仿宋"/>
          <w:color w:val="auto"/>
          <w:sz w:val="28"/>
          <w:szCs w:val="28"/>
          <w:highlight w:val="none"/>
        </w:rPr>
        <w:t>合同编号：</w:t>
      </w:r>
      <w:r>
        <w:rPr>
          <w:rFonts w:eastAsia="仿宋"/>
          <w:color w:val="auto"/>
          <w:sz w:val="28"/>
          <w:szCs w:val="28"/>
          <w:highlight w:val="none"/>
          <w:u w:val="single"/>
        </w:rPr>
        <w:t xml:space="preserve">           </w:t>
      </w:r>
    </w:p>
    <w:p>
      <w:pPr>
        <w:spacing w:line="360" w:lineRule="auto"/>
        <w:rPr>
          <w:rFonts w:eastAsia="仿宋"/>
          <w:b/>
          <w:bCs/>
          <w:color w:val="auto"/>
          <w:sz w:val="28"/>
          <w:szCs w:val="28"/>
          <w:highlight w:val="none"/>
        </w:rPr>
      </w:pPr>
    </w:p>
    <w:p>
      <w:pPr>
        <w:spacing w:line="360" w:lineRule="auto"/>
        <w:jc w:val="center"/>
        <w:outlineLvl w:val="0"/>
        <w:rPr>
          <w:rFonts w:eastAsia="仿宋"/>
          <w:b/>
          <w:bCs/>
          <w:color w:val="auto"/>
          <w:sz w:val="28"/>
          <w:szCs w:val="28"/>
          <w:highlight w:val="none"/>
        </w:rPr>
      </w:pPr>
      <w:r>
        <w:rPr>
          <w:rFonts w:eastAsia="仿宋"/>
          <w:b/>
          <w:bCs/>
          <w:color w:val="auto"/>
          <w:sz w:val="28"/>
          <w:szCs w:val="28"/>
          <w:highlight w:val="none"/>
        </w:rPr>
        <w:t>喀什地区政府采购合同</w:t>
      </w:r>
    </w:p>
    <w:p>
      <w:pPr>
        <w:pStyle w:val="58"/>
        <w:spacing w:line="360" w:lineRule="auto"/>
        <w:ind w:firstLine="0"/>
        <w:rPr>
          <w:rFonts w:ascii="Times New Roman" w:eastAsia="仿宋"/>
          <w:color w:val="auto"/>
          <w:sz w:val="28"/>
          <w:szCs w:val="28"/>
          <w:highlight w:val="none"/>
        </w:rPr>
      </w:pPr>
    </w:p>
    <w:p>
      <w:pPr>
        <w:pStyle w:val="58"/>
        <w:spacing w:line="360" w:lineRule="auto"/>
        <w:ind w:firstLine="0"/>
        <w:rPr>
          <w:rFonts w:ascii="Times New Roman" w:eastAsia="仿宋"/>
          <w:color w:val="auto"/>
          <w:sz w:val="28"/>
          <w:szCs w:val="28"/>
          <w:highlight w:val="none"/>
        </w:rPr>
      </w:pPr>
    </w:p>
    <w:p>
      <w:pPr>
        <w:pStyle w:val="58"/>
        <w:spacing w:line="360" w:lineRule="auto"/>
        <w:ind w:firstLine="0"/>
        <w:jc w:val="center"/>
        <w:outlineLvl w:val="1"/>
        <w:rPr>
          <w:rFonts w:ascii="Times New Roman" w:eastAsia="仿宋"/>
          <w:b/>
          <w:bCs/>
          <w:color w:val="auto"/>
          <w:sz w:val="28"/>
          <w:szCs w:val="28"/>
          <w:highlight w:val="none"/>
        </w:rPr>
      </w:pPr>
      <w:r>
        <w:rPr>
          <w:rFonts w:ascii="Times New Roman" w:eastAsia="仿宋"/>
          <w:b/>
          <w:bCs/>
          <w:color w:val="auto"/>
          <w:sz w:val="28"/>
          <w:szCs w:val="28"/>
          <w:highlight w:val="none"/>
        </w:rPr>
        <w:t>第一部分 合同书</w:t>
      </w:r>
    </w:p>
    <w:p>
      <w:pPr>
        <w:pStyle w:val="58"/>
        <w:spacing w:line="360" w:lineRule="auto"/>
        <w:ind w:firstLine="0"/>
        <w:rPr>
          <w:rFonts w:ascii="Times New Roman" w:eastAsia="仿宋"/>
          <w:color w:val="auto"/>
          <w:sz w:val="28"/>
          <w:szCs w:val="28"/>
          <w:highlight w:val="none"/>
        </w:rPr>
      </w:pPr>
    </w:p>
    <w:p>
      <w:pPr>
        <w:pStyle w:val="58"/>
        <w:spacing w:line="360" w:lineRule="auto"/>
        <w:ind w:firstLine="0"/>
        <w:rPr>
          <w:rFonts w:ascii="Times New Roman" w:eastAsia="仿宋"/>
          <w:color w:val="auto"/>
          <w:sz w:val="28"/>
          <w:szCs w:val="28"/>
          <w:highlight w:val="none"/>
        </w:rPr>
      </w:pPr>
    </w:p>
    <w:p>
      <w:pPr>
        <w:spacing w:before="120" w:line="360" w:lineRule="auto"/>
        <w:rPr>
          <w:rFonts w:eastAsia="仿宋"/>
          <w:color w:val="auto"/>
          <w:sz w:val="28"/>
          <w:szCs w:val="28"/>
          <w:highlight w:val="none"/>
        </w:rPr>
      </w:pPr>
    </w:p>
    <w:p>
      <w:pPr>
        <w:spacing w:line="360" w:lineRule="auto"/>
        <w:ind w:left="2520" w:hanging="2520" w:hangingChars="900"/>
        <w:jc w:val="left"/>
        <w:rPr>
          <w:rFonts w:hint="default" w:eastAsia="仿宋"/>
          <w:color w:val="auto"/>
          <w:sz w:val="28"/>
          <w:szCs w:val="28"/>
          <w:highlight w:val="none"/>
          <w:u w:val="single"/>
          <w:lang w:val="en-US" w:eastAsia="zh-CN"/>
        </w:rPr>
      </w:pPr>
      <w:r>
        <w:rPr>
          <w:rFonts w:eastAsia="仿宋"/>
          <w:color w:val="auto"/>
          <w:sz w:val="28"/>
          <w:szCs w:val="28"/>
          <w:highlight w:val="none"/>
        </w:rPr>
        <w:t xml:space="preserve">      项目名称：</w:t>
      </w:r>
      <w:r>
        <w:rPr>
          <w:rFonts w:eastAsia="仿宋"/>
          <w:color w:val="auto"/>
          <w:sz w:val="28"/>
          <w:szCs w:val="28"/>
          <w:highlight w:val="none"/>
          <w:u w:val="single"/>
        </w:rPr>
        <w:t xml:space="preserve"> </w:t>
      </w:r>
      <w:r>
        <w:rPr>
          <w:rFonts w:hint="eastAsia" w:ascii="仿宋_GB2312" w:hAnsi="宋体" w:eastAsia="仿宋_GB2312" w:cs="仿宋_GB2312"/>
          <w:color w:val="auto"/>
          <w:sz w:val="28"/>
          <w:szCs w:val="28"/>
          <w:highlight w:val="none"/>
          <w:u w:val="single"/>
          <w:lang w:val="en-US" w:eastAsia="zh-CN"/>
        </w:rPr>
        <w:t xml:space="preserve">                               </w:t>
      </w:r>
    </w:p>
    <w:p>
      <w:pPr>
        <w:spacing w:before="120" w:line="360" w:lineRule="auto"/>
        <w:ind w:left="960"/>
        <w:rPr>
          <w:rFonts w:eastAsia="仿宋"/>
          <w:color w:val="auto"/>
          <w:sz w:val="28"/>
          <w:szCs w:val="28"/>
          <w:highlight w:val="none"/>
        </w:rPr>
      </w:pPr>
    </w:p>
    <w:p>
      <w:pPr>
        <w:pStyle w:val="59"/>
        <w:spacing w:before="120"/>
        <w:rPr>
          <w:rFonts w:ascii="Times New Roman" w:eastAsia="仿宋"/>
          <w:color w:val="auto"/>
          <w:sz w:val="28"/>
          <w:szCs w:val="28"/>
          <w:highlight w:val="none"/>
        </w:rPr>
      </w:pPr>
    </w:p>
    <w:p>
      <w:pPr>
        <w:spacing w:line="360" w:lineRule="auto"/>
        <w:rPr>
          <w:rFonts w:eastAsia="仿宋"/>
          <w:color w:val="auto"/>
          <w:sz w:val="28"/>
          <w:szCs w:val="28"/>
          <w:highlight w:val="none"/>
        </w:rPr>
      </w:pPr>
    </w:p>
    <w:p>
      <w:pPr>
        <w:spacing w:before="120" w:line="360" w:lineRule="auto"/>
        <w:ind w:left="960"/>
        <w:rPr>
          <w:rFonts w:eastAsia="仿宋"/>
          <w:color w:val="auto"/>
          <w:sz w:val="28"/>
          <w:szCs w:val="28"/>
          <w:highlight w:val="none"/>
        </w:rPr>
      </w:pPr>
      <w:r>
        <w:rPr>
          <w:rFonts w:eastAsia="仿宋"/>
          <w:color w:val="auto"/>
          <w:sz w:val="28"/>
          <w:szCs w:val="28"/>
          <w:highlight w:val="none"/>
        </w:rPr>
        <w:t>甲方：</w:t>
      </w:r>
      <w:r>
        <w:rPr>
          <w:rFonts w:eastAsia="仿宋"/>
          <w:color w:val="auto"/>
          <w:sz w:val="28"/>
          <w:szCs w:val="28"/>
          <w:highlight w:val="none"/>
          <w:u w:val="single"/>
        </w:rPr>
        <w:t xml:space="preserve">                                       </w:t>
      </w:r>
    </w:p>
    <w:p>
      <w:pPr>
        <w:spacing w:before="120" w:line="360" w:lineRule="auto"/>
        <w:ind w:left="960"/>
        <w:rPr>
          <w:rFonts w:eastAsia="仿宋"/>
          <w:color w:val="auto"/>
          <w:sz w:val="28"/>
          <w:szCs w:val="28"/>
          <w:highlight w:val="none"/>
        </w:rPr>
      </w:pPr>
      <w:r>
        <w:rPr>
          <w:rFonts w:eastAsia="仿宋"/>
          <w:color w:val="auto"/>
          <w:sz w:val="28"/>
          <w:szCs w:val="28"/>
          <w:highlight w:val="none"/>
        </w:rPr>
        <w:t>乙方：</w:t>
      </w:r>
      <w:r>
        <w:rPr>
          <w:rFonts w:eastAsia="仿宋"/>
          <w:color w:val="auto"/>
          <w:sz w:val="28"/>
          <w:szCs w:val="28"/>
          <w:highlight w:val="none"/>
          <w:u w:val="single"/>
        </w:rPr>
        <w:t xml:space="preserve">                                       </w:t>
      </w:r>
    </w:p>
    <w:p>
      <w:pPr>
        <w:spacing w:before="120" w:line="360" w:lineRule="auto"/>
        <w:ind w:firstLine="1120" w:firstLineChars="400"/>
        <w:rPr>
          <w:rFonts w:eastAsia="仿宋"/>
          <w:color w:val="auto"/>
          <w:sz w:val="28"/>
          <w:szCs w:val="28"/>
          <w:highlight w:val="none"/>
        </w:rPr>
      </w:pPr>
      <w:r>
        <w:rPr>
          <w:rFonts w:eastAsia="仿宋"/>
          <w:color w:val="auto"/>
          <w:sz w:val="28"/>
          <w:szCs w:val="28"/>
          <w:highlight w:val="none"/>
        </w:rPr>
        <w:t>签订地：</w:t>
      </w:r>
      <w:r>
        <w:rPr>
          <w:rFonts w:eastAsia="仿宋"/>
          <w:color w:val="auto"/>
          <w:sz w:val="28"/>
          <w:szCs w:val="28"/>
          <w:highlight w:val="none"/>
          <w:u w:val="single"/>
        </w:rPr>
        <w:t xml:space="preserve">                                     </w:t>
      </w:r>
    </w:p>
    <w:p>
      <w:pPr>
        <w:spacing w:before="120" w:line="360" w:lineRule="auto"/>
        <w:ind w:firstLine="1120" w:firstLineChars="400"/>
        <w:rPr>
          <w:rFonts w:eastAsia="仿宋"/>
          <w:color w:val="auto"/>
          <w:sz w:val="28"/>
          <w:szCs w:val="28"/>
          <w:highlight w:val="none"/>
          <w:u w:val="single"/>
        </w:rPr>
      </w:pPr>
      <w:r>
        <w:rPr>
          <w:rFonts w:eastAsia="仿宋"/>
          <w:color w:val="auto"/>
          <w:sz w:val="28"/>
          <w:szCs w:val="28"/>
          <w:highlight w:val="none"/>
        </w:rPr>
        <w:t>签订日期：</w:t>
      </w:r>
      <w:r>
        <w:rPr>
          <w:rFonts w:eastAsia="仿宋"/>
          <w:color w:val="auto"/>
          <w:sz w:val="28"/>
          <w:szCs w:val="28"/>
          <w:highlight w:val="none"/>
          <w:u w:val="single"/>
        </w:rPr>
        <w:t xml:space="preserve">               </w:t>
      </w:r>
      <w:r>
        <w:rPr>
          <w:rFonts w:eastAsia="仿宋"/>
          <w:color w:val="auto"/>
          <w:sz w:val="28"/>
          <w:szCs w:val="28"/>
          <w:highlight w:val="none"/>
        </w:rPr>
        <w:t>年</w:t>
      </w:r>
      <w:r>
        <w:rPr>
          <w:rFonts w:eastAsia="仿宋"/>
          <w:color w:val="auto"/>
          <w:sz w:val="28"/>
          <w:szCs w:val="28"/>
          <w:highlight w:val="none"/>
          <w:u w:val="single"/>
        </w:rPr>
        <w:t xml:space="preserve">       </w:t>
      </w:r>
      <w:r>
        <w:rPr>
          <w:rFonts w:eastAsia="仿宋"/>
          <w:color w:val="auto"/>
          <w:sz w:val="28"/>
          <w:szCs w:val="28"/>
          <w:highlight w:val="none"/>
        </w:rPr>
        <w:t>月</w:t>
      </w:r>
      <w:r>
        <w:rPr>
          <w:rFonts w:eastAsia="仿宋"/>
          <w:color w:val="auto"/>
          <w:sz w:val="28"/>
          <w:szCs w:val="28"/>
          <w:highlight w:val="none"/>
          <w:u w:val="single"/>
        </w:rPr>
        <w:t xml:space="preserve">       </w:t>
      </w:r>
      <w:r>
        <w:rPr>
          <w:rFonts w:eastAsia="仿宋"/>
          <w:color w:val="auto"/>
          <w:sz w:val="28"/>
          <w:szCs w:val="28"/>
          <w:highlight w:val="none"/>
        </w:rPr>
        <w:t>日</w:t>
      </w:r>
    </w:p>
    <w:p>
      <w:pPr>
        <w:autoSpaceDE w:val="0"/>
        <w:autoSpaceDN w:val="0"/>
        <w:adjustRightInd w:val="0"/>
        <w:spacing w:line="360" w:lineRule="auto"/>
        <w:ind w:firstLine="640"/>
        <w:jc w:val="center"/>
        <w:rPr>
          <w:rFonts w:eastAsia="仿宋"/>
          <w:color w:val="auto"/>
          <w:sz w:val="28"/>
          <w:szCs w:val="28"/>
          <w:highlight w:val="none"/>
        </w:rPr>
        <w:sectPr>
          <w:headerReference r:id="rId12" w:type="default"/>
          <w:footerReference r:id="rId13" w:type="default"/>
          <w:pgSz w:w="11907" w:h="16840"/>
          <w:pgMar w:top="1474" w:right="1814" w:bottom="1474" w:left="1814" w:header="851" w:footer="851" w:gutter="0"/>
          <w:cols w:space="720" w:num="1"/>
          <w:docGrid w:linePitch="462" w:charSpace="0"/>
        </w:sectPr>
      </w:pPr>
    </w:p>
    <w:p>
      <w:pPr>
        <w:spacing w:line="360" w:lineRule="auto"/>
        <w:jc w:val="left"/>
        <w:rPr>
          <w:rFonts w:eastAsia="仿宋"/>
          <w:color w:val="auto"/>
          <w:sz w:val="28"/>
          <w:szCs w:val="28"/>
          <w:highlight w:val="none"/>
        </w:rPr>
      </w:pPr>
      <w:r>
        <w:rPr>
          <w:rFonts w:eastAsia="仿宋"/>
          <w:color w:val="auto"/>
          <w:sz w:val="28"/>
          <w:szCs w:val="28"/>
          <w:highlight w:val="none"/>
          <w:u w:val="single"/>
          <w:lang w:val="zh-CN"/>
        </w:rPr>
        <w:t xml:space="preserve">        </w:t>
      </w:r>
      <w:r>
        <w:rPr>
          <w:rFonts w:eastAsia="仿宋"/>
          <w:color w:val="auto"/>
          <w:sz w:val="28"/>
          <w:szCs w:val="28"/>
          <w:highlight w:val="none"/>
          <w:lang w:val="zh-CN"/>
        </w:rPr>
        <w:t>年</w:t>
      </w:r>
      <w:r>
        <w:rPr>
          <w:rFonts w:eastAsia="仿宋"/>
          <w:color w:val="auto"/>
          <w:sz w:val="28"/>
          <w:szCs w:val="28"/>
          <w:highlight w:val="none"/>
          <w:u w:val="single"/>
          <w:lang w:val="zh-CN"/>
        </w:rPr>
        <w:t xml:space="preserve">    </w:t>
      </w:r>
      <w:r>
        <w:rPr>
          <w:rFonts w:eastAsia="仿宋"/>
          <w:color w:val="auto"/>
          <w:sz w:val="28"/>
          <w:szCs w:val="28"/>
          <w:highlight w:val="none"/>
          <w:lang w:val="zh-CN"/>
        </w:rPr>
        <w:t>月</w:t>
      </w:r>
      <w:r>
        <w:rPr>
          <w:rFonts w:eastAsia="仿宋"/>
          <w:color w:val="auto"/>
          <w:sz w:val="28"/>
          <w:szCs w:val="28"/>
          <w:highlight w:val="none"/>
          <w:u w:val="single"/>
          <w:lang w:val="zh-CN"/>
        </w:rPr>
        <w:t xml:space="preserve">    </w:t>
      </w:r>
      <w:r>
        <w:rPr>
          <w:rFonts w:eastAsia="仿宋"/>
          <w:color w:val="auto"/>
          <w:sz w:val="28"/>
          <w:szCs w:val="28"/>
          <w:highlight w:val="none"/>
          <w:lang w:val="zh-CN"/>
        </w:rPr>
        <w:t>日</w:t>
      </w:r>
      <w:r>
        <w:rPr>
          <w:rFonts w:eastAsia="仿宋"/>
          <w:color w:val="auto"/>
          <w:sz w:val="28"/>
          <w:szCs w:val="28"/>
          <w:highlight w:val="none"/>
        </w:rPr>
        <w:t>，</w:t>
      </w:r>
      <w:r>
        <w:rPr>
          <w:rFonts w:eastAsia="仿宋"/>
          <w:color w:val="auto"/>
          <w:sz w:val="28"/>
          <w:szCs w:val="28"/>
          <w:highlight w:val="none"/>
          <w:u w:val="single"/>
        </w:rPr>
        <w:t xml:space="preserve">  </w:t>
      </w:r>
      <w:r>
        <w:rPr>
          <w:rFonts w:hint="eastAsia" w:eastAsia="仿宋"/>
          <w:color w:val="auto"/>
          <w:sz w:val="28"/>
          <w:szCs w:val="28"/>
          <w:highlight w:val="none"/>
          <w:u w:val="single"/>
          <w:lang w:val="en-US" w:eastAsia="zh-CN"/>
        </w:rPr>
        <w:t xml:space="preserve">      </w:t>
      </w:r>
      <w:r>
        <w:rPr>
          <w:rFonts w:eastAsia="仿宋"/>
          <w:color w:val="auto"/>
          <w:sz w:val="28"/>
          <w:szCs w:val="28"/>
          <w:highlight w:val="none"/>
          <w:u w:val="single"/>
        </w:rPr>
        <w:t xml:space="preserve"> </w:t>
      </w:r>
      <w:r>
        <w:rPr>
          <w:rFonts w:eastAsia="仿宋"/>
          <w:color w:val="auto"/>
          <w:sz w:val="28"/>
          <w:szCs w:val="28"/>
          <w:highlight w:val="none"/>
        </w:rPr>
        <w:t>以</w:t>
      </w:r>
      <w:r>
        <w:rPr>
          <w:rFonts w:eastAsia="仿宋"/>
          <w:color w:val="auto"/>
          <w:sz w:val="28"/>
          <w:szCs w:val="28"/>
          <w:highlight w:val="none"/>
          <w:u w:val="single"/>
        </w:rPr>
        <w:t xml:space="preserve">公开招标方式  </w:t>
      </w:r>
      <w:r>
        <w:rPr>
          <w:rFonts w:eastAsia="仿宋"/>
          <w:color w:val="auto"/>
          <w:sz w:val="28"/>
          <w:szCs w:val="28"/>
          <w:highlight w:val="none"/>
        </w:rPr>
        <w:t>对其</w:t>
      </w:r>
      <w:r>
        <w:rPr>
          <w:rFonts w:hint="eastAsia" w:eastAsia="仿宋"/>
          <w:color w:val="auto"/>
          <w:sz w:val="28"/>
          <w:szCs w:val="28"/>
          <w:highlight w:val="none"/>
          <w:u w:val="single"/>
          <w:lang w:val="en-US" w:eastAsia="zh-CN"/>
        </w:rPr>
        <w:t xml:space="preserve">     </w:t>
      </w:r>
      <w:r>
        <w:rPr>
          <w:rFonts w:eastAsia="仿宋"/>
          <w:color w:val="auto"/>
          <w:sz w:val="28"/>
          <w:szCs w:val="28"/>
          <w:highlight w:val="none"/>
        </w:rPr>
        <w:t>进行了采购。经</w:t>
      </w:r>
      <w:r>
        <w:rPr>
          <w:rFonts w:eastAsia="仿宋"/>
          <w:color w:val="auto"/>
          <w:sz w:val="28"/>
          <w:szCs w:val="28"/>
          <w:highlight w:val="none"/>
          <w:u w:val="single"/>
        </w:rPr>
        <w:t xml:space="preserve">   （相关评定主体名称）   </w:t>
      </w:r>
      <w:r>
        <w:rPr>
          <w:rFonts w:eastAsia="仿宋"/>
          <w:color w:val="auto"/>
          <w:sz w:val="28"/>
          <w:szCs w:val="28"/>
          <w:highlight w:val="none"/>
        </w:rPr>
        <w:t>评定，</w:t>
      </w:r>
      <w:r>
        <w:rPr>
          <w:rFonts w:eastAsia="仿宋"/>
          <w:color w:val="auto"/>
          <w:sz w:val="28"/>
          <w:szCs w:val="28"/>
          <w:highlight w:val="none"/>
          <w:u w:val="single"/>
        </w:rPr>
        <w:t xml:space="preserve">   （中标供应商名称） </w:t>
      </w:r>
      <w:r>
        <w:rPr>
          <w:rFonts w:eastAsia="仿宋"/>
          <w:color w:val="auto"/>
          <w:sz w:val="28"/>
          <w:szCs w:val="28"/>
          <w:highlight w:val="none"/>
        </w:rPr>
        <w:t>为该项目中标供应商。现于中标通知书发出之日起三十日内，按照采购文件确定的事项签订本合同。</w:t>
      </w:r>
    </w:p>
    <w:p>
      <w:pPr>
        <w:spacing w:line="360" w:lineRule="auto"/>
        <w:ind w:firstLine="560" w:firstLineChars="200"/>
        <w:rPr>
          <w:rFonts w:eastAsia="仿宋"/>
          <w:color w:val="auto"/>
          <w:sz w:val="28"/>
          <w:szCs w:val="28"/>
          <w:highlight w:val="none"/>
        </w:rPr>
      </w:pPr>
      <w:r>
        <w:rPr>
          <w:rFonts w:eastAsia="仿宋"/>
          <w:color w:val="auto"/>
          <w:sz w:val="28"/>
          <w:szCs w:val="28"/>
          <w:highlight w:val="none"/>
          <w:lang w:val="zh-CN"/>
        </w:rPr>
        <w:t>根据《中华人</w:t>
      </w:r>
      <w:r>
        <w:rPr>
          <w:rFonts w:hint="eastAsia" w:eastAsia="仿宋"/>
          <w:color w:val="auto"/>
          <w:sz w:val="28"/>
          <w:szCs w:val="28"/>
          <w:highlight w:val="none"/>
          <w:lang w:val="en-US"/>
        </w:rPr>
        <w:t>民共和</w:t>
      </w:r>
      <w:r>
        <w:rPr>
          <w:rFonts w:eastAsia="仿宋"/>
          <w:color w:val="auto"/>
          <w:sz w:val="28"/>
          <w:szCs w:val="28"/>
          <w:highlight w:val="none"/>
          <w:lang w:val="zh-CN"/>
        </w:rPr>
        <w:t>国</w:t>
      </w:r>
      <w:r>
        <w:rPr>
          <w:rFonts w:hint="eastAsia" w:eastAsia="仿宋"/>
          <w:color w:val="auto"/>
          <w:sz w:val="28"/>
          <w:szCs w:val="28"/>
          <w:highlight w:val="none"/>
          <w:lang w:val="en-US" w:eastAsia="zh-CN"/>
        </w:rPr>
        <w:t>民法典</w:t>
      </w:r>
      <w:r>
        <w:rPr>
          <w:rFonts w:eastAsia="仿宋"/>
          <w:color w:val="auto"/>
          <w:sz w:val="28"/>
          <w:szCs w:val="28"/>
          <w:highlight w:val="none"/>
          <w:lang w:val="zh-CN"/>
        </w:rPr>
        <w:t>》、《中华人民共和国政府采购法》等相关法律法规之规定，按照平等、自愿、公平和诚实信用的原则，经</w:t>
      </w:r>
      <w:r>
        <w:rPr>
          <w:rFonts w:eastAsia="仿宋"/>
          <w:color w:val="auto"/>
          <w:sz w:val="28"/>
          <w:szCs w:val="28"/>
          <w:highlight w:val="none"/>
          <w:u w:val="single"/>
        </w:rPr>
        <w:t xml:space="preserve">   （采购人名称）   </w:t>
      </w:r>
      <w:r>
        <w:rPr>
          <w:rFonts w:eastAsia="仿宋"/>
          <w:color w:val="auto"/>
          <w:sz w:val="28"/>
          <w:szCs w:val="28"/>
          <w:highlight w:val="none"/>
          <w:lang w:val="zh-CN"/>
        </w:rPr>
        <w:t>(以下简称：甲方)和</w:t>
      </w:r>
      <w:r>
        <w:rPr>
          <w:rFonts w:eastAsia="仿宋"/>
          <w:color w:val="auto"/>
          <w:sz w:val="28"/>
          <w:szCs w:val="28"/>
          <w:highlight w:val="none"/>
          <w:u w:val="single"/>
        </w:rPr>
        <w:t xml:space="preserve">   （中标供应商名称）   </w:t>
      </w:r>
      <w:r>
        <w:rPr>
          <w:rFonts w:eastAsia="仿宋"/>
          <w:color w:val="auto"/>
          <w:sz w:val="28"/>
          <w:szCs w:val="28"/>
          <w:highlight w:val="none"/>
          <w:lang w:val="zh-CN"/>
        </w:rPr>
        <w:t>(以下简称：乙方)协商一致，约定以下合同</w:t>
      </w:r>
      <w:r>
        <w:rPr>
          <w:rFonts w:eastAsia="仿宋"/>
          <w:color w:val="auto"/>
          <w:sz w:val="28"/>
          <w:szCs w:val="28"/>
          <w:highlight w:val="none"/>
        </w:rPr>
        <w:t>条款，以兹共同遵守、全面履行。</w:t>
      </w:r>
    </w:p>
    <w:p>
      <w:pPr>
        <w:spacing w:line="360" w:lineRule="auto"/>
        <w:ind w:firstLine="562" w:firstLineChars="200"/>
        <w:outlineLvl w:val="2"/>
        <w:rPr>
          <w:rFonts w:eastAsia="仿宋"/>
          <w:color w:val="auto"/>
          <w:sz w:val="28"/>
          <w:szCs w:val="28"/>
          <w:highlight w:val="none"/>
        </w:rPr>
      </w:pPr>
      <w:bookmarkStart w:id="1141" w:name="_Toc21795"/>
      <w:bookmarkStart w:id="1142" w:name="_Toc28855"/>
      <w:bookmarkStart w:id="1143" w:name="_Toc20421"/>
      <w:bookmarkStart w:id="1144" w:name="_Toc15367"/>
      <w:bookmarkStart w:id="1145" w:name="_Toc19273"/>
      <w:bookmarkStart w:id="1146" w:name="_Toc13913"/>
      <w:bookmarkStart w:id="1147" w:name="_Toc15512"/>
      <w:bookmarkStart w:id="1148" w:name="_Toc22967"/>
      <w:r>
        <w:rPr>
          <w:rFonts w:eastAsia="仿宋"/>
          <w:b/>
          <w:bCs/>
          <w:color w:val="auto"/>
          <w:sz w:val="28"/>
          <w:szCs w:val="28"/>
          <w:highlight w:val="none"/>
        </w:rPr>
        <w:t>1.1 合同组成部分</w:t>
      </w:r>
      <w:bookmarkEnd w:id="1141"/>
      <w:bookmarkEnd w:id="1142"/>
      <w:bookmarkEnd w:id="1143"/>
      <w:bookmarkEnd w:id="1144"/>
      <w:bookmarkEnd w:id="1145"/>
      <w:bookmarkEnd w:id="1146"/>
      <w:bookmarkEnd w:id="1147"/>
      <w:bookmarkEnd w:id="1148"/>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1.1.1 本合同及其补充合同、变更协议；</w:t>
      </w:r>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1.1.2 中标通知书；</w:t>
      </w:r>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1.1.3 投标文件（含澄清或者说明文件）；</w:t>
      </w:r>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1.1.4 招标文件（含澄清或者修改文件）；</w:t>
      </w:r>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1.1.5 其他相关采购文件。</w:t>
      </w:r>
    </w:p>
    <w:p>
      <w:pPr>
        <w:spacing w:line="360" w:lineRule="auto"/>
        <w:ind w:firstLine="562" w:firstLineChars="200"/>
        <w:outlineLvl w:val="2"/>
        <w:rPr>
          <w:rFonts w:eastAsia="仿宋"/>
          <w:b/>
          <w:bCs/>
          <w:color w:val="auto"/>
          <w:sz w:val="28"/>
          <w:szCs w:val="28"/>
          <w:highlight w:val="none"/>
        </w:rPr>
      </w:pPr>
      <w:bookmarkStart w:id="1149" w:name="_Toc27040"/>
      <w:bookmarkStart w:id="1150" w:name="_Toc6773"/>
      <w:bookmarkStart w:id="1151" w:name="_Toc22185"/>
      <w:bookmarkStart w:id="1152" w:name="_Toc2918"/>
      <w:bookmarkStart w:id="1153" w:name="_Toc18585"/>
      <w:bookmarkStart w:id="1154" w:name="_Toc6311"/>
      <w:bookmarkStart w:id="1155" w:name="_Toc31984"/>
      <w:bookmarkStart w:id="1156" w:name="_Toc10091"/>
      <w:r>
        <w:rPr>
          <w:rFonts w:eastAsia="仿宋"/>
          <w:b/>
          <w:bCs/>
          <w:color w:val="auto"/>
          <w:sz w:val="28"/>
          <w:szCs w:val="28"/>
          <w:highlight w:val="none"/>
        </w:rPr>
        <w:t>1.2 标的</w:t>
      </w:r>
      <w:bookmarkEnd w:id="1149"/>
      <w:bookmarkEnd w:id="1150"/>
      <w:bookmarkEnd w:id="1151"/>
      <w:bookmarkEnd w:id="1152"/>
      <w:bookmarkEnd w:id="1153"/>
      <w:bookmarkEnd w:id="1154"/>
      <w:bookmarkEnd w:id="1155"/>
      <w:bookmarkEnd w:id="1156"/>
    </w:p>
    <w:p>
      <w:pPr>
        <w:spacing w:line="360" w:lineRule="auto"/>
        <w:ind w:firstLine="560" w:firstLineChars="200"/>
        <w:jc w:val="left"/>
        <w:rPr>
          <w:rFonts w:eastAsia="仿宋"/>
          <w:color w:val="auto"/>
          <w:sz w:val="28"/>
          <w:szCs w:val="28"/>
          <w:highlight w:val="none"/>
          <w:u w:val="single"/>
        </w:rPr>
      </w:pPr>
      <w:r>
        <w:rPr>
          <w:rFonts w:eastAsia="仿宋"/>
          <w:color w:val="auto"/>
          <w:sz w:val="28"/>
          <w:szCs w:val="28"/>
          <w:highlight w:val="none"/>
        </w:rPr>
        <w:t>1.2.1 标的名称：</w:t>
      </w:r>
      <w:r>
        <w:rPr>
          <w:rFonts w:hint="eastAsia" w:eastAsia="仿宋"/>
          <w:color w:val="auto"/>
          <w:sz w:val="28"/>
          <w:szCs w:val="28"/>
          <w:highlight w:val="none"/>
          <w:u w:val="single"/>
        </w:rPr>
        <w:t>医院信息化系统建设项目（详见清单）</w:t>
      </w:r>
    </w:p>
    <w:p>
      <w:pPr>
        <w:spacing w:line="360" w:lineRule="auto"/>
        <w:ind w:firstLine="560" w:firstLineChars="200"/>
        <w:rPr>
          <w:rFonts w:eastAsia="仿宋"/>
          <w:color w:val="auto"/>
          <w:sz w:val="28"/>
          <w:szCs w:val="28"/>
          <w:highlight w:val="none"/>
          <w:u w:val="single"/>
        </w:rPr>
      </w:pPr>
      <w:r>
        <w:rPr>
          <w:rFonts w:eastAsia="仿宋"/>
          <w:color w:val="auto"/>
          <w:sz w:val="28"/>
          <w:szCs w:val="28"/>
          <w:highlight w:val="none"/>
        </w:rPr>
        <w:t>1.2.2 标的数量：</w:t>
      </w:r>
      <w:r>
        <w:rPr>
          <w:rFonts w:eastAsia="仿宋"/>
          <w:color w:val="auto"/>
          <w:sz w:val="28"/>
          <w:szCs w:val="28"/>
          <w:highlight w:val="none"/>
          <w:u w:val="single"/>
        </w:rPr>
        <w:t>按招标文件要求（详见清单）</w:t>
      </w:r>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1.2.3 标的质量：</w:t>
      </w:r>
      <w:r>
        <w:rPr>
          <w:rFonts w:eastAsia="仿宋"/>
          <w:color w:val="auto"/>
          <w:sz w:val="28"/>
          <w:szCs w:val="28"/>
          <w:highlight w:val="none"/>
          <w:u w:val="single"/>
        </w:rPr>
        <w:t>按招标文件要求和投标文件的实际填写。</w:t>
      </w:r>
    </w:p>
    <w:p>
      <w:pPr>
        <w:spacing w:line="360" w:lineRule="auto"/>
        <w:ind w:firstLine="562" w:firstLineChars="200"/>
        <w:outlineLvl w:val="2"/>
        <w:rPr>
          <w:rFonts w:eastAsia="仿宋"/>
          <w:b/>
          <w:bCs/>
          <w:color w:val="auto"/>
          <w:sz w:val="28"/>
          <w:szCs w:val="28"/>
          <w:highlight w:val="none"/>
        </w:rPr>
      </w:pPr>
      <w:bookmarkStart w:id="1157" w:name="_Toc21124"/>
      <w:bookmarkStart w:id="1158" w:name="_Toc1386"/>
      <w:bookmarkStart w:id="1159" w:name="_Toc4929"/>
      <w:bookmarkStart w:id="1160" w:name="_Toc5635"/>
      <w:bookmarkStart w:id="1161" w:name="_Toc20450"/>
      <w:bookmarkStart w:id="1162" w:name="_Toc13918"/>
      <w:bookmarkStart w:id="1163" w:name="_Toc11112"/>
      <w:bookmarkStart w:id="1164" w:name="_Toc25577"/>
      <w:r>
        <w:rPr>
          <w:rFonts w:eastAsia="仿宋"/>
          <w:b/>
          <w:bCs/>
          <w:color w:val="auto"/>
          <w:sz w:val="28"/>
          <w:szCs w:val="28"/>
          <w:highlight w:val="none"/>
        </w:rPr>
        <w:t>1.3 价款</w:t>
      </w:r>
      <w:bookmarkEnd w:id="1157"/>
      <w:bookmarkEnd w:id="1158"/>
      <w:bookmarkEnd w:id="1159"/>
      <w:bookmarkEnd w:id="1160"/>
      <w:bookmarkEnd w:id="1161"/>
      <w:bookmarkEnd w:id="1162"/>
      <w:bookmarkEnd w:id="1163"/>
      <w:bookmarkEnd w:id="1164"/>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本合同总价为：￥</w:t>
      </w:r>
      <w:r>
        <w:rPr>
          <w:rFonts w:eastAsia="仿宋"/>
          <w:color w:val="auto"/>
          <w:sz w:val="28"/>
          <w:szCs w:val="28"/>
          <w:highlight w:val="none"/>
          <w:u w:val="single"/>
        </w:rPr>
        <w:t xml:space="preserve">           </w:t>
      </w:r>
      <w:r>
        <w:rPr>
          <w:rFonts w:eastAsia="仿宋"/>
          <w:color w:val="auto"/>
          <w:sz w:val="28"/>
          <w:szCs w:val="28"/>
          <w:highlight w:val="none"/>
        </w:rPr>
        <w:t>元（大写：</w:t>
      </w:r>
      <w:r>
        <w:rPr>
          <w:rFonts w:eastAsia="仿宋"/>
          <w:color w:val="auto"/>
          <w:sz w:val="28"/>
          <w:szCs w:val="28"/>
          <w:highlight w:val="none"/>
          <w:u w:val="single"/>
        </w:rPr>
        <w:t xml:space="preserve">                 </w:t>
      </w:r>
      <w:r>
        <w:rPr>
          <w:rFonts w:eastAsia="仿宋"/>
          <w:color w:val="auto"/>
          <w:sz w:val="28"/>
          <w:szCs w:val="28"/>
          <w:highlight w:val="none"/>
        </w:rPr>
        <w:t>元人民币）。</w:t>
      </w:r>
    </w:p>
    <w:p>
      <w:pPr>
        <w:spacing w:line="360" w:lineRule="auto"/>
        <w:ind w:firstLine="560" w:firstLineChars="200"/>
        <w:rPr>
          <w:rFonts w:eastAsia="仿宋"/>
          <w:color w:val="auto"/>
          <w:sz w:val="28"/>
          <w:szCs w:val="28"/>
          <w:highlight w:val="none"/>
          <w:u w:val="single"/>
        </w:rPr>
      </w:pPr>
      <w:r>
        <w:rPr>
          <w:rFonts w:eastAsia="仿宋"/>
          <w:color w:val="auto"/>
          <w:sz w:val="28"/>
          <w:szCs w:val="28"/>
          <w:highlight w:val="none"/>
        </w:rPr>
        <w:t>分项价格：</w:t>
      </w:r>
    </w:p>
    <w:tbl>
      <w:tblPr>
        <w:tblStyle w:val="43"/>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0"/>
              <w:spacing w:line="360" w:lineRule="auto"/>
              <w:jc w:val="center"/>
              <w:rPr>
                <w:rFonts w:ascii="Times New Roman" w:hAnsi="Times New Roman" w:eastAsia="仿宋"/>
                <w:color w:val="auto"/>
                <w:kern w:val="2"/>
                <w:sz w:val="28"/>
                <w:szCs w:val="28"/>
                <w:highlight w:val="none"/>
              </w:rPr>
            </w:pPr>
            <w:r>
              <w:rPr>
                <w:rFonts w:ascii="Times New Roman" w:hAnsi="Times New Roman" w:eastAsia="仿宋"/>
                <w:color w:val="auto"/>
                <w:kern w:val="2"/>
                <w:sz w:val="28"/>
                <w:szCs w:val="28"/>
                <w:highlight w:val="none"/>
              </w:rPr>
              <w:t>序号</w:t>
            </w:r>
          </w:p>
        </w:tc>
        <w:tc>
          <w:tcPr>
            <w:tcW w:w="3402" w:type="dxa"/>
            <w:noWrap w:val="0"/>
            <w:vAlign w:val="center"/>
          </w:tcPr>
          <w:p>
            <w:pPr>
              <w:pStyle w:val="60"/>
              <w:spacing w:line="360" w:lineRule="auto"/>
              <w:ind w:firstLine="200"/>
              <w:jc w:val="center"/>
              <w:rPr>
                <w:rFonts w:ascii="Times New Roman" w:hAnsi="Times New Roman" w:eastAsia="仿宋"/>
                <w:color w:val="auto"/>
                <w:kern w:val="2"/>
                <w:sz w:val="28"/>
                <w:szCs w:val="28"/>
                <w:highlight w:val="none"/>
              </w:rPr>
            </w:pPr>
            <w:r>
              <w:rPr>
                <w:rFonts w:ascii="Times New Roman" w:hAnsi="Times New Roman" w:eastAsia="仿宋"/>
                <w:color w:val="auto"/>
                <w:kern w:val="2"/>
                <w:sz w:val="28"/>
                <w:szCs w:val="28"/>
                <w:highlight w:val="none"/>
              </w:rPr>
              <w:t>分项名称</w:t>
            </w:r>
          </w:p>
        </w:tc>
        <w:tc>
          <w:tcPr>
            <w:tcW w:w="2552" w:type="dxa"/>
            <w:noWrap w:val="0"/>
            <w:vAlign w:val="center"/>
          </w:tcPr>
          <w:p>
            <w:pPr>
              <w:pStyle w:val="60"/>
              <w:spacing w:line="360" w:lineRule="auto"/>
              <w:jc w:val="center"/>
              <w:rPr>
                <w:rFonts w:ascii="Times New Roman" w:hAnsi="Times New Roman" w:eastAsia="仿宋"/>
                <w:color w:val="auto"/>
                <w:kern w:val="2"/>
                <w:sz w:val="28"/>
                <w:szCs w:val="28"/>
                <w:highlight w:val="none"/>
              </w:rPr>
            </w:pPr>
            <w:r>
              <w:rPr>
                <w:rFonts w:ascii="Times New Roman" w:hAnsi="Times New Roman" w:eastAsia="仿宋"/>
                <w:color w:val="auto"/>
                <w:kern w:val="2"/>
                <w:sz w:val="28"/>
                <w:szCs w:val="28"/>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0"/>
              <w:spacing w:line="360" w:lineRule="auto"/>
              <w:ind w:firstLine="200"/>
              <w:jc w:val="center"/>
              <w:rPr>
                <w:rFonts w:ascii="Times New Roman" w:hAnsi="Times New Roman" w:eastAsia="仿宋"/>
                <w:color w:val="auto"/>
                <w:kern w:val="2"/>
                <w:sz w:val="28"/>
                <w:szCs w:val="28"/>
                <w:highlight w:val="none"/>
              </w:rPr>
            </w:pPr>
          </w:p>
        </w:tc>
        <w:tc>
          <w:tcPr>
            <w:tcW w:w="3402" w:type="dxa"/>
            <w:noWrap w:val="0"/>
            <w:vAlign w:val="center"/>
          </w:tcPr>
          <w:p>
            <w:pPr>
              <w:pStyle w:val="60"/>
              <w:spacing w:line="360" w:lineRule="auto"/>
              <w:ind w:firstLine="200"/>
              <w:jc w:val="center"/>
              <w:rPr>
                <w:rFonts w:ascii="Times New Roman" w:hAnsi="Times New Roman" w:eastAsia="仿宋"/>
                <w:color w:val="auto"/>
                <w:kern w:val="2"/>
                <w:sz w:val="28"/>
                <w:szCs w:val="28"/>
                <w:highlight w:val="none"/>
              </w:rPr>
            </w:pPr>
          </w:p>
        </w:tc>
        <w:tc>
          <w:tcPr>
            <w:tcW w:w="2552" w:type="dxa"/>
            <w:noWrap w:val="0"/>
            <w:vAlign w:val="center"/>
          </w:tcPr>
          <w:p>
            <w:pPr>
              <w:pStyle w:val="60"/>
              <w:spacing w:line="360" w:lineRule="auto"/>
              <w:ind w:firstLine="200"/>
              <w:jc w:val="center"/>
              <w:rPr>
                <w:rFonts w:ascii="Times New Roman" w:hAnsi="Times New Roman" w:eastAsia="仿宋"/>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0"/>
              <w:spacing w:line="360" w:lineRule="auto"/>
              <w:ind w:firstLine="200"/>
              <w:jc w:val="center"/>
              <w:rPr>
                <w:rFonts w:ascii="Times New Roman" w:hAnsi="Times New Roman" w:eastAsia="仿宋"/>
                <w:color w:val="auto"/>
                <w:kern w:val="2"/>
                <w:sz w:val="28"/>
                <w:szCs w:val="28"/>
                <w:highlight w:val="none"/>
              </w:rPr>
            </w:pPr>
          </w:p>
        </w:tc>
        <w:tc>
          <w:tcPr>
            <w:tcW w:w="3402" w:type="dxa"/>
            <w:noWrap w:val="0"/>
            <w:vAlign w:val="center"/>
          </w:tcPr>
          <w:p>
            <w:pPr>
              <w:pStyle w:val="60"/>
              <w:spacing w:line="360" w:lineRule="auto"/>
              <w:ind w:firstLine="200"/>
              <w:jc w:val="center"/>
              <w:rPr>
                <w:rFonts w:ascii="Times New Roman" w:hAnsi="Times New Roman" w:eastAsia="仿宋"/>
                <w:color w:val="auto"/>
                <w:kern w:val="2"/>
                <w:sz w:val="28"/>
                <w:szCs w:val="28"/>
                <w:highlight w:val="none"/>
              </w:rPr>
            </w:pPr>
          </w:p>
        </w:tc>
        <w:tc>
          <w:tcPr>
            <w:tcW w:w="2552" w:type="dxa"/>
            <w:noWrap w:val="0"/>
            <w:vAlign w:val="center"/>
          </w:tcPr>
          <w:p>
            <w:pPr>
              <w:pStyle w:val="60"/>
              <w:spacing w:line="360" w:lineRule="auto"/>
              <w:ind w:firstLine="200"/>
              <w:jc w:val="center"/>
              <w:rPr>
                <w:rFonts w:ascii="Times New Roman" w:hAnsi="Times New Roman" w:eastAsia="仿宋"/>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0"/>
              <w:spacing w:line="360" w:lineRule="auto"/>
              <w:ind w:firstLine="200"/>
              <w:jc w:val="center"/>
              <w:rPr>
                <w:rFonts w:ascii="Times New Roman" w:hAnsi="Times New Roman" w:eastAsia="仿宋"/>
                <w:color w:val="auto"/>
                <w:kern w:val="2"/>
                <w:sz w:val="28"/>
                <w:szCs w:val="28"/>
                <w:highlight w:val="none"/>
              </w:rPr>
            </w:pPr>
          </w:p>
        </w:tc>
        <w:tc>
          <w:tcPr>
            <w:tcW w:w="3402" w:type="dxa"/>
            <w:noWrap w:val="0"/>
            <w:vAlign w:val="center"/>
          </w:tcPr>
          <w:p>
            <w:pPr>
              <w:pStyle w:val="60"/>
              <w:spacing w:line="360" w:lineRule="auto"/>
              <w:ind w:firstLine="200"/>
              <w:jc w:val="center"/>
              <w:rPr>
                <w:rFonts w:ascii="Times New Roman" w:hAnsi="Times New Roman" w:eastAsia="仿宋"/>
                <w:color w:val="auto"/>
                <w:kern w:val="2"/>
                <w:sz w:val="28"/>
                <w:szCs w:val="28"/>
                <w:highlight w:val="none"/>
              </w:rPr>
            </w:pPr>
          </w:p>
        </w:tc>
        <w:tc>
          <w:tcPr>
            <w:tcW w:w="2552" w:type="dxa"/>
            <w:noWrap w:val="0"/>
            <w:vAlign w:val="center"/>
          </w:tcPr>
          <w:p>
            <w:pPr>
              <w:pStyle w:val="60"/>
              <w:spacing w:line="360" w:lineRule="auto"/>
              <w:ind w:firstLine="200"/>
              <w:jc w:val="center"/>
              <w:rPr>
                <w:rFonts w:ascii="Times New Roman" w:hAnsi="Times New Roman" w:eastAsia="仿宋"/>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60"/>
              <w:spacing w:line="360" w:lineRule="auto"/>
              <w:ind w:firstLine="200"/>
              <w:jc w:val="center"/>
              <w:rPr>
                <w:rFonts w:ascii="Times New Roman" w:hAnsi="Times New Roman" w:eastAsia="仿宋"/>
                <w:color w:val="auto"/>
                <w:kern w:val="2"/>
                <w:sz w:val="28"/>
                <w:szCs w:val="28"/>
                <w:highlight w:val="none"/>
              </w:rPr>
            </w:pPr>
          </w:p>
        </w:tc>
        <w:tc>
          <w:tcPr>
            <w:tcW w:w="3402" w:type="dxa"/>
            <w:noWrap w:val="0"/>
            <w:vAlign w:val="center"/>
          </w:tcPr>
          <w:p>
            <w:pPr>
              <w:pStyle w:val="60"/>
              <w:spacing w:line="360" w:lineRule="auto"/>
              <w:ind w:firstLine="200"/>
              <w:jc w:val="center"/>
              <w:rPr>
                <w:rFonts w:ascii="Times New Roman" w:hAnsi="Times New Roman" w:eastAsia="仿宋"/>
                <w:color w:val="auto"/>
                <w:kern w:val="2"/>
                <w:sz w:val="28"/>
                <w:szCs w:val="28"/>
                <w:highlight w:val="none"/>
              </w:rPr>
            </w:pPr>
          </w:p>
        </w:tc>
        <w:tc>
          <w:tcPr>
            <w:tcW w:w="2552" w:type="dxa"/>
            <w:noWrap w:val="0"/>
            <w:vAlign w:val="center"/>
          </w:tcPr>
          <w:p>
            <w:pPr>
              <w:pStyle w:val="60"/>
              <w:spacing w:line="360" w:lineRule="auto"/>
              <w:ind w:firstLine="200"/>
              <w:jc w:val="center"/>
              <w:rPr>
                <w:rFonts w:ascii="Times New Roman" w:hAnsi="Times New Roman" w:eastAsia="仿宋"/>
                <w:color w:val="auto"/>
                <w:kern w:val="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60"/>
              <w:spacing w:line="360" w:lineRule="auto"/>
              <w:ind w:firstLine="200"/>
              <w:jc w:val="center"/>
              <w:rPr>
                <w:rFonts w:ascii="Times New Roman" w:hAnsi="Times New Roman" w:eastAsia="仿宋"/>
                <w:color w:val="auto"/>
                <w:kern w:val="2"/>
                <w:sz w:val="28"/>
                <w:szCs w:val="28"/>
                <w:highlight w:val="none"/>
              </w:rPr>
            </w:pPr>
            <w:r>
              <w:rPr>
                <w:rFonts w:ascii="Times New Roman" w:hAnsi="Times New Roman" w:eastAsia="仿宋"/>
                <w:color w:val="auto"/>
                <w:kern w:val="2"/>
                <w:sz w:val="28"/>
                <w:szCs w:val="28"/>
                <w:highlight w:val="none"/>
              </w:rPr>
              <w:t>总价</w:t>
            </w:r>
          </w:p>
        </w:tc>
        <w:tc>
          <w:tcPr>
            <w:tcW w:w="2552" w:type="dxa"/>
            <w:noWrap w:val="0"/>
            <w:vAlign w:val="center"/>
          </w:tcPr>
          <w:p>
            <w:pPr>
              <w:pStyle w:val="60"/>
              <w:spacing w:line="360" w:lineRule="auto"/>
              <w:ind w:firstLine="200"/>
              <w:jc w:val="center"/>
              <w:rPr>
                <w:rFonts w:ascii="Times New Roman" w:hAnsi="Times New Roman" w:eastAsia="仿宋"/>
                <w:color w:val="auto"/>
                <w:kern w:val="2"/>
                <w:sz w:val="28"/>
                <w:szCs w:val="28"/>
                <w:highlight w:val="none"/>
              </w:rPr>
            </w:pPr>
          </w:p>
        </w:tc>
      </w:tr>
    </w:tbl>
    <w:p>
      <w:pPr>
        <w:spacing w:line="360" w:lineRule="auto"/>
        <w:ind w:firstLine="562" w:firstLineChars="200"/>
        <w:outlineLvl w:val="2"/>
        <w:rPr>
          <w:rFonts w:eastAsia="仿宋"/>
          <w:b/>
          <w:bCs/>
          <w:color w:val="auto"/>
          <w:sz w:val="28"/>
          <w:szCs w:val="28"/>
          <w:highlight w:val="none"/>
        </w:rPr>
      </w:pPr>
      <w:bookmarkStart w:id="1165" w:name="_Toc31751"/>
      <w:bookmarkStart w:id="1166" w:name="_Toc30158"/>
      <w:bookmarkStart w:id="1167" w:name="_Toc20344"/>
      <w:bookmarkStart w:id="1168" w:name="_Toc30506"/>
      <w:bookmarkStart w:id="1169" w:name="_Toc3654"/>
      <w:bookmarkStart w:id="1170" w:name="_Toc26916"/>
      <w:bookmarkStart w:id="1171" w:name="_Toc15119"/>
      <w:bookmarkStart w:id="1172" w:name="_Toc14993"/>
      <w:r>
        <w:rPr>
          <w:rFonts w:eastAsia="仿宋"/>
          <w:b/>
          <w:bCs/>
          <w:color w:val="auto"/>
          <w:sz w:val="28"/>
          <w:szCs w:val="28"/>
          <w:highlight w:val="none"/>
        </w:rPr>
        <w:t>1.4 付款方式和发票开具方式</w:t>
      </w:r>
      <w:bookmarkEnd w:id="1165"/>
      <w:bookmarkEnd w:id="1166"/>
      <w:bookmarkEnd w:id="1167"/>
      <w:bookmarkEnd w:id="1168"/>
      <w:bookmarkEnd w:id="1169"/>
      <w:bookmarkEnd w:id="1170"/>
      <w:bookmarkEnd w:id="1171"/>
      <w:bookmarkEnd w:id="1172"/>
    </w:p>
    <w:p>
      <w:pPr>
        <w:pStyle w:val="26"/>
        <w:spacing w:line="360" w:lineRule="auto"/>
        <w:ind w:firstLine="560" w:firstLineChars="200"/>
        <w:rPr>
          <w:rFonts w:ascii="Times New Roman" w:hAnsi="Times New Roman" w:eastAsia="仿宋"/>
          <w:color w:val="auto"/>
          <w:sz w:val="28"/>
          <w:szCs w:val="28"/>
          <w:highlight w:val="none"/>
        </w:rPr>
      </w:pPr>
      <w:r>
        <w:rPr>
          <w:rFonts w:ascii="Times New Roman" w:hAnsi="Times New Roman" w:eastAsia="仿宋"/>
          <w:color w:val="auto"/>
          <w:sz w:val="28"/>
          <w:szCs w:val="28"/>
          <w:highlight w:val="none"/>
        </w:rPr>
        <w:t>1.4.1付款方式：详见招标文件要求。</w:t>
      </w:r>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1.4.2 发票开具方式：乙方提供发票</w:t>
      </w:r>
    </w:p>
    <w:p>
      <w:pPr>
        <w:spacing w:line="360" w:lineRule="auto"/>
        <w:ind w:firstLine="562" w:firstLineChars="200"/>
        <w:outlineLvl w:val="2"/>
        <w:rPr>
          <w:rFonts w:eastAsia="仿宋"/>
          <w:b/>
          <w:bCs/>
          <w:color w:val="auto"/>
          <w:sz w:val="28"/>
          <w:szCs w:val="28"/>
          <w:highlight w:val="none"/>
        </w:rPr>
      </w:pPr>
      <w:bookmarkStart w:id="1173" w:name="_Toc4760"/>
      <w:bookmarkStart w:id="1174" w:name="_Toc23518"/>
      <w:bookmarkStart w:id="1175" w:name="_Toc11108"/>
      <w:bookmarkStart w:id="1176" w:name="_Toc3625"/>
      <w:bookmarkStart w:id="1177" w:name="_Toc3540"/>
      <w:bookmarkStart w:id="1178" w:name="_Toc31421"/>
      <w:bookmarkStart w:id="1179" w:name="_Toc8772"/>
      <w:bookmarkStart w:id="1180" w:name="_Toc2641"/>
      <w:r>
        <w:rPr>
          <w:rFonts w:eastAsia="仿宋"/>
          <w:b/>
          <w:bCs/>
          <w:color w:val="auto"/>
          <w:sz w:val="28"/>
          <w:szCs w:val="28"/>
          <w:highlight w:val="none"/>
        </w:rPr>
        <w:t>1.5 履行期限、地点和方式</w:t>
      </w:r>
      <w:bookmarkEnd w:id="1173"/>
      <w:bookmarkEnd w:id="1174"/>
      <w:bookmarkEnd w:id="1175"/>
      <w:bookmarkEnd w:id="1176"/>
      <w:bookmarkEnd w:id="1177"/>
      <w:bookmarkEnd w:id="1178"/>
      <w:bookmarkEnd w:id="1179"/>
      <w:bookmarkEnd w:id="1180"/>
    </w:p>
    <w:p>
      <w:pPr>
        <w:spacing w:line="360" w:lineRule="auto"/>
        <w:ind w:firstLine="560" w:firstLineChars="200"/>
        <w:rPr>
          <w:rFonts w:eastAsia="仿宋"/>
          <w:color w:val="auto"/>
          <w:sz w:val="28"/>
          <w:szCs w:val="28"/>
          <w:highlight w:val="none"/>
          <w:u w:val="single"/>
        </w:rPr>
      </w:pPr>
      <w:r>
        <w:rPr>
          <w:rFonts w:eastAsia="仿宋"/>
          <w:color w:val="auto"/>
          <w:sz w:val="28"/>
          <w:szCs w:val="28"/>
          <w:highlight w:val="none"/>
        </w:rPr>
        <w:t>1.5.1 履行期限：</w:t>
      </w:r>
      <w:r>
        <w:rPr>
          <w:rFonts w:eastAsia="仿宋"/>
          <w:color w:val="auto"/>
          <w:sz w:val="28"/>
          <w:szCs w:val="28"/>
          <w:highlight w:val="none"/>
          <w:u w:val="single"/>
        </w:rPr>
        <w:t xml:space="preserve">  </w:t>
      </w:r>
      <w:r>
        <w:rPr>
          <w:rFonts w:hint="eastAsia" w:eastAsia="仿宋"/>
          <w:color w:val="auto"/>
          <w:sz w:val="28"/>
          <w:szCs w:val="28"/>
          <w:highlight w:val="none"/>
          <w:u w:val="single"/>
          <w:lang w:val="en-US" w:eastAsia="zh-CN"/>
        </w:rPr>
        <w:t xml:space="preserve"> </w:t>
      </w:r>
      <w:r>
        <w:rPr>
          <w:rFonts w:eastAsia="仿宋"/>
          <w:color w:val="auto"/>
          <w:sz w:val="28"/>
          <w:szCs w:val="28"/>
          <w:highlight w:val="none"/>
          <w:u w:val="single"/>
        </w:rPr>
        <w:t xml:space="preserve">      </w:t>
      </w:r>
    </w:p>
    <w:p>
      <w:pPr>
        <w:spacing w:line="360" w:lineRule="auto"/>
        <w:ind w:firstLine="560" w:firstLineChars="200"/>
        <w:rPr>
          <w:rFonts w:eastAsia="仿宋"/>
          <w:b/>
          <w:bCs/>
          <w:color w:val="auto"/>
          <w:sz w:val="28"/>
          <w:szCs w:val="28"/>
          <w:highlight w:val="none"/>
        </w:rPr>
      </w:pPr>
      <w:r>
        <w:rPr>
          <w:rFonts w:eastAsia="仿宋"/>
          <w:color w:val="auto"/>
          <w:sz w:val="28"/>
          <w:szCs w:val="28"/>
          <w:highlight w:val="none"/>
        </w:rPr>
        <w:t xml:space="preserve">1.5.2 </w:t>
      </w:r>
      <w:r>
        <w:rPr>
          <w:rFonts w:eastAsia="仿宋"/>
          <w:b/>
          <w:bCs/>
          <w:color w:val="auto"/>
          <w:sz w:val="28"/>
          <w:szCs w:val="28"/>
          <w:highlight w:val="none"/>
        </w:rPr>
        <w:t>履行地点：采购人指定地点</w:t>
      </w:r>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1.5.3 履行方式：现场验收。</w:t>
      </w:r>
    </w:p>
    <w:p>
      <w:pPr>
        <w:spacing w:line="360" w:lineRule="auto"/>
        <w:ind w:firstLine="562" w:firstLineChars="200"/>
        <w:outlineLvl w:val="2"/>
        <w:rPr>
          <w:rFonts w:eastAsia="仿宋"/>
          <w:color w:val="auto"/>
          <w:sz w:val="28"/>
          <w:szCs w:val="28"/>
          <w:highlight w:val="none"/>
          <w:u w:val="single"/>
        </w:rPr>
      </w:pPr>
      <w:bookmarkStart w:id="1181" w:name="_Toc2375"/>
      <w:bookmarkStart w:id="1182" w:name="_Toc6397"/>
      <w:bookmarkStart w:id="1183" w:name="_Toc16673"/>
      <w:bookmarkStart w:id="1184" w:name="_Toc31461"/>
      <w:bookmarkStart w:id="1185" w:name="_Toc3079"/>
      <w:bookmarkStart w:id="1186" w:name="_Toc8586"/>
      <w:bookmarkStart w:id="1187" w:name="_Toc24662"/>
      <w:bookmarkStart w:id="1188" w:name="_Toc5698"/>
      <w:r>
        <w:rPr>
          <w:rFonts w:eastAsia="仿宋"/>
          <w:b/>
          <w:bCs/>
          <w:color w:val="auto"/>
          <w:sz w:val="28"/>
          <w:szCs w:val="28"/>
          <w:highlight w:val="none"/>
        </w:rPr>
        <w:t>1.6 违约责任</w:t>
      </w:r>
      <w:bookmarkEnd w:id="1181"/>
      <w:bookmarkEnd w:id="1182"/>
      <w:bookmarkEnd w:id="1183"/>
      <w:bookmarkEnd w:id="1184"/>
      <w:bookmarkEnd w:id="1185"/>
      <w:bookmarkEnd w:id="1186"/>
      <w:bookmarkEnd w:id="1187"/>
      <w:bookmarkEnd w:id="1188"/>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1.6.1 除不可抗力外，如果乙方没有按照本合同约定的期限、地点和方式履行，那么甲方可要求乙方支付违约金，违约金按每迟延履行一日的应提供而未提供服务价格的</w:t>
      </w:r>
      <w:r>
        <w:rPr>
          <w:rFonts w:eastAsia="仿宋"/>
          <w:color w:val="auto"/>
          <w:sz w:val="28"/>
          <w:szCs w:val="28"/>
          <w:highlight w:val="none"/>
          <w:u w:val="single"/>
        </w:rPr>
        <w:t xml:space="preserve"> </w:t>
      </w:r>
      <w:r>
        <w:rPr>
          <w:rFonts w:hint="eastAsia" w:eastAsia="仿宋"/>
          <w:color w:val="auto"/>
          <w:sz w:val="28"/>
          <w:szCs w:val="28"/>
          <w:highlight w:val="none"/>
          <w:u w:val="single"/>
          <w:lang w:val="en-US" w:eastAsia="zh-CN"/>
        </w:rPr>
        <w:t xml:space="preserve">   </w:t>
      </w:r>
      <w:r>
        <w:rPr>
          <w:rFonts w:eastAsia="仿宋"/>
          <w:color w:val="auto"/>
          <w:sz w:val="28"/>
          <w:szCs w:val="28"/>
          <w:highlight w:val="none"/>
        </w:rPr>
        <w:t>%计算，最高限额为本合同总价的</w:t>
      </w:r>
      <w:r>
        <w:rPr>
          <w:rFonts w:eastAsia="仿宋"/>
          <w:color w:val="auto"/>
          <w:sz w:val="28"/>
          <w:szCs w:val="28"/>
          <w:highlight w:val="none"/>
          <w:u w:val="single"/>
        </w:rPr>
        <w:t xml:space="preserve">  </w:t>
      </w:r>
      <w:r>
        <w:rPr>
          <w:rFonts w:hint="eastAsia" w:eastAsia="仿宋"/>
          <w:color w:val="auto"/>
          <w:sz w:val="28"/>
          <w:szCs w:val="28"/>
          <w:highlight w:val="none"/>
          <w:u w:val="single"/>
          <w:lang w:val="en-US" w:eastAsia="zh-CN"/>
        </w:rPr>
        <w:t xml:space="preserve"> </w:t>
      </w:r>
      <w:r>
        <w:rPr>
          <w:rFonts w:eastAsia="仿宋"/>
          <w:color w:val="auto"/>
          <w:sz w:val="28"/>
          <w:szCs w:val="28"/>
          <w:highlight w:val="none"/>
          <w:u w:val="single"/>
        </w:rPr>
        <w:t xml:space="preserve"> </w:t>
      </w:r>
      <w:r>
        <w:rPr>
          <w:rFonts w:eastAsia="仿宋"/>
          <w:color w:val="auto"/>
          <w:sz w:val="28"/>
          <w:szCs w:val="28"/>
          <w:highlight w:val="none"/>
        </w:rPr>
        <w:t>%；迟延履行的违约金计算数额达到前述最高限额之日起，甲方有权在要求乙方支付违约金的同时，书面通知乙方解除本合同；</w:t>
      </w:r>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1.6.2 除不可抗力外，如果甲方没有按照本合同约定的付款方式付款，那么乙方可要求甲方支付违约金，违约金按每迟延付款一日的应付而未付款的</w:t>
      </w:r>
      <w:r>
        <w:rPr>
          <w:rFonts w:hint="eastAsia" w:eastAsia="仿宋"/>
          <w:color w:val="auto"/>
          <w:sz w:val="28"/>
          <w:szCs w:val="28"/>
          <w:highlight w:val="none"/>
          <w:u w:val="single"/>
          <w:lang w:val="en-US" w:eastAsia="zh-CN"/>
        </w:rPr>
        <w:t xml:space="preserve">  </w:t>
      </w:r>
      <w:r>
        <w:rPr>
          <w:rFonts w:eastAsia="仿宋"/>
          <w:color w:val="auto"/>
          <w:sz w:val="28"/>
          <w:szCs w:val="28"/>
          <w:highlight w:val="none"/>
        </w:rPr>
        <w:t>%计算，最高限额为本合同总价的</w:t>
      </w:r>
      <w:r>
        <w:rPr>
          <w:rFonts w:eastAsia="仿宋"/>
          <w:color w:val="auto"/>
          <w:sz w:val="28"/>
          <w:szCs w:val="28"/>
          <w:highlight w:val="none"/>
          <w:u w:val="single"/>
        </w:rPr>
        <w:t xml:space="preserve"> </w:t>
      </w:r>
      <w:r>
        <w:rPr>
          <w:rFonts w:hint="eastAsia" w:eastAsia="仿宋"/>
          <w:color w:val="auto"/>
          <w:sz w:val="28"/>
          <w:szCs w:val="28"/>
          <w:highlight w:val="none"/>
          <w:u w:val="single"/>
          <w:lang w:val="en-US" w:eastAsia="zh-CN"/>
        </w:rPr>
        <w:t xml:space="preserve">   </w:t>
      </w:r>
      <w:r>
        <w:rPr>
          <w:rFonts w:eastAsia="仿宋"/>
          <w:color w:val="auto"/>
          <w:sz w:val="28"/>
          <w:szCs w:val="28"/>
          <w:highlight w:val="none"/>
        </w:rPr>
        <w:t>%；迟延付款的违约金计算数额达到前述最高限额之日起，乙方有权在要求甲方支付违约金的同时，书面通知甲方解除本合同；</w:t>
      </w:r>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360" w:lineRule="auto"/>
        <w:ind w:firstLine="562" w:firstLineChars="200"/>
        <w:outlineLvl w:val="2"/>
        <w:rPr>
          <w:rFonts w:eastAsia="仿宋"/>
          <w:b/>
          <w:bCs/>
          <w:color w:val="auto"/>
          <w:sz w:val="28"/>
          <w:szCs w:val="28"/>
          <w:highlight w:val="none"/>
        </w:rPr>
      </w:pPr>
      <w:bookmarkStart w:id="1189" w:name="_Toc28138"/>
      <w:bookmarkStart w:id="1190" w:name="_Toc32454"/>
      <w:bookmarkStart w:id="1191" w:name="_Toc30329"/>
      <w:bookmarkStart w:id="1192" w:name="_Toc26807"/>
      <w:bookmarkStart w:id="1193" w:name="_Toc9497"/>
      <w:bookmarkStart w:id="1194" w:name="_Toc18683"/>
      <w:bookmarkStart w:id="1195" w:name="_Toc21005"/>
      <w:bookmarkStart w:id="1196" w:name="_Toc7162"/>
      <w:r>
        <w:rPr>
          <w:rFonts w:eastAsia="仿宋"/>
          <w:b/>
          <w:bCs/>
          <w:color w:val="auto"/>
          <w:sz w:val="28"/>
          <w:szCs w:val="28"/>
          <w:highlight w:val="none"/>
        </w:rPr>
        <w:t>1.7 合同争议的解决</w:t>
      </w:r>
      <w:bookmarkEnd w:id="1189"/>
      <w:bookmarkEnd w:id="1190"/>
      <w:bookmarkEnd w:id="1191"/>
      <w:bookmarkEnd w:id="1192"/>
      <w:bookmarkEnd w:id="1193"/>
      <w:bookmarkEnd w:id="1194"/>
      <w:bookmarkEnd w:id="1195"/>
      <w:bookmarkEnd w:id="1196"/>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本合同履行过程中发生的任何争议，双方当事人均可通过和解或者调解解决；不愿和解、调解或者和解、调解不成的，可以选择下列第</w:t>
      </w:r>
      <w:r>
        <w:rPr>
          <w:rFonts w:eastAsia="仿宋"/>
          <w:color w:val="auto"/>
          <w:sz w:val="28"/>
          <w:szCs w:val="28"/>
          <w:highlight w:val="none"/>
          <w:u w:val="single"/>
        </w:rPr>
        <w:t xml:space="preserve"> 2 </w:t>
      </w:r>
      <w:r>
        <w:rPr>
          <w:rFonts w:eastAsia="仿宋"/>
          <w:color w:val="auto"/>
          <w:sz w:val="28"/>
          <w:szCs w:val="28"/>
          <w:highlight w:val="none"/>
        </w:rPr>
        <w:t>种方式解决：</w:t>
      </w:r>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1.7.1 将争议提交</w:t>
      </w:r>
      <w:r>
        <w:rPr>
          <w:rFonts w:eastAsia="仿宋"/>
          <w:color w:val="auto"/>
          <w:sz w:val="28"/>
          <w:szCs w:val="28"/>
          <w:highlight w:val="none"/>
          <w:u w:val="single"/>
        </w:rPr>
        <w:t xml:space="preserve">              </w:t>
      </w:r>
      <w:r>
        <w:rPr>
          <w:rFonts w:eastAsia="仿宋"/>
          <w:color w:val="auto"/>
          <w:sz w:val="28"/>
          <w:szCs w:val="28"/>
          <w:highlight w:val="none"/>
        </w:rPr>
        <w:t>仲裁委员会依申请仲裁时其现行有效的仲裁规则裁决；</w:t>
      </w:r>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1.7.2 向</w:t>
      </w:r>
      <w:r>
        <w:rPr>
          <w:rFonts w:eastAsia="仿宋"/>
          <w:color w:val="auto"/>
          <w:sz w:val="28"/>
          <w:szCs w:val="28"/>
          <w:highlight w:val="none"/>
          <w:u w:val="single"/>
        </w:rPr>
        <w:t>喀什市</w:t>
      </w:r>
      <w:r>
        <w:rPr>
          <w:rFonts w:eastAsia="仿宋"/>
          <w:color w:val="auto"/>
          <w:sz w:val="28"/>
          <w:szCs w:val="28"/>
          <w:highlight w:val="none"/>
        </w:rPr>
        <w:t>人民法院起诉。</w:t>
      </w:r>
    </w:p>
    <w:p>
      <w:pPr>
        <w:spacing w:line="360" w:lineRule="auto"/>
        <w:ind w:firstLine="562" w:firstLineChars="200"/>
        <w:outlineLvl w:val="2"/>
        <w:rPr>
          <w:rFonts w:eastAsia="仿宋"/>
          <w:b/>
          <w:bCs/>
          <w:color w:val="auto"/>
          <w:sz w:val="28"/>
          <w:szCs w:val="28"/>
          <w:highlight w:val="none"/>
        </w:rPr>
      </w:pPr>
      <w:bookmarkStart w:id="1197" w:name="_Toc12273"/>
      <w:bookmarkStart w:id="1198" w:name="_Toc16196"/>
      <w:bookmarkStart w:id="1199" w:name="_Toc15827"/>
      <w:bookmarkStart w:id="1200" w:name="_Toc16417"/>
      <w:bookmarkStart w:id="1201" w:name="_Toc7610"/>
      <w:bookmarkStart w:id="1202" w:name="_Toc12288"/>
      <w:bookmarkStart w:id="1203" w:name="_Toc23784"/>
      <w:bookmarkStart w:id="1204" w:name="_Toc26227"/>
      <w:r>
        <w:rPr>
          <w:rFonts w:eastAsia="仿宋"/>
          <w:b/>
          <w:bCs/>
          <w:color w:val="auto"/>
          <w:sz w:val="28"/>
          <w:szCs w:val="28"/>
          <w:highlight w:val="none"/>
        </w:rPr>
        <w:t>1.8 合同生效</w:t>
      </w:r>
      <w:bookmarkEnd w:id="1197"/>
      <w:bookmarkEnd w:id="1198"/>
      <w:bookmarkEnd w:id="1199"/>
      <w:bookmarkEnd w:id="1200"/>
      <w:bookmarkEnd w:id="1201"/>
      <w:bookmarkEnd w:id="1202"/>
      <w:bookmarkEnd w:id="1203"/>
      <w:bookmarkEnd w:id="1204"/>
    </w:p>
    <w:p>
      <w:pPr>
        <w:spacing w:line="360" w:lineRule="auto"/>
        <w:ind w:firstLine="560" w:firstLineChars="200"/>
        <w:rPr>
          <w:rFonts w:eastAsia="仿宋"/>
          <w:b/>
          <w:bCs/>
          <w:color w:val="auto"/>
          <w:sz w:val="28"/>
          <w:szCs w:val="28"/>
          <w:highlight w:val="none"/>
        </w:rPr>
      </w:pPr>
      <w:r>
        <w:rPr>
          <w:rFonts w:eastAsia="仿宋"/>
          <w:color w:val="auto"/>
          <w:sz w:val="28"/>
          <w:szCs w:val="28"/>
          <w:highlight w:val="none"/>
        </w:rPr>
        <w:t>本合同自双方当事人盖章或者签字时生效。</w:t>
      </w:r>
    </w:p>
    <w:p>
      <w:pPr>
        <w:autoSpaceDE w:val="0"/>
        <w:autoSpaceDN w:val="0"/>
        <w:adjustRightInd w:val="0"/>
        <w:spacing w:line="360" w:lineRule="auto"/>
        <w:rPr>
          <w:rFonts w:eastAsia="仿宋"/>
          <w:color w:val="auto"/>
          <w:sz w:val="28"/>
          <w:szCs w:val="28"/>
          <w:highlight w:val="none"/>
          <w:lang w:val="zh-CN"/>
        </w:rPr>
      </w:pPr>
    </w:p>
    <w:p>
      <w:pPr>
        <w:autoSpaceDE w:val="0"/>
        <w:autoSpaceDN w:val="0"/>
        <w:adjustRightInd w:val="0"/>
        <w:spacing w:line="360" w:lineRule="auto"/>
        <w:outlineLvl w:val="1"/>
        <w:rPr>
          <w:rFonts w:eastAsia="仿宋"/>
          <w:color w:val="auto"/>
          <w:sz w:val="28"/>
          <w:szCs w:val="28"/>
          <w:highlight w:val="none"/>
          <w:lang w:val="zh-CN"/>
        </w:rPr>
      </w:pPr>
      <w:r>
        <w:rPr>
          <w:rFonts w:eastAsia="仿宋"/>
          <w:b/>
          <w:bCs/>
          <w:color w:val="auto"/>
          <w:sz w:val="28"/>
          <w:szCs w:val="28"/>
          <w:highlight w:val="none"/>
          <w:lang w:val="zh-CN"/>
        </w:rPr>
        <w:t>甲方</w:t>
      </w:r>
      <w:r>
        <w:rPr>
          <w:rFonts w:eastAsia="仿宋"/>
          <w:color w:val="auto"/>
          <w:sz w:val="28"/>
          <w:szCs w:val="28"/>
          <w:highlight w:val="none"/>
          <w:lang w:val="zh-CN"/>
        </w:rPr>
        <w:t xml:space="preserve">：                             </w:t>
      </w:r>
      <w:r>
        <w:rPr>
          <w:rFonts w:eastAsia="仿宋"/>
          <w:b/>
          <w:bCs/>
          <w:color w:val="auto"/>
          <w:sz w:val="28"/>
          <w:szCs w:val="28"/>
          <w:highlight w:val="none"/>
          <w:lang w:val="zh-CN"/>
        </w:rPr>
        <w:t xml:space="preserve">      乙方</w:t>
      </w:r>
      <w:r>
        <w:rPr>
          <w:rFonts w:eastAsia="仿宋"/>
          <w:color w:val="auto"/>
          <w:sz w:val="28"/>
          <w:szCs w:val="28"/>
          <w:highlight w:val="none"/>
          <w:lang w:val="zh-CN"/>
        </w:rPr>
        <w:t>：</w:t>
      </w:r>
    </w:p>
    <w:p>
      <w:pPr>
        <w:autoSpaceDE w:val="0"/>
        <w:autoSpaceDN w:val="0"/>
        <w:adjustRightInd w:val="0"/>
        <w:spacing w:line="360" w:lineRule="auto"/>
        <w:ind w:left="5880" w:hanging="5880" w:hangingChars="2100"/>
        <w:rPr>
          <w:rFonts w:eastAsia="仿宋"/>
          <w:color w:val="auto"/>
          <w:sz w:val="28"/>
          <w:szCs w:val="28"/>
          <w:highlight w:val="none"/>
          <w:lang w:val="zh-CN"/>
        </w:rPr>
      </w:pPr>
      <w:r>
        <w:rPr>
          <w:rFonts w:eastAsia="仿宋"/>
          <w:color w:val="auto"/>
          <w:sz w:val="28"/>
          <w:szCs w:val="28"/>
          <w:highlight w:val="none"/>
          <w:lang w:val="zh-CN"/>
        </w:rPr>
        <w:t>统一社会信用代码：                        统一社会信用代码或身份证号码：</w:t>
      </w:r>
    </w:p>
    <w:p>
      <w:pPr>
        <w:autoSpaceDE w:val="0"/>
        <w:autoSpaceDN w:val="0"/>
        <w:adjustRightInd w:val="0"/>
        <w:spacing w:line="360" w:lineRule="auto"/>
        <w:rPr>
          <w:rFonts w:eastAsia="仿宋"/>
          <w:color w:val="auto"/>
          <w:sz w:val="28"/>
          <w:szCs w:val="28"/>
          <w:highlight w:val="none"/>
          <w:lang w:val="zh-CN"/>
        </w:rPr>
      </w:pPr>
      <w:r>
        <w:rPr>
          <w:rFonts w:eastAsia="仿宋"/>
          <w:color w:val="auto"/>
          <w:sz w:val="28"/>
          <w:szCs w:val="28"/>
          <w:highlight w:val="none"/>
          <w:lang w:val="zh-CN"/>
        </w:rPr>
        <w:t>住所：                                   住所：</w:t>
      </w:r>
    </w:p>
    <w:p>
      <w:pPr>
        <w:autoSpaceDE w:val="0"/>
        <w:autoSpaceDN w:val="0"/>
        <w:adjustRightInd w:val="0"/>
        <w:spacing w:line="360" w:lineRule="auto"/>
        <w:rPr>
          <w:rFonts w:eastAsia="仿宋"/>
          <w:color w:val="auto"/>
          <w:sz w:val="28"/>
          <w:szCs w:val="28"/>
          <w:highlight w:val="none"/>
          <w:lang w:val="zh-CN"/>
        </w:rPr>
      </w:pPr>
      <w:r>
        <w:rPr>
          <w:rFonts w:eastAsia="仿宋"/>
          <w:color w:val="auto"/>
          <w:sz w:val="28"/>
          <w:szCs w:val="28"/>
          <w:highlight w:val="none"/>
          <w:lang w:val="zh-CN"/>
        </w:rPr>
        <w:t>法定代表人或                             法定代表人</w:t>
      </w:r>
    </w:p>
    <w:p>
      <w:pPr>
        <w:autoSpaceDE w:val="0"/>
        <w:autoSpaceDN w:val="0"/>
        <w:adjustRightInd w:val="0"/>
        <w:spacing w:line="360" w:lineRule="auto"/>
        <w:rPr>
          <w:rFonts w:eastAsia="仿宋"/>
          <w:color w:val="auto"/>
          <w:sz w:val="28"/>
          <w:szCs w:val="28"/>
          <w:highlight w:val="none"/>
          <w:lang w:val="zh-CN"/>
        </w:rPr>
      </w:pPr>
      <w:r>
        <w:rPr>
          <w:rFonts w:eastAsia="仿宋"/>
          <w:color w:val="auto"/>
          <w:sz w:val="28"/>
          <w:szCs w:val="28"/>
          <w:highlight w:val="none"/>
          <w:lang w:val="zh-CN"/>
        </w:rPr>
        <w:t xml:space="preserve">授权代表（签字）：                        或授权代表（签字）: </w:t>
      </w:r>
    </w:p>
    <w:p>
      <w:pPr>
        <w:autoSpaceDE w:val="0"/>
        <w:autoSpaceDN w:val="0"/>
        <w:adjustRightInd w:val="0"/>
        <w:spacing w:line="360" w:lineRule="auto"/>
        <w:rPr>
          <w:rFonts w:eastAsia="仿宋"/>
          <w:color w:val="auto"/>
          <w:sz w:val="28"/>
          <w:szCs w:val="28"/>
          <w:highlight w:val="none"/>
          <w:lang w:val="zh-CN"/>
        </w:rPr>
      </w:pPr>
      <w:r>
        <w:rPr>
          <w:rFonts w:eastAsia="仿宋"/>
          <w:color w:val="auto"/>
          <w:sz w:val="28"/>
          <w:szCs w:val="28"/>
          <w:highlight w:val="none"/>
          <w:lang w:val="zh-CN"/>
        </w:rPr>
        <w:t>联系人：                                 联系人：</w:t>
      </w:r>
    </w:p>
    <w:p>
      <w:pPr>
        <w:autoSpaceDE w:val="0"/>
        <w:autoSpaceDN w:val="0"/>
        <w:adjustRightInd w:val="0"/>
        <w:spacing w:line="360" w:lineRule="auto"/>
        <w:rPr>
          <w:rFonts w:eastAsia="仿宋"/>
          <w:color w:val="auto"/>
          <w:sz w:val="28"/>
          <w:szCs w:val="28"/>
          <w:highlight w:val="none"/>
          <w:lang w:val="zh-CN"/>
        </w:rPr>
      </w:pPr>
      <w:r>
        <w:rPr>
          <w:rFonts w:eastAsia="仿宋"/>
          <w:color w:val="auto"/>
          <w:sz w:val="28"/>
          <w:szCs w:val="28"/>
          <w:highlight w:val="none"/>
          <w:lang w:val="zh-CN"/>
        </w:rPr>
        <w:t>约定送达地址：                           约定送达地址：</w:t>
      </w:r>
    </w:p>
    <w:p>
      <w:pPr>
        <w:autoSpaceDE w:val="0"/>
        <w:autoSpaceDN w:val="0"/>
        <w:adjustRightInd w:val="0"/>
        <w:spacing w:line="360" w:lineRule="auto"/>
        <w:rPr>
          <w:rFonts w:eastAsia="仿宋"/>
          <w:color w:val="auto"/>
          <w:sz w:val="28"/>
          <w:szCs w:val="28"/>
          <w:highlight w:val="none"/>
          <w:lang w:val="zh-CN"/>
        </w:rPr>
      </w:pPr>
      <w:r>
        <w:rPr>
          <w:rFonts w:eastAsia="仿宋"/>
          <w:color w:val="auto"/>
          <w:sz w:val="28"/>
          <w:szCs w:val="28"/>
          <w:highlight w:val="none"/>
          <w:lang w:val="zh-CN"/>
        </w:rPr>
        <w:t>邮政编码：                               邮政编码：</w:t>
      </w:r>
    </w:p>
    <w:p>
      <w:pPr>
        <w:autoSpaceDE w:val="0"/>
        <w:autoSpaceDN w:val="0"/>
        <w:adjustRightInd w:val="0"/>
        <w:spacing w:line="360" w:lineRule="auto"/>
        <w:rPr>
          <w:rFonts w:eastAsia="仿宋"/>
          <w:color w:val="auto"/>
          <w:sz w:val="28"/>
          <w:szCs w:val="28"/>
          <w:highlight w:val="none"/>
          <w:lang w:val="zh-CN"/>
        </w:rPr>
      </w:pPr>
      <w:r>
        <w:rPr>
          <w:rFonts w:eastAsia="仿宋"/>
          <w:color w:val="auto"/>
          <w:sz w:val="28"/>
          <w:szCs w:val="28"/>
          <w:highlight w:val="none"/>
          <w:lang w:val="zh-CN"/>
        </w:rPr>
        <w:t xml:space="preserve">电话:                                    电话: </w:t>
      </w:r>
    </w:p>
    <w:p>
      <w:pPr>
        <w:autoSpaceDE w:val="0"/>
        <w:autoSpaceDN w:val="0"/>
        <w:adjustRightInd w:val="0"/>
        <w:spacing w:line="360" w:lineRule="auto"/>
        <w:rPr>
          <w:rFonts w:eastAsia="仿宋"/>
          <w:color w:val="auto"/>
          <w:sz w:val="28"/>
          <w:szCs w:val="28"/>
          <w:highlight w:val="none"/>
          <w:lang w:val="zh-CN"/>
        </w:rPr>
      </w:pPr>
      <w:r>
        <w:rPr>
          <w:rFonts w:eastAsia="仿宋"/>
          <w:color w:val="auto"/>
          <w:sz w:val="28"/>
          <w:szCs w:val="28"/>
          <w:highlight w:val="none"/>
          <w:lang w:val="zh-CN"/>
        </w:rPr>
        <w:t>传真:                                    传真:</w:t>
      </w:r>
    </w:p>
    <w:p>
      <w:pPr>
        <w:autoSpaceDE w:val="0"/>
        <w:autoSpaceDN w:val="0"/>
        <w:adjustRightInd w:val="0"/>
        <w:spacing w:line="360" w:lineRule="auto"/>
        <w:rPr>
          <w:rFonts w:eastAsia="仿宋"/>
          <w:color w:val="auto"/>
          <w:sz w:val="28"/>
          <w:szCs w:val="28"/>
          <w:highlight w:val="none"/>
        </w:rPr>
      </w:pPr>
      <w:r>
        <w:rPr>
          <w:rFonts w:eastAsia="仿宋"/>
          <w:color w:val="auto"/>
          <w:sz w:val="28"/>
          <w:szCs w:val="28"/>
          <w:highlight w:val="none"/>
          <w:lang w:val="zh-CN"/>
        </w:rPr>
        <w:t>电子邮箱：                               电子邮箱：</w:t>
      </w:r>
    </w:p>
    <w:p>
      <w:pPr>
        <w:autoSpaceDE w:val="0"/>
        <w:autoSpaceDN w:val="0"/>
        <w:adjustRightInd w:val="0"/>
        <w:spacing w:line="360" w:lineRule="auto"/>
        <w:rPr>
          <w:rFonts w:eastAsia="仿宋"/>
          <w:color w:val="auto"/>
          <w:sz w:val="28"/>
          <w:szCs w:val="28"/>
          <w:highlight w:val="none"/>
        </w:rPr>
      </w:pPr>
      <w:r>
        <w:rPr>
          <w:rFonts w:eastAsia="仿宋"/>
          <w:color w:val="auto"/>
          <w:sz w:val="28"/>
          <w:szCs w:val="28"/>
          <w:highlight w:val="none"/>
        </w:rPr>
        <w:t xml:space="preserve">开户银行：                               开户银行： </w:t>
      </w:r>
    </w:p>
    <w:p>
      <w:pPr>
        <w:autoSpaceDE w:val="0"/>
        <w:autoSpaceDN w:val="0"/>
        <w:adjustRightInd w:val="0"/>
        <w:spacing w:line="360" w:lineRule="auto"/>
        <w:rPr>
          <w:rFonts w:eastAsia="仿宋"/>
          <w:color w:val="auto"/>
          <w:sz w:val="28"/>
          <w:szCs w:val="28"/>
          <w:highlight w:val="none"/>
        </w:rPr>
      </w:pPr>
      <w:r>
        <w:rPr>
          <w:rFonts w:eastAsia="仿宋"/>
          <w:color w:val="auto"/>
          <w:sz w:val="28"/>
          <w:szCs w:val="28"/>
          <w:highlight w:val="none"/>
        </w:rPr>
        <w:t xml:space="preserve">开户名称：                               开户名称： </w:t>
      </w:r>
    </w:p>
    <w:p>
      <w:pPr>
        <w:autoSpaceDE w:val="0"/>
        <w:autoSpaceDN w:val="0"/>
        <w:adjustRightInd w:val="0"/>
        <w:spacing w:line="360" w:lineRule="auto"/>
        <w:rPr>
          <w:rFonts w:eastAsia="仿宋"/>
          <w:color w:val="auto"/>
          <w:sz w:val="28"/>
          <w:szCs w:val="28"/>
          <w:highlight w:val="none"/>
        </w:rPr>
      </w:pPr>
      <w:r>
        <w:rPr>
          <w:rFonts w:eastAsia="仿宋"/>
          <w:color w:val="auto"/>
          <w:sz w:val="28"/>
          <w:szCs w:val="28"/>
          <w:highlight w:val="none"/>
        </w:rPr>
        <w:t>开户账号：</w:t>
      </w:r>
      <w:r>
        <w:rPr>
          <w:rFonts w:eastAsia="仿宋"/>
          <w:color w:val="auto"/>
          <w:sz w:val="28"/>
          <w:szCs w:val="28"/>
          <w:highlight w:val="none"/>
          <w:lang w:val="zh-CN"/>
        </w:rPr>
        <w:t xml:space="preserve">                               </w:t>
      </w:r>
      <w:r>
        <w:rPr>
          <w:rFonts w:eastAsia="仿宋"/>
          <w:color w:val="auto"/>
          <w:sz w:val="28"/>
          <w:szCs w:val="28"/>
          <w:highlight w:val="none"/>
        </w:rPr>
        <w:t>开户账号：</w:t>
      </w:r>
    </w:p>
    <w:p>
      <w:pPr>
        <w:widowControl/>
        <w:spacing w:line="360" w:lineRule="auto"/>
        <w:jc w:val="left"/>
        <w:rPr>
          <w:rFonts w:eastAsia="仿宋"/>
          <w:b/>
          <w:bCs/>
          <w:color w:val="auto"/>
          <w:sz w:val="28"/>
          <w:szCs w:val="28"/>
          <w:highlight w:val="none"/>
        </w:rPr>
      </w:pPr>
    </w:p>
    <w:p>
      <w:pPr>
        <w:widowControl/>
        <w:spacing w:line="360" w:lineRule="auto"/>
        <w:jc w:val="left"/>
        <w:rPr>
          <w:rFonts w:eastAsia="仿宋"/>
          <w:b/>
          <w:bCs/>
          <w:color w:val="auto"/>
          <w:kern w:val="0"/>
          <w:sz w:val="28"/>
          <w:szCs w:val="28"/>
          <w:highlight w:val="none"/>
        </w:rPr>
      </w:pPr>
    </w:p>
    <w:p>
      <w:pPr>
        <w:pStyle w:val="58"/>
        <w:spacing w:line="360" w:lineRule="auto"/>
        <w:ind w:firstLine="200"/>
        <w:jc w:val="center"/>
        <w:outlineLvl w:val="0"/>
        <w:rPr>
          <w:rFonts w:ascii="Times New Roman" w:eastAsia="仿宋"/>
          <w:b/>
          <w:bCs/>
          <w:color w:val="auto"/>
          <w:sz w:val="28"/>
          <w:szCs w:val="28"/>
          <w:highlight w:val="none"/>
        </w:rPr>
      </w:pPr>
    </w:p>
    <w:p>
      <w:pPr>
        <w:pStyle w:val="58"/>
        <w:spacing w:line="360" w:lineRule="auto"/>
        <w:ind w:firstLine="200"/>
        <w:jc w:val="center"/>
        <w:outlineLvl w:val="1"/>
        <w:rPr>
          <w:rFonts w:ascii="Times New Roman" w:eastAsia="仿宋"/>
          <w:b/>
          <w:bCs/>
          <w:color w:val="auto"/>
          <w:sz w:val="28"/>
          <w:szCs w:val="28"/>
          <w:highlight w:val="none"/>
        </w:rPr>
      </w:pPr>
      <w:r>
        <w:rPr>
          <w:rFonts w:ascii="Times New Roman" w:eastAsia="仿宋"/>
          <w:b/>
          <w:bCs/>
          <w:color w:val="auto"/>
          <w:sz w:val="28"/>
          <w:szCs w:val="28"/>
          <w:highlight w:val="none"/>
        </w:rPr>
        <w:t>第二部分 合同一般条款</w:t>
      </w:r>
    </w:p>
    <w:p>
      <w:pPr>
        <w:spacing w:line="360" w:lineRule="auto"/>
        <w:ind w:firstLine="562" w:firstLineChars="200"/>
        <w:outlineLvl w:val="2"/>
        <w:rPr>
          <w:rFonts w:eastAsia="仿宋"/>
          <w:b/>
          <w:bCs/>
          <w:color w:val="auto"/>
          <w:sz w:val="28"/>
          <w:szCs w:val="28"/>
          <w:highlight w:val="none"/>
        </w:rPr>
      </w:pPr>
      <w:bookmarkStart w:id="1205" w:name="_Toc19680"/>
      <w:bookmarkStart w:id="1206" w:name="_Toc28784"/>
      <w:bookmarkStart w:id="1207" w:name="_Toc14021"/>
      <w:bookmarkStart w:id="1208" w:name="_Toc25079"/>
      <w:bookmarkStart w:id="1209" w:name="_Toc28977"/>
      <w:bookmarkStart w:id="1210" w:name="_Toc29312"/>
      <w:bookmarkStart w:id="1211" w:name="_Toc31297"/>
      <w:bookmarkStart w:id="1212" w:name="_Toc5228"/>
      <w:r>
        <w:rPr>
          <w:rFonts w:eastAsia="仿宋"/>
          <w:b/>
          <w:bCs/>
          <w:color w:val="auto"/>
          <w:sz w:val="28"/>
          <w:szCs w:val="28"/>
          <w:highlight w:val="none"/>
        </w:rPr>
        <w:t>2.1 定义</w:t>
      </w:r>
      <w:bookmarkEnd w:id="1205"/>
      <w:bookmarkEnd w:id="1206"/>
      <w:bookmarkEnd w:id="1207"/>
      <w:bookmarkEnd w:id="1208"/>
      <w:bookmarkEnd w:id="1209"/>
      <w:bookmarkEnd w:id="1210"/>
      <w:bookmarkEnd w:id="1211"/>
      <w:bookmarkEnd w:id="1212"/>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本合同中的下列词语应按以下内容进行解释：</w:t>
      </w:r>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2.1.1 “合同”系指采购人和中标供应商签订的载明双方当事人所达成的协议，并包括所有的附件、附录和构成合同的其他文件。</w:t>
      </w:r>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2.1.2 “合同价”系指根据合同约定，中标供应商在完全履行合同义务后，采购人应支付给中标供应商的价格。</w:t>
      </w:r>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2.1.3 “服务”系指中标供应商根据合同约定应向采购人履行的除货物和工程以外的其他政府采购对象，包括采购人自身需要的服务和向社会公众提供的公共服务。</w:t>
      </w:r>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2.1.4 “甲方”系指与中标供应商签署合同的采购人；采购人委托采购代理机构代表其与乙方签订合同的，采购人的授权委托书作为合同附件。</w:t>
      </w:r>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2.1.5 “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2.1.6 “现场”系指合同约定提供服务的地点。</w:t>
      </w:r>
    </w:p>
    <w:p>
      <w:pPr>
        <w:spacing w:line="360" w:lineRule="auto"/>
        <w:ind w:firstLine="562" w:firstLineChars="200"/>
        <w:outlineLvl w:val="2"/>
        <w:rPr>
          <w:rFonts w:eastAsia="仿宋"/>
          <w:b/>
          <w:bCs/>
          <w:color w:val="auto"/>
          <w:sz w:val="28"/>
          <w:szCs w:val="28"/>
          <w:highlight w:val="none"/>
        </w:rPr>
      </w:pPr>
      <w:bookmarkStart w:id="1213" w:name="_Toc19539"/>
      <w:bookmarkStart w:id="1214" w:name="_Toc23520"/>
      <w:bookmarkStart w:id="1215" w:name="_Toc5530"/>
      <w:bookmarkStart w:id="1216" w:name="_Toc16752"/>
      <w:bookmarkStart w:id="1217" w:name="_Toc23289"/>
      <w:bookmarkStart w:id="1218" w:name="_Toc31402"/>
      <w:bookmarkStart w:id="1219" w:name="_Toc15098"/>
      <w:bookmarkStart w:id="1220" w:name="_Toc3769"/>
      <w:r>
        <w:rPr>
          <w:rFonts w:eastAsia="仿宋"/>
          <w:b/>
          <w:bCs/>
          <w:color w:val="auto"/>
          <w:sz w:val="28"/>
          <w:szCs w:val="28"/>
          <w:highlight w:val="none"/>
        </w:rPr>
        <w:t>2.2 技术规范</w:t>
      </w:r>
      <w:bookmarkEnd w:id="1213"/>
      <w:bookmarkEnd w:id="1214"/>
      <w:bookmarkEnd w:id="1215"/>
      <w:bookmarkEnd w:id="1216"/>
      <w:bookmarkEnd w:id="1217"/>
      <w:bookmarkEnd w:id="1218"/>
      <w:bookmarkEnd w:id="1219"/>
      <w:bookmarkEnd w:id="1220"/>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562" w:firstLineChars="200"/>
        <w:outlineLvl w:val="2"/>
        <w:rPr>
          <w:rFonts w:eastAsia="仿宋"/>
          <w:b/>
          <w:bCs/>
          <w:color w:val="auto"/>
          <w:sz w:val="28"/>
          <w:szCs w:val="28"/>
          <w:highlight w:val="none"/>
        </w:rPr>
      </w:pPr>
      <w:bookmarkStart w:id="1221" w:name="_Toc12412"/>
      <w:bookmarkStart w:id="1222" w:name="_Toc4133"/>
      <w:bookmarkStart w:id="1223" w:name="_Toc13673"/>
      <w:bookmarkStart w:id="1224" w:name="_Toc27573"/>
      <w:bookmarkStart w:id="1225" w:name="_Toc9161"/>
      <w:bookmarkStart w:id="1226" w:name="_Toc4384"/>
      <w:bookmarkStart w:id="1227" w:name="_Toc27945"/>
      <w:bookmarkStart w:id="1228" w:name="_Toc10170"/>
      <w:r>
        <w:rPr>
          <w:rFonts w:eastAsia="仿宋"/>
          <w:b/>
          <w:bCs/>
          <w:color w:val="auto"/>
          <w:sz w:val="28"/>
          <w:szCs w:val="28"/>
          <w:highlight w:val="none"/>
        </w:rPr>
        <w:t>2.3 知识产权</w:t>
      </w:r>
      <w:bookmarkEnd w:id="1221"/>
      <w:bookmarkEnd w:id="1222"/>
      <w:bookmarkEnd w:id="1223"/>
      <w:bookmarkEnd w:id="1224"/>
      <w:bookmarkEnd w:id="1225"/>
      <w:bookmarkEnd w:id="1226"/>
      <w:bookmarkEnd w:id="1227"/>
      <w:bookmarkEnd w:id="1228"/>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562" w:firstLineChars="200"/>
        <w:outlineLvl w:val="2"/>
        <w:rPr>
          <w:rFonts w:eastAsia="仿宋"/>
          <w:b/>
          <w:bCs/>
          <w:color w:val="auto"/>
          <w:sz w:val="28"/>
          <w:szCs w:val="28"/>
          <w:highlight w:val="none"/>
        </w:rPr>
      </w:pPr>
      <w:r>
        <w:rPr>
          <w:rFonts w:eastAsia="仿宋"/>
          <w:b/>
          <w:bCs/>
          <w:color w:val="auto"/>
          <w:sz w:val="28"/>
          <w:szCs w:val="28"/>
          <w:highlight w:val="none"/>
        </w:rPr>
        <w:t>2.4 履约检查和问题反馈</w:t>
      </w:r>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2.4.2 合同履行期间，甲方有权将履行过程中出现的问题反馈给乙方，双方当事人应以书面形式约定需要完善和改进的内容。</w:t>
      </w:r>
    </w:p>
    <w:p>
      <w:pPr>
        <w:spacing w:line="360" w:lineRule="auto"/>
        <w:ind w:firstLine="562" w:firstLineChars="200"/>
        <w:outlineLvl w:val="2"/>
        <w:rPr>
          <w:rFonts w:eastAsia="仿宋"/>
          <w:b/>
          <w:bCs/>
          <w:color w:val="auto"/>
          <w:sz w:val="28"/>
          <w:szCs w:val="28"/>
          <w:highlight w:val="none"/>
        </w:rPr>
      </w:pPr>
      <w:bookmarkStart w:id="1229" w:name="_Toc30507"/>
      <w:bookmarkStart w:id="1230" w:name="_Toc13154"/>
      <w:bookmarkStart w:id="1231" w:name="_Toc6344"/>
      <w:bookmarkStart w:id="1232" w:name="_Toc27791"/>
      <w:bookmarkStart w:id="1233" w:name="_Toc21690"/>
      <w:bookmarkStart w:id="1234" w:name="_Toc13467"/>
      <w:bookmarkStart w:id="1235" w:name="_Toc16163"/>
      <w:bookmarkStart w:id="1236" w:name="_Toc18990"/>
      <w:r>
        <w:rPr>
          <w:rFonts w:eastAsia="仿宋"/>
          <w:b/>
          <w:bCs/>
          <w:color w:val="auto"/>
          <w:sz w:val="28"/>
          <w:szCs w:val="28"/>
          <w:highlight w:val="none"/>
        </w:rPr>
        <w:t>2.5 技术资料和保密义务</w:t>
      </w:r>
      <w:bookmarkEnd w:id="1229"/>
      <w:bookmarkEnd w:id="1230"/>
      <w:bookmarkEnd w:id="1231"/>
      <w:bookmarkEnd w:id="1232"/>
      <w:bookmarkEnd w:id="1233"/>
      <w:bookmarkEnd w:id="1234"/>
      <w:bookmarkEnd w:id="1235"/>
      <w:bookmarkEnd w:id="1236"/>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2.5.1 乙方有权依据合同约定和项目需要，向甲方了解有关情况，调阅有关资料等，甲方应予积极配合；</w:t>
      </w:r>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2.5.2 乙方有义务妥善保管和保护由甲方提供的前款信息和资料等；</w:t>
      </w:r>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2.5.3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562" w:firstLineChars="200"/>
        <w:outlineLvl w:val="2"/>
        <w:rPr>
          <w:rFonts w:eastAsia="仿宋"/>
          <w:b/>
          <w:bCs/>
          <w:color w:val="auto"/>
          <w:sz w:val="28"/>
          <w:szCs w:val="28"/>
          <w:highlight w:val="none"/>
        </w:rPr>
      </w:pPr>
      <w:bookmarkStart w:id="1237" w:name="_Toc27714"/>
      <w:bookmarkStart w:id="1238" w:name="_Toc22040"/>
      <w:bookmarkStart w:id="1239" w:name="_Toc31374"/>
      <w:bookmarkStart w:id="1240" w:name="_Toc19069"/>
      <w:r>
        <w:rPr>
          <w:rFonts w:eastAsia="仿宋"/>
          <w:b/>
          <w:bCs/>
          <w:color w:val="auto"/>
          <w:sz w:val="28"/>
          <w:szCs w:val="28"/>
          <w:highlight w:val="none"/>
        </w:rPr>
        <w:t>2.6 质量保证</w:t>
      </w:r>
      <w:bookmarkEnd w:id="1237"/>
      <w:bookmarkEnd w:id="1238"/>
      <w:bookmarkEnd w:id="1239"/>
      <w:bookmarkEnd w:id="1240"/>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2.6.1 乙方应建立和完善履行合同的内部质量保证体系，并提供相关内部规章制度给甲方，以便甲方进行监督检查；</w:t>
      </w:r>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2.6.2 乙方应保证履行合同的人员数量和素质、软件和硬件设备的配置、场地、环境和设施等满足全面履行合同的要求，并应接受甲方的监督检查。</w:t>
      </w:r>
    </w:p>
    <w:p>
      <w:pPr>
        <w:spacing w:line="360" w:lineRule="auto"/>
        <w:ind w:firstLine="562" w:firstLineChars="200"/>
        <w:outlineLvl w:val="2"/>
        <w:rPr>
          <w:rFonts w:eastAsia="仿宋"/>
          <w:b/>
          <w:bCs/>
          <w:color w:val="auto"/>
          <w:sz w:val="28"/>
          <w:szCs w:val="28"/>
          <w:highlight w:val="none"/>
        </w:rPr>
      </w:pPr>
      <w:bookmarkStart w:id="1241" w:name="_Toc29767"/>
      <w:bookmarkStart w:id="1242" w:name="_Toc24107"/>
      <w:bookmarkStart w:id="1243" w:name="_Toc24939"/>
      <w:bookmarkStart w:id="1244" w:name="_Toc22267"/>
      <w:r>
        <w:rPr>
          <w:rFonts w:eastAsia="仿宋"/>
          <w:b/>
          <w:bCs/>
          <w:color w:val="auto"/>
          <w:sz w:val="28"/>
          <w:szCs w:val="28"/>
          <w:highlight w:val="none"/>
        </w:rPr>
        <w:t>2.7 延迟履行</w:t>
      </w:r>
      <w:bookmarkEnd w:id="1241"/>
      <w:bookmarkEnd w:id="1242"/>
      <w:bookmarkEnd w:id="1243"/>
      <w:bookmarkEnd w:id="1244"/>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562" w:firstLineChars="200"/>
        <w:outlineLvl w:val="2"/>
        <w:rPr>
          <w:rFonts w:eastAsia="仿宋"/>
          <w:b/>
          <w:bCs/>
          <w:color w:val="auto"/>
          <w:sz w:val="28"/>
          <w:szCs w:val="28"/>
          <w:highlight w:val="none"/>
        </w:rPr>
      </w:pPr>
      <w:bookmarkStart w:id="1245" w:name="_Toc3253"/>
      <w:bookmarkStart w:id="1246" w:name="_Toc30048"/>
      <w:bookmarkStart w:id="1247" w:name="_Toc10611"/>
      <w:bookmarkStart w:id="1248" w:name="_Toc12749"/>
      <w:r>
        <w:rPr>
          <w:rFonts w:eastAsia="仿宋"/>
          <w:b/>
          <w:bCs/>
          <w:color w:val="auto"/>
          <w:sz w:val="28"/>
          <w:szCs w:val="28"/>
          <w:highlight w:val="none"/>
        </w:rPr>
        <w:t>2.8 合同变更</w:t>
      </w:r>
      <w:bookmarkEnd w:id="1245"/>
      <w:bookmarkEnd w:id="1246"/>
      <w:bookmarkEnd w:id="1247"/>
      <w:bookmarkEnd w:id="1248"/>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2.8.1 双方当事人协商一致，可以签订书面补充合同的形式变更合同，但不得违背采购文件确定的事项，且如果系追加与合同标的相同的服务的，那么所有补充合同的采购金额不得超过原合同价的10%；</w:t>
      </w:r>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2.8.2 合同继续履行将损害国家利益和社会公共利益的，双方当事人应当以书面形式变更合同。有过错的一方应当承担赔偿责任，双方当事人都有过错的，各自承担相应的责任。</w:t>
      </w:r>
    </w:p>
    <w:p>
      <w:pPr>
        <w:spacing w:line="360" w:lineRule="auto"/>
        <w:ind w:firstLine="562" w:firstLineChars="200"/>
        <w:outlineLvl w:val="2"/>
        <w:rPr>
          <w:rFonts w:eastAsia="仿宋"/>
          <w:b/>
          <w:bCs/>
          <w:color w:val="auto"/>
          <w:sz w:val="28"/>
          <w:szCs w:val="28"/>
          <w:highlight w:val="none"/>
        </w:rPr>
      </w:pPr>
      <w:bookmarkStart w:id="1249" w:name="_Toc23368"/>
      <w:bookmarkStart w:id="1250" w:name="_Toc42"/>
      <w:bookmarkStart w:id="1251" w:name="_Toc21830"/>
      <w:bookmarkStart w:id="1252" w:name="_Toc11047"/>
      <w:bookmarkStart w:id="1253" w:name="_Toc26689"/>
      <w:bookmarkStart w:id="1254" w:name="_Toc30634"/>
      <w:bookmarkStart w:id="1255" w:name="_Toc22625"/>
      <w:bookmarkStart w:id="1256" w:name="_Toc10663"/>
      <w:r>
        <w:rPr>
          <w:rFonts w:eastAsia="仿宋"/>
          <w:b/>
          <w:bCs/>
          <w:color w:val="auto"/>
          <w:sz w:val="28"/>
          <w:szCs w:val="28"/>
          <w:highlight w:val="none"/>
        </w:rPr>
        <w:t>2.9 合同转让和分包</w:t>
      </w:r>
      <w:bookmarkEnd w:id="1249"/>
      <w:bookmarkEnd w:id="1250"/>
      <w:bookmarkEnd w:id="1251"/>
      <w:bookmarkEnd w:id="1252"/>
      <w:bookmarkEnd w:id="1253"/>
      <w:bookmarkEnd w:id="1254"/>
      <w:bookmarkEnd w:id="1255"/>
      <w:bookmarkEnd w:id="1256"/>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562" w:firstLineChars="200"/>
        <w:outlineLvl w:val="2"/>
        <w:rPr>
          <w:rFonts w:eastAsia="仿宋"/>
          <w:b/>
          <w:bCs/>
          <w:color w:val="auto"/>
          <w:sz w:val="28"/>
          <w:szCs w:val="28"/>
          <w:highlight w:val="none"/>
        </w:rPr>
      </w:pPr>
      <w:bookmarkStart w:id="1257" w:name="_Toc32494"/>
      <w:bookmarkStart w:id="1258" w:name="_Toc4720"/>
      <w:bookmarkStart w:id="1259" w:name="_Toc25571"/>
      <w:bookmarkStart w:id="1260" w:name="_Toc1329"/>
      <w:bookmarkStart w:id="1261" w:name="_Toc10500"/>
      <w:bookmarkStart w:id="1262" w:name="_Toc26633"/>
      <w:bookmarkStart w:id="1263" w:name="_Toc27962"/>
      <w:bookmarkStart w:id="1264" w:name="_Toc14371"/>
      <w:r>
        <w:rPr>
          <w:rFonts w:eastAsia="仿宋"/>
          <w:b/>
          <w:bCs/>
          <w:color w:val="auto"/>
          <w:sz w:val="28"/>
          <w:szCs w:val="28"/>
          <w:highlight w:val="none"/>
        </w:rPr>
        <w:t>2.10 不可抗力</w:t>
      </w:r>
      <w:bookmarkEnd w:id="1257"/>
      <w:bookmarkEnd w:id="1258"/>
      <w:bookmarkEnd w:id="1259"/>
      <w:bookmarkEnd w:id="1260"/>
      <w:bookmarkEnd w:id="1261"/>
      <w:bookmarkEnd w:id="1262"/>
      <w:bookmarkEnd w:id="1263"/>
      <w:bookmarkEnd w:id="1264"/>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2.10.1如果任何一方遭遇法律规定的不可抗力，致使合同履行受阻时，履行合同的期限应予延长，延长的期限应相当于不可抗力所影响的时间；</w:t>
      </w:r>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2.10.2 因不可抗力致使不能实现合同目的的，当事人可以解除合同；</w:t>
      </w:r>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2.10.3 因不可抗力致使合同有变更必要的，双方当事人应在</w:t>
      </w:r>
      <w:r>
        <w:rPr>
          <w:rFonts w:eastAsia="仿宋"/>
          <w:b/>
          <w:bCs/>
          <w:i/>
          <w:iCs/>
          <w:color w:val="auto"/>
          <w:sz w:val="28"/>
          <w:szCs w:val="28"/>
          <w:highlight w:val="none"/>
          <w:u w:val="single"/>
        </w:rPr>
        <w:t>5个工作日</w:t>
      </w:r>
      <w:r>
        <w:rPr>
          <w:rFonts w:eastAsia="仿宋"/>
          <w:color w:val="auto"/>
          <w:sz w:val="28"/>
          <w:szCs w:val="28"/>
          <w:highlight w:val="none"/>
        </w:rPr>
        <w:t>内以书面形式变更合同；</w:t>
      </w:r>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2.10.4受不可抗力影响的一方在不可抗力发生后，应在</w:t>
      </w:r>
      <w:r>
        <w:rPr>
          <w:rFonts w:eastAsia="仿宋"/>
          <w:b/>
          <w:bCs/>
          <w:i/>
          <w:iCs/>
          <w:color w:val="auto"/>
          <w:sz w:val="28"/>
          <w:szCs w:val="28"/>
          <w:highlight w:val="none"/>
          <w:u w:val="single"/>
        </w:rPr>
        <w:t>3个工作日</w:t>
      </w:r>
      <w:r>
        <w:rPr>
          <w:rFonts w:eastAsia="仿宋"/>
          <w:color w:val="auto"/>
          <w:sz w:val="28"/>
          <w:szCs w:val="28"/>
          <w:highlight w:val="none"/>
        </w:rPr>
        <w:t>内以书面形式通知对方当事人，并在</w:t>
      </w:r>
      <w:r>
        <w:rPr>
          <w:rFonts w:eastAsia="仿宋"/>
          <w:b/>
          <w:bCs/>
          <w:i/>
          <w:iCs/>
          <w:color w:val="auto"/>
          <w:sz w:val="28"/>
          <w:szCs w:val="28"/>
          <w:highlight w:val="none"/>
          <w:u w:val="single"/>
        </w:rPr>
        <w:t>5个工作日</w:t>
      </w:r>
      <w:r>
        <w:rPr>
          <w:rFonts w:eastAsia="仿宋"/>
          <w:color w:val="auto"/>
          <w:sz w:val="28"/>
          <w:szCs w:val="28"/>
          <w:highlight w:val="none"/>
        </w:rPr>
        <w:t>内，将有关部门出具的证明文件送达对方当事人。</w:t>
      </w:r>
    </w:p>
    <w:p>
      <w:pPr>
        <w:spacing w:line="360" w:lineRule="auto"/>
        <w:ind w:firstLine="562" w:firstLineChars="200"/>
        <w:outlineLvl w:val="2"/>
        <w:rPr>
          <w:rFonts w:eastAsia="仿宋"/>
          <w:b/>
          <w:bCs/>
          <w:color w:val="auto"/>
          <w:sz w:val="28"/>
          <w:szCs w:val="28"/>
          <w:highlight w:val="none"/>
        </w:rPr>
      </w:pPr>
      <w:bookmarkStart w:id="1265" w:name="_Toc20023"/>
      <w:bookmarkStart w:id="1266" w:name="_Toc14115"/>
      <w:bookmarkStart w:id="1267" w:name="_Toc3638"/>
      <w:bookmarkStart w:id="1268" w:name="_Toc12231"/>
      <w:bookmarkStart w:id="1269" w:name="_Toc15042"/>
      <w:bookmarkStart w:id="1270" w:name="_Toc25783"/>
      <w:bookmarkStart w:id="1271" w:name="_Toc23854"/>
      <w:bookmarkStart w:id="1272" w:name="_Toc24465"/>
      <w:r>
        <w:rPr>
          <w:rFonts w:eastAsia="仿宋"/>
          <w:b/>
          <w:bCs/>
          <w:color w:val="auto"/>
          <w:sz w:val="28"/>
          <w:szCs w:val="28"/>
          <w:highlight w:val="none"/>
        </w:rPr>
        <w:t>2.11 税费</w:t>
      </w:r>
      <w:bookmarkEnd w:id="1265"/>
      <w:bookmarkEnd w:id="1266"/>
      <w:bookmarkEnd w:id="1267"/>
      <w:bookmarkEnd w:id="1268"/>
      <w:bookmarkEnd w:id="1269"/>
      <w:bookmarkEnd w:id="1270"/>
      <w:bookmarkEnd w:id="1271"/>
      <w:bookmarkEnd w:id="1272"/>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与合同有关的一切税费，均按照中华人民共和国法律的相关规定缴纳。</w:t>
      </w:r>
    </w:p>
    <w:p>
      <w:pPr>
        <w:spacing w:line="360" w:lineRule="auto"/>
        <w:ind w:firstLine="562" w:firstLineChars="200"/>
        <w:outlineLvl w:val="2"/>
        <w:rPr>
          <w:rFonts w:eastAsia="仿宋"/>
          <w:b/>
          <w:bCs/>
          <w:color w:val="auto"/>
          <w:sz w:val="28"/>
          <w:szCs w:val="28"/>
          <w:highlight w:val="none"/>
        </w:rPr>
      </w:pPr>
      <w:bookmarkStart w:id="1273" w:name="_Toc18417"/>
      <w:bookmarkStart w:id="1274" w:name="_Toc7315"/>
      <w:bookmarkStart w:id="1275" w:name="_Toc26883"/>
      <w:bookmarkStart w:id="1276" w:name="_Toc5302"/>
      <w:bookmarkStart w:id="1277" w:name="_Toc30105"/>
      <w:bookmarkStart w:id="1278" w:name="_Toc21593"/>
      <w:bookmarkStart w:id="1279" w:name="_Toc14814"/>
      <w:bookmarkStart w:id="1280" w:name="_Toc25525"/>
      <w:r>
        <w:rPr>
          <w:rFonts w:eastAsia="仿宋"/>
          <w:b/>
          <w:bCs/>
          <w:color w:val="auto"/>
          <w:sz w:val="28"/>
          <w:szCs w:val="28"/>
          <w:highlight w:val="none"/>
        </w:rPr>
        <w:t>2.12 乙方破产</w:t>
      </w:r>
      <w:bookmarkEnd w:id="1273"/>
      <w:bookmarkEnd w:id="1274"/>
      <w:bookmarkEnd w:id="1275"/>
      <w:bookmarkEnd w:id="1276"/>
      <w:bookmarkEnd w:id="1277"/>
      <w:bookmarkEnd w:id="1278"/>
      <w:bookmarkEnd w:id="1279"/>
      <w:bookmarkEnd w:id="1280"/>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562" w:firstLineChars="200"/>
        <w:outlineLvl w:val="2"/>
        <w:rPr>
          <w:rFonts w:eastAsia="仿宋"/>
          <w:b/>
          <w:bCs/>
          <w:color w:val="auto"/>
          <w:sz w:val="28"/>
          <w:szCs w:val="28"/>
          <w:highlight w:val="none"/>
        </w:rPr>
      </w:pPr>
      <w:bookmarkStart w:id="1281" w:name="_Toc24614"/>
      <w:bookmarkStart w:id="1282" w:name="_Toc21202"/>
      <w:bookmarkStart w:id="1283" w:name="_Toc1123"/>
      <w:bookmarkStart w:id="1284" w:name="_Toc9735"/>
      <w:bookmarkStart w:id="1285" w:name="_Toc23323"/>
      <w:bookmarkStart w:id="1286" w:name="_Toc2016"/>
      <w:r>
        <w:rPr>
          <w:rFonts w:eastAsia="仿宋"/>
          <w:b/>
          <w:bCs/>
          <w:color w:val="auto"/>
          <w:sz w:val="28"/>
          <w:szCs w:val="28"/>
          <w:highlight w:val="none"/>
        </w:rPr>
        <w:t>2.13 合同中止、终止</w:t>
      </w:r>
      <w:bookmarkEnd w:id="1281"/>
      <w:bookmarkEnd w:id="1282"/>
      <w:bookmarkEnd w:id="1283"/>
      <w:bookmarkEnd w:id="1284"/>
      <w:bookmarkEnd w:id="1285"/>
      <w:bookmarkEnd w:id="1286"/>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2.13.1 双方当事人不得擅自中止或者终止合同；</w:t>
      </w:r>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2.13.2合同继续履行将损害国家利益和社会公共利益的，双方当事人应当中止或者终止合同。有过错的一方应当承担赔偿责任，双方当事人都有过错的，各自承担相应的责任。</w:t>
      </w:r>
    </w:p>
    <w:p>
      <w:pPr>
        <w:spacing w:line="360" w:lineRule="auto"/>
        <w:ind w:firstLine="562" w:firstLineChars="200"/>
        <w:outlineLvl w:val="2"/>
        <w:rPr>
          <w:rFonts w:eastAsia="仿宋"/>
          <w:b/>
          <w:bCs/>
          <w:color w:val="auto"/>
          <w:sz w:val="28"/>
          <w:szCs w:val="28"/>
          <w:highlight w:val="none"/>
        </w:rPr>
      </w:pPr>
      <w:bookmarkStart w:id="1287" w:name="_Toc14525"/>
      <w:bookmarkStart w:id="1288" w:name="_Toc21927"/>
      <w:bookmarkStart w:id="1289" w:name="_Toc1969"/>
      <w:bookmarkStart w:id="1290" w:name="_Toc28282"/>
      <w:bookmarkStart w:id="1291" w:name="_Toc17363"/>
      <w:bookmarkStart w:id="1292" w:name="_Toc9904"/>
      <w:r>
        <w:rPr>
          <w:rFonts w:eastAsia="仿宋"/>
          <w:b/>
          <w:bCs/>
          <w:color w:val="auto"/>
          <w:sz w:val="28"/>
          <w:szCs w:val="28"/>
          <w:highlight w:val="none"/>
        </w:rPr>
        <w:t>2.14 检验和验收</w:t>
      </w:r>
      <w:bookmarkEnd w:id="1287"/>
      <w:bookmarkEnd w:id="1288"/>
      <w:bookmarkEnd w:id="1289"/>
      <w:bookmarkEnd w:id="1290"/>
      <w:bookmarkEnd w:id="1291"/>
      <w:bookmarkEnd w:id="1292"/>
    </w:p>
    <w:p>
      <w:pPr>
        <w:tabs>
          <w:tab w:val="left" w:pos="360"/>
          <w:tab w:val="left" w:pos="540"/>
          <w:tab w:val="left" w:pos="1080"/>
        </w:tabs>
        <w:spacing w:line="360" w:lineRule="auto"/>
        <w:ind w:firstLine="560" w:firstLineChars="200"/>
        <w:rPr>
          <w:rFonts w:eastAsia="仿宋"/>
          <w:color w:val="auto"/>
          <w:sz w:val="28"/>
          <w:szCs w:val="28"/>
          <w:highlight w:val="none"/>
        </w:rPr>
      </w:pPr>
      <w:r>
        <w:rPr>
          <w:rFonts w:eastAsia="仿宋"/>
          <w:color w:val="auto"/>
          <w:sz w:val="28"/>
          <w:szCs w:val="28"/>
          <w:highlight w:val="none"/>
        </w:rPr>
        <w:t>2.14.1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360" w:lineRule="auto"/>
        <w:ind w:firstLine="560" w:firstLineChars="200"/>
        <w:rPr>
          <w:rFonts w:eastAsia="仿宋"/>
          <w:color w:val="auto"/>
          <w:sz w:val="28"/>
          <w:szCs w:val="28"/>
          <w:highlight w:val="none"/>
        </w:rPr>
      </w:pPr>
      <w:r>
        <w:rPr>
          <w:rFonts w:eastAsia="仿宋"/>
          <w:color w:val="auto"/>
          <w:sz w:val="28"/>
          <w:szCs w:val="28"/>
          <w:highlight w:val="none"/>
        </w:rPr>
        <w:t>2.14.2 检验和验收标准、程序等具体内容以及前述验收书的效力详见磋商文件及投标文件要求。</w:t>
      </w:r>
    </w:p>
    <w:p>
      <w:pPr>
        <w:spacing w:line="360" w:lineRule="auto"/>
        <w:ind w:firstLine="562" w:firstLineChars="200"/>
        <w:outlineLvl w:val="2"/>
        <w:rPr>
          <w:rFonts w:eastAsia="仿宋"/>
          <w:b/>
          <w:bCs/>
          <w:color w:val="auto"/>
          <w:sz w:val="28"/>
          <w:szCs w:val="28"/>
          <w:highlight w:val="none"/>
        </w:rPr>
      </w:pPr>
      <w:bookmarkStart w:id="1293" w:name="_Toc2308"/>
      <w:bookmarkStart w:id="1294" w:name="_Toc30594"/>
      <w:bookmarkStart w:id="1295" w:name="_Toc21022"/>
      <w:bookmarkStart w:id="1296" w:name="_Toc31892"/>
      <w:bookmarkStart w:id="1297" w:name="_Toc25198"/>
      <w:bookmarkStart w:id="1298" w:name="_Toc9808"/>
      <w:bookmarkStart w:id="1299" w:name="_Toc12666"/>
      <w:bookmarkStart w:id="1300" w:name="_Toc23066"/>
      <w:r>
        <w:rPr>
          <w:rFonts w:eastAsia="仿宋"/>
          <w:b/>
          <w:bCs/>
          <w:color w:val="auto"/>
          <w:sz w:val="28"/>
          <w:szCs w:val="28"/>
          <w:highlight w:val="none"/>
        </w:rPr>
        <w:t>2.15 通知和送达</w:t>
      </w:r>
      <w:bookmarkEnd w:id="1293"/>
      <w:bookmarkEnd w:id="1294"/>
      <w:bookmarkEnd w:id="1295"/>
      <w:bookmarkEnd w:id="1296"/>
      <w:bookmarkEnd w:id="1297"/>
      <w:bookmarkEnd w:id="1298"/>
      <w:bookmarkEnd w:id="1299"/>
      <w:bookmarkEnd w:id="1300"/>
    </w:p>
    <w:p>
      <w:pPr>
        <w:spacing w:line="360" w:lineRule="auto"/>
        <w:ind w:firstLine="560" w:firstLineChars="200"/>
        <w:rPr>
          <w:rFonts w:eastAsia="仿宋"/>
          <w:color w:val="auto"/>
          <w:sz w:val="28"/>
          <w:szCs w:val="28"/>
          <w:highlight w:val="none"/>
        </w:rPr>
      </w:pPr>
      <w:bookmarkStart w:id="1301" w:name="_Toc7073"/>
      <w:bookmarkStart w:id="1302" w:name="_Toc29220"/>
      <w:r>
        <w:rPr>
          <w:rFonts w:eastAsia="仿宋"/>
          <w:color w:val="auto"/>
          <w:sz w:val="28"/>
          <w:szCs w:val="28"/>
          <w:highlight w:val="none"/>
        </w:rPr>
        <w:t>2.15.1 任何一方因履行合同而以合同第一部分尾部所列明的所有通知、文件、材料，均视为已向对方当事人送达；任何一方变更上述送达方式或者地址的，应于</w:t>
      </w:r>
      <w:r>
        <w:rPr>
          <w:rFonts w:eastAsia="仿宋"/>
          <w:color w:val="auto"/>
          <w:sz w:val="28"/>
          <w:szCs w:val="28"/>
          <w:highlight w:val="none"/>
          <w:u w:val="single"/>
        </w:rPr>
        <w:t xml:space="preserve"> 3</w:t>
      </w:r>
      <w:r>
        <w:rPr>
          <w:rFonts w:eastAsia="仿宋"/>
          <w:color w:val="auto"/>
          <w:sz w:val="28"/>
          <w:szCs w:val="28"/>
          <w:highlight w:val="none"/>
        </w:rPr>
        <w:t>个工作日内书面通知对方当事人，在对方当事人收到有关变更通知之前，变更前的约定送达方式或者地址仍视为有效。</w:t>
      </w:r>
      <w:bookmarkEnd w:id="1301"/>
      <w:bookmarkEnd w:id="1302"/>
    </w:p>
    <w:p>
      <w:pPr>
        <w:spacing w:line="360" w:lineRule="auto"/>
        <w:ind w:firstLine="560" w:firstLineChars="200"/>
        <w:rPr>
          <w:rFonts w:eastAsia="仿宋"/>
          <w:color w:val="auto"/>
          <w:sz w:val="28"/>
          <w:szCs w:val="28"/>
          <w:highlight w:val="none"/>
        </w:rPr>
      </w:pPr>
      <w:bookmarkStart w:id="1303" w:name="_Toc18401"/>
      <w:bookmarkStart w:id="1304" w:name="_Toc27674"/>
      <w:r>
        <w:rPr>
          <w:rFonts w:eastAsia="仿宋"/>
          <w:color w:val="auto"/>
          <w:sz w:val="28"/>
          <w:szCs w:val="28"/>
          <w:highlight w:val="none"/>
        </w:rPr>
        <w:t>2.15.2以当面交付方式送达的，交付之时视为送达；以电子邮件方式送达的，发出电子邮件之时视为送达；以传真方式送达的，发出传真之时视为送达；以邮寄方式送达的，邮件挂号寄出或者交邮之日之次日视为送达。</w:t>
      </w:r>
      <w:bookmarkEnd w:id="1303"/>
      <w:bookmarkEnd w:id="1304"/>
    </w:p>
    <w:p>
      <w:pPr>
        <w:spacing w:line="360" w:lineRule="auto"/>
        <w:ind w:firstLine="562" w:firstLineChars="200"/>
        <w:outlineLvl w:val="2"/>
        <w:rPr>
          <w:rFonts w:eastAsia="仿宋"/>
          <w:b/>
          <w:bCs/>
          <w:color w:val="auto"/>
          <w:sz w:val="28"/>
          <w:szCs w:val="28"/>
          <w:highlight w:val="none"/>
        </w:rPr>
      </w:pPr>
      <w:bookmarkStart w:id="1305" w:name="_Toc20171"/>
      <w:bookmarkStart w:id="1306" w:name="_Toc20808"/>
      <w:bookmarkStart w:id="1307" w:name="_Toc5063"/>
      <w:bookmarkStart w:id="1308" w:name="_Toc6574"/>
      <w:bookmarkStart w:id="1309" w:name="_Toc12254"/>
      <w:bookmarkStart w:id="1310" w:name="_Toc27644"/>
      <w:bookmarkStart w:id="1311" w:name="_Toc25084"/>
      <w:bookmarkStart w:id="1312" w:name="_Toc28906"/>
      <w:r>
        <w:rPr>
          <w:rFonts w:eastAsia="仿宋"/>
          <w:b/>
          <w:bCs/>
          <w:color w:val="auto"/>
          <w:sz w:val="28"/>
          <w:szCs w:val="28"/>
          <w:highlight w:val="none"/>
        </w:rPr>
        <w:t>2.16 合同使用的文字和适用的法律</w:t>
      </w:r>
      <w:bookmarkEnd w:id="1305"/>
      <w:bookmarkEnd w:id="1306"/>
      <w:bookmarkEnd w:id="1307"/>
      <w:bookmarkEnd w:id="1308"/>
      <w:bookmarkEnd w:id="1309"/>
      <w:bookmarkEnd w:id="1310"/>
      <w:bookmarkEnd w:id="1311"/>
      <w:bookmarkEnd w:id="1312"/>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2.16.1 合同使用汉语书就、变更和解释；</w:t>
      </w:r>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2.16.2 合同适用中华人民共和国法律。</w:t>
      </w:r>
    </w:p>
    <w:p>
      <w:pPr>
        <w:spacing w:line="360" w:lineRule="auto"/>
        <w:ind w:firstLine="562" w:firstLineChars="200"/>
        <w:outlineLvl w:val="2"/>
        <w:rPr>
          <w:rFonts w:eastAsia="仿宋"/>
          <w:b/>
          <w:bCs/>
          <w:color w:val="auto"/>
          <w:sz w:val="28"/>
          <w:szCs w:val="28"/>
          <w:highlight w:val="none"/>
        </w:rPr>
      </w:pPr>
      <w:bookmarkStart w:id="1313" w:name="_Toc1327"/>
      <w:bookmarkStart w:id="1314" w:name="_Toc22266"/>
      <w:bookmarkStart w:id="1315" w:name="_Toc6092"/>
      <w:bookmarkStart w:id="1316" w:name="_Toc30096"/>
      <w:bookmarkStart w:id="1317" w:name="_Toc1492"/>
      <w:bookmarkStart w:id="1318" w:name="_Toc27127"/>
      <w:bookmarkStart w:id="1319" w:name="_Toc12086"/>
      <w:bookmarkStart w:id="1320" w:name="_Toc27403"/>
      <w:r>
        <w:rPr>
          <w:rFonts w:eastAsia="仿宋"/>
          <w:b/>
          <w:bCs/>
          <w:color w:val="auto"/>
          <w:sz w:val="28"/>
          <w:szCs w:val="28"/>
          <w:highlight w:val="none"/>
        </w:rPr>
        <w:t>2.17 履约保证金</w:t>
      </w:r>
      <w:bookmarkEnd w:id="1313"/>
      <w:bookmarkEnd w:id="1314"/>
      <w:bookmarkEnd w:id="1315"/>
      <w:bookmarkEnd w:id="1316"/>
      <w:bookmarkEnd w:id="1317"/>
      <w:bookmarkEnd w:id="1318"/>
      <w:bookmarkEnd w:id="1319"/>
      <w:bookmarkEnd w:id="1320"/>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2.17.1 采购文件要求乙方提交履约保证金的，乙方应按合同金额的</w:t>
      </w:r>
      <w:r>
        <w:rPr>
          <w:rFonts w:hint="eastAsia" w:eastAsia="仿宋"/>
          <w:b/>
          <w:bCs/>
          <w:color w:val="auto"/>
          <w:sz w:val="28"/>
          <w:szCs w:val="28"/>
          <w:highlight w:val="none"/>
          <w:u w:val="single"/>
          <w:lang w:val="en-US" w:eastAsia="zh-CN"/>
        </w:rPr>
        <w:t xml:space="preserve">    </w:t>
      </w:r>
      <w:r>
        <w:rPr>
          <w:rFonts w:eastAsia="仿宋"/>
          <w:b/>
          <w:bCs/>
          <w:color w:val="auto"/>
          <w:sz w:val="28"/>
          <w:szCs w:val="28"/>
          <w:highlight w:val="none"/>
          <w:u w:val="single"/>
        </w:rPr>
        <w:t>%</w:t>
      </w:r>
      <w:r>
        <w:rPr>
          <w:rFonts w:eastAsia="仿宋"/>
          <w:color w:val="auto"/>
          <w:sz w:val="28"/>
          <w:szCs w:val="28"/>
          <w:highlight w:val="none"/>
        </w:rPr>
        <w:t>计算向下取整至万元，以支票、汇票或者转账等非现金形式，在签订合同前5个日历日内向采购人交纳履约保证金；</w:t>
      </w:r>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2.17.2 履约保证金在项目安装调试完成试运行3个月验收收合格后5个工作日内，将履约保证金退还乙方；</w:t>
      </w:r>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2.17.3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562" w:firstLineChars="200"/>
        <w:outlineLvl w:val="2"/>
        <w:rPr>
          <w:rFonts w:eastAsia="仿宋"/>
          <w:b/>
          <w:bCs/>
          <w:color w:val="auto"/>
          <w:sz w:val="28"/>
          <w:szCs w:val="28"/>
          <w:highlight w:val="none"/>
        </w:rPr>
      </w:pPr>
      <w:r>
        <w:rPr>
          <w:rFonts w:eastAsia="仿宋"/>
          <w:b/>
          <w:bCs/>
          <w:color w:val="auto"/>
          <w:sz w:val="28"/>
          <w:szCs w:val="28"/>
          <w:highlight w:val="none"/>
        </w:rPr>
        <w:t>2.18 合同份数</w:t>
      </w:r>
    </w:p>
    <w:p>
      <w:pPr>
        <w:spacing w:line="360" w:lineRule="auto"/>
        <w:ind w:firstLine="560" w:firstLineChars="200"/>
        <w:rPr>
          <w:rFonts w:eastAsia="仿宋"/>
          <w:color w:val="auto"/>
          <w:sz w:val="28"/>
          <w:szCs w:val="28"/>
          <w:highlight w:val="none"/>
        </w:rPr>
      </w:pPr>
      <w:r>
        <w:rPr>
          <w:rFonts w:eastAsia="仿宋"/>
          <w:color w:val="auto"/>
          <w:sz w:val="28"/>
          <w:szCs w:val="28"/>
          <w:highlight w:val="none"/>
        </w:rPr>
        <w:t>合同一式四份，甲乙双方各持2份，每份均具有同等法律效力。</w:t>
      </w:r>
    </w:p>
    <w:p>
      <w:pPr>
        <w:pStyle w:val="19"/>
        <w:jc w:val="center"/>
        <w:outlineLvl w:val="1"/>
        <w:rPr>
          <w:color w:val="auto"/>
          <w:highlight w:val="none"/>
        </w:rPr>
      </w:pPr>
      <w:r>
        <w:rPr>
          <w:color w:val="auto"/>
          <w:highlight w:val="none"/>
        </w:rPr>
        <w:br w:type="page"/>
      </w:r>
      <w:r>
        <w:rPr>
          <w:rFonts w:hint="eastAsia"/>
          <w:color w:val="auto"/>
          <w:highlight w:val="none"/>
        </w:rPr>
        <w:t>第三部分 合同专用条款</w:t>
      </w:r>
    </w:p>
    <w:p>
      <w:pPr>
        <w:spacing w:line="560" w:lineRule="exact"/>
        <w:ind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3"/>
        <w:tblW w:w="8434" w:type="dxa"/>
        <w:tblInd w:w="3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spacing w:line="56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7633" w:type="dxa"/>
            <w:noWrap w:val="0"/>
            <w:vAlign w:val="center"/>
          </w:tcPr>
          <w:p>
            <w:pPr>
              <w:spacing w:line="560" w:lineRule="exact"/>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spacing w:line="560" w:lineRule="exact"/>
              <w:rPr>
                <w:rFonts w:ascii="仿宋" w:hAnsi="仿宋" w:eastAsia="仿宋" w:cs="仿宋"/>
                <w:color w:val="auto"/>
                <w:sz w:val="24"/>
                <w:highlight w:val="none"/>
              </w:rPr>
            </w:pPr>
          </w:p>
        </w:tc>
        <w:tc>
          <w:tcPr>
            <w:tcW w:w="7633" w:type="dxa"/>
            <w:noWrap w:val="0"/>
            <w:vAlign w:val="center"/>
          </w:tcPr>
          <w:p>
            <w:pPr>
              <w:spacing w:line="560" w:lineRule="exact"/>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仿宋" w:hAnsi="仿宋" w:eastAsia="仿宋" w:cs="仿宋"/>
                <w:color w:val="auto"/>
                <w:sz w:val="24"/>
                <w:highlight w:val="none"/>
              </w:rPr>
            </w:pPr>
          </w:p>
        </w:tc>
        <w:tc>
          <w:tcPr>
            <w:tcW w:w="7633" w:type="dxa"/>
            <w:noWrap w:val="0"/>
            <w:vAlign w:val="center"/>
          </w:tcPr>
          <w:p>
            <w:pPr>
              <w:spacing w:line="560" w:lineRule="exact"/>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仿宋" w:hAnsi="仿宋" w:eastAsia="仿宋" w:cs="仿宋"/>
                <w:color w:val="auto"/>
                <w:sz w:val="24"/>
                <w:highlight w:val="none"/>
              </w:rPr>
            </w:pPr>
          </w:p>
        </w:tc>
        <w:tc>
          <w:tcPr>
            <w:tcW w:w="7633" w:type="dxa"/>
            <w:noWrap w:val="0"/>
            <w:vAlign w:val="center"/>
          </w:tcPr>
          <w:p>
            <w:pPr>
              <w:spacing w:line="560" w:lineRule="exact"/>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仿宋" w:hAnsi="仿宋" w:eastAsia="仿宋" w:cs="仿宋"/>
                <w:color w:val="auto"/>
                <w:sz w:val="24"/>
                <w:highlight w:val="none"/>
              </w:rPr>
            </w:pPr>
          </w:p>
        </w:tc>
        <w:tc>
          <w:tcPr>
            <w:tcW w:w="7633" w:type="dxa"/>
            <w:noWrap w:val="0"/>
            <w:vAlign w:val="center"/>
          </w:tcPr>
          <w:p>
            <w:pPr>
              <w:spacing w:line="560" w:lineRule="exact"/>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仿宋" w:hAnsi="仿宋" w:eastAsia="仿宋" w:cs="仿宋"/>
                <w:color w:val="auto"/>
                <w:sz w:val="24"/>
                <w:highlight w:val="none"/>
              </w:rPr>
            </w:pPr>
          </w:p>
        </w:tc>
        <w:tc>
          <w:tcPr>
            <w:tcW w:w="7633" w:type="dxa"/>
            <w:noWrap w:val="0"/>
            <w:vAlign w:val="center"/>
          </w:tcPr>
          <w:p>
            <w:pPr>
              <w:spacing w:line="560" w:lineRule="exact"/>
              <w:rPr>
                <w:rFonts w:ascii="仿宋" w:hAnsi="仿宋" w:eastAsia="仿宋" w:cs="仿宋"/>
                <w:color w:val="auto"/>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仿宋" w:hAnsi="仿宋" w:eastAsia="仿宋" w:cs="仿宋"/>
                <w:color w:val="auto"/>
                <w:sz w:val="24"/>
                <w:highlight w:val="none"/>
              </w:rPr>
            </w:pPr>
          </w:p>
        </w:tc>
        <w:tc>
          <w:tcPr>
            <w:tcW w:w="7633" w:type="dxa"/>
            <w:noWrap w:val="0"/>
            <w:vAlign w:val="center"/>
          </w:tcPr>
          <w:p>
            <w:pPr>
              <w:spacing w:line="560" w:lineRule="exact"/>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spacing w:line="560" w:lineRule="exact"/>
              <w:rPr>
                <w:rFonts w:ascii="仿宋" w:hAnsi="仿宋" w:eastAsia="仿宋" w:cs="仿宋"/>
                <w:color w:val="auto"/>
                <w:sz w:val="24"/>
                <w:highlight w:val="none"/>
              </w:rPr>
            </w:pPr>
          </w:p>
        </w:tc>
        <w:tc>
          <w:tcPr>
            <w:tcW w:w="7633" w:type="dxa"/>
            <w:noWrap w:val="0"/>
            <w:vAlign w:val="center"/>
          </w:tcPr>
          <w:p>
            <w:pPr>
              <w:spacing w:line="560" w:lineRule="exact"/>
              <w:rPr>
                <w:rFonts w:ascii="仿宋" w:hAnsi="仿宋" w:eastAsia="仿宋" w:cs="仿宋"/>
                <w:color w:val="auto"/>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仿宋" w:hAnsi="仿宋" w:eastAsia="仿宋" w:cs="仿宋"/>
                <w:color w:val="auto"/>
                <w:sz w:val="24"/>
                <w:highlight w:val="none"/>
              </w:rPr>
            </w:pPr>
          </w:p>
        </w:tc>
        <w:tc>
          <w:tcPr>
            <w:tcW w:w="7633" w:type="dxa"/>
            <w:noWrap w:val="0"/>
            <w:vAlign w:val="center"/>
          </w:tcPr>
          <w:p>
            <w:pPr>
              <w:spacing w:line="560" w:lineRule="exact"/>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仿宋" w:hAnsi="仿宋" w:eastAsia="仿宋" w:cs="仿宋"/>
                <w:color w:val="auto"/>
                <w:sz w:val="24"/>
                <w:highlight w:val="none"/>
              </w:rPr>
            </w:pPr>
          </w:p>
        </w:tc>
        <w:tc>
          <w:tcPr>
            <w:tcW w:w="7633" w:type="dxa"/>
            <w:noWrap w:val="0"/>
            <w:vAlign w:val="center"/>
          </w:tcPr>
          <w:p>
            <w:pPr>
              <w:spacing w:line="560" w:lineRule="exact"/>
              <w:rPr>
                <w:rFonts w:ascii="仿宋" w:hAnsi="仿宋" w:eastAsia="仿宋" w:cs="仿宋"/>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spacing w:line="560" w:lineRule="exact"/>
              <w:rPr>
                <w:rFonts w:ascii="仿宋" w:hAnsi="仿宋" w:eastAsia="仿宋" w:cs="仿宋"/>
                <w:color w:val="auto"/>
                <w:sz w:val="24"/>
                <w:highlight w:val="none"/>
              </w:rPr>
            </w:pPr>
          </w:p>
        </w:tc>
        <w:tc>
          <w:tcPr>
            <w:tcW w:w="7633" w:type="dxa"/>
            <w:noWrap w:val="0"/>
            <w:vAlign w:val="center"/>
          </w:tcPr>
          <w:p>
            <w:pPr>
              <w:spacing w:line="560" w:lineRule="exact"/>
              <w:rPr>
                <w:rFonts w:ascii="仿宋" w:hAnsi="仿宋" w:eastAsia="仿宋" w:cs="仿宋"/>
                <w:color w:val="auto"/>
                <w:sz w:val="24"/>
                <w:highlight w:val="none"/>
              </w:rPr>
            </w:pPr>
          </w:p>
        </w:tc>
      </w:tr>
    </w:tbl>
    <w:p>
      <w:pPr>
        <w:tabs>
          <w:tab w:val="left" w:pos="567"/>
        </w:tabs>
        <w:spacing w:before="120" w:line="22" w:lineRule="atLeast"/>
        <w:rPr>
          <w:rFonts w:ascii="仿宋" w:hAnsi="仿宋" w:eastAsia="仿宋" w:cs="仿宋"/>
          <w:color w:val="auto"/>
          <w:sz w:val="24"/>
          <w:highlight w:val="none"/>
        </w:rPr>
      </w:pPr>
    </w:p>
    <w:p>
      <w:pPr>
        <w:rPr>
          <w:rFonts w:hint="eastAsia"/>
          <w:color w:val="auto"/>
          <w:highlight w:val="none"/>
        </w:rPr>
      </w:pPr>
    </w:p>
    <w:p>
      <w:pPr>
        <w:rPr>
          <w:rFonts w:ascii="宋体" w:hAnsi="宋体" w:cs="宋体"/>
          <w:color w:val="auto"/>
          <w:highlight w:val="none"/>
        </w:rPr>
      </w:pPr>
    </w:p>
    <w:sectPr>
      <w:headerReference r:id="rId14" w:type="default"/>
      <w:footerReference r:id="rId15" w:type="default"/>
      <w:pgSz w:w="11907" w:h="16840"/>
      <w:pgMar w:top="1474" w:right="1814" w:bottom="1474" w:left="1757"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
    <w:altName w:val="Segoe Print"/>
    <w:panose1 w:val="00000000000000000000"/>
    <w:charset w:val="00"/>
    <w:family w:val="auto"/>
    <w:pitch w:val="default"/>
    <w:sig w:usb0="00000000" w:usb1="00000000" w:usb2="00000000" w:usb3="00000000" w:csb0="0000019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000247B" w:usb2="00000009" w:usb3="00000000" w:csb0="200001FF" w:csb1="00000000"/>
  </w:font>
  <w:font w:name="Microsoft Uighur">
    <w:altName w:val="Wide Latin"/>
    <w:panose1 w:val="02000000000000000000"/>
    <w:charset w:val="00"/>
    <w:family w:val="auto"/>
    <w:pitch w:val="default"/>
    <w:sig w:usb0="00000000" w:usb1="00000000" w:usb2="00000008" w:usb3="00000000" w:csb0="00000041" w:csb1="00000000"/>
  </w:font>
  <w:font w:name="长城仿宋">
    <w:altName w:val="仿宋"/>
    <w:panose1 w:val="00000000000000000000"/>
    <w:charset w:val="00"/>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昆仑楷体">
    <w:altName w:val="宋体"/>
    <w:panose1 w:val="00000000000000000000"/>
    <w:charset w:val="86"/>
    <w:family w:val="modern"/>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宋体">
    <w:panose1 w:val="02010600030101010101"/>
    <w:charset w:val="86"/>
    <w:family w:val="auto"/>
    <w:pitch w:val="default"/>
    <w:sig w:usb0="000000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 w:name="方正仿宋简体">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Wide Latin">
    <w:panose1 w:val="020A0A070505050204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859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30"/>
                            <w:rPr>
                              <w:rStyle w:val="47"/>
                            </w:rPr>
                          </w:pPr>
                          <w:r>
                            <w:fldChar w:fldCharType="begin"/>
                          </w:r>
                          <w:r>
                            <w:rPr>
                              <w:rStyle w:val="47"/>
                            </w:rPr>
                            <w:instrText xml:space="preserve">PAGE  </w:instrText>
                          </w:r>
                          <w:r>
                            <w:fldChar w:fldCharType="separate"/>
                          </w:r>
                          <w:r>
                            <w:rPr>
                              <w:rStyle w:val="47"/>
                            </w:rPr>
                            <w:t>45</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1.7pt;width:9.05pt;mso-position-horizontal:center;mso-position-horizontal-relative:margin;mso-wrap-style:none;z-index:251659264;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gLoFF0QAAAAMBAAAPAAAAAAAAAAEAIAAAACIAAABkcnMvZG93bnJldi54&#10;bWxQSwECFAAUAAAACACHTuJAiQlx5MgBAACLAwAADgAAAAAAAAABACAAAAAgAQAAZHJzL2Uyb0Rv&#10;Yy54bWxQSwUGAAAAAAYABgBZAQAAWgUAAAAA&#10;">
              <v:fill on="f" focussize="0,0"/>
              <v:stroke on="f"/>
              <v:imagedata o:title=""/>
              <o:lock v:ext="edit" aspectratio="f"/>
              <v:textbox inset="0mm,0mm,0mm,0mm" style="mso-fit-shape-to-text:t;">
                <w:txbxContent>
                  <w:p>
                    <w:pPr>
                      <w:pStyle w:val="30"/>
                      <w:rPr>
                        <w:rStyle w:val="47"/>
                      </w:rPr>
                    </w:pPr>
                    <w:r>
                      <w:fldChar w:fldCharType="begin"/>
                    </w:r>
                    <w:r>
                      <w:rPr>
                        <w:rStyle w:val="47"/>
                      </w:rPr>
                      <w:instrText xml:space="preserve">PAGE  </w:instrText>
                    </w:r>
                    <w:r>
                      <w:fldChar w:fldCharType="separate"/>
                    </w:r>
                    <w:r>
                      <w:rPr>
                        <w:rStyle w:val="47"/>
                      </w:rPr>
                      <w:t>45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7"/>
      </w:rPr>
    </w:pPr>
    <w:r>
      <w:fldChar w:fldCharType="begin"/>
    </w:r>
    <w:r>
      <w:rPr>
        <w:rStyle w:val="47"/>
      </w:rPr>
      <w:instrText xml:space="preserve">PAGE  </w:instrText>
    </w:r>
    <w:r>
      <w:fldChar w:fldCharType="end"/>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spacing w:before="120" w:after="120"/>
      <w:ind w:firstLine="420"/>
      <w:jc w:val="center"/>
    </w:pPr>
    <w:r>
      <w:fldChar w:fldCharType="begin"/>
    </w:r>
    <w:r>
      <w:instrText xml:space="preserve">PAGE   \* MERGEFORMAT</w:instrText>
    </w:r>
    <w:r>
      <w:fldChar w:fldCharType="separate"/>
    </w:r>
    <w:r>
      <w:rPr>
        <w:lang w:val="zh-CN"/>
      </w:rPr>
      <w:t>69</w:t>
    </w:r>
    <w:r>
      <w:fldChar w:fldCharType="end"/>
    </w:r>
  </w:p>
  <w:p>
    <w:pPr>
      <w:pStyle w:val="30"/>
      <w:spacing w:before="120" w:after="120"/>
      <w:ind w:firstLine="42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0"/>
                            <w:jc w:val="center"/>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PAGE   \* MERGEFORMAT</w:instrText>
                          </w:r>
                          <w:r>
                            <w:rPr>
                              <w:rFonts w:ascii="仿宋" w:hAnsi="仿宋" w:eastAsia="仿宋"/>
                              <w:sz w:val="24"/>
                              <w:szCs w:val="24"/>
                            </w:rPr>
                            <w:fldChar w:fldCharType="separate"/>
                          </w:r>
                          <w:r>
                            <w:rPr>
                              <w:rFonts w:ascii="仿宋" w:hAnsi="仿宋" w:eastAsia="仿宋"/>
                              <w:sz w:val="24"/>
                              <w:szCs w:val="24"/>
                              <w:lang w:val="zh-CN"/>
                            </w:rPr>
                            <w:t>55</w:t>
                          </w:r>
                          <w:r>
                            <w:rPr>
                              <w:rFonts w:ascii="仿宋" w:hAnsi="仿宋" w:eastAsia="仿宋"/>
                              <w:sz w:val="24"/>
                              <w:szCs w:val="24"/>
                            </w:rPr>
                            <w:fldChar w:fldCharType="end"/>
                          </w:r>
                        </w:p>
                        <w:p>
                          <w:pPr>
                            <w:rPr>
                              <w:rFonts w:ascii="仿宋" w:hAnsi="仿宋" w:eastAsia="仿宋"/>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OJc09QwAgAAZQQAAA4AAAAAAAAAAQAgAAAAHwEAAGRycy9lMm9Eb2MueG1sUEsFBgAA&#10;AAAGAAYAWQEAAMEFAAAAAA==&#10;">
              <v:fill on="f" focussize="0,0"/>
              <v:stroke on="f" weight="0.5pt"/>
              <v:imagedata o:title=""/>
              <o:lock v:ext="edit" aspectratio="f"/>
              <v:textbox inset="0mm,0mm,0mm,0mm" style="mso-fit-shape-to-text:t;">
                <w:txbxContent>
                  <w:p>
                    <w:pPr>
                      <w:pStyle w:val="30"/>
                      <w:jc w:val="center"/>
                      <w:rPr>
                        <w:rFonts w:ascii="仿宋" w:hAnsi="仿宋" w:eastAsia="仿宋"/>
                        <w:sz w:val="24"/>
                        <w:szCs w:val="24"/>
                      </w:rPr>
                    </w:pPr>
                    <w:r>
                      <w:rPr>
                        <w:rFonts w:ascii="仿宋" w:hAnsi="仿宋" w:eastAsia="仿宋"/>
                        <w:sz w:val="24"/>
                        <w:szCs w:val="24"/>
                      </w:rPr>
                      <w:fldChar w:fldCharType="begin"/>
                    </w:r>
                    <w:r>
                      <w:rPr>
                        <w:rFonts w:ascii="仿宋" w:hAnsi="仿宋" w:eastAsia="仿宋"/>
                        <w:sz w:val="24"/>
                        <w:szCs w:val="24"/>
                      </w:rPr>
                      <w:instrText xml:space="preserve">PAGE   \* MERGEFORMAT</w:instrText>
                    </w:r>
                    <w:r>
                      <w:rPr>
                        <w:rFonts w:ascii="仿宋" w:hAnsi="仿宋" w:eastAsia="仿宋"/>
                        <w:sz w:val="24"/>
                        <w:szCs w:val="24"/>
                      </w:rPr>
                      <w:fldChar w:fldCharType="separate"/>
                    </w:r>
                    <w:r>
                      <w:rPr>
                        <w:rFonts w:ascii="仿宋" w:hAnsi="仿宋" w:eastAsia="仿宋"/>
                        <w:sz w:val="24"/>
                        <w:szCs w:val="24"/>
                        <w:lang w:val="zh-CN"/>
                      </w:rPr>
                      <w:t>55</w:t>
                    </w:r>
                    <w:r>
                      <w:rPr>
                        <w:rFonts w:ascii="仿宋" w:hAnsi="仿宋" w:eastAsia="仿宋"/>
                        <w:sz w:val="24"/>
                        <w:szCs w:val="24"/>
                      </w:rPr>
                      <w:fldChar w:fldCharType="end"/>
                    </w:r>
                  </w:p>
                  <w:p>
                    <w:pPr>
                      <w:rPr>
                        <w:rFonts w:ascii="仿宋" w:hAnsi="仿宋" w:eastAsia="仿宋"/>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0"/>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i1kc4yAgAAZQ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zrGijQNPUyk1JUerdDu&#10;2p7nzhQn0HSmmxRv+aZGKVvmwz1zGA2Uj8cT7rCU0iCl6S1KKuO+/us8xqNj8FLSYNRyqvGyKJEf&#10;NDoJwDAYbjB2g6EP6tZgdtEc1JJMXHBBDmbpjPqCF7WKOeBimiNTTsNg3oZu3PEiuVitUhBmz7Kw&#10;1Q+WR+goj7erQ4CcSeUoSqcEuhM3mL7Up/6lxPH+c5+inv4O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KLWRzjICAABl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0"/>
                            <w:jc w:val="center"/>
                          </w:pPr>
                          <w:r>
                            <w:fldChar w:fldCharType="begin"/>
                          </w:r>
                          <w:r>
                            <w:instrText xml:space="preserve">PAGE   \* MERGEFORMAT</w:instrText>
                          </w:r>
                          <w:r>
                            <w:fldChar w:fldCharType="separate"/>
                          </w:r>
                          <w:r>
                            <w:rPr>
                              <w:lang w:val="zh-CN"/>
                            </w:rPr>
                            <w:t>96</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pPr>
                      <w:pStyle w:val="30"/>
                      <w:jc w:val="center"/>
                    </w:pPr>
                    <w:r>
                      <w:fldChar w:fldCharType="begin"/>
                    </w:r>
                    <w:r>
                      <w:instrText xml:space="preserve">PAGE   \* MERGEFORMAT</w:instrText>
                    </w:r>
                    <w:r>
                      <w:fldChar w:fldCharType="separate"/>
                    </w:r>
                    <w:r>
                      <w:rPr>
                        <w:lang w:val="zh-CN"/>
                      </w:rPr>
                      <w:t>96</w:t>
                    </w:r>
                    <w:r>
                      <w:rPr>
                        <w:lang w:val="zh-CN"/>
                      </w:rPr>
                      <w:fldChar w:fldCharType="end"/>
                    </w:r>
                  </w:p>
                </w:txbxContent>
              </v:textbox>
            </v:shape>
          </w:pict>
        </mc:Fallback>
      </mc:AlternateContent>
    </w:r>
  </w:p>
  <w:p>
    <w:pPr>
      <w:pStyle w:val="30"/>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859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30"/>
                            <w:jc w:val="center"/>
                          </w:pPr>
                          <w:r>
                            <w:fldChar w:fldCharType="begin"/>
                          </w:r>
                          <w:r>
                            <w:instrText xml:space="preserve">PAGE   \* MERGEFORMAT</w:instrText>
                          </w:r>
                          <w:r>
                            <w:fldChar w:fldCharType="separate"/>
                          </w:r>
                          <w:r>
                            <w:rPr>
                              <w:lang w:val="zh-CN"/>
                            </w:rPr>
                            <w:t>441</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1.7pt;width:9.05pt;mso-position-horizontal:center;mso-position-horizontal-relative:margin;mso-wrap-style:none;z-index:25166028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gLoFF0QAAAAMBAAAPAAAAAAAAAAEAIAAAACIAAABkcnMvZG93bnJldi54&#10;bWxQSwECFAAUAAAACACHTuJA70+sYMgBAACLAwAADgAAAAAAAAABACAAAAAgAQAAZHJzL2Uyb0Rv&#10;Yy54bWxQSwUGAAAAAAYABgBZAQAAWgUAAAAA&#10;">
              <v:fill on="f" focussize="0,0"/>
              <v:stroke on="f"/>
              <v:imagedata o:title=""/>
              <o:lock v:ext="edit" aspectratio="f"/>
              <v:textbox inset="0mm,0mm,0mm,0mm" style="mso-fit-shape-to-text:t;">
                <w:txbxContent>
                  <w:p>
                    <w:pPr>
                      <w:pStyle w:val="30"/>
                      <w:jc w:val="center"/>
                    </w:pPr>
                    <w:r>
                      <w:fldChar w:fldCharType="begin"/>
                    </w:r>
                    <w:r>
                      <w:instrText xml:space="preserve">PAGE   \* MERGEFORMAT</w:instrText>
                    </w:r>
                    <w:r>
                      <w:fldChar w:fldCharType="separate"/>
                    </w:r>
                    <w:r>
                      <w:rPr>
                        <w:lang w:val="zh-CN"/>
                      </w:rPr>
                      <w:t>441</w:t>
                    </w:r>
                    <w:r>
                      <w:fldChar w:fldCharType="end"/>
                    </w:r>
                  </w:p>
                </w:txbxContent>
              </v:textbox>
            </v:shape>
          </w:pict>
        </mc:Fallback>
      </mc:AlternateContent>
    </w:r>
  </w:p>
  <w:p>
    <w:pPr>
      <w:pStyle w:val="3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ascii="仿宋" w:hAnsi="仿宋" w:eastAsia="仿宋"/>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rPr>
        <w:rFonts w:ascii="仿宋" w:hAnsi="仿宋" w:eastAsia="仿宋"/>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right"/>
    </w:pPr>
    <w:r>
      <w:t>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915D82"/>
    <w:multiLevelType w:val="singleLevel"/>
    <w:tmpl w:val="9B915D82"/>
    <w:lvl w:ilvl="0" w:tentative="0">
      <w:start w:val="1"/>
      <w:numFmt w:val="bullet"/>
      <w:lvlText w:val=""/>
      <w:lvlJc w:val="left"/>
      <w:pPr>
        <w:ind w:left="420" w:hanging="237"/>
      </w:pPr>
      <w:rPr>
        <w:rFonts w:hint="default" w:ascii="Wingdings" w:hAnsi="Wingdings"/>
        <w:sz w:val="13"/>
        <w:szCs w:val="13"/>
      </w:rPr>
    </w:lvl>
  </w:abstractNum>
  <w:abstractNum w:abstractNumId="1">
    <w:nsid w:val="A83E5769"/>
    <w:multiLevelType w:val="singleLevel"/>
    <w:tmpl w:val="A83E5769"/>
    <w:lvl w:ilvl="0" w:tentative="0">
      <w:start w:val="9"/>
      <w:numFmt w:val="decimal"/>
      <w:lvlText w:val="%1."/>
      <w:lvlJc w:val="left"/>
      <w:pPr>
        <w:tabs>
          <w:tab w:val="left" w:pos="312"/>
        </w:tabs>
      </w:pPr>
    </w:lvl>
  </w:abstractNum>
  <w:abstractNum w:abstractNumId="2">
    <w:nsid w:val="B5168E07"/>
    <w:multiLevelType w:val="singleLevel"/>
    <w:tmpl w:val="B5168E07"/>
    <w:lvl w:ilvl="0" w:tentative="0">
      <w:start w:val="1"/>
      <w:numFmt w:val="bullet"/>
      <w:lvlText w:val=""/>
      <w:lvlJc w:val="left"/>
      <w:pPr>
        <w:ind w:left="420" w:hanging="420"/>
      </w:pPr>
      <w:rPr>
        <w:rFonts w:hint="default" w:ascii="Wingdings" w:hAnsi="Wingdings"/>
      </w:rPr>
    </w:lvl>
  </w:abstractNum>
  <w:abstractNum w:abstractNumId="3">
    <w:nsid w:val="B7F2859C"/>
    <w:multiLevelType w:val="singleLevel"/>
    <w:tmpl w:val="B7F2859C"/>
    <w:lvl w:ilvl="0" w:tentative="0">
      <w:start w:val="4"/>
      <w:numFmt w:val="decimal"/>
      <w:suff w:val="space"/>
      <w:lvlText w:val="%1."/>
      <w:lvlJc w:val="left"/>
    </w:lvl>
  </w:abstractNum>
  <w:abstractNum w:abstractNumId="4">
    <w:nsid w:val="C308450E"/>
    <w:multiLevelType w:val="singleLevel"/>
    <w:tmpl w:val="C308450E"/>
    <w:lvl w:ilvl="0" w:tentative="0">
      <w:start w:val="10"/>
      <w:numFmt w:val="decimal"/>
      <w:suff w:val="space"/>
      <w:lvlText w:val="%1."/>
      <w:lvlJc w:val="left"/>
    </w:lvl>
  </w:abstractNum>
  <w:abstractNum w:abstractNumId="5">
    <w:nsid w:val="00000015"/>
    <w:multiLevelType w:val="multilevel"/>
    <w:tmpl w:val="00000015"/>
    <w:lvl w:ilvl="0" w:tentative="0">
      <w:start w:val="1"/>
      <w:numFmt w:val="bullet"/>
      <w:lvlText w:val=""/>
      <w:lvlJc w:val="left"/>
      <w:pPr>
        <w:ind w:left="540" w:hanging="420"/>
      </w:pPr>
      <w:rPr>
        <w:rFonts w:hint="default" w:ascii="Wingdings" w:hAnsi="Wingdings"/>
      </w:rPr>
    </w:lvl>
    <w:lvl w:ilvl="1" w:tentative="0">
      <w:start w:val="1"/>
      <w:numFmt w:val="bullet"/>
      <w:lvlText w:val=""/>
      <w:lvlJc w:val="left"/>
      <w:pPr>
        <w:ind w:left="960" w:hanging="420"/>
      </w:pPr>
      <w:rPr>
        <w:rFonts w:hint="default" w:ascii="Wingdings" w:hAnsi="Wingdings"/>
      </w:rPr>
    </w:lvl>
    <w:lvl w:ilvl="2" w:tentative="0">
      <w:start w:val="1"/>
      <w:numFmt w:val="bullet"/>
      <w:lvlText w:val=""/>
      <w:lvlJc w:val="left"/>
      <w:pPr>
        <w:ind w:left="1380" w:hanging="420"/>
      </w:pPr>
      <w:rPr>
        <w:rFonts w:hint="default" w:ascii="Wingdings" w:hAnsi="Wingdings"/>
      </w:rPr>
    </w:lvl>
    <w:lvl w:ilvl="3" w:tentative="0">
      <w:start w:val="1"/>
      <w:numFmt w:val="bullet"/>
      <w:lvlText w:val=""/>
      <w:lvlJc w:val="left"/>
      <w:pPr>
        <w:ind w:left="1800" w:hanging="420"/>
      </w:pPr>
      <w:rPr>
        <w:rFonts w:hint="default" w:ascii="Wingdings" w:hAnsi="Wingdings"/>
      </w:rPr>
    </w:lvl>
    <w:lvl w:ilvl="4" w:tentative="0">
      <w:start w:val="1"/>
      <w:numFmt w:val="bullet"/>
      <w:lvlRestart w:val="0"/>
      <w:lvlText w:val=""/>
      <w:lvlJc w:val="left"/>
      <w:pPr>
        <w:ind w:left="2220" w:hanging="420"/>
      </w:pPr>
      <w:rPr>
        <w:rFonts w:hint="default" w:ascii="Wingdings" w:hAnsi="Wingdings"/>
      </w:rPr>
    </w:lvl>
    <w:lvl w:ilvl="5" w:tentative="0">
      <w:start w:val="1"/>
      <w:numFmt w:val="bullet"/>
      <w:lvlRestart w:val="0"/>
      <w:lvlText w:val=""/>
      <w:lvlJc w:val="left"/>
      <w:pPr>
        <w:ind w:left="2640" w:hanging="420"/>
      </w:pPr>
      <w:rPr>
        <w:rFonts w:hint="default" w:ascii="Wingdings" w:hAnsi="Wingdings"/>
      </w:rPr>
    </w:lvl>
    <w:lvl w:ilvl="6" w:tentative="0">
      <w:start w:val="1"/>
      <w:numFmt w:val="bullet"/>
      <w:lvlRestart w:val="0"/>
      <w:lvlText w:val=""/>
      <w:lvlJc w:val="left"/>
      <w:pPr>
        <w:ind w:left="3060" w:hanging="420"/>
      </w:pPr>
      <w:rPr>
        <w:rFonts w:hint="default" w:ascii="Wingdings" w:hAnsi="Wingdings"/>
      </w:rPr>
    </w:lvl>
    <w:lvl w:ilvl="7" w:tentative="0">
      <w:start w:val="1"/>
      <w:numFmt w:val="bullet"/>
      <w:lvlRestart w:val="0"/>
      <w:lvlText w:val=""/>
      <w:lvlJc w:val="left"/>
      <w:pPr>
        <w:ind w:left="3480" w:hanging="420"/>
      </w:pPr>
      <w:rPr>
        <w:rFonts w:hint="default" w:ascii="Wingdings" w:hAnsi="Wingdings"/>
      </w:rPr>
    </w:lvl>
    <w:lvl w:ilvl="8" w:tentative="0">
      <w:start w:val="1"/>
      <w:numFmt w:val="bullet"/>
      <w:lvlRestart w:val="0"/>
      <w:lvlText w:val=""/>
      <w:lvlJc w:val="left"/>
      <w:pPr>
        <w:ind w:left="3900" w:hanging="420"/>
      </w:pPr>
      <w:rPr>
        <w:rFonts w:hint="default" w:ascii="Wingdings" w:hAnsi="Wingdings"/>
      </w:rPr>
    </w:lvl>
  </w:abstractNum>
  <w:abstractNum w:abstractNumId="6">
    <w:nsid w:val="00684E1A"/>
    <w:multiLevelType w:val="multilevel"/>
    <w:tmpl w:val="00684E1A"/>
    <w:lvl w:ilvl="0" w:tentative="0">
      <w:start w:val="1"/>
      <w:numFmt w:val="bullet"/>
      <w:lvlText w:val=""/>
      <w:lvlJc w:val="left"/>
      <w:pPr>
        <w:ind w:left="960" w:hanging="420"/>
      </w:pPr>
      <w:rPr>
        <w:rFonts w:hint="default" w:ascii="Wingdings" w:hAnsi="Wingdings"/>
      </w:rPr>
    </w:lvl>
    <w:lvl w:ilvl="1" w:tentative="0">
      <w:start w:val="1"/>
      <w:numFmt w:val="bullet"/>
      <w:lvlText w:val=""/>
      <w:lvlJc w:val="left"/>
      <w:pPr>
        <w:ind w:left="1380" w:hanging="420"/>
      </w:pPr>
      <w:rPr>
        <w:rFonts w:hint="default" w:ascii="Wingdings" w:hAnsi="Wingdings"/>
      </w:rPr>
    </w:lvl>
    <w:lvl w:ilvl="2" w:tentative="0">
      <w:start w:val="1"/>
      <w:numFmt w:val="bullet"/>
      <w:lvlText w:val=""/>
      <w:lvlJc w:val="left"/>
      <w:pPr>
        <w:ind w:left="1800" w:hanging="420"/>
      </w:pPr>
      <w:rPr>
        <w:rFonts w:hint="default" w:ascii="Wingdings" w:hAnsi="Wingdings"/>
      </w:rPr>
    </w:lvl>
    <w:lvl w:ilvl="3" w:tentative="0">
      <w:start w:val="1"/>
      <w:numFmt w:val="bullet"/>
      <w:lvlText w:val=""/>
      <w:lvlJc w:val="left"/>
      <w:pPr>
        <w:ind w:left="2220" w:hanging="420"/>
      </w:pPr>
      <w:rPr>
        <w:rFonts w:hint="default" w:ascii="Wingdings" w:hAnsi="Wingdings"/>
      </w:rPr>
    </w:lvl>
    <w:lvl w:ilvl="4" w:tentative="0">
      <w:start w:val="1"/>
      <w:numFmt w:val="bullet"/>
      <w:lvlText w:val=""/>
      <w:lvlJc w:val="left"/>
      <w:pPr>
        <w:ind w:left="2640" w:hanging="420"/>
      </w:pPr>
      <w:rPr>
        <w:rFonts w:hint="default" w:ascii="Wingdings" w:hAnsi="Wingdings"/>
      </w:rPr>
    </w:lvl>
    <w:lvl w:ilvl="5" w:tentative="0">
      <w:start w:val="1"/>
      <w:numFmt w:val="bullet"/>
      <w:lvlText w:val=""/>
      <w:lvlJc w:val="left"/>
      <w:pPr>
        <w:ind w:left="3060" w:hanging="420"/>
      </w:pPr>
      <w:rPr>
        <w:rFonts w:hint="default" w:ascii="Wingdings" w:hAnsi="Wingdings"/>
      </w:rPr>
    </w:lvl>
    <w:lvl w:ilvl="6" w:tentative="0">
      <w:start w:val="1"/>
      <w:numFmt w:val="bullet"/>
      <w:lvlText w:val=""/>
      <w:lvlJc w:val="left"/>
      <w:pPr>
        <w:ind w:left="3480" w:hanging="420"/>
      </w:pPr>
      <w:rPr>
        <w:rFonts w:hint="default" w:ascii="Wingdings" w:hAnsi="Wingdings"/>
      </w:rPr>
    </w:lvl>
    <w:lvl w:ilvl="7" w:tentative="0">
      <w:start w:val="1"/>
      <w:numFmt w:val="bullet"/>
      <w:lvlText w:val=""/>
      <w:lvlJc w:val="left"/>
      <w:pPr>
        <w:ind w:left="3900" w:hanging="420"/>
      </w:pPr>
      <w:rPr>
        <w:rFonts w:hint="default" w:ascii="Wingdings" w:hAnsi="Wingdings"/>
      </w:rPr>
    </w:lvl>
    <w:lvl w:ilvl="8" w:tentative="0">
      <w:start w:val="1"/>
      <w:numFmt w:val="bullet"/>
      <w:lvlText w:val=""/>
      <w:lvlJc w:val="left"/>
      <w:pPr>
        <w:ind w:left="4320" w:hanging="420"/>
      </w:pPr>
      <w:rPr>
        <w:rFonts w:hint="default" w:ascii="Wingdings" w:hAnsi="Wingdings"/>
      </w:rPr>
    </w:lvl>
  </w:abstractNum>
  <w:abstractNum w:abstractNumId="7">
    <w:nsid w:val="006F424E"/>
    <w:multiLevelType w:val="multilevel"/>
    <w:tmpl w:val="006F424E"/>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8">
    <w:nsid w:val="050E26E0"/>
    <w:multiLevelType w:val="multilevel"/>
    <w:tmpl w:val="050E26E0"/>
    <w:lvl w:ilvl="0" w:tentative="0">
      <w:start w:val="1"/>
      <w:numFmt w:val="decimal"/>
      <w:lvlText w:val="第%1章"/>
      <w:lvlJc w:val="left"/>
      <w:pPr>
        <w:ind w:left="432" w:hanging="432"/>
      </w:pPr>
      <w:rPr>
        <w:rFonts w:hint="eastAsia"/>
        <w:lang w:val="en-US"/>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pStyle w:val="6"/>
      <w:lvlText w:val="%1.%2.%3.%4"/>
      <w:lvlJc w:val="left"/>
      <w:pPr>
        <w:ind w:left="864" w:hanging="864"/>
      </w:pPr>
      <w:rPr>
        <w:rFonts w:hint="eastAsia" w:ascii="仿宋" w:hAnsi="仿宋" w:eastAsia="仿宋"/>
      </w:rPr>
    </w:lvl>
    <w:lvl w:ilvl="4" w:tentative="0">
      <w:start w:val="1"/>
      <w:numFmt w:val="decimal"/>
      <w:pStyle w:val="7"/>
      <w:lvlText w:val="%1.%2.%3.%4.%5"/>
      <w:lvlJc w:val="left"/>
      <w:pPr>
        <w:ind w:left="1008" w:hanging="1008"/>
      </w:pPr>
      <w:rPr>
        <w:rFonts w:hint="eastAsia"/>
      </w:rPr>
    </w:lvl>
    <w:lvl w:ilvl="5" w:tentative="0">
      <w:start w:val="1"/>
      <w:numFmt w:val="decimal"/>
      <w:pStyle w:val="9"/>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9">
    <w:nsid w:val="090B1F5C"/>
    <w:multiLevelType w:val="multilevel"/>
    <w:tmpl w:val="090B1F5C"/>
    <w:lvl w:ilvl="0" w:tentative="0">
      <w:start w:val="1"/>
      <w:numFmt w:val="bullet"/>
      <w:lvlText w:val=""/>
      <w:lvlJc w:val="left"/>
      <w:pPr>
        <w:ind w:left="735" w:hanging="735"/>
      </w:pPr>
      <w:rPr>
        <w:rFonts w:hint="default" w:ascii="Wingdings" w:hAnsi="Wingdings"/>
        <w:b/>
      </w:rPr>
    </w:lvl>
    <w:lvl w:ilvl="1" w:tentative="0">
      <w:start w:val="1"/>
      <w:numFmt w:val="lowerLetter"/>
      <w:lvlText w:val="%2)"/>
      <w:lvlJc w:val="left"/>
      <w:pPr>
        <w:ind w:left="30" w:hanging="420"/>
      </w:pPr>
    </w:lvl>
    <w:lvl w:ilvl="2" w:tentative="0">
      <w:start w:val="1"/>
      <w:numFmt w:val="lowerRoman"/>
      <w:lvlText w:val="%3."/>
      <w:lvlJc w:val="right"/>
      <w:pPr>
        <w:ind w:left="450" w:hanging="420"/>
      </w:pPr>
    </w:lvl>
    <w:lvl w:ilvl="3" w:tentative="0">
      <w:start w:val="1"/>
      <w:numFmt w:val="decimal"/>
      <w:lvlText w:val="%4."/>
      <w:lvlJc w:val="left"/>
      <w:pPr>
        <w:ind w:left="870" w:hanging="420"/>
      </w:pPr>
    </w:lvl>
    <w:lvl w:ilvl="4" w:tentative="0">
      <w:start w:val="1"/>
      <w:numFmt w:val="lowerLetter"/>
      <w:lvlText w:val="%5)"/>
      <w:lvlJc w:val="left"/>
      <w:pPr>
        <w:ind w:left="1290" w:hanging="420"/>
      </w:pPr>
    </w:lvl>
    <w:lvl w:ilvl="5" w:tentative="0">
      <w:start w:val="1"/>
      <w:numFmt w:val="lowerRoman"/>
      <w:lvlText w:val="%6."/>
      <w:lvlJc w:val="right"/>
      <w:pPr>
        <w:ind w:left="1710" w:hanging="420"/>
      </w:pPr>
    </w:lvl>
    <w:lvl w:ilvl="6" w:tentative="0">
      <w:start w:val="1"/>
      <w:numFmt w:val="decimal"/>
      <w:lvlText w:val="%7."/>
      <w:lvlJc w:val="left"/>
      <w:pPr>
        <w:ind w:left="2130" w:hanging="420"/>
      </w:pPr>
    </w:lvl>
    <w:lvl w:ilvl="7" w:tentative="0">
      <w:start w:val="1"/>
      <w:numFmt w:val="lowerLetter"/>
      <w:lvlText w:val="%8)"/>
      <w:lvlJc w:val="left"/>
      <w:pPr>
        <w:ind w:left="2550" w:hanging="420"/>
      </w:pPr>
    </w:lvl>
    <w:lvl w:ilvl="8" w:tentative="0">
      <w:start w:val="1"/>
      <w:numFmt w:val="lowerRoman"/>
      <w:lvlText w:val="%9."/>
      <w:lvlJc w:val="right"/>
      <w:pPr>
        <w:ind w:left="2970" w:hanging="420"/>
      </w:pPr>
    </w:lvl>
  </w:abstractNum>
  <w:abstractNum w:abstractNumId="10">
    <w:nsid w:val="09552531"/>
    <w:multiLevelType w:val="multilevel"/>
    <w:tmpl w:val="09552531"/>
    <w:lvl w:ilvl="0" w:tentative="0">
      <w:start w:val="1"/>
      <w:numFmt w:val="bullet"/>
      <w:lvlText w:val=""/>
      <w:lvlJc w:val="left"/>
      <w:pPr>
        <w:ind w:left="840" w:hanging="420"/>
      </w:pPr>
      <w:rPr>
        <w:rFonts w:hint="default" w:ascii="Wingdings" w:hAnsi="Wingding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0A772D2C"/>
    <w:multiLevelType w:val="multilevel"/>
    <w:tmpl w:val="0A772D2C"/>
    <w:lvl w:ilvl="0" w:tentative="0">
      <w:start w:val="1"/>
      <w:numFmt w:val="bullet"/>
      <w:lvlText w:val=""/>
      <w:lvlJc w:val="left"/>
      <w:pPr>
        <w:ind w:left="485" w:hanging="420"/>
      </w:pPr>
      <w:rPr>
        <w:rFonts w:hint="default" w:ascii="Wingdings" w:hAnsi="Wingdings"/>
        <w:b/>
      </w:rPr>
    </w:lvl>
    <w:lvl w:ilvl="1" w:tentative="0">
      <w:start w:val="1"/>
      <w:numFmt w:val="lowerLetter"/>
      <w:lvlText w:val="%2)"/>
      <w:lvlJc w:val="left"/>
      <w:pPr>
        <w:ind w:left="905" w:hanging="420"/>
      </w:pPr>
    </w:lvl>
    <w:lvl w:ilvl="2" w:tentative="0">
      <w:start w:val="1"/>
      <w:numFmt w:val="lowerRoman"/>
      <w:lvlText w:val="%3."/>
      <w:lvlJc w:val="right"/>
      <w:pPr>
        <w:ind w:left="1325" w:hanging="420"/>
      </w:pPr>
    </w:lvl>
    <w:lvl w:ilvl="3" w:tentative="0">
      <w:start w:val="1"/>
      <w:numFmt w:val="decimal"/>
      <w:lvlText w:val="%4."/>
      <w:lvlJc w:val="left"/>
      <w:pPr>
        <w:ind w:left="1745" w:hanging="420"/>
      </w:pPr>
    </w:lvl>
    <w:lvl w:ilvl="4" w:tentative="0">
      <w:start w:val="1"/>
      <w:numFmt w:val="lowerLetter"/>
      <w:lvlText w:val="%5)"/>
      <w:lvlJc w:val="left"/>
      <w:pPr>
        <w:ind w:left="2165" w:hanging="420"/>
      </w:pPr>
    </w:lvl>
    <w:lvl w:ilvl="5" w:tentative="0">
      <w:start w:val="1"/>
      <w:numFmt w:val="lowerRoman"/>
      <w:lvlText w:val="%6."/>
      <w:lvlJc w:val="right"/>
      <w:pPr>
        <w:ind w:left="2585" w:hanging="420"/>
      </w:pPr>
    </w:lvl>
    <w:lvl w:ilvl="6" w:tentative="0">
      <w:start w:val="1"/>
      <w:numFmt w:val="decimal"/>
      <w:lvlText w:val="%7."/>
      <w:lvlJc w:val="left"/>
      <w:pPr>
        <w:ind w:left="3005" w:hanging="420"/>
      </w:pPr>
    </w:lvl>
    <w:lvl w:ilvl="7" w:tentative="0">
      <w:start w:val="1"/>
      <w:numFmt w:val="lowerLetter"/>
      <w:lvlText w:val="%8)"/>
      <w:lvlJc w:val="left"/>
      <w:pPr>
        <w:ind w:left="3425" w:hanging="420"/>
      </w:pPr>
    </w:lvl>
    <w:lvl w:ilvl="8" w:tentative="0">
      <w:start w:val="1"/>
      <w:numFmt w:val="lowerRoman"/>
      <w:lvlText w:val="%9."/>
      <w:lvlJc w:val="right"/>
      <w:pPr>
        <w:ind w:left="3845" w:hanging="420"/>
      </w:pPr>
    </w:lvl>
  </w:abstractNum>
  <w:abstractNum w:abstractNumId="12">
    <w:nsid w:val="0FD21A87"/>
    <w:multiLevelType w:val="multilevel"/>
    <w:tmpl w:val="0FD21A8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13555E8B"/>
    <w:multiLevelType w:val="singleLevel"/>
    <w:tmpl w:val="13555E8B"/>
    <w:lvl w:ilvl="0" w:tentative="0">
      <w:start w:val="1"/>
      <w:numFmt w:val="decimal"/>
      <w:lvlText w:val="%1."/>
      <w:lvlJc w:val="left"/>
      <w:pPr>
        <w:tabs>
          <w:tab w:val="left" w:pos="312"/>
        </w:tabs>
      </w:pPr>
    </w:lvl>
  </w:abstractNum>
  <w:abstractNum w:abstractNumId="14">
    <w:nsid w:val="155E6A8F"/>
    <w:multiLevelType w:val="multilevel"/>
    <w:tmpl w:val="155E6A8F"/>
    <w:lvl w:ilvl="0" w:tentative="0">
      <w:start w:val="1"/>
      <w:numFmt w:val="decimal"/>
      <w:pStyle w:val="122"/>
      <w:lvlText w:val="（%1）"/>
      <w:lvlJc w:val="left"/>
      <w:pPr>
        <w:tabs>
          <w:tab w:val="left" w:pos="1571"/>
        </w:tabs>
        <w:ind w:left="1721" w:hanging="720"/>
      </w:pPr>
      <w:rPr>
        <w:rFonts w:ascii="仿宋_GB2312" w:hAnsi="宋体" w:eastAsia="仿宋_GB2312" w:cs="Times New Roman"/>
      </w:rPr>
    </w:lvl>
    <w:lvl w:ilvl="1" w:tentative="0">
      <w:start w:val="1"/>
      <w:numFmt w:val="lowerLetter"/>
      <w:lvlText w:val="%2)"/>
      <w:lvlJc w:val="left"/>
      <w:pPr>
        <w:tabs>
          <w:tab w:val="left" w:pos="1739"/>
        </w:tabs>
        <w:ind w:left="1889" w:hanging="420"/>
      </w:pPr>
    </w:lvl>
    <w:lvl w:ilvl="2" w:tentative="0">
      <w:start w:val="1"/>
      <w:numFmt w:val="lowerRoman"/>
      <w:lvlText w:val="%3."/>
      <w:lvlJc w:val="right"/>
      <w:pPr>
        <w:tabs>
          <w:tab w:val="left" w:pos="2159"/>
        </w:tabs>
        <w:ind w:left="2309" w:hanging="420"/>
      </w:pPr>
    </w:lvl>
    <w:lvl w:ilvl="3" w:tentative="0">
      <w:start w:val="1"/>
      <w:numFmt w:val="decimal"/>
      <w:lvlText w:val="%4."/>
      <w:lvlJc w:val="left"/>
      <w:pPr>
        <w:tabs>
          <w:tab w:val="left" w:pos="2579"/>
        </w:tabs>
        <w:ind w:left="2729" w:hanging="420"/>
      </w:pPr>
    </w:lvl>
    <w:lvl w:ilvl="4" w:tentative="0">
      <w:start w:val="1"/>
      <w:numFmt w:val="lowerLetter"/>
      <w:lvlText w:val="%5)"/>
      <w:lvlJc w:val="left"/>
      <w:pPr>
        <w:tabs>
          <w:tab w:val="left" w:pos="2999"/>
        </w:tabs>
        <w:ind w:left="3149" w:hanging="420"/>
      </w:pPr>
    </w:lvl>
    <w:lvl w:ilvl="5" w:tentative="0">
      <w:start w:val="1"/>
      <w:numFmt w:val="lowerRoman"/>
      <w:lvlText w:val="%6."/>
      <w:lvlJc w:val="right"/>
      <w:pPr>
        <w:tabs>
          <w:tab w:val="left" w:pos="3419"/>
        </w:tabs>
        <w:ind w:left="3569" w:hanging="420"/>
      </w:pPr>
    </w:lvl>
    <w:lvl w:ilvl="6" w:tentative="0">
      <w:start w:val="1"/>
      <w:numFmt w:val="decimal"/>
      <w:lvlText w:val="%7."/>
      <w:lvlJc w:val="left"/>
      <w:pPr>
        <w:tabs>
          <w:tab w:val="left" w:pos="3839"/>
        </w:tabs>
        <w:ind w:left="3989" w:hanging="420"/>
      </w:pPr>
    </w:lvl>
    <w:lvl w:ilvl="7" w:tentative="0">
      <w:start w:val="1"/>
      <w:numFmt w:val="lowerLetter"/>
      <w:lvlText w:val="%8)"/>
      <w:lvlJc w:val="left"/>
      <w:pPr>
        <w:tabs>
          <w:tab w:val="left" w:pos="4259"/>
        </w:tabs>
        <w:ind w:left="4409" w:hanging="420"/>
      </w:pPr>
    </w:lvl>
    <w:lvl w:ilvl="8" w:tentative="0">
      <w:start w:val="1"/>
      <w:numFmt w:val="lowerRoman"/>
      <w:lvlText w:val="%9."/>
      <w:lvlJc w:val="right"/>
      <w:pPr>
        <w:tabs>
          <w:tab w:val="left" w:pos="4679"/>
        </w:tabs>
        <w:ind w:left="4829" w:hanging="420"/>
      </w:pPr>
    </w:lvl>
  </w:abstractNum>
  <w:abstractNum w:abstractNumId="15">
    <w:nsid w:val="16CB2463"/>
    <w:multiLevelType w:val="multilevel"/>
    <w:tmpl w:val="16CB2463"/>
    <w:lvl w:ilvl="0" w:tentative="0">
      <w:start w:val="1"/>
      <w:numFmt w:val="bullet"/>
      <w:lvlText w:val=""/>
      <w:lvlJc w:val="left"/>
      <w:pPr>
        <w:ind w:left="788" w:hanging="420"/>
      </w:pPr>
      <w:rPr>
        <w:rFonts w:hint="default" w:ascii="Wingdings" w:hAnsi="Wingdings"/>
      </w:rPr>
    </w:lvl>
    <w:lvl w:ilvl="1" w:tentative="0">
      <w:start w:val="1"/>
      <w:numFmt w:val="bullet"/>
      <w:lvlText w:val=""/>
      <w:lvlJc w:val="left"/>
      <w:pPr>
        <w:ind w:left="1208" w:hanging="420"/>
      </w:pPr>
      <w:rPr>
        <w:rFonts w:hint="default" w:ascii="Wingdings" w:hAnsi="Wingdings"/>
      </w:rPr>
    </w:lvl>
    <w:lvl w:ilvl="2" w:tentative="0">
      <w:start w:val="1"/>
      <w:numFmt w:val="bullet"/>
      <w:lvlText w:val=""/>
      <w:lvlJc w:val="left"/>
      <w:pPr>
        <w:ind w:left="1628" w:hanging="420"/>
      </w:pPr>
      <w:rPr>
        <w:rFonts w:hint="default" w:ascii="Wingdings" w:hAnsi="Wingdings"/>
      </w:rPr>
    </w:lvl>
    <w:lvl w:ilvl="3" w:tentative="0">
      <w:start w:val="1"/>
      <w:numFmt w:val="bullet"/>
      <w:lvlText w:val=""/>
      <w:lvlJc w:val="left"/>
      <w:pPr>
        <w:ind w:left="2048" w:hanging="420"/>
      </w:pPr>
      <w:rPr>
        <w:rFonts w:hint="default" w:ascii="Wingdings" w:hAnsi="Wingdings"/>
      </w:rPr>
    </w:lvl>
    <w:lvl w:ilvl="4" w:tentative="0">
      <w:start w:val="1"/>
      <w:numFmt w:val="bullet"/>
      <w:lvlText w:val=""/>
      <w:lvlJc w:val="left"/>
      <w:pPr>
        <w:ind w:left="2468" w:hanging="420"/>
      </w:pPr>
      <w:rPr>
        <w:rFonts w:hint="default" w:ascii="Wingdings" w:hAnsi="Wingdings"/>
      </w:rPr>
    </w:lvl>
    <w:lvl w:ilvl="5" w:tentative="0">
      <w:start w:val="1"/>
      <w:numFmt w:val="bullet"/>
      <w:lvlText w:val=""/>
      <w:lvlJc w:val="left"/>
      <w:pPr>
        <w:ind w:left="2888" w:hanging="420"/>
      </w:pPr>
      <w:rPr>
        <w:rFonts w:hint="default" w:ascii="Wingdings" w:hAnsi="Wingdings"/>
      </w:rPr>
    </w:lvl>
    <w:lvl w:ilvl="6" w:tentative="0">
      <w:start w:val="1"/>
      <w:numFmt w:val="bullet"/>
      <w:lvlText w:val=""/>
      <w:lvlJc w:val="left"/>
      <w:pPr>
        <w:ind w:left="3308" w:hanging="420"/>
      </w:pPr>
      <w:rPr>
        <w:rFonts w:hint="default" w:ascii="Wingdings" w:hAnsi="Wingdings"/>
      </w:rPr>
    </w:lvl>
    <w:lvl w:ilvl="7" w:tentative="0">
      <w:start w:val="1"/>
      <w:numFmt w:val="bullet"/>
      <w:lvlText w:val=""/>
      <w:lvlJc w:val="left"/>
      <w:pPr>
        <w:ind w:left="3728" w:hanging="420"/>
      </w:pPr>
      <w:rPr>
        <w:rFonts w:hint="default" w:ascii="Wingdings" w:hAnsi="Wingdings"/>
      </w:rPr>
    </w:lvl>
    <w:lvl w:ilvl="8" w:tentative="0">
      <w:start w:val="1"/>
      <w:numFmt w:val="bullet"/>
      <w:lvlText w:val=""/>
      <w:lvlJc w:val="left"/>
      <w:pPr>
        <w:ind w:left="4148" w:hanging="420"/>
      </w:pPr>
      <w:rPr>
        <w:rFonts w:hint="default" w:ascii="Wingdings" w:hAnsi="Wingdings"/>
      </w:rPr>
    </w:lvl>
  </w:abstractNum>
  <w:abstractNum w:abstractNumId="16">
    <w:nsid w:val="1D322F1C"/>
    <w:multiLevelType w:val="multilevel"/>
    <w:tmpl w:val="1D322F1C"/>
    <w:lvl w:ilvl="0" w:tentative="0">
      <w:start w:val="1"/>
      <w:numFmt w:val="bullet"/>
      <w:lvlText w:val=""/>
      <w:lvlJc w:val="left"/>
      <w:pPr>
        <w:ind w:left="787" w:hanging="420"/>
      </w:pPr>
      <w:rPr>
        <w:rFonts w:hint="default" w:ascii="Wingdings" w:hAnsi="Wingdings"/>
      </w:rPr>
    </w:lvl>
    <w:lvl w:ilvl="1" w:tentative="0">
      <w:start w:val="1"/>
      <w:numFmt w:val="bullet"/>
      <w:lvlText w:val=""/>
      <w:lvlJc w:val="left"/>
      <w:pPr>
        <w:ind w:left="1207" w:hanging="420"/>
      </w:pPr>
      <w:rPr>
        <w:rFonts w:hint="default" w:ascii="Wingdings" w:hAnsi="Wingdings"/>
      </w:rPr>
    </w:lvl>
    <w:lvl w:ilvl="2" w:tentative="0">
      <w:start w:val="1"/>
      <w:numFmt w:val="bullet"/>
      <w:lvlText w:val=""/>
      <w:lvlJc w:val="left"/>
      <w:pPr>
        <w:ind w:left="1627" w:hanging="420"/>
      </w:pPr>
      <w:rPr>
        <w:rFonts w:hint="default" w:ascii="Wingdings" w:hAnsi="Wingdings"/>
      </w:rPr>
    </w:lvl>
    <w:lvl w:ilvl="3" w:tentative="0">
      <w:start w:val="1"/>
      <w:numFmt w:val="bullet"/>
      <w:lvlText w:val=""/>
      <w:lvlJc w:val="left"/>
      <w:pPr>
        <w:ind w:left="2047" w:hanging="420"/>
      </w:pPr>
      <w:rPr>
        <w:rFonts w:hint="default" w:ascii="Wingdings" w:hAnsi="Wingdings"/>
      </w:rPr>
    </w:lvl>
    <w:lvl w:ilvl="4" w:tentative="0">
      <w:start w:val="1"/>
      <w:numFmt w:val="bullet"/>
      <w:lvlText w:val=""/>
      <w:lvlJc w:val="left"/>
      <w:pPr>
        <w:ind w:left="2467" w:hanging="420"/>
      </w:pPr>
      <w:rPr>
        <w:rFonts w:hint="default" w:ascii="Wingdings" w:hAnsi="Wingdings"/>
      </w:rPr>
    </w:lvl>
    <w:lvl w:ilvl="5" w:tentative="0">
      <w:start w:val="1"/>
      <w:numFmt w:val="bullet"/>
      <w:lvlText w:val=""/>
      <w:lvlJc w:val="left"/>
      <w:pPr>
        <w:ind w:left="2887" w:hanging="420"/>
      </w:pPr>
      <w:rPr>
        <w:rFonts w:hint="default" w:ascii="Wingdings" w:hAnsi="Wingdings"/>
      </w:rPr>
    </w:lvl>
    <w:lvl w:ilvl="6" w:tentative="0">
      <w:start w:val="1"/>
      <w:numFmt w:val="bullet"/>
      <w:lvlText w:val=""/>
      <w:lvlJc w:val="left"/>
      <w:pPr>
        <w:ind w:left="3307" w:hanging="420"/>
      </w:pPr>
      <w:rPr>
        <w:rFonts w:hint="default" w:ascii="Wingdings" w:hAnsi="Wingdings"/>
      </w:rPr>
    </w:lvl>
    <w:lvl w:ilvl="7" w:tentative="0">
      <w:start w:val="1"/>
      <w:numFmt w:val="bullet"/>
      <w:lvlText w:val=""/>
      <w:lvlJc w:val="left"/>
      <w:pPr>
        <w:ind w:left="3727" w:hanging="420"/>
      </w:pPr>
      <w:rPr>
        <w:rFonts w:hint="default" w:ascii="Wingdings" w:hAnsi="Wingdings"/>
      </w:rPr>
    </w:lvl>
    <w:lvl w:ilvl="8" w:tentative="0">
      <w:start w:val="1"/>
      <w:numFmt w:val="bullet"/>
      <w:lvlText w:val=""/>
      <w:lvlJc w:val="left"/>
      <w:pPr>
        <w:ind w:left="4147" w:hanging="420"/>
      </w:pPr>
      <w:rPr>
        <w:rFonts w:hint="default" w:ascii="Wingdings" w:hAnsi="Wingdings"/>
      </w:rPr>
    </w:lvl>
  </w:abstractNum>
  <w:abstractNum w:abstractNumId="17">
    <w:nsid w:val="1F634863"/>
    <w:multiLevelType w:val="multilevel"/>
    <w:tmpl w:val="1F634863"/>
    <w:lvl w:ilvl="0" w:tentative="0">
      <w:start w:val="1"/>
      <w:numFmt w:val="bullet"/>
      <w:lvlText w:val=""/>
      <w:lvlJc w:val="left"/>
      <w:pPr>
        <w:ind w:left="540" w:hanging="420"/>
      </w:pPr>
      <w:rPr>
        <w:rFonts w:hint="default" w:ascii="Wingdings" w:hAnsi="Wingdings"/>
      </w:rPr>
    </w:lvl>
    <w:lvl w:ilvl="1" w:tentative="0">
      <w:start w:val="1"/>
      <w:numFmt w:val="bullet"/>
      <w:lvlText w:val=""/>
      <w:lvlJc w:val="left"/>
      <w:pPr>
        <w:ind w:left="960" w:hanging="420"/>
      </w:pPr>
      <w:rPr>
        <w:rFonts w:hint="default" w:ascii="Wingdings" w:hAnsi="Wingdings"/>
      </w:rPr>
    </w:lvl>
    <w:lvl w:ilvl="2" w:tentative="0">
      <w:start w:val="1"/>
      <w:numFmt w:val="bullet"/>
      <w:lvlText w:val=""/>
      <w:lvlJc w:val="left"/>
      <w:pPr>
        <w:ind w:left="1380" w:hanging="420"/>
      </w:pPr>
      <w:rPr>
        <w:rFonts w:hint="default" w:ascii="Wingdings" w:hAnsi="Wingdings"/>
      </w:rPr>
    </w:lvl>
    <w:lvl w:ilvl="3" w:tentative="0">
      <w:start w:val="1"/>
      <w:numFmt w:val="bullet"/>
      <w:lvlText w:val=""/>
      <w:lvlJc w:val="left"/>
      <w:pPr>
        <w:ind w:left="1800" w:hanging="420"/>
      </w:pPr>
      <w:rPr>
        <w:rFonts w:hint="default" w:ascii="Wingdings" w:hAnsi="Wingdings"/>
      </w:rPr>
    </w:lvl>
    <w:lvl w:ilvl="4" w:tentative="0">
      <w:start w:val="1"/>
      <w:numFmt w:val="bullet"/>
      <w:lvlText w:val=""/>
      <w:lvlJc w:val="left"/>
      <w:pPr>
        <w:ind w:left="2220" w:hanging="420"/>
      </w:pPr>
      <w:rPr>
        <w:rFonts w:hint="default" w:ascii="Wingdings" w:hAnsi="Wingdings"/>
      </w:rPr>
    </w:lvl>
    <w:lvl w:ilvl="5" w:tentative="0">
      <w:start w:val="1"/>
      <w:numFmt w:val="bullet"/>
      <w:lvlText w:val=""/>
      <w:lvlJc w:val="left"/>
      <w:pPr>
        <w:ind w:left="2640" w:hanging="420"/>
      </w:pPr>
      <w:rPr>
        <w:rFonts w:hint="default" w:ascii="Wingdings" w:hAnsi="Wingdings"/>
      </w:rPr>
    </w:lvl>
    <w:lvl w:ilvl="6" w:tentative="0">
      <w:start w:val="1"/>
      <w:numFmt w:val="bullet"/>
      <w:lvlText w:val=""/>
      <w:lvlJc w:val="left"/>
      <w:pPr>
        <w:ind w:left="3060" w:hanging="420"/>
      </w:pPr>
      <w:rPr>
        <w:rFonts w:hint="default" w:ascii="Wingdings" w:hAnsi="Wingdings"/>
      </w:rPr>
    </w:lvl>
    <w:lvl w:ilvl="7" w:tentative="0">
      <w:start w:val="1"/>
      <w:numFmt w:val="bullet"/>
      <w:lvlText w:val=""/>
      <w:lvlJc w:val="left"/>
      <w:pPr>
        <w:ind w:left="3480" w:hanging="420"/>
      </w:pPr>
      <w:rPr>
        <w:rFonts w:hint="default" w:ascii="Wingdings" w:hAnsi="Wingdings"/>
      </w:rPr>
    </w:lvl>
    <w:lvl w:ilvl="8" w:tentative="0">
      <w:start w:val="1"/>
      <w:numFmt w:val="bullet"/>
      <w:lvlText w:val=""/>
      <w:lvlJc w:val="left"/>
      <w:pPr>
        <w:ind w:left="3900" w:hanging="420"/>
      </w:pPr>
      <w:rPr>
        <w:rFonts w:hint="default" w:ascii="Wingdings" w:hAnsi="Wingdings"/>
      </w:rPr>
    </w:lvl>
  </w:abstractNum>
  <w:abstractNum w:abstractNumId="18">
    <w:nsid w:val="1F651E35"/>
    <w:multiLevelType w:val="multilevel"/>
    <w:tmpl w:val="1F651E35"/>
    <w:lvl w:ilvl="0" w:tentative="0">
      <w:start w:val="1"/>
      <w:numFmt w:val="bullet"/>
      <w:lvlText w:val=""/>
      <w:lvlJc w:val="left"/>
      <w:pPr>
        <w:ind w:left="960" w:hanging="420"/>
      </w:pPr>
      <w:rPr>
        <w:rFonts w:hint="default" w:ascii="Wingdings" w:hAnsi="Wingdings"/>
      </w:rPr>
    </w:lvl>
    <w:lvl w:ilvl="1" w:tentative="0">
      <w:start w:val="1"/>
      <w:numFmt w:val="bullet"/>
      <w:lvlText w:val=""/>
      <w:lvlJc w:val="left"/>
      <w:pPr>
        <w:ind w:left="1380" w:hanging="420"/>
      </w:pPr>
      <w:rPr>
        <w:rFonts w:hint="default" w:ascii="Wingdings" w:hAnsi="Wingdings"/>
      </w:rPr>
    </w:lvl>
    <w:lvl w:ilvl="2" w:tentative="0">
      <w:start w:val="1"/>
      <w:numFmt w:val="bullet"/>
      <w:lvlText w:val=""/>
      <w:lvlJc w:val="left"/>
      <w:pPr>
        <w:ind w:left="1800" w:hanging="420"/>
      </w:pPr>
      <w:rPr>
        <w:rFonts w:hint="default" w:ascii="Wingdings" w:hAnsi="Wingdings"/>
      </w:rPr>
    </w:lvl>
    <w:lvl w:ilvl="3" w:tentative="0">
      <w:start w:val="1"/>
      <w:numFmt w:val="bullet"/>
      <w:lvlText w:val=""/>
      <w:lvlJc w:val="left"/>
      <w:pPr>
        <w:ind w:left="2220" w:hanging="420"/>
      </w:pPr>
      <w:rPr>
        <w:rFonts w:hint="default" w:ascii="Wingdings" w:hAnsi="Wingdings"/>
      </w:rPr>
    </w:lvl>
    <w:lvl w:ilvl="4" w:tentative="0">
      <w:start w:val="1"/>
      <w:numFmt w:val="bullet"/>
      <w:lvlText w:val=""/>
      <w:lvlJc w:val="left"/>
      <w:pPr>
        <w:ind w:left="2640" w:hanging="420"/>
      </w:pPr>
      <w:rPr>
        <w:rFonts w:hint="default" w:ascii="Wingdings" w:hAnsi="Wingdings"/>
      </w:rPr>
    </w:lvl>
    <w:lvl w:ilvl="5" w:tentative="0">
      <w:start w:val="1"/>
      <w:numFmt w:val="bullet"/>
      <w:lvlText w:val=""/>
      <w:lvlJc w:val="left"/>
      <w:pPr>
        <w:ind w:left="3060" w:hanging="420"/>
      </w:pPr>
      <w:rPr>
        <w:rFonts w:hint="default" w:ascii="Wingdings" w:hAnsi="Wingdings"/>
      </w:rPr>
    </w:lvl>
    <w:lvl w:ilvl="6" w:tentative="0">
      <w:start w:val="1"/>
      <w:numFmt w:val="bullet"/>
      <w:lvlText w:val=""/>
      <w:lvlJc w:val="left"/>
      <w:pPr>
        <w:ind w:left="3480" w:hanging="420"/>
      </w:pPr>
      <w:rPr>
        <w:rFonts w:hint="default" w:ascii="Wingdings" w:hAnsi="Wingdings"/>
      </w:rPr>
    </w:lvl>
    <w:lvl w:ilvl="7" w:tentative="0">
      <w:start w:val="1"/>
      <w:numFmt w:val="bullet"/>
      <w:lvlText w:val=""/>
      <w:lvlJc w:val="left"/>
      <w:pPr>
        <w:ind w:left="3900" w:hanging="420"/>
      </w:pPr>
      <w:rPr>
        <w:rFonts w:hint="default" w:ascii="Wingdings" w:hAnsi="Wingdings"/>
      </w:rPr>
    </w:lvl>
    <w:lvl w:ilvl="8" w:tentative="0">
      <w:start w:val="1"/>
      <w:numFmt w:val="bullet"/>
      <w:lvlText w:val=""/>
      <w:lvlJc w:val="left"/>
      <w:pPr>
        <w:ind w:left="4320" w:hanging="420"/>
      </w:pPr>
      <w:rPr>
        <w:rFonts w:hint="default" w:ascii="Wingdings" w:hAnsi="Wingdings"/>
      </w:rPr>
    </w:lvl>
  </w:abstractNum>
  <w:abstractNum w:abstractNumId="19">
    <w:nsid w:val="20645AE1"/>
    <w:multiLevelType w:val="multilevel"/>
    <w:tmpl w:val="20645AE1"/>
    <w:lvl w:ilvl="0" w:tentative="0">
      <w:start w:val="1"/>
      <w:numFmt w:val="bullet"/>
      <w:lvlText w:val=""/>
      <w:lvlJc w:val="left"/>
      <w:pPr>
        <w:ind w:left="840" w:hanging="420"/>
      </w:pPr>
      <w:rPr>
        <w:rFonts w:hint="default" w:ascii="Wingdings" w:hAnsi="Wingdings"/>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22012E73"/>
    <w:multiLevelType w:val="multilevel"/>
    <w:tmpl w:val="22012E7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25C23679"/>
    <w:multiLevelType w:val="multilevel"/>
    <w:tmpl w:val="25C23679"/>
    <w:lvl w:ilvl="0" w:tentative="0">
      <w:start w:val="1"/>
      <w:numFmt w:val="decimal"/>
      <w:lvlText w:val="（%1）"/>
      <w:lvlJc w:val="left"/>
      <w:pPr>
        <w:ind w:left="485" w:hanging="420"/>
      </w:pPr>
      <w:rPr>
        <w:rFonts w:hint="default"/>
      </w:rPr>
    </w:lvl>
    <w:lvl w:ilvl="1" w:tentative="0">
      <w:start w:val="1"/>
      <w:numFmt w:val="lowerLetter"/>
      <w:lvlText w:val="%2)"/>
      <w:lvlJc w:val="left"/>
      <w:pPr>
        <w:ind w:left="905" w:hanging="420"/>
      </w:pPr>
    </w:lvl>
    <w:lvl w:ilvl="2" w:tentative="0">
      <w:start w:val="1"/>
      <w:numFmt w:val="lowerRoman"/>
      <w:lvlText w:val="%3."/>
      <w:lvlJc w:val="right"/>
      <w:pPr>
        <w:ind w:left="1325" w:hanging="420"/>
      </w:pPr>
    </w:lvl>
    <w:lvl w:ilvl="3" w:tentative="0">
      <w:start w:val="1"/>
      <w:numFmt w:val="decimal"/>
      <w:lvlText w:val="%4."/>
      <w:lvlJc w:val="left"/>
      <w:pPr>
        <w:ind w:left="1745" w:hanging="420"/>
      </w:pPr>
    </w:lvl>
    <w:lvl w:ilvl="4" w:tentative="0">
      <w:start w:val="1"/>
      <w:numFmt w:val="lowerLetter"/>
      <w:lvlText w:val="%5)"/>
      <w:lvlJc w:val="left"/>
      <w:pPr>
        <w:ind w:left="2165" w:hanging="420"/>
      </w:pPr>
    </w:lvl>
    <w:lvl w:ilvl="5" w:tentative="0">
      <w:start w:val="1"/>
      <w:numFmt w:val="lowerRoman"/>
      <w:lvlText w:val="%6."/>
      <w:lvlJc w:val="right"/>
      <w:pPr>
        <w:ind w:left="2585" w:hanging="420"/>
      </w:pPr>
    </w:lvl>
    <w:lvl w:ilvl="6" w:tentative="0">
      <w:start w:val="1"/>
      <w:numFmt w:val="decimal"/>
      <w:lvlText w:val="%7."/>
      <w:lvlJc w:val="left"/>
      <w:pPr>
        <w:ind w:left="3005" w:hanging="420"/>
      </w:pPr>
    </w:lvl>
    <w:lvl w:ilvl="7" w:tentative="0">
      <w:start w:val="1"/>
      <w:numFmt w:val="lowerLetter"/>
      <w:lvlText w:val="%8)"/>
      <w:lvlJc w:val="left"/>
      <w:pPr>
        <w:ind w:left="3425" w:hanging="420"/>
      </w:pPr>
    </w:lvl>
    <w:lvl w:ilvl="8" w:tentative="0">
      <w:start w:val="1"/>
      <w:numFmt w:val="lowerRoman"/>
      <w:lvlText w:val="%9."/>
      <w:lvlJc w:val="right"/>
      <w:pPr>
        <w:ind w:left="3845" w:hanging="420"/>
      </w:pPr>
    </w:lvl>
  </w:abstractNum>
  <w:abstractNum w:abstractNumId="22">
    <w:nsid w:val="25E9131D"/>
    <w:multiLevelType w:val="multilevel"/>
    <w:tmpl w:val="25E9131D"/>
    <w:lvl w:ilvl="0" w:tentative="0">
      <w:start w:val="1"/>
      <w:numFmt w:val="decimal"/>
      <w:pStyle w:val="14"/>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3">
    <w:nsid w:val="26A25326"/>
    <w:multiLevelType w:val="multilevel"/>
    <w:tmpl w:val="26A25326"/>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4">
    <w:nsid w:val="2A5A7F98"/>
    <w:multiLevelType w:val="multilevel"/>
    <w:tmpl w:val="2A5A7F98"/>
    <w:lvl w:ilvl="0" w:tentative="0">
      <w:start w:val="1"/>
      <w:numFmt w:val="bullet"/>
      <w:lvlText w:val=""/>
      <w:lvlJc w:val="left"/>
      <w:pPr>
        <w:ind w:left="1066" w:hanging="420"/>
      </w:pPr>
      <w:rPr>
        <w:rFonts w:hint="default" w:ascii="Wingdings" w:hAnsi="Wingdings"/>
      </w:rPr>
    </w:lvl>
    <w:lvl w:ilvl="1" w:tentative="0">
      <w:start w:val="1"/>
      <w:numFmt w:val="bullet"/>
      <w:lvlText w:val=""/>
      <w:lvlJc w:val="left"/>
      <w:pPr>
        <w:ind w:left="1486" w:hanging="420"/>
      </w:pPr>
      <w:rPr>
        <w:rFonts w:hint="default" w:ascii="Wingdings" w:hAnsi="Wingdings"/>
      </w:rPr>
    </w:lvl>
    <w:lvl w:ilvl="2" w:tentative="0">
      <w:start w:val="1"/>
      <w:numFmt w:val="bullet"/>
      <w:lvlText w:val=""/>
      <w:lvlJc w:val="left"/>
      <w:pPr>
        <w:ind w:left="1906" w:hanging="420"/>
      </w:pPr>
      <w:rPr>
        <w:rFonts w:hint="default" w:ascii="Wingdings" w:hAnsi="Wingdings"/>
      </w:rPr>
    </w:lvl>
    <w:lvl w:ilvl="3" w:tentative="0">
      <w:start w:val="1"/>
      <w:numFmt w:val="bullet"/>
      <w:lvlText w:val=""/>
      <w:lvlJc w:val="left"/>
      <w:pPr>
        <w:ind w:left="2326" w:hanging="420"/>
      </w:pPr>
      <w:rPr>
        <w:rFonts w:hint="default" w:ascii="Wingdings" w:hAnsi="Wingdings"/>
      </w:rPr>
    </w:lvl>
    <w:lvl w:ilvl="4" w:tentative="0">
      <w:start w:val="1"/>
      <w:numFmt w:val="bullet"/>
      <w:lvlText w:val=""/>
      <w:lvlJc w:val="left"/>
      <w:pPr>
        <w:ind w:left="2746" w:hanging="420"/>
      </w:pPr>
      <w:rPr>
        <w:rFonts w:hint="default" w:ascii="Wingdings" w:hAnsi="Wingdings"/>
      </w:rPr>
    </w:lvl>
    <w:lvl w:ilvl="5" w:tentative="0">
      <w:start w:val="1"/>
      <w:numFmt w:val="bullet"/>
      <w:lvlText w:val=""/>
      <w:lvlJc w:val="left"/>
      <w:pPr>
        <w:ind w:left="3166" w:hanging="420"/>
      </w:pPr>
      <w:rPr>
        <w:rFonts w:hint="default" w:ascii="Wingdings" w:hAnsi="Wingdings"/>
      </w:rPr>
    </w:lvl>
    <w:lvl w:ilvl="6" w:tentative="0">
      <w:start w:val="1"/>
      <w:numFmt w:val="bullet"/>
      <w:lvlText w:val=""/>
      <w:lvlJc w:val="left"/>
      <w:pPr>
        <w:ind w:left="3586" w:hanging="420"/>
      </w:pPr>
      <w:rPr>
        <w:rFonts w:hint="default" w:ascii="Wingdings" w:hAnsi="Wingdings"/>
      </w:rPr>
    </w:lvl>
    <w:lvl w:ilvl="7" w:tentative="0">
      <w:start w:val="1"/>
      <w:numFmt w:val="bullet"/>
      <w:lvlText w:val=""/>
      <w:lvlJc w:val="left"/>
      <w:pPr>
        <w:ind w:left="4006" w:hanging="420"/>
      </w:pPr>
      <w:rPr>
        <w:rFonts w:hint="default" w:ascii="Wingdings" w:hAnsi="Wingdings"/>
      </w:rPr>
    </w:lvl>
    <w:lvl w:ilvl="8" w:tentative="0">
      <w:start w:val="1"/>
      <w:numFmt w:val="bullet"/>
      <w:lvlText w:val=""/>
      <w:lvlJc w:val="left"/>
      <w:pPr>
        <w:ind w:left="4426" w:hanging="420"/>
      </w:pPr>
      <w:rPr>
        <w:rFonts w:hint="default" w:ascii="Wingdings" w:hAnsi="Wingdings"/>
      </w:rPr>
    </w:lvl>
  </w:abstractNum>
  <w:abstractNum w:abstractNumId="25">
    <w:nsid w:val="2AA1E196"/>
    <w:multiLevelType w:val="singleLevel"/>
    <w:tmpl w:val="2AA1E196"/>
    <w:lvl w:ilvl="0" w:tentative="0">
      <w:start w:val="2"/>
      <w:numFmt w:val="chineseCounting"/>
      <w:suff w:val="nothing"/>
      <w:lvlText w:val="%1、"/>
      <w:lvlJc w:val="left"/>
      <w:rPr>
        <w:rFonts w:hint="eastAsia"/>
      </w:rPr>
    </w:lvl>
  </w:abstractNum>
  <w:abstractNum w:abstractNumId="26">
    <w:nsid w:val="313325F2"/>
    <w:multiLevelType w:val="singleLevel"/>
    <w:tmpl w:val="313325F2"/>
    <w:lvl w:ilvl="0" w:tentative="0">
      <w:start w:val="3"/>
      <w:numFmt w:val="decimal"/>
      <w:pStyle w:val="221"/>
      <w:suff w:val="space"/>
      <w:lvlText w:val="%1."/>
      <w:lvlJc w:val="left"/>
    </w:lvl>
  </w:abstractNum>
  <w:abstractNum w:abstractNumId="27">
    <w:nsid w:val="3D4C41C3"/>
    <w:multiLevelType w:val="multilevel"/>
    <w:tmpl w:val="3D4C41C3"/>
    <w:lvl w:ilvl="0" w:tentative="0">
      <w:start w:val="1"/>
      <w:numFmt w:val="bullet"/>
      <w:lvlText w:val=""/>
      <w:lvlJc w:val="left"/>
      <w:pPr>
        <w:ind w:left="960" w:hanging="420"/>
      </w:pPr>
      <w:rPr>
        <w:rFonts w:hint="default" w:ascii="Wingdings" w:hAnsi="Wingdings"/>
      </w:rPr>
    </w:lvl>
    <w:lvl w:ilvl="1" w:tentative="0">
      <w:start w:val="1"/>
      <w:numFmt w:val="bullet"/>
      <w:lvlText w:val=""/>
      <w:lvlJc w:val="left"/>
      <w:pPr>
        <w:ind w:left="1380" w:hanging="420"/>
      </w:pPr>
      <w:rPr>
        <w:rFonts w:hint="default" w:ascii="Wingdings" w:hAnsi="Wingdings"/>
      </w:rPr>
    </w:lvl>
    <w:lvl w:ilvl="2" w:tentative="0">
      <w:start w:val="1"/>
      <w:numFmt w:val="bullet"/>
      <w:lvlText w:val=""/>
      <w:lvlJc w:val="left"/>
      <w:pPr>
        <w:ind w:left="1800" w:hanging="420"/>
      </w:pPr>
      <w:rPr>
        <w:rFonts w:hint="default" w:ascii="Wingdings" w:hAnsi="Wingdings"/>
      </w:rPr>
    </w:lvl>
    <w:lvl w:ilvl="3" w:tentative="0">
      <w:start w:val="1"/>
      <w:numFmt w:val="bullet"/>
      <w:lvlText w:val=""/>
      <w:lvlJc w:val="left"/>
      <w:pPr>
        <w:ind w:left="2220" w:hanging="420"/>
      </w:pPr>
      <w:rPr>
        <w:rFonts w:hint="default" w:ascii="Wingdings" w:hAnsi="Wingdings"/>
      </w:rPr>
    </w:lvl>
    <w:lvl w:ilvl="4" w:tentative="0">
      <w:start w:val="1"/>
      <w:numFmt w:val="bullet"/>
      <w:lvlText w:val=""/>
      <w:lvlJc w:val="left"/>
      <w:pPr>
        <w:ind w:left="2640" w:hanging="420"/>
      </w:pPr>
      <w:rPr>
        <w:rFonts w:hint="default" w:ascii="Wingdings" w:hAnsi="Wingdings"/>
      </w:rPr>
    </w:lvl>
    <w:lvl w:ilvl="5" w:tentative="0">
      <w:start w:val="1"/>
      <w:numFmt w:val="bullet"/>
      <w:lvlText w:val=""/>
      <w:lvlJc w:val="left"/>
      <w:pPr>
        <w:ind w:left="3060" w:hanging="420"/>
      </w:pPr>
      <w:rPr>
        <w:rFonts w:hint="default" w:ascii="Wingdings" w:hAnsi="Wingdings"/>
      </w:rPr>
    </w:lvl>
    <w:lvl w:ilvl="6" w:tentative="0">
      <w:start w:val="1"/>
      <w:numFmt w:val="bullet"/>
      <w:lvlText w:val=""/>
      <w:lvlJc w:val="left"/>
      <w:pPr>
        <w:ind w:left="3480" w:hanging="420"/>
      </w:pPr>
      <w:rPr>
        <w:rFonts w:hint="default" w:ascii="Wingdings" w:hAnsi="Wingdings"/>
      </w:rPr>
    </w:lvl>
    <w:lvl w:ilvl="7" w:tentative="0">
      <w:start w:val="1"/>
      <w:numFmt w:val="bullet"/>
      <w:lvlText w:val=""/>
      <w:lvlJc w:val="left"/>
      <w:pPr>
        <w:ind w:left="3900" w:hanging="420"/>
      </w:pPr>
      <w:rPr>
        <w:rFonts w:hint="default" w:ascii="Wingdings" w:hAnsi="Wingdings"/>
      </w:rPr>
    </w:lvl>
    <w:lvl w:ilvl="8" w:tentative="0">
      <w:start w:val="1"/>
      <w:numFmt w:val="bullet"/>
      <w:lvlText w:val=""/>
      <w:lvlJc w:val="left"/>
      <w:pPr>
        <w:ind w:left="4320" w:hanging="420"/>
      </w:pPr>
      <w:rPr>
        <w:rFonts w:hint="default" w:ascii="Wingdings" w:hAnsi="Wingdings"/>
      </w:rPr>
    </w:lvl>
  </w:abstractNum>
  <w:abstractNum w:abstractNumId="28">
    <w:nsid w:val="3E712634"/>
    <w:multiLevelType w:val="multilevel"/>
    <w:tmpl w:val="3E712634"/>
    <w:lvl w:ilvl="0" w:tentative="0">
      <w:start w:val="1"/>
      <w:numFmt w:val="bullet"/>
      <w:lvlText w:val=""/>
      <w:lvlJc w:val="left"/>
      <w:pPr>
        <w:ind w:left="485" w:hanging="420"/>
      </w:pPr>
      <w:rPr>
        <w:rFonts w:hint="default" w:ascii="Wingdings" w:hAnsi="Wingdings"/>
      </w:rPr>
    </w:lvl>
    <w:lvl w:ilvl="1" w:tentative="0">
      <w:start w:val="1"/>
      <w:numFmt w:val="bullet"/>
      <w:lvlText w:val=""/>
      <w:lvlJc w:val="left"/>
      <w:pPr>
        <w:ind w:left="905" w:hanging="420"/>
      </w:pPr>
      <w:rPr>
        <w:rFonts w:hint="default" w:ascii="Wingdings" w:hAnsi="Wingdings"/>
      </w:rPr>
    </w:lvl>
    <w:lvl w:ilvl="2" w:tentative="0">
      <w:start w:val="1"/>
      <w:numFmt w:val="bullet"/>
      <w:lvlText w:val=""/>
      <w:lvlJc w:val="left"/>
      <w:pPr>
        <w:ind w:left="1325" w:hanging="420"/>
      </w:pPr>
      <w:rPr>
        <w:rFonts w:hint="default" w:ascii="Wingdings" w:hAnsi="Wingdings"/>
      </w:rPr>
    </w:lvl>
    <w:lvl w:ilvl="3" w:tentative="0">
      <w:start w:val="1"/>
      <w:numFmt w:val="bullet"/>
      <w:lvlText w:val=""/>
      <w:lvlJc w:val="left"/>
      <w:pPr>
        <w:ind w:left="1745" w:hanging="420"/>
      </w:pPr>
      <w:rPr>
        <w:rFonts w:hint="default" w:ascii="Wingdings" w:hAnsi="Wingdings"/>
      </w:rPr>
    </w:lvl>
    <w:lvl w:ilvl="4" w:tentative="0">
      <w:start w:val="1"/>
      <w:numFmt w:val="bullet"/>
      <w:lvlText w:val=""/>
      <w:lvlJc w:val="left"/>
      <w:pPr>
        <w:ind w:left="2165" w:hanging="420"/>
      </w:pPr>
      <w:rPr>
        <w:rFonts w:hint="default" w:ascii="Wingdings" w:hAnsi="Wingdings"/>
      </w:rPr>
    </w:lvl>
    <w:lvl w:ilvl="5" w:tentative="0">
      <w:start w:val="1"/>
      <w:numFmt w:val="bullet"/>
      <w:lvlText w:val=""/>
      <w:lvlJc w:val="left"/>
      <w:pPr>
        <w:ind w:left="2585" w:hanging="420"/>
      </w:pPr>
      <w:rPr>
        <w:rFonts w:hint="default" w:ascii="Wingdings" w:hAnsi="Wingdings"/>
      </w:rPr>
    </w:lvl>
    <w:lvl w:ilvl="6" w:tentative="0">
      <w:start w:val="1"/>
      <w:numFmt w:val="bullet"/>
      <w:lvlText w:val=""/>
      <w:lvlJc w:val="left"/>
      <w:pPr>
        <w:ind w:left="3005" w:hanging="420"/>
      </w:pPr>
      <w:rPr>
        <w:rFonts w:hint="default" w:ascii="Wingdings" w:hAnsi="Wingdings"/>
      </w:rPr>
    </w:lvl>
    <w:lvl w:ilvl="7" w:tentative="0">
      <w:start w:val="1"/>
      <w:numFmt w:val="bullet"/>
      <w:lvlText w:val=""/>
      <w:lvlJc w:val="left"/>
      <w:pPr>
        <w:ind w:left="3425" w:hanging="420"/>
      </w:pPr>
      <w:rPr>
        <w:rFonts w:hint="default" w:ascii="Wingdings" w:hAnsi="Wingdings"/>
      </w:rPr>
    </w:lvl>
    <w:lvl w:ilvl="8" w:tentative="0">
      <w:start w:val="1"/>
      <w:numFmt w:val="bullet"/>
      <w:lvlText w:val=""/>
      <w:lvlJc w:val="left"/>
      <w:pPr>
        <w:ind w:left="3845" w:hanging="420"/>
      </w:pPr>
      <w:rPr>
        <w:rFonts w:hint="default" w:ascii="Wingdings" w:hAnsi="Wingdings"/>
      </w:rPr>
    </w:lvl>
  </w:abstractNum>
  <w:abstractNum w:abstractNumId="29">
    <w:nsid w:val="40ED5DAB"/>
    <w:multiLevelType w:val="singleLevel"/>
    <w:tmpl w:val="40ED5DAB"/>
    <w:lvl w:ilvl="0" w:tentative="0">
      <w:start w:val="1"/>
      <w:numFmt w:val="decimal"/>
      <w:suff w:val="space"/>
      <w:lvlText w:val="%1."/>
      <w:lvlJc w:val="left"/>
    </w:lvl>
  </w:abstractNum>
  <w:abstractNum w:abstractNumId="30">
    <w:nsid w:val="46137EDD"/>
    <w:multiLevelType w:val="multilevel"/>
    <w:tmpl w:val="46137EDD"/>
    <w:lvl w:ilvl="0" w:tentative="0">
      <w:start w:val="1"/>
      <w:numFmt w:val="decimal"/>
      <w:lvlText w:val="%1."/>
      <w:lvlJc w:val="left"/>
      <w:pPr>
        <w:ind w:left="420" w:hanging="420"/>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lang w:val="en-US"/>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1">
    <w:nsid w:val="4D2002AF"/>
    <w:multiLevelType w:val="multilevel"/>
    <w:tmpl w:val="4D2002AF"/>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2">
    <w:nsid w:val="4DD05D85"/>
    <w:multiLevelType w:val="multilevel"/>
    <w:tmpl w:val="4DD05D85"/>
    <w:lvl w:ilvl="0" w:tentative="0">
      <w:start w:val="1"/>
      <w:numFmt w:val="bullet"/>
      <w:lvlText w:val=""/>
      <w:lvlJc w:val="left"/>
      <w:pPr>
        <w:ind w:left="810" w:hanging="360"/>
      </w:pPr>
      <w:rPr>
        <w:rFonts w:hint="default" w:ascii="Wingdings" w:hAnsi="Wingdings"/>
      </w:rPr>
    </w:lvl>
    <w:lvl w:ilvl="1" w:tentative="0">
      <w:start w:val="1"/>
      <w:numFmt w:val="lowerLetter"/>
      <w:lvlText w:val="%2)"/>
      <w:lvlJc w:val="left"/>
      <w:pPr>
        <w:ind w:left="1290" w:hanging="420"/>
      </w:pPr>
    </w:lvl>
    <w:lvl w:ilvl="2" w:tentative="0">
      <w:start w:val="1"/>
      <w:numFmt w:val="lowerRoman"/>
      <w:lvlText w:val="%3."/>
      <w:lvlJc w:val="right"/>
      <w:pPr>
        <w:ind w:left="1710" w:hanging="420"/>
      </w:pPr>
    </w:lvl>
    <w:lvl w:ilvl="3" w:tentative="0">
      <w:start w:val="1"/>
      <w:numFmt w:val="decimal"/>
      <w:lvlText w:val="%4."/>
      <w:lvlJc w:val="left"/>
      <w:pPr>
        <w:ind w:left="2130" w:hanging="420"/>
      </w:pPr>
    </w:lvl>
    <w:lvl w:ilvl="4" w:tentative="0">
      <w:start w:val="1"/>
      <w:numFmt w:val="lowerLetter"/>
      <w:lvlText w:val="%5)"/>
      <w:lvlJc w:val="left"/>
      <w:pPr>
        <w:ind w:left="2550" w:hanging="420"/>
      </w:pPr>
    </w:lvl>
    <w:lvl w:ilvl="5" w:tentative="0">
      <w:start w:val="1"/>
      <w:numFmt w:val="lowerRoman"/>
      <w:lvlText w:val="%6."/>
      <w:lvlJc w:val="right"/>
      <w:pPr>
        <w:ind w:left="2970" w:hanging="420"/>
      </w:pPr>
    </w:lvl>
    <w:lvl w:ilvl="6" w:tentative="0">
      <w:start w:val="1"/>
      <w:numFmt w:val="decimal"/>
      <w:lvlText w:val="%7."/>
      <w:lvlJc w:val="left"/>
      <w:pPr>
        <w:ind w:left="3390" w:hanging="420"/>
      </w:pPr>
    </w:lvl>
    <w:lvl w:ilvl="7" w:tentative="0">
      <w:start w:val="1"/>
      <w:numFmt w:val="lowerLetter"/>
      <w:lvlText w:val="%8)"/>
      <w:lvlJc w:val="left"/>
      <w:pPr>
        <w:ind w:left="3810" w:hanging="420"/>
      </w:pPr>
    </w:lvl>
    <w:lvl w:ilvl="8" w:tentative="0">
      <w:start w:val="1"/>
      <w:numFmt w:val="lowerRoman"/>
      <w:lvlText w:val="%9."/>
      <w:lvlJc w:val="right"/>
      <w:pPr>
        <w:ind w:left="4230" w:hanging="420"/>
      </w:pPr>
    </w:lvl>
  </w:abstractNum>
  <w:abstractNum w:abstractNumId="33">
    <w:nsid w:val="5EC90F7B"/>
    <w:multiLevelType w:val="multilevel"/>
    <w:tmpl w:val="5EC90F7B"/>
    <w:lvl w:ilvl="0" w:tentative="0">
      <w:start w:val="1"/>
      <w:numFmt w:val="bullet"/>
      <w:lvlText w:val=""/>
      <w:lvlJc w:val="left"/>
      <w:pPr>
        <w:ind w:left="522" w:hanging="420"/>
      </w:pPr>
      <w:rPr>
        <w:rFonts w:hint="default" w:ascii="Wingdings" w:hAnsi="Wingdings"/>
      </w:rPr>
    </w:lvl>
    <w:lvl w:ilvl="1" w:tentative="0">
      <w:start w:val="1"/>
      <w:numFmt w:val="bullet"/>
      <w:lvlText w:val=""/>
      <w:lvlJc w:val="left"/>
      <w:pPr>
        <w:ind w:left="942" w:hanging="420"/>
      </w:pPr>
      <w:rPr>
        <w:rFonts w:hint="default" w:ascii="Wingdings" w:hAnsi="Wingdings"/>
      </w:rPr>
    </w:lvl>
    <w:lvl w:ilvl="2" w:tentative="0">
      <w:start w:val="1"/>
      <w:numFmt w:val="bullet"/>
      <w:lvlText w:val=""/>
      <w:lvlJc w:val="left"/>
      <w:pPr>
        <w:ind w:left="1362" w:hanging="420"/>
      </w:pPr>
      <w:rPr>
        <w:rFonts w:hint="default" w:ascii="Wingdings" w:hAnsi="Wingdings"/>
      </w:rPr>
    </w:lvl>
    <w:lvl w:ilvl="3" w:tentative="0">
      <w:start w:val="1"/>
      <w:numFmt w:val="bullet"/>
      <w:lvlText w:val=""/>
      <w:lvlJc w:val="left"/>
      <w:pPr>
        <w:ind w:left="1782" w:hanging="420"/>
      </w:pPr>
      <w:rPr>
        <w:rFonts w:hint="default" w:ascii="Wingdings" w:hAnsi="Wingdings"/>
      </w:rPr>
    </w:lvl>
    <w:lvl w:ilvl="4" w:tentative="0">
      <w:start w:val="1"/>
      <w:numFmt w:val="bullet"/>
      <w:lvlText w:val=""/>
      <w:lvlJc w:val="left"/>
      <w:pPr>
        <w:ind w:left="2202" w:hanging="420"/>
      </w:pPr>
      <w:rPr>
        <w:rFonts w:hint="default" w:ascii="Wingdings" w:hAnsi="Wingdings"/>
      </w:rPr>
    </w:lvl>
    <w:lvl w:ilvl="5" w:tentative="0">
      <w:start w:val="1"/>
      <w:numFmt w:val="bullet"/>
      <w:lvlText w:val=""/>
      <w:lvlJc w:val="left"/>
      <w:pPr>
        <w:ind w:left="2622" w:hanging="420"/>
      </w:pPr>
      <w:rPr>
        <w:rFonts w:hint="default" w:ascii="Wingdings" w:hAnsi="Wingdings"/>
      </w:rPr>
    </w:lvl>
    <w:lvl w:ilvl="6" w:tentative="0">
      <w:start w:val="1"/>
      <w:numFmt w:val="bullet"/>
      <w:lvlText w:val=""/>
      <w:lvlJc w:val="left"/>
      <w:pPr>
        <w:ind w:left="3042" w:hanging="420"/>
      </w:pPr>
      <w:rPr>
        <w:rFonts w:hint="default" w:ascii="Wingdings" w:hAnsi="Wingdings"/>
      </w:rPr>
    </w:lvl>
    <w:lvl w:ilvl="7" w:tentative="0">
      <w:start w:val="1"/>
      <w:numFmt w:val="bullet"/>
      <w:lvlText w:val=""/>
      <w:lvlJc w:val="left"/>
      <w:pPr>
        <w:ind w:left="3462" w:hanging="420"/>
      </w:pPr>
      <w:rPr>
        <w:rFonts w:hint="default" w:ascii="Wingdings" w:hAnsi="Wingdings"/>
      </w:rPr>
    </w:lvl>
    <w:lvl w:ilvl="8" w:tentative="0">
      <w:start w:val="1"/>
      <w:numFmt w:val="bullet"/>
      <w:lvlText w:val=""/>
      <w:lvlJc w:val="left"/>
      <w:pPr>
        <w:ind w:left="3882" w:hanging="420"/>
      </w:pPr>
      <w:rPr>
        <w:rFonts w:hint="default" w:ascii="Wingdings" w:hAnsi="Wingdings"/>
      </w:rPr>
    </w:lvl>
  </w:abstractNum>
  <w:abstractNum w:abstractNumId="34">
    <w:nsid w:val="62940809"/>
    <w:multiLevelType w:val="multilevel"/>
    <w:tmpl w:val="62940809"/>
    <w:lvl w:ilvl="0" w:tentative="0">
      <w:start w:val="1"/>
      <w:numFmt w:val="bullet"/>
      <w:lvlText w:val=""/>
      <w:lvlJc w:val="left"/>
      <w:pPr>
        <w:ind w:left="960" w:hanging="420"/>
      </w:pPr>
      <w:rPr>
        <w:rFonts w:hint="default" w:ascii="Wingdings" w:hAnsi="Wingdings"/>
      </w:rPr>
    </w:lvl>
    <w:lvl w:ilvl="1" w:tentative="0">
      <w:start w:val="1"/>
      <w:numFmt w:val="bullet"/>
      <w:lvlText w:val=""/>
      <w:lvlJc w:val="left"/>
      <w:pPr>
        <w:ind w:left="1380" w:hanging="420"/>
      </w:pPr>
      <w:rPr>
        <w:rFonts w:hint="default" w:ascii="Wingdings" w:hAnsi="Wingdings"/>
      </w:rPr>
    </w:lvl>
    <w:lvl w:ilvl="2" w:tentative="0">
      <w:start w:val="1"/>
      <w:numFmt w:val="bullet"/>
      <w:lvlText w:val=""/>
      <w:lvlJc w:val="left"/>
      <w:pPr>
        <w:ind w:left="1800" w:hanging="420"/>
      </w:pPr>
      <w:rPr>
        <w:rFonts w:hint="default" w:ascii="Wingdings" w:hAnsi="Wingdings"/>
      </w:rPr>
    </w:lvl>
    <w:lvl w:ilvl="3" w:tentative="0">
      <w:start w:val="1"/>
      <w:numFmt w:val="bullet"/>
      <w:lvlText w:val=""/>
      <w:lvlJc w:val="left"/>
      <w:pPr>
        <w:ind w:left="2220" w:hanging="420"/>
      </w:pPr>
      <w:rPr>
        <w:rFonts w:hint="default" w:ascii="Wingdings" w:hAnsi="Wingdings"/>
      </w:rPr>
    </w:lvl>
    <w:lvl w:ilvl="4" w:tentative="0">
      <w:start w:val="1"/>
      <w:numFmt w:val="bullet"/>
      <w:lvlText w:val=""/>
      <w:lvlJc w:val="left"/>
      <w:pPr>
        <w:ind w:left="2640" w:hanging="420"/>
      </w:pPr>
      <w:rPr>
        <w:rFonts w:hint="default" w:ascii="Wingdings" w:hAnsi="Wingdings"/>
      </w:rPr>
    </w:lvl>
    <w:lvl w:ilvl="5" w:tentative="0">
      <w:start w:val="1"/>
      <w:numFmt w:val="bullet"/>
      <w:lvlText w:val=""/>
      <w:lvlJc w:val="left"/>
      <w:pPr>
        <w:ind w:left="3060" w:hanging="420"/>
      </w:pPr>
      <w:rPr>
        <w:rFonts w:hint="default" w:ascii="Wingdings" w:hAnsi="Wingdings"/>
      </w:rPr>
    </w:lvl>
    <w:lvl w:ilvl="6" w:tentative="0">
      <w:start w:val="1"/>
      <w:numFmt w:val="bullet"/>
      <w:lvlText w:val=""/>
      <w:lvlJc w:val="left"/>
      <w:pPr>
        <w:ind w:left="3480" w:hanging="420"/>
      </w:pPr>
      <w:rPr>
        <w:rFonts w:hint="default" w:ascii="Wingdings" w:hAnsi="Wingdings"/>
      </w:rPr>
    </w:lvl>
    <w:lvl w:ilvl="7" w:tentative="0">
      <w:start w:val="1"/>
      <w:numFmt w:val="bullet"/>
      <w:lvlText w:val=""/>
      <w:lvlJc w:val="left"/>
      <w:pPr>
        <w:ind w:left="3900" w:hanging="420"/>
      </w:pPr>
      <w:rPr>
        <w:rFonts w:hint="default" w:ascii="Wingdings" w:hAnsi="Wingdings"/>
      </w:rPr>
    </w:lvl>
    <w:lvl w:ilvl="8" w:tentative="0">
      <w:start w:val="1"/>
      <w:numFmt w:val="bullet"/>
      <w:lvlText w:val=""/>
      <w:lvlJc w:val="left"/>
      <w:pPr>
        <w:ind w:left="4320" w:hanging="420"/>
      </w:pPr>
      <w:rPr>
        <w:rFonts w:hint="default" w:ascii="Wingdings" w:hAnsi="Wingdings"/>
      </w:rPr>
    </w:lvl>
  </w:abstractNum>
  <w:abstractNum w:abstractNumId="35">
    <w:nsid w:val="67684132"/>
    <w:multiLevelType w:val="multilevel"/>
    <w:tmpl w:val="6768413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67DF1FDC"/>
    <w:multiLevelType w:val="multilevel"/>
    <w:tmpl w:val="67DF1FDC"/>
    <w:lvl w:ilvl="0" w:tentative="0">
      <w:start w:val="1"/>
      <w:numFmt w:val="decimal"/>
      <w:lvlText w:val="（%1）"/>
      <w:lvlJc w:val="left"/>
      <w:pPr>
        <w:ind w:left="485" w:hanging="420"/>
      </w:pPr>
      <w:rPr>
        <w:rFonts w:hint="default"/>
      </w:rPr>
    </w:lvl>
    <w:lvl w:ilvl="1" w:tentative="0">
      <w:start w:val="1"/>
      <w:numFmt w:val="lowerLetter"/>
      <w:lvlText w:val="%2)"/>
      <w:lvlJc w:val="left"/>
      <w:pPr>
        <w:ind w:left="905" w:hanging="420"/>
      </w:pPr>
    </w:lvl>
    <w:lvl w:ilvl="2" w:tentative="0">
      <w:start w:val="1"/>
      <w:numFmt w:val="lowerRoman"/>
      <w:lvlText w:val="%3."/>
      <w:lvlJc w:val="right"/>
      <w:pPr>
        <w:ind w:left="1325" w:hanging="420"/>
      </w:pPr>
    </w:lvl>
    <w:lvl w:ilvl="3" w:tentative="0">
      <w:start w:val="1"/>
      <w:numFmt w:val="decimal"/>
      <w:lvlText w:val="%4."/>
      <w:lvlJc w:val="left"/>
      <w:pPr>
        <w:ind w:left="1745" w:hanging="420"/>
      </w:pPr>
    </w:lvl>
    <w:lvl w:ilvl="4" w:tentative="0">
      <w:start w:val="1"/>
      <w:numFmt w:val="lowerLetter"/>
      <w:lvlText w:val="%5)"/>
      <w:lvlJc w:val="left"/>
      <w:pPr>
        <w:ind w:left="2165" w:hanging="420"/>
      </w:pPr>
    </w:lvl>
    <w:lvl w:ilvl="5" w:tentative="0">
      <w:start w:val="1"/>
      <w:numFmt w:val="lowerRoman"/>
      <w:lvlText w:val="%6."/>
      <w:lvlJc w:val="right"/>
      <w:pPr>
        <w:ind w:left="2585" w:hanging="420"/>
      </w:pPr>
    </w:lvl>
    <w:lvl w:ilvl="6" w:tentative="0">
      <w:start w:val="1"/>
      <w:numFmt w:val="decimal"/>
      <w:lvlText w:val="%7."/>
      <w:lvlJc w:val="left"/>
      <w:pPr>
        <w:ind w:left="3005" w:hanging="420"/>
      </w:pPr>
    </w:lvl>
    <w:lvl w:ilvl="7" w:tentative="0">
      <w:start w:val="1"/>
      <w:numFmt w:val="lowerLetter"/>
      <w:lvlText w:val="%8)"/>
      <w:lvlJc w:val="left"/>
      <w:pPr>
        <w:ind w:left="3425" w:hanging="420"/>
      </w:pPr>
    </w:lvl>
    <w:lvl w:ilvl="8" w:tentative="0">
      <w:start w:val="1"/>
      <w:numFmt w:val="lowerRoman"/>
      <w:lvlText w:val="%9."/>
      <w:lvlJc w:val="right"/>
      <w:pPr>
        <w:ind w:left="3845" w:hanging="420"/>
      </w:pPr>
    </w:lvl>
  </w:abstractNum>
  <w:abstractNum w:abstractNumId="37">
    <w:nsid w:val="731C55D6"/>
    <w:multiLevelType w:val="multilevel"/>
    <w:tmpl w:val="731C55D6"/>
    <w:lvl w:ilvl="0" w:tentative="0">
      <w:start w:val="1"/>
      <w:numFmt w:val="bullet"/>
      <w:lvlText w:val=""/>
      <w:lvlJc w:val="left"/>
      <w:pPr>
        <w:ind w:left="960" w:hanging="420"/>
      </w:pPr>
      <w:rPr>
        <w:rFonts w:hint="default" w:ascii="Wingdings" w:hAnsi="Wingdings"/>
      </w:rPr>
    </w:lvl>
    <w:lvl w:ilvl="1" w:tentative="0">
      <w:start w:val="1"/>
      <w:numFmt w:val="bullet"/>
      <w:lvlText w:val=""/>
      <w:lvlJc w:val="left"/>
      <w:pPr>
        <w:ind w:left="1380" w:hanging="420"/>
      </w:pPr>
      <w:rPr>
        <w:rFonts w:hint="default" w:ascii="Wingdings" w:hAnsi="Wingdings"/>
      </w:rPr>
    </w:lvl>
    <w:lvl w:ilvl="2" w:tentative="0">
      <w:start w:val="1"/>
      <w:numFmt w:val="bullet"/>
      <w:lvlText w:val=""/>
      <w:lvlJc w:val="left"/>
      <w:pPr>
        <w:ind w:left="1800" w:hanging="420"/>
      </w:pPr>
      <w:rPr>
        <w:rFonts w:hint="default" w:ascii="Wingdings" w:hAnsi="Wingdings"/>
      </w:rPr>
    </w:lvl>
    <w:lvl w:ilvl="3" w:tentative="0">
      <w:start w:val="1"/>
      <w:numFmt w:val="bullet"/>
      <w:lvlText w:val=""/>
      <w:lvlJc w:val="left"/>
      <w:pPr>
        <w:ind w:left="2220" w:hanging="420"/>
      </w:pPr>
      <w:rPr>
        <w:rFonts w:hint="default" w:ascii="Wingdings" w:hAnsi="Wingdings"/>
      </w:rPr>
    </w:lvl>
    <w:lvl w:ilvl="4" w:tentative="0">
      <w:start w:val="1"/>
      <w:numFmt w:val="bullet"/>
      <w:lvlText w:val=""/>
      <w:lvlJc w:val="left"/>
      <w:pPr>
        <w:ind w:left="2640" w:hanging="420"/>
      </w:pPr>
      <w:rPr>
        <w:rFonts w:hint="default" w:ascii="Wingdings" w:hAnsi="Wingdings"/>
      </w:rPr>
    </w:lvl>
    <w:lvl w:ilvl="5" w:tentative="0">
      <w:start w:val="1"/>
      <w:numFmt w:val="bullet"/>
      <w:lvlText w:val=""/>
      <w:lvlJc w:val="left"/>
      <w:pPr>
        <w:ind w:left="3060" w:hanging="420"/>
      </w:pPr>
      <w:rPr>
        <w:rFonts w:hint="default" w:ascii="Wingdings" w:hAnsi="Wingdings"/>
      </w:rPr>
    </w:lvl>
    <w:lvl w:ilvl="6" w:tentative="0">
      <w:start w:val="1"/>
      <w:numFmt w:val="bullet"/>
      <w:lvlText w:val=""/>
      <w:lvlJc w:val="left"/>
      <w:pPr>
        <w:ind w:left="3480" w:hanging="420"/>
      </w:pPr>
      <w:rPr>
        <w:rFonts w:hint="default" w:ascii="Wingdings" w:hAnsi="Wingdings"/>
      </w:rPr>
    </w:lvl>
    <w:lvl w:ilvl="7" w:tentative="0">
      <w:start w:val="1"/>
      <w:numFmt w:val="bullet"/>
      <w:lvlText w:val=""/>
      <w:lvlJc w:val="left"/>
      <w:pPr>
        <w:ind w:left="3900" w:hanging="420"/>
      </w:pPr>
      <w:rPr>
        <w:rFonts w:hint="default" w:ascii="Wingdings" w:hAnsi="Wingdings"/>
      </w:rPr>
    </w:lvl>
    <w:lvl w:ilvl="8" w:tentative="0">
      <w:start w:val="1"/>
      <w:numFmt w:val="bullet"/>
      <w:lvlText w:val=""/>
      <w:lvlJc w:val="left"/>
      <w:pPr>
        <w:ind w:left="4320" w:hanging="420"/>
      </w:pPr>
      <w:rPr>
        <w:rFonts w:hint="default" w:ascii="Wingdings" w:hAnsi="Wingdings"/>
      </w:rPr>
    </w:lvl>
  </w:abstractNum>
  <w:abstractNum w:abstractNumId="38">
    <w:nsid w:val="75EF3568"/>
    <w:multiLevelType w:val="multilevel"/>
    <w:tmpl w:val="75EF3568"/>
    <w:lvl w:ilvl="0" w:tentative="0">
      <w:start w:val="1"/>
      <w:numFmt w:val="bullet"/>
      <w:lvlText w:val=""/>
      <w:lvlJc w:val="left"/>
      <w:pPr>
        <w:ind w:left="960" w:hanging="420"/>
      </w:pPr>
      <w:rPr>
        <w:rFonts w:hint="default" w:ascii="Wingdings" w:hAnsi="Wingdings"/>
      </w:rPr>
    </w:lvl>
    <w:lvl w:ilvl="1" w:tentative="0">
      <w:start w:val="1"/>
      <w:numFmt w:val="bullet"/>
      <w:lvlText w:val=""/>
      <w:lvlJc w:val="left"/>
      <w:pPr>
        <w:ind w:left="1380" w:hanging="420"/>
      </w:pPr>
      <w:rPr>
        <w:rFonts w:hint="default" w:ascii="Wingdings" w:hAnsi="Wingdings"/>
      </w:rPr>
    </w:lvl>
    <w:lvl w:ilvl="2" w:tentative="0">
      <w:start w:val="1"/>
      <w:numFmt w:val="bullet"/>
      <w:lvlText w:val=""/>
      <w:lvlJc w:val="left"/>
      <w:pPr>
        <w:ind w:left="1800" w:hanging="420"/>
      </w:pPr>
      <w:rPr>
        <w:rFonts w:hint="default" w:ascii="Wingdings" w:hAnsi="Wingdings"/>
      </w:rPr>
    </w:lvl>
    <w:lvl w:ilvl="3" w:tentative="0">
      <w:start w:val="1"/>
      <w:numFmt w:val="bullet"/>
      <w:lvlText w:val=""/>
      <w:lvlJc w:val="left"/>
      <w:pPr>
        <w:ind w:left="2220" w:hanging="420"/>
      </w:pPr>
      <w:rPr>
        <w:rFonts w:hint="default" w:ascii="Wingdings" w:hAnsi="Wingdings"/>
      </w:rPr>
    </w:lvl>
    <w:lvl w:ilvl="4" w:tentative="0">
      <w:start w:val="1"/>
      <w:numFmt w:val="bullet"/>
      <w:lvlText w:val=""/>
      <w:lvlJc w:val="left"/>
      <w:pPr>
        <w:ind w:left="2640" w:hanging="420"/>
      </w:pPr>
      <w:rPr>
        <w:rFonts w:hint="default" w:ascii="Wingdings" w:hAnsi="Wingdings"/>
      </w:rPr>
    </w:lvl>
    <w:lvl w:ilvl="5" w:tentative="0">
      <w:start w:val="1"/>
      <w:numFmt w:val="bullet"/>
      <w:lvlText w:val=""/>
      <w:lvlJc w:val="left"/>
      <w:pPr>
        <w:ind w:left="3060" w:hanging="420"/>
      </w:pPr>
      <w:rPr>
        <w:rFonts w:hint="default" w:ascii="Wingdings" w:hAnsi="Wingdings"/>
      </w:rPr>
    </w:lvl>
    <w:lvl w:ilvl="6" w:tentative="0">
      <w:start w:val="1"/>
      <w:numFmt w:val="bullet"/>
      <w:lvlText w:val=""/>
      <w:lvlJc w:val="left"/>
      <w:pPr>
        <w:ind w:left="3480" w:hanging="420"/>
      </w:pPr>
      <w:rPr>
        <w:rFonts w:hint="default" w:ascii="Wingdings" w:hAnsi="Wingdings"/>
      </w:rPr>
    </w:lvl>
    <w:lvl w:ilvl="7" w:tentative="0">
      <w:start w:val="1"/>
      <w:numFmt w:val="bullet"/>
      <w:lvlText w:val=""/>
      <w:lvlJc w:val="left"/>
      <w:pPr>
        <w:ind w:left="3900" w:hanging="420"/>
      </w:pPr>
      <w:rPr>
        <w:rFonts w:hint="default" w:ascii="Wingdings" w:hAnsi="Wingdings"/>
      </w:rPr>
    </w:lvl>
    <w:lvl w:ilvl="8" w:tentative="0">
      <w:start w:val="1"/>
      <w:numFmt w:val="bullet"/>
      <w:lvlText w:val=""/>
      <w:lvlJc w:val="left"/>
      <w:pPr>
        <w:ind w:left="4320" w:hanging="420"/>
      </w:pPr>
      <w:rPr>
        <w:rFonts w:hint="default" w:ascii="Wingdings" w:hAnsi="Wingdings"/>
      </w:rPr>
    </w:lvl>
  </w:abstractNum>
  <w:abstractNum w:abstractNumId="39">
    <w:nsid w:val="77525605"/>
    <w:multiLevelType w:val="multilevel"/>
    <w:tmpl w:val="77525605"/>
    <w:lvl w:ilvl="0" w:tentative="0">
      <w:start w:val="1"/>
      <w:numFmt w:val="bullet"/>
      <w:lvlText w:val=""/>
      <w:lvlJc w:val="left"/>
      <w:pPr>
        <w:ind w:left="960" w:hanging="420"/>
      </w:pPr>
      <w:rPr>
        <w:rFonts w:hint="default" w:ascii="Wingdings" w:hAnsi="Wingdings"/>
      </w:rPr>
    </w:lvl>
    <w:lvl w:ilvl="1" w:tentative="0">
      <w:start w:val="1"/>
      <w:numFmt w:val="bullet"/>
      <w:lvlText w:val=""/>
      <w:lvlJc w:val="left"/>
      <w:pPr>
        <w:ind w:left="1380" w:hanging="420"/>
      </w:pPr>
      <w:rPr>
        <w:rFonts w:hint="default" w:ascii="Wingdings" w:hAnsi="Wingdings"/>
      </w:rPr>
    </w:lvl>
    <w:lvl w:ilvl="2" w:tentative="0">
      <w:start w:val="1"/>
      <w:numFmt w:val="bullet"/>
      <w:lvlText w:val=""/>
      <w:lvlJc w:val="left"/>
      <w:pPr>
        <w:ind w:left="1800" w:hanging="420"/>
      </w:pPr>
      <w:rPr>
        <w:rFonts w:hint="default" w:ascii="Wingdings" w:hAnsi="Wingdings"/>
      </w:rPr>
    </w:lvl>
    <w:lvl w:ilvl="3" w:tentative="0">
      <w:start w:val="1"/>
      <w:numFmt w:val="bullet"/>
      <w:lvlText w:val=""/>
      <w:lvlJc w:val="left"/>
      <w:pPr>
        <w:ind w:left="2220" w:hanging="420"/>
      </w:pPr>
      <w:rPr>
        <w:rFonts w:hint="default" w:ascii="Wingdings" w:hAnsi="Wingdings"/>
      </w:rPr>
    </w:lvl>
    <w:lvl w:ilvl="4" w:tentative="0">
      <w:start w:val="1"/>
      <w:numFmt w:val="bullet"/>
      <w:lvlText w:val=""/>
      <w:lvlJc w:val="left"/>
      <w:pPr>
        <w:ind w:left="2640" w:hanging="420"/>
      </w:pPr>
      <w:rPr>
        <w:rFonts w:hint="default" w:ascii="Wingdings" w:hAnsi="Wingdings"/>
      </w:rPr>
    </w:lvl>
    <w:lvl w:ilvl="5" w:tentative="0">
      <w:start w:val="1"/>
      <w:numFmt w:val="bullet"/>
      <w:lvlText w:val=""/>
      <w:lvlJc w:val="left"/>
      <w:pPr>
        <w:ind w:left="3060" w:hanging="420"/>
      </w:pPr>
      <w:rPr>
        <w:rFonts w:hint="default" w:ascii="Wingdings" w:hAnsi="Wingdings"/>
      </w:rPr>
    </w:lvl>
    <w:lvl w:ilvl="6" w:tentative="0">
      <w:start w:val="1"/>
      <w:numFmt w:val="bullet"/>
      <w:lvlText w:val=""/>
      <w:lvlJc w:val="left"/>
      <w:pPr>
        <w:ind w:left="3480" w:hanging="420"/>
      </w:pPr>
      <w:rPr>
        <w:rFonts w:hint="default" w:ascii="Wingdings" w:hAnsi="Wingdings"/>
      </w:rPr>
    </w:lvl>
    <w:lvl w:ilvl="7" w:tentative="0">
      <w:start w:val="1"/>
      <w:numFmt w:val="bullet"/>
      <w:lvlText w:val=""/>
      <w:lvlJc w:val="left"/>
      <w:pPr>
        <w:ind w:left="3900" w:hanging="420"/>
      </w:pPr>
      <w:rPr>
        <w:rFonts w:hint="default" w:ascii="Wingdings" w:hAnsi="Wingdings"/>
      </w:rPr>
    </w:lvl>
    <w:lvl w:ilvl="8" w:tentative="0">
      <w:start w:val="1"/>
      <w:numFmt w:val="bullet"/>
      <w:lvlText w:val=""/>
      <w:lvlJc w:val="left"/>
      <w:pPr>
        <w:ind w:left="4320" w:hanging="420"/>
      </w:pPr>
      <w:rPr>
        <w:rFonts w:hint="default" w:ascii="Wingdings" w:hAnsi="Wingdings"/>
      </w:rPr>
    </w:lvl>
  </w:abstractNum>
  <w:abstractNum w:abstractNumId="40">
    <w:nsid w:val="79921952"/>
    <w:multiLevelType w:val="multilevel"/>
    <w:tmpl w:val="79921952"/>
    <w:lvl w:ilvl="0" w:tentative="0">
      <w:start w:val="1"/>
      <w:numFmt w:val="decimal"/>
      <w:lvlText w:val="%1."/>
      <w:lvlJc w:val="left"/>
      <w:pPr>
        <w:ind w:left="902" w:hanging="420"/>
      </w:pPr>
      <w:rPr>
        <w:rFonts w:ascii="仿宋" w:hAnsi="仿宋" w:eastAsia="仿宋"/>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1">
    <w:nsid w:val="7FDA45AC"/>
    <w:multiLevelType w:val="singleLevel"/>
    <w:tmpl w:val="7FDA45AC"/>
    <w:lvl w:ilvl="0" w:tentative="0">
      <w:start w:val="1"/>
      <w:numFmt w:val="decimal"/>
      <w:lvlText w:val="%1"/>
      <w:lvlJc w:val="left"/>
      <w:pPr>
        <w:tabs>
          <w:tab w:val="left" w:pos="420"/>
        </w:tabs>
        <w:ind w:left="425" w:hanging="425"/>
      </w:pPr>
      <w:rPr>
        <w:rFonts w:hint="default"/>
      </w:rPr>
    </w:lvl>
  </w:abstractNum>
  <w:num w:numId="1">
    <w:abstractNumId w:val="8"/>
  </w:num>
  <w:num w:numId="2">
    <w:abstractNumId w:val="22"/>
  </w:num>
  <w:num w:numId="3">
    <w:abstractNumId w:val="14"/>
  </w:num>
  <w:num w:numId="4">
    <w:abstractNumId w:val="3"/>
  </w:num>
  <w:num w:numId="5">
    <w:abstractNumId w:val="1"/>
  </w:num>
  <w:num w:numId="6">
    <w:abstractNumId w:val="4"/>
  </w:num>
  <w:num w:numId="7">
    <w:abstractNumId w:val="26"/>
  </w:num>
  <w:num w:numId="8">
    <w:abstractNumId w:val="30"/>
  </w:num>
  <w:num w:numId="9">
    <w:abstractNumId w:val="17"/>
  </w:num>
  <w:num w:numId="10">
    <w:abstractNumId w:val="41"/>
  </w:num>
  <w:num w:numId="11">
    <w:abstractNumId w:val="37"/>
  </w:num>
  <w:num w:numId="12">
    <w:abstractNumId w:val="16"/>
  </w:num>
  <w:num w:numId="13">
    <w:abstractNumId w:val="35"/>
  </w:num>
  <w:num w:numId="14">
    <w:abstractNumId w:val="9"/>
  </w:num>
  <w:num w:numId="15">
    <w:abstractNumId w:val="32"/>
  </w:num>
  <w:num w:numId="16">
    <w:abstractNumId w:val="31"/>
  </w:num>
  <w:num w:numId="17">
    <w:abstractNumId w:val="12"/>
  </w:num>
  <w:num w:numId="18">
    <w:abstractNumId w:val="33"/>
  </w:num>
  <w:num w:numId="19">
    <w:abstractNumId w:val="21"/>
  </w:num>
  <w:num w:numId="20">
    <w:abstractNumId w:val="36"/>
  </w:num>
  <w:num w:numId="21">
    <w:abstractNumId w:val="39"/>
  </w:num>
  <w:num w:numId="22">
    <w:abstractNumId w:val="15"/>
  </w:num>
  <w:num w:numId="23">
    <w:abstractNumId w:val="20"/>
  </w:num>
  <w:num w:numId="24">
    <w:abstractNumId w:val="23"/>
  </w:num>
  <w:num w:numId="25">
    <w:abstractNumId w:val="38"/>
  </w:num>
  <w:num w:numId="26">
    <w:abstractNumId w:val="11"/>
  </w:num>
  <w:num w:numId="27">
    <w:abstractNumId w:val="10"/>
  </w:num>
  <w:num w:numId="28">
    <w:abstractNumId w:val="28"/>
  </w:num>
  <w:num w:numId="29">
    <w:abstractNumId w:val="19"/>
  </w:num>
  <w:num w:numId="30">
    <w:abstractNumId w:val="18"/>
  </w:num>
  <w:num w:numId="31">
    <w:abstractNumId w:val="34"/>
  </w:num>
  <w:num w:numId="32">
    <w:abstractNumId w:val="6"/>
  </w:num>
  <w:num w:numId="33">
    <w:abstractNumId w:val="27"/>
  </w:num>
  <w:num w:numId="34">
    <w:abstractNumId w:val="7"/>
  </w:num>
  <w:num w:numId="35">
    <w:abstractNumId w:val="0"/>
  </w:num>
  <w:num w:numId="36">
    <w:abstractNumId w:val="5"/>
  </w:num>
  <w:num w:numId="37">
    <w:abstractNumId w:val="2"/>
  </w:num>
  <w:num w:numId="38">
    <w:abstractNumId w:val="13"/>
  </w:num>
  <w:num w:numId="39">
    <w:abstractNumId w:val="29"/>
  </w:num>
  <w:num w:numId="40">
    <w:abstractNumId w:val="40"/>
  </w:num>
  <w:num w:numId="41">
    <w:abstractNumId w:val="24"/>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0M2Q0OGEzZWVjYjUwYjRhN2MxMDkwZGViOGM5MjYifQ=="/>
  </w:docVars>
  <w:rsids>
    <w:rsidRoot w:val="008F768F"/>
    <w:rsid w:val="00012154"/>
    <w:rsid w:val="000240E8"/>
    <w:rsid w:val="000436D5"/>
    <w:rsid w:val="00060822"/>
    <w:rsid w:val="00070E44"/>
    <w:rsid w:val="0007581A"/>
    <w:rsid w:val="000D1434"/>
    <w:rsid w:val="000D48ED"/>
    <w:rsid w:val="000E596C"/>
    <w:rsid w:val="001401B4"/>
    <w:rsid w:val="00147071"/>
    <w:rsid w:val="001577C9"/>
    <w:rsid w:val="001B00E0"/>
    <w:rsid w:val="001F2340"/>
    <w:rsid w:val="00203F0B"/>
    <w:rsid w:val="0021121D"/>
    <w:rsid w:val="00213E1D"/>
    <w:rsid w:val="0022635C"/>
    <w:rsid w:val="00230933"/>
    <w:rsid w:val="0024243C"/>
    <w:rsid w:val="00252664"/>
    <w:rsid w:val="00270A3F"/>
    <w:rsid w:val="00276AC9"/>
    <w:rsid w:val="00277FD9"/>
    <w:rsid w:val="002E70CA"/>
    <w:rsid w:val="002F575A"/>
    <w:rsid w:val="003064E9"/>
    <w:rsid w:val="00311B3C"/>
    <w:rsid w:val="003122C1"/>
    <w:rsid w:val="00313C37"/>
    <w:rsid w:val="0031548B"/>
    <w:rsid w:val="00332C65"/>
    <w:rsid w:val="0034296D"/>
    <w:rsid w:val="00347541"/>
    <w:rsid w:val="00375CB5"/>
    <w:rsid w:val="003A1818"/>
    <w:rsid w:val="003A1EA2"/>
    <w:rsid w:val="003A3804"/>
    <w:rsid w:val="003B6317"/>
    <w:rsid w:val="003B6D14"/>
    <w:rsid w:val="003C032F"/>
    <w:rsid w:val="003F3DE2"/>
    <w:rsid w:val="00431F1B"/>
    <w:rsid w:val="00463107"/>
    <w:rsid w:val="004826CE"/>
    <w:rsid w:val="004930F8"/>
    <w:rsid w:val="00493D9B"/>
    <w:rsid w:val="004B7DE8"/>
    <w:rsid w:val="004F7597"/>
    <w:rsid w:val="00531ED4"/>
    <w:rsid w:val="005456C8"/>
    <w:rsid w:val="00546F44"/>
    <w:rsid w:val="005741B2"/>
    <w:rsid w:val="0059539E"/>
    <w:rsid w:val="00595D0D"/>
    <w:rsid w:val="005B4075"/>
    <w:rsid w:val="005D0BD9"/>
    <w:rsid w:val="005E24E4"/>
    <w:rsid w:val="005F514F"/>
    <w:rsid w:val="00600B0B"/>
    <w:rsid w:val="00604F85"/>
    <w:rsid w:val="006247C2"/>
    <w:rsid w:val="00624BBA"/>
    <w:rsid w:val="00647336"/>
    <w:rsid w:val="00647F66"/>
    <w:rsid w:val="00650897"/>
    <w:rsid w:val="006574D1"/>
    <w:rsid w:val="00683B48"/>
    <w:rsid w:val="00692472"/>
    <w:rsid w:val="006C059C"/>
    <w:rsid w:val="00717136"/>
    <w:rsid w:val="00726D94"/>
    <w:rsid w:val="00786696"/>
    <w:rsid w:val="007B37CD"/>
    <w:rsid w:val="0081259D"/>
    <w:rsid w:val="00822AA3"/>
    <w:rsid w:val="008235AD"/>
    <w:rsid w:val="008336DB"/>
    <w:rsid w:val="00895C3E"/>
    <w:rsid w:val="008971ED"/>
    <w:rsid w:val="008A255D"/>
    <w:rsid w:val="008C4DE6"/>
    <w:rsid w:val="008D2815"/>
    <w:rsid w:val="008D2CCA"/>
    <w:rsid w:val="008D524D"/>
    <w:rsid w:val="008E3ACC"/>
    <w:rsid w:val="008F0EFC"/>
    <w:rsid w:val="008F768F"/>
    <w:rsid w:val="009020F3"/>
    <w:rsid w:val="00913535"/>
    <w:rsid w:val="00940E40"/>
    <w:rsid w:val="009547C2"/>
    <w:rsid w:val="009640AB"/>
    <w:rsid w:val="00984F66"/>
    <w:rsid w:val="009B5C7B"/>
    <w:rsid w:val="009E45D9"/>
    <w:rsid w:val="00A04085"/>
    <w:rsid w:val="00A05A9F"/>
    <w:rsid w:val="00A469F3"/>
    <w:rsid w:val="00A9146F"/>
    <w:rsid w:val="00AF5DF5"/>
    <w:rsid w:val="00B31AB2"/>
    <w:rsid w:val="00B335C7"/>
    <w:rsid w:val="00B45776"/>
    <w:rsid w:val="00B63E62"/>
    <w:rsid w:val="00BA18F1"/>
    <w:rsid w:val="00BB72DB"/>
    <w:rsid w:val="00BD03D1"/>
    <w:rsid w:val="00BE7B76"/>
    <w:rsid w:val="00BF0E2C"/>
    <w:rsid w:val="00C009BC"/>
    <w:rsid w:val="00C10725"/>
    <w:rsid w:val="00C20842"/>
    <w:rsid w:val="00C26804"/>
    <w:rsid w:val="00C3266D"/>
    <w:rsid w:val="00C413BB"/>
    <w:rsid w:val="00C53702"/>
    <w:rsid w:val="00C923D7"/>
    <w:rsid w:val="00C9633A"/>
    <w:rsid w:val="00CB25C7"/>
    <w:rsid w:val="00CB6EF9"/>
    <w:rsid w:val="00CD36C7"/>
    <w:rsid w:val="00CE1794"/>
    <w:rsid w:val="00D001B4"/>
    <w:rsid w:val="00D1764D"/>
    <w:rsid w:val="00D62609"/>
    <w:rsid w:val="00D6488B"/>
    <w:rsid w:val="00D84ACF"/>
    <w:rsid w:val="00DD3A0F"/>
    <w:rsid w:val="00DE6460"/>
    <w:rsid w:val="00DF1843"/>
    <w:rsid w:val="00E076E8"/>
    <w:rsid w:val="00E5599D"/>
    <w:rsid w:val="00E570DC"/>
    <w:rsid w:val="00E60D7B"/>
    <w:rsid w:val="00E7331B"/>
    <w:rsid w:val="00E84871"/>
    <w:rsid w:val="00EC32C6"/>
    <w:rsid w:val="00EC6099"/>
    <w:rsid w:val="00F86F67"/>
    <w:rsid w:val="00FA4C81"/>
    <w:rsid w:val="00FD238F"/>
    <w:rsid w:val="00FD73A2"/>
    <w:rsid w:val="00FF2AF0"/>
    <w:rsid w:val="00FF335B"/>
    <w:rsid w:val="0116695B"/>
    <w:rsid w:val="014968AE"/>
    <w:rsid w:val="01913886"/>
    <w:rsid w:val="019E79DE"/>
    <w:rsid w:val="022E44A8"/>
    <w:rsid w:val="02AB35FE"/>
    <w:rsid w:val="02F40AD1"/>
    <w:rsid w:val="02FE7671"/>
    <w:rsid w:val="036B7779"/>
    <w:rsid w:val="03734ADF"/>
    <w:rsid w:val="03FB63B5"/>
    <w:rsid w:val="04322A5E"/>
    <w:rsid w:val="0449786B"/>
    <w:rsid w:val="04F91E26"/>
    <w:rsid w:val="05085485"/>
    <w:rsid w:val="050F34BF"/>
    <w:rsid w:val="058B6285"/>
    <w:rsid w:val="05E508B2"/>
    <w:rsid w:val="07153831"/>
    <w:rsid w:val="07603356"/>
    <w:rsid w:val="0797489E"/>
    <w:rsid w:val="07D368C8"/>
    <w:rsid w:val="08264137"/>
    <w:rsid w:val="090F79F0"/>
    <w:rsid w:val="09D66AA7"/>
    <w:rsid w:val="0AA25E8A"/>
    <w:rsid w:val="0AFA0B76"/>
    <w:rsid w:val="0B050689"/>
    <w:rsid w:val="0B3D491E"/>
    <w:rsid w:val="0C0B585A"/>
    <w:rsid w:val="0C4D19CF"/>
    <w:rsid w:val="0CC95680"/>
    <w:rsid w:val="0CCE292F"/>
    <w:rsid w:val="0D690A8B"/>
    <w:rsid w:val="0D95214A"/>
    <w:rsid w:val="0E7B5A30"/>
    <w:rsid w:val="0E885E03"/>
    <w:rsid w:val="0F1948E0"/>
    <w:rsid w:val="0F7368FB"/>
    <w:rsid w:val="0FAC640A"/>
    <w:rsid w:val="1015614F"/>
    <w:rsid w:val="10892E0D"/>
    <w:rsid w:val="114008B9"/>
    <w:rsid w:val="11AA3FCA"/>
    <w:rsid w:val="11E41DAF"/>
    <w:rsid w:val="1227056E"/>
    <w:rsid w:val="13322174"/>
    <w:rsid w:val="138550A4"/>
    <w:rsid w:val="142774C9"/>
    <w:rsid w:val="1444190A"/>
    <w:rsid w:val="145762C8"/>
    <w:rsid w:val="14A5684C"/>
    <w:rsid w:val="14BE790E"/>
    <w:rsid w:val="14EB1151"/>
    <w:rsid w:val="157B36DF"/>
    <w:rsid w:val="158A7E0C"/>
    <w:rsid w:val="169C0B88"/>
    <w:rsid w:val="16E058F3"/>
    <w:rsid w:val="17485BB5"/>
    <w:rsid w:val="177E3104"/>
    <w:rsid w:val="17C57205"/>
    <w:rsid w:val="18534B49"/>
    <w:rsid w:val="18630DC3"/>
    <w:rsid w:val="188D1124"/>
    <w:rsid w:val="19453AD7"/>
    <w:rsid w:val="1AE819FE"/>
    <w:rsid w:val="1BC80A84"/>
    <w:rsid w:val="1D9A2B0F"/>
    <w:rsid w:val="1DB94814"/>
    <w:rsid w:val="1EB51D82"/>
    <w:rsid w:val="1FB55DBC"/>
    <w:rsid w:val="21025026"/>
    <w:rsid w:val="21837E1B"/>
    <w:rsid w:val="21C55025"/>
    <w:rsid w:val="21CE6CB6"/>
    <w:rsid w:val="225D5D94"/>
    <w:rsid w:val="2260306B"/>
    <w:rsid w:val="22860533"/>
    <w:rsid w:val="22CA6707"/>
    <w:rsid w:val="22E04C80"/>
    <w:rsid w:val="23725A86"/>
    <w:rsid w:val="23961E40"/>
    <w:rsid w:val="23AE3CDD"/>
    <w:rsid w:val="23B5376A"/>
    <w:rsid w:val="23C20517"/>
    <w:rsid w:val="241966FE"/>
    <w:rsid w:val="25206CE5"/>
    <w:rsid w:val="253227FC"/>
    <w:rsid w:val="25BC1581"/>
    <w:rsid w:val="26202305"/>
    <w:rsid w:val="2680557E"/>
    <w:rsid w:val="27070CA1"/>
    <w:rsid w:val="277C4763"/>
    <w:rsid w:val="28232E75"/>
    <w:rsid w:val="28621B68"/>
    <w:rsid w:val="2876534F"/>
    <w:rsid w:val="28BC7870"/>
    <w:rsid w:val="29085F31"/>
    <w:rsid w:val="29787C34"/>
    <w:rsid w:val="29F64FFC"/>
    <w:rsid w:val="2A8D0A0D"/>
    <w:rsid w:val="2B580188"/>
    <w:rsid w:val="2B8925CC"/>
    <w:rsid w:val="2B895DA9"/>
    <w:rsid w:val="2BBF5AD0"/>
    <w:rsid w:val="2BDC46A1"/>
    <w:rsid w:val="2C316612"/>
    <w:rsid w:val="2C7F7AA2"/>
    <w:rsid w:val="2D235047"/>
    <w:rsid w:val="2DBF9492"/>
    <w:rsid w:val="2E3D58F0"/>
    <w:rsid w:val="2E9D7EEC"/>
    <w:rsid w:val="2F0633FF"/>
    <w:rsid w:val="2FE83639"/>
    <w:rsid w:val="301332B2"/>
    <w:rsid w:val="301F5B86"/>
    <w:rsid w:val="30307339"/>
    <w:rsid w:val="307E2BC8"/>
    <w:rsid w:val="319E43FC"/>
    <w:rsid w:val="31AF1567"/>
    <w:rsid w:val="32650F71"/>
    <w:rsid w:val="32656320"/>
    <w:rsid w:val="32A1790B"/>
    <w:rsid w:val="330B5718"/>
    <w:rsid w:val="331538C2"/>
    <w:rsid w:val="33482D6D"/>
    <w:rsid w:val="33694834"/>
    <w:rsid w:val="355C3BD7"/>
    <w:rsid w:val="35707234"/>
    <w:rsid w:val="35B46497"/>
    <w:rsid w:val="36964F45"/>
    <w:rsid w:val="37F052CD"/>
    <w:rsid w:val="38086A4E"/>
    <w:rsid w:val="38463015"/>
    <w:rsid w:val="38714CB7"/>
    <w:rsid w:val="390F0D9C"/>
    <w:rsid w:val="3A747613"/>
    <w:rsid w:val="3AC63A49"/>
    <w:rsid w:val="3B5A1C91"/>
    <w:rsid w:val="3B837F2C"/>
    <w:rsid w:val="3B89694A"/>
    <w:rsid w:val="3BDE522C"/>
    <w:rsid w:val="3D78783C"/>
    <w:rsid w:val="3DBF3C2B"/>
    <w:rsid w:val="3DF8501E"/>
    <w:rsid w:val="3E156A48"/>
    <w:rsid w:val="3E4F5F4D"/>
    <w:rsid w:val="3E812F9C"/>
    <w:rsid w:val="3EBF72B1"/>
    <w:rsid w:val="405A140B"/>
    <w:rsid w:val="41011F90"/>
    <w:rsid w:val="42B724C7"/>
    <w:rsid w:val="44082809"/>
    <w:rsid w:val="4453331F"/>
    <w:rsid w:val="44584EC6"/>
    <w:rsid w:val="44793574"/>
    <w:rsid w:val="44C059E3"/>
    <w:rsid w:val="44E73A68"/>
    <w:rsid w:val="44E87BCC"/>
    <w:rsid w:val="458D460F"/>
    <w:rsid w:val="45E976CB"/>
    <w:rsid w:val="45F621B4"/>
    <w:rsid w:val="45FF126D"/>
    <w:rsid w:val="461F0465"/>
    <w:rsid w:val="46364CA7"/>
    <w:rsid w:val="47017063"/>
    <w:rsid w:val="47617282"/>
    <w:rsid w:val="476A4C9B"/>
    <w:rsid w:val="47833F1C"/>
    <w:rsid w:val="47AE36A8"/>
    <w:rsid w:val="47C5516E"/>
    <w:rsid w:val="482C3E70"/>
    <w:rsid w:val="48865C6A"/>
    <w:rsid w:val="49024E97"/>
    <w:rsid w:val="49B50CC9"/>
    <w:rsid w:val="4A1E3463"/>
    <w:rsid w:val="4AD76867"/>
    <w:rsid w:val="4BB74194"/>
    <w:rsid w:val="4BE63B3A"/>
    <w:rsid w:val="4C2B06D5"/>
    <w:rsid w:val="4C6007E8"/>
    <w:rsid w:val="4C6C6F86"/>
    <w:rsid w:val="4D3F250B"/>
    <w:rsid w:val="4D560A65"/>
    <w:rsid w:val="4D9C043D"/>
    <w:rsid w:val="4EDB48B3"/>
    <w:rsid w:val="4EF9775E"/>
    <w:rsid w:val="4F41268B"/>
    <w:rsid w:val="5032028D"/>
    <w:rsid w:val="5036473D"/>
    <w:rsid w:val="509D6448"/>
    <w:rsid w:val="50D95386"/>
    <w:rsid w:val="512849B4"/>
    <w:rsid w:val="513B6594"/>
    <w:rsid w:val="52EF4B5B"/>
    <w:rsid w:val="53045892"/>
    <w:rsid w:val="537C37DA"/>
    <w:rsid w:val="539851DE"/>
    <w:rsid w:val="53BB7AC6"/>
    <w:rsid w:val="54B25E40"/>
    <w:rsid w:val="54DE2985"/>
    <w:rsid w:val="55645125"/>
    <w:rsid w:val="55775EBE"/>
    <w:rsid w:val="56137CBD"/>
    <w:rsid w:val="565371AF"/>
    <w:rsid w:val="56E754E2"/>
    <w:rsid w:val="57170F14"/>
    <w:rsid w:val="575925A3"/>
    <w:rsid w:val="57FE41EC"/>
    <w:rsid w:val="580E0852"/>
    <w:rsid w:val="581F402F"/>
    <w:rsid w:val="586236D9"/>
    <w:rsid w:val="586409B4"/>
    <w:rsid w:val="593C13F7"/>
    <w:rsid w:val="59807ACC"/>
    <w:rsid w:val="5A0D4C2A"/>
    <w:rsid w:val="5A9A1850"/>
    <w:rsid w:val="5B2D2EA7"/>
    <w:rsid w:val="5B4F0D24"/>
    <w:rsid w:val="5BE451AE"/>
    <w:rsid w:val="5BFD2097"/>
    <w:rsid w:val="5D14741A"/>
    <w:rsid w:val="5D180D77"/>
    <w:rsid w:val="5D887DE5"/>
    <w:rsid w:val="5D8A21D0"/>
    <w:rsid w:val="5DA4554F"/>
    <w:rsid w:val="5ED76C43"/>
    <w:rsid w:val="5F6C28D6"/>
    <w:rsid w:val="5F7F1A04"/>
    <w:rsid w:val="5FB30E80"/>
    <w:rsid w:val="5FE1401E"/>
    <w:rsid w:val="5FF84FB5"/>
    <w:rsid w:val="60475DB3"/>
    <w:rsid w:val="62B63923"/>
    <w:rsid w:val="6353658A"/>
    <w:rsid w:val="63730D18"/>
    <w:rsid w:val="63B23767"/>
    <w:rsid w:val="64714F12"/>
    <w:rsid w:val="64B71726"/>
    <w:rsid w:val="65041A83"/>
    <w:rsid w:val="65416DF6"/>
    <w:rsid w:val="6584234F"/>
    <w:rsid w:val="65921F7B"/>
    <w:rsid w:val="66886A01"/>
    <w:rsid w:val="67010D36"/>
    <w:rsid w:val="67073707"/>
    <w:rsid w:val="672633AB"/>
    <w:rsid w:val="67C40E85"/>
    <w:rsid w:val="691A5F41"/>
    <w:rsid w:val="692F7608"/>
    <w:rsid w:val="694E4FEF"/>
    <w:rsid w:val="696461DC"/>
    <w:rsid w:val="696C085C"/>
    <w:rsid w:val="69E37E90"/>
    <w:rsid w:val="6A3B1D84"/>
    <w:rsid w:val="6A795420"/>
    <w:rsid w:val="6A7E0847"/>
    <w:rsid w:val="6A843983"/>
    <w:rsid w:val="6A9821BB"/>
    <w:rsid w:val="6B7576CC"/>
    <w:rsid w:val="6BBD240B"/>
    <w:rsid w:val="6C027255"/>
    <w:rsid w:val="6C8330DD"/>
    <w:rsid w:val="6CD54217"/>
    <w:rsid w:val="6DAC7479"/>
    <w:rsid w:val="6E6A20D8"/>
    <w:rsid w:val="6EC77861"/>
    <w:rsid w:val="6EF21F0C"/>
    <w:rsid w:val="6F7FA2B1"/>
    <w:rsid w:val="709C3BB7"/>
    <w:rsid w:val="71E80C9B"/>
    <w:rsid w:val="72DD3FF1"/>
    <w:rsid w:val="74234346"/>
    <w:rsid w:val="743E4BA3"/>
    <w:rsid w:val="74855DAB"/>
    <w:rsid w:val="74E45B56"/>
    <w:rsid w:val="74FF56AC"/>
    <w:rsid w:val="75C96DB0"/>
    <w:rsid w:val="769F328C"/>
    <w:rsid w:val="76B37401"/>
    <w:rsid w:val="76C3E564"/>
    <w:rsid w:val="78112CFA"/>
    <w:rsid w:val="7AC53B9E"/>
    <w:rsid w:val="7B185593"/>
    <w:rsid w:val="7B8901C2"/>
    <w:rsid w:val="7BBFCB17"/>
    <w:rsid w:val="7BC862A6"/>
    <w:rsid w:val="7BDF1CEE"/>
    <w:rsid w:val="7BF4B524"/>
    <w:rsid w:val="7BF87D2D"/>
    <w:rsid w:val="7C8C7E7B"/>
    <w:rsid w:val="7D053890"/>
    <w:rsid w:val="7D4255CB"/>
    <w:rsid w:val="7D8201F6"/>
    <w:rsid w:val="7DB50AFF"/>
    <w:rsid w:val="7DDF4EDF"/>
    <w:rsid w:val="7E066731"/>
    <w:rsid w:val="7E775E49"/>
    <w:rsid w:val="7E894FBE"/>
    <w:rsid w:val="7EB01103"/>
    <w:rsid w:val="7EF55F25"/>
    <w:rsid w:val="7EFDE1C7"/>
    <w:rsid w:val="7F131073"/>
    <w:rsid w:val="7F74674F"/>
    <w:rsid w:val="7FA206DC"/>
    <w:rsid w:val="8F3B4C90"/>
    <w:rsid w:val="B777D1C0"/>
    <w:rsid w:val="BAEFC39E"/>
    <w:rsid w:val="BDD6CDDE"/>
    <w:rsid w:val="BFEE842D"/>
    <w:rsid w:val="DFAF9854"/>
    <w:rsid w:val="DFFF125D"/>
    <w:rsid w:val="F6FDDD9A"/>
    <w:rsid w:val="F7BFDBA4"/>
    <w:rsid w:val="FD6C1D2A"/>
    <w:rsid w:val="FEE16AA6"/>
    <w:rsid w:val="FEEB2D50"/>
    <w:rsid w:val="FF1FFC98"/>
    <w:rsid w:val="FFA9AA3E"/>
    <w:rsid w:val="FFBF6F89"/>
    <w:rsid w:val="FFC2E2EC"/>
    <w:rsid w:val="FFFE0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qFormat="1"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79"/>
    <w:qFormat/>
    <w:uiPriority w:val="0"/>
    <w:pPr>
      <w:keepNext/>
      <w:keepLines/>
      <w:autoSpaceDE w:val="0"/>
      <w:autoSpaceDN w:val="0"/>
      <w:adjustRightInd w:val="0"/>
      <w:spacing w:before="120" w:line="300" w:lineRule="auto"/>
      <w:jc w:val="center"/>
      <w:outlineLvl w:val="1"/>
    </w:pPr>
    <w:rPr>
      <w:rFonts w:eastAsia="黑体"/>
      <w:b/>
      <w:sz w:val="30"/>
      <w:szCs w:val="20"/>
    </w:rPr>
  </w:style>
  <w:style w:type="paragraph" w:styleId="5">
    <w:name w:val="heading 3"/>
    <w:basedOn w:val="1"/>
    <w:next w:val="1"/>
    <w:link w:val="80"/>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81"/>
    <w:qFormat/>
    <w:uiPriority w:val="0"/>
    <w:pPr>
      <w:keepNext/>
      <w:keepLines/>
      <w:numPr>
        <w:ilvl w:val="3"/>
        <w:numId w:val="1"/>
      </w:numPr>
      <w:ind w:firstLine="0"/>
      <w:outlineLvl w:val="3"/>
    </w:pPr>
    <w:rPr>
      <w:b/>
      <w:bCs/>
      <w:szCs w:val="28"/>
    </w:rPr>
  </w:style>
  <w:style w:type="paragraph" w:styleId="7">
    <w:name w:val="heading 5"/>
    <w:basedOn w:val="1"/>
    <w:next w:val="8"/>
    <w:link w:val="70"/>
    <w:qFormat/>
    <w:uiPriority w:val="0"/>
    <w:pPr>
      <w:keepNext/>
      <w:keepLines/>
      <w:numPr>
        <w:ilvl w:val="4"/>
        <w:numId w:val="1"/>
      </w:numPr>
      <w:tabs>
        <w:tab w:val="left" w:pos="1008"/>
      </w:tabs>
      <w:spacing w:before="280" w:after="290" w:line="376" w:lineRule="auto"/>
      <w:outlineLvl w:val="4"/>
    </w:pPr>
    <w:rPr>
      <w:b/>
      <w:bCs/>
      <w:sz w:val="24"/>
      <w:szCs w:val="28"/>
    </w:rPr>
  </w:style>
  <w:style w:type="paragraph" w:styleId="9">
    <w:name w:val="heading 6"/>
    <w:basedOn w:val="1"/>
    <w:next w:val="8"/>
    <w:link w:val="71"/>
    <w:qFormat/>
    <w:uiPriority w:val="0"/>
    <w:pPr>
      <w:keepNext/>
      <w:keepLines/>
      <w:numPr>
        <w:ilvl w:val="5"/>
        <w:numId w:val="1"/>
      </w:numPr>
      <w:tabs>
        <w:tab w:val="left" w:pos="1152"/>
      </w:tabs>
      <w:spacing w:before="240" w:after="64" w:line="320" w:lineRule="auto"/>
      <w:outlineLvl w:val="5"/>
    </w:pPr>
    <w:rPr>
      <w:rFonts w:ascii="Arial" w:hAnsi="Arial" w:eastAsia="黑体"/>
      <w:b/>
      <w:bCs/>
      <w:sz w:val="24"/>
    </w:rPr>
  </w:style>
  <w:style w:type="paragraph" w:styleId="10">
    <w:name w:val="heading 7"/>
    <w:basedOn w:val="1"/>
    <w:next w:val="1"/>
    <w:link w:val="72"/>
    <w:qFormat/>
    <w:uiPriority w:val="0"/>
    <w:pPr>
      <w:keepNext/>
      <w:keepLines/>
      <w:spacing w:before="240" w:after="64" w:line="320" w:lineRule="auto"/>
      <w:outlineLvl w:val="6"/>
    </w:pPr>
    <w:rPr>
      <w:b/>
      <w:bCs/>
      <w:sz w:val="24"/>
    </w:rPr>
  </w:style>
  <w:style w:type="paragraph" w:styleId="11">
    <w:name w:val="heading 8"/>
    <w:basedOn w:val="1"/>
    <w:next w:val="1"/>
    <w:link w:val="73"/>
    <w:qFormat/>
    <w:uiPriority w:val="0"/>
    <w:pPr>
      <w:keepNext/>
      <w:keepLines/>
      <w:spacing w:before="240" w:after="64" w:line="320" w:lineRule="auto"/>
      <w:ind w:left="1440" w:hanging="1440"/>
      <w:outlineLvl w:val="7"/>
    </w:pPr>
    <w:rPr>
      <w:rFonts w:ascii="Cambria" w:hAnsi="Cambria"/>
      <w:sz w:val="24"/>
    </w:rPr>
  </w:style>
  <w:style w:type="paragraph" w:styleId="12">
    <w:name w:val="heading 9"/>
    <w:basedOn w:val="1"/>
    <w:next w:val="1"/>
    <w:link w:val="74"/>
    <w:qFormat/>
    <w:uiPriority w:val="0"/>
    <w:pPr>
      <w:keepNext/>
      <w:keepLines/>
      <w:spacing w:before="240" w:after="64" w:line="320" w:lineRule="auto"/>
      <w:outlineLvl w:val="8"/>
    </w:pPr>
    <w:rPr>
      <w:rFonts w:ascii="Arial" w:hAnsi="Arial" w:eastAsia="黑体"/>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customStyle="1" w:styleId="8">
    <w:name w:val="标准正文样式"/>
    <w:basedOn w:val="1"/>
    <w:link w:val="69"/>
    <w:qFormat/>
    <w:uiPriority w:val="0"/>
    <w:pPr>
      <w:spacing w:line="300" w:lineRule="auto"/>
      <w:ind w:firstLine="200" w:firstLineChars="200"/>
    </w:pPr>
    <w:rPr>
      <w:sz w:val="24"/>
      <w:szCs w:val="20"/>
    </w:rPr>
  </w:style>
  <w:style w:type="paragraph" w:styleId="13">
    <w:name w:val="toc 7"/>
    <w:basedOn w:val="1"/>
    <w:next w:val="1"/>
    <w:qFormat/>
    <w:uiPriority w:val="39"/>
    <w:pPr>
      <w:ind w:left="1260"/>
      <w:jc w:val="left"/>
    </w:pPr>
    <w:rPr>
      <w:sz w:val="18"/>
      <w:szCs w:val="21"/>
    </w:rPr>
  </w:style>
  <w:style w:type="paragraph" w:styleId="14">
    <w:name w:val="List Bullet 4"/>
    <w:basedOn w:val="1"/>
    <w:qFormat/>
    <w:uiPriority w:val="0"/>
    <w:pPr>
      <w:widowControl/>
      <w:numPr>
        <w:ilvl w:val="0"/>
        <w:numId w:val="2"/>
      </w:numPr>
      <w:tabs>
        <w:tab w:val="left" w:pos="1134"/>
      </w:tabs>
      <w:adjustRightInd w:val="0"/>
      <w:snapToGrid w:val="0"/>
      <w:spacing w:before="120" w:line="280" w:lineRule="atLeast"/>
      <w:ind w:left="1418" w:hanging="284"/>
      <w:jc w:val="left"/>
    </w:pPr>
    <w:rPr>
      <w:rFonts w:ascii="宋体"/>
      <w:kern w:val="0"/>
      <w:sz w:val="22"/>
      <w:szCs w:val="20"/>
    </w:rPr>
  </w:style>
  <w:style w:type="paragraph" w:styleId="15">
    <w:name w:val="Normal Indent"/>
    <w:basedOn w:val="1"/>
    <w:next w:val="1"/>
    <w:link w:val="82"/>
    <w:qFormat/>
    <w:uiPriority w:val="0"/>
    <w:pPr>
      <w:autoSpaceDE w:val="0"/>
      <w:autoSpaceDN w:val="0"/>
      <w:adjustRightInd w:val="0"/>
      <w:ind w:firstLine="420"/>
      <w:jc w:val="left"/>
    </w:pPr>
    <w:rPr>
      <w:rFonts w:ascii="宋体"/>
      <w:kern w:val="0"/>
      <w:sz w:val="24"/>
      <w:szCs w:val="20"/>
    </w:rPr>
  </w:style>
  <w:style w:type="paragraph" w:styleId="16">
    <w:name w:val="caption"/>
    <w:basedOn w:val="1"/>
    <w:next w:val="1"/>
    <w:link w:val="83"/>
    <w:qFormat/>
    <w:uiPriority w:val="35"/>
    <w:rPr>
      <w:rFonts w:ascii="Arial" w:hAnsi="Arial" w:eastAsia="黑体" w:cs="Arial"/>
      <w:sz w:val="20"/>
      <w:szCs w:val="20"/>
    </w:rPr>
  </w:style>
  <w:style w:type="paragraph" w:styleId="17">
    <w:name w:val="Document Map"/>
    <w:basedOn w:val="1"/>
    <w:link w:val="84"/>
    <w:qFormat/>
    <w:uiPriority w:val="0"/>
    <w:pPr>
      <w:shd w:val="clear" w:color="auto" w:fill="000080"/>
    </w:pPr>
  </w:style>
  <w:style w:type="paragraph" w:styleId="18">
    <w:name w:val="annotation text"/>
    <w:basedOn w:val="1"/>
    <w:link w:val="67"/>
    <w:qFormat/>
    <w:uiPriority w:val="0"/>
    <w:pPr>
      <w:jc w:val="left"/>
    </w:pPr>
  </w:style>
  <w:style w:type="paragraph" w:styleId="19">
    <w:name w:val="Body Text"/>
    <w:basedOn w:val="1"/>
    <w:next w:val="1"/>
    <w:link w:val="92"/>
    <w:qFormat/>
    <w:uiPriority w:val="99"/>
    <w:pPr>
      <w:tabs>
        <w:tab w:val="left" w:pos="567"/>
      </w:tabs>
      <w:spacing w:before="120" w:line="22" w:lineRule="atLeast"/>
    </w:pPr>
    <w:rPr>
      <w:rFonts w:ascii="宋体" w:hAnsi="宋体"/>
      <w:sz w:val="24"/>
    </w:rPr>
  </w:style>
  <w:style w:type="paragraph" w:styleId="20">
    <w:name w:val="Body Text Indent"/>
    <w:basedOn w:val="1"/>
    <w:next w:val="21"/>
    <w:link w:val="86"/>
    <w:qFormat/>
    <w:uiPriority w:val="0"/>
    <w:pPr>
      <w:spacing w:line="360" w:lineRule="auto"/>
      <w:ind w:firstLine="570"/>
    </w:pPr>
    <w:rPr>
      <w:sz w:val="24"/>
    </w:rPr>
  </w:style>
  <w:style w:type="paragraph" w:styleId="21">
    <w:name w:val="Body Text First Indent 2"/>
    <w:basedOn w:val="20"/>
    <w:next w:val="15"/>
    <w:link w:val="94"/>
    <w:unhideWhenUsed/>
    <w:qFormat/>
    <w:uiPriority w:val="0"/>
    <w:pPr>
      <w:ind w:firstLine="420" w:firstLineChars="200"/>
    </w:pPr>
  </w:style>
  <w:style w:type="paragraph" w:styleId="22">
    <w:name w:val="Block Text"/>
    <w:basedOn w:val="1"/>
    <w:qFormat/>
    <w:uiPriority w:val="0"/>
    <w:pPr>
      <w:autoSpaceDE w:val="0"/>
      <w:autoSpaceDN w:val="0"/>
      <w:adjustRightInd w:val="0"/>
      <w:spacing w:line="360" w:lineRule="auto"/>
      <w:ind w:left="204" w:right="-10" w:firstLine="600"/>
      <w:textAlignment w:val="bottom"/>
    </w:pPr>
    <w:rPr>
      <w:rFonts w:eastAsia="等线" w:cs="宋体"/>
      <w:sz w:val="28"/>
    </w:rPr>
  </w:style>
  <w:style w:type="paragraph" w:styleId="23">
    <w:name w:val="index 4"/>
    <w:basedOn w:val="1"/>
    <w:next w:val="1"/>
    <w:unhideWhenUsed/>
    <w:qFormat/>
    <w:uiPriority w:val="0"/>
    <w:pPr>
      <w:ind w:left="840" w:hanging="210"/>
    </w:pPr>
    <w:rPr>
      <w:rFonts w:ascii="Calibri" w:hAnsi="Calibri" w:eastAsia="等线" w:cs="Calibri"/>
      <w:sz w:val="20"/>
      <w:szCs w:val="20"/>
    </w:rPr>
  </w:style>
  <w:style w:type="paragraph" w:styleId="24">
    <w:name w:val="toc 5"/>
    <w:basedOn w:val="1"/>
    <w:next w:val="1"/>
    <w:qFormat/>
    <w:uiPriority w:val="0"/>
    <w:pPr>
      <w:ind w:left="840"/>
      <w:jc w:val="left"/>
    </w:pPr>
    <w:rPr>
      <w:sz w:val="18"/>
      <w:szCs w:val="21"/>
    </w:rPr>
  </w:style>
  <w:style w:type="paragraph" w:styleId="25">
    <w:name w:val="toc 3"/>
    <w:basedOn w:val="1"/>
    <w:next w:val="1"/>
    <w:qFormat/>
    <w:uiPriority w:val="39"/>
    <w:pPr>
      <w:tabs>
        <w:tab w:val="left" w:pos="1260"/>
        <w:tab w:val="right" w:leader="dot" w:pos="8630"/>
      </w:tabs>
      <w:ind w:left="840" w:leftChars="400"/>
    </w:pPr>
  </w:style>
  <w:style w:type="paragraph" w:styleId="26">
    <w:name w:val="Plain Text"/>
    <w:basedOn w:val="1"/>
    <w:link w:val="87"/>
    <w:qFormat/>
    <w:uiPriority w:val="0"/>
    <w:rPr>
      <w:rFonts w:ascii="宋体" w:hAnsi="Courier New"/>
      <w:szCs w:val="20"/>
    </w:rPr>
  </w:style>
  <w:style w:type="paragraph" w:styleId="27">
    <w:name w:val="toc 8"/>
    <w:basedOn w:val="1"/>
    <w:next w:val="1"/>
    <w:qFormat/>
    <w:uiPriority w:val="39"/>
    <w:pPr>
      <w:ind w:left="1470"/>
      <w:jc w:val="left"/>
    </w:pPr>
    <w:rPr>
      <w:sz w:val="18"/>
      <w:szCs w:val="21"/>
    </w:rPr>
  </w:style>
  <w:style w:type="paragraph" w:styleId="28">
    <w:name w:val="Body Text Indent 2"/>
    <w:basedOn w:val="1"/>
    <w:link w:val="88"/>
    <w:qFormat/>
    <w:uiPriority w:val="0"/>
    <w:pPr>
      <w:spacing w:after="120" w:line="480" w:lineRule="auto"/>
      <w:ind w:left="420" w:leftChars="200"/>
    </w:pPr>
  </w:style>
  <w:style w:type="paragraph" w:styleId="29">
    <w:name w:val="Balloon Text"/>
    <w:basedOn w:val="1"/>
    <w:link w:val="66"/>
    <w:qFormat/>
    <w:uiPriority w:val="99"/>
    <w:rPr>
      <w:sz w:val="18"/>
      <w:szCs w:val="18"/>
    </w:rPr>
  </w:style>
  <w:style w:type="paragraph" w:styleId="30">
    <w:name w:val="footer"/>
    <w:basedOn w:val="1"/>
    <w:link w:val="89"/>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envelope return"/>
    <w:basedOn w:val="1"/>
    <w:unhideWhenUsed/>
    <w:qFormat/>
    <w:uiPriority w:val="0"/>
    <w:pPr>
      <w:snapToGrid w:val="0"/>
    </w:pPr>
    <w:rPr>
      <w:rFonts w:ascii="Arial" w:hAnsi="Arial"/>
      <w:szCs w:val="22"/>
    </w:rPr>
  </w:style>
  <w:style w:type="paragraph" w:styleId="32">
    <w:name w:val="header"/>
    <w:basedOn w:val="1"/>
    <w:next w:val="1"/>
    <w:link w:val="9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style>
  <w:style w:type="paragraph" w:styleId="34">
    <w:name w:val="toc 4"/>
    <w:basedOn w:val="1"/>
    <w:next w:val="1"/>
    <w:qFormat/>
    <w:uiPriority w:val="0"/>
    <w:pPr>
      <w:ind w:left="630"/>
      <w:jc w:val="left"/>
    </w:pPr>
    <w:rPr>
      <w:sz w:val="18"/>
      <w:szCs w:val="21"/>
    </w:rPr>
  </w:style>
  <w:style w:type="paragraph" w:styleId="35">
    <w:name w:val="footnote text"/>
    <w:basedOn w:val="1"/>
    <w:link w:val="227"/>
    <w:qFormat/>
    <w:uiPriority w:val="0"/>
    <w:pPr>
      <w:snapToGrid w:val="0"/>
    </w:pPr>
    <w:rPr>
      <w:sz w:val="18"/>
    </w:rPr>
  </w:style>
  <w:style w:type="paragraph" w:styleId="36">
    <w:name w:val="toc 6"/>
    <w:basedOn w:val="1"/>
    <w:next w:val="1"/>
    <w:qFormat/>
    <w:uiPriority w:val="39"/>
    <w:pPr>
      <w:ind w:left="1050"/>
      <w:jc w:val="left"/>
    </w:pPr>
    <w:rPr>
      <w:sz w:val="18"/>
      <w:szCs w:val="21"/>
    </w:rPr>
  </w:style>
  <w:style w:type="paragraph" w:styleId="37">
    <w:name w:val="toc 2"/>
    <w:basedOn w:val="1"/>
    <w:next w:val="1"/>
    <w:qFormat/>
    <w:uiPriority w:val="39"/>
    <w:pPr>
      <w:ind w:left="420" w:leftChars="200"/>
    </w:pPr>
  </w:style>
  <w:style w:type="paragraph" w:styleId="38">
    <w:name w:val="toc 9"/>
    <w:basedOn w:val="1"/>
    <w:next w:val="1"/>
    <w:qFormat/>
    <w:uiPriority w:val="39"/>
    <w:pPr>
      <w:ind w:left="1680"/>
      <w:jc w:val="left"/>
    </w:pPr>
    <w:rPr>
      <w:sz w:val="18"/>
      <w:szCs w:val="21"/>
    </w:rPr>
  </w:style>
  <w:style w:type="paragraph" w:styleId="39">
    <w:name w:val="HTML Preformatted"/>
    <w:basedOn w:val="1"/>
    <w:link w:val="9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等线" w:cs="宋体"/>
      <w:sz w:val="24"/>
    </w:rPr>
  </w:style>
  <w:style w:type="paragraph" w:styleId="40">
    <w:name w:val="Normal (Web)"/>
    <w:basedOn w:val="1"/>
    <w:next w:val="1"/>
    <w:qFormat/>
    <w:uiPriority w:val="99"/>
    <w:pPr>
      <w:widowControl/>
      <w:jc w:val="left"/>
    </w:pPr>
    <w:rPr>
      <w:rFonts w:ascii="宋体" w:hAnsi="宋体" w:cs="宋体"/>
      <w:kern w:val="0"/>
      <w:sz w:val="24"/>
    </w:rPr>
  </w:style>
  <w:style w:type="paragraph" w:styleId="41">
    <w:name w:val="annotation subject"/>
    <w:basedOn w:val="18"/>
    <w:next w:val="18"/>
    <w:link w:val="68"/>
    <w:qFormat/>
    <w:uiPriority w:val="99"/>
    <w:rPr>
      <w:b/>
      <w:bCs/>
    </w:rPr>
  </w:style>
  <w:style w:type="paragraph" w:styleId="42">
    <w:name w:val="Body Text First Indent"/>
    <w:basedOn w:val="19"/>
    <w:link w:val="93"/>
    <w:qFormat/>
    <w:uiPriority w:val="99"/>
    <w:pPr>
      <w:tabs>
        <w:tab w:val="clear" w:pos="567"/>
      </w:tabs>
      <w:spacing w:before="0" w:after="120" w:line="240" w:lineRule="auto"/>
      <w:ind w:firstLine="420" w:firstLineChars="100"/>
    </w:pPr>
    <w:rPr>
      <w:rFonts w:ascii="Times New Roman" w:hAnsi="Times New Roman"/>
      <w:sz w:val="21"/>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qFormat/>
    <w:uiPriority w:val="0"/>
  </w:style>
  <w:style w:type="character" w:styleId="48">
    <w:name w:val="FollowedHyperlink"/>
    <w:unhideWhenUsed/>
    <w:qFormat/>
    <w:uiPriority w:val="99"/>
    <w:rPr>
      <w:color w:val="954F72"/>
      <w:u w:val="single"/>
    </w:rPr>
  </w:style>
  <w:style w:type="character" w:styleId="49">
    <w:name w:val="Emphasis"/>
    <w:qFormat/>
    <w:uiPriority w:val="20"/>
    <w:rPr>
      <w:i/>
      <w:iCs/>
    </w:rPr>
  </w:style>
  <w:style w:type="character" w:styleId="50">
    <w:name w:val="Hyperlink"/>
    <w:qFormat/>
    <w:uiPriority w:val="99"/>
    <w:rPr>
      <w:color w:val="0000FF"/>
      <w:u w:val="single"/>
    </w:rPr>
  </w:style>
  <w:style w:type="character" w:styleId="51">
    <w:name w:val="annotation reference"/>
    <w:basedOn w:val="45"/>
    <w:qFormat/>
    <w:uiPriority w:val="0"/>
    <w:rPr>
      <w:sz w:val="21"/>
      <w:szCs w:val="21"/>
    </w:rPr>
  </w:style>
  <w:style w:type="paragraph" w:customStyle="1" w:styleId="52">
    <w:name w:val="Index6"/>
    <w:basedOn w:val="1"/>
    <w:next w:val="1"/>
    <w:qFormat/>
    <w:uiPriority w:val="0"/>
    <w:pPr>
      <w:ind w:left="2100"/>
    </w:pPr>
  </w:style>
  <w:style w:type="paragraph" w:customStyle="1" w:styleId="53">
    <w:name w:val="FC正文"/>
    <w:basedOn w:val="1"/>
    <w:qFormat/>
    <w:uiPriority w:val="0"/>
    <w:pPr>
      <w:snapToGrid w:val="0"/>
      <w:spacing w:before="50" w:beforeLines="50" w:after="50" w:afterLines="50" w:line="360" w:lineRule="auto"/>
      <w:ind w:firstLine="200" w:firstLineChars="200"/>
      <w:contextualSpacing/>
    </w:pPr>
    <w:rPr>
      <w:rFonts w:ascii="宋体" w:hAnsi="宋体"/>
    </w:rPr>
  </w:style>
  <w:style w:type="paragraph" w:customStyle="1" w:styleId="54">
    <w:name w:val="样式 正文首行缩进 2 + 首行缩进:  2 字符"/>
    <w:basedOn w:val="1"/>
    <w:qFormat/>
    <w:uiPriority w:val="0"/>
    <w:pPr>
      <w:spacing w:after="120"/>
      <w:ind w:left="200" w:leftChars="200" w:firstLine="170" w:firstLineChars="170"/>
    </w:pPr>
    <w:rPr>
      <w:szCs w:val="20"/>
    </w:rPr>
  </w:style>
  <w:style w:type="paragraph" w:customStyle="1" w:styleId="5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56">
    <w:name w:val="列出段落1"/>
    <w:basedOn w:val="1"/>
    <w:qFormat/>
    <w:uiPriority w:val="34"/>
    <w:pPr>
      <w:ind w:firstLine="420" w:firstLineChars="200"/>
    </w:pPr>
  </w:style>
  <w:style w:type="paragraph" w:customStyle="1" w:styleId="57">
    <w:name w:val="*正文"/>
    <w:basedOn w:val="1"/>
    <w:qFormat/>
    <w:uiPriority w:val="0"/>
    <w:pPr>
      <w:autoSpaceDE w:val="0"/>
      <w:autoSpaceDN w:val="0"/>
      <w:adjustRightInd w:val="0"/>
      <w:spacing w:before="120" w:after="120" w:line="360" w:lineRule="auto"/>
      <w:ind w:firstLine="480" w:firstLineChars="200"/>
      <w:jc w:val="left"/>
    </w:pPr>
    <w:rPr>
      <w:rFonts w:ascii="宋体" w:hAnsi="宋体"/>
      <w:kern w:val="0"/>
    </w:rPr>
  </w:style>
  <w:style w:type="paragraph" w:customStyle="1" w:styleId="58">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59">
    <w:name w:val="索引 11"/>
    <w:basedOn w:val="1"/>
    <w:next w:val="1"/>
    <w:qFormat/>
    <w:uiPriority w:val="0"/>
    <w:pPr>
      <w:spacing w:line="360" w:lineRule="auto"/>
    </w:pPr>
    <w:rPr>
      <w:rFonts w:ascii="仿宋_GB2312" w:eastAsia="仿宋_GB2312"/>
      <w:sz w:val="24"/>
      <w:szCs w:val="20"/>
    </w:rPr>
  </w:style>
  <w:style w:type="paragraph" w:customStyle="1" w:styleId="60">
    <w:name w:val="纯文本1"/>
    <w:basedOn w:val="1"/>
    <w:qFormat/>
    <w:uiPriority w:val="0"/>
    <w:rPr>
      <w:rFonts w:ascii="宋体" w:hAnsi="Courier New"/>
      <w:kern w:val="0"/>
      <w:sz w:val="20"/>
      <w:szCs w:val="20"/>
    </w:rPr>
  </w:style>
  <w:style w:type="paragraph" w:customStyle="1" w:styleId="61">
    <w:name w:val="表格"/>
    <w:basedOn w:val="1"/>
    <w:qFormat/>
    <w:uiPriority w:val="0"/>
    <w:pPr>
      <w:widowControl/>
      <w:jc w:val="left"/>
      <w:textAlignment w:val="center"/>
    </w:pPr>
    <w:rPr>
      <w:rFonts w:hint="eastAsia" w:ascii="宋体" w:hAnsi="宋体"/>
      <w:bCs/>
      <w:color w:val="000000"/>
      <w:kern w:val="0"/>
      <w:szCs w:val="40"/>
    </w:rPr>
  </w:style>
  <w:style w:type="paragraph" w:customStyle="1" w:styleId="62">
    <w:name w:val="样式22222222"/>
    <w:basedOn w:val="1"/>
    <w:qFormat/>
    <w:uiPriority w:val="0"/>
    <w:pPr>
      <w:spacing w:line="400" w:lineRule="exact"/>
      <w:ind w:firstLine="480" w:firstLineChars="200"/>
    </w:pPr>
    <w:rPr>
      <w:rFonts w:ascii="微软雅黑" w:hAnsi="微软雅黑" w:eastAsia="微软雅黑" w:cs="微软雅黑"/>
      <w:bCs/>
      <w:kern w:val="0"/>
      <w:sz w:val="24"/>
    </w:rPr>
  </w:style>
  <w:style w:type="paragraph" w:customStyle="1" w:styleId="63">
    <w:name w:val="列出段落2"/>
    <w:basedOn w:val="1"/>
    <w:qFormat/>
    <w:uiPriority w:val="34"/>
    <w:pPr>
      <w:ind w:firstLine="420" w:firstLineChars="200"/>
    </w:pPr>
    <w:rPr>
      <w:rFonts w:ascii="Calibri" w:hAnsi="Calibri"/>
    </w:rPr>
  </w:style>
  <w:style w:type="paragraph" w:styleId="64">
    <w:name w:val="List Paragraph"/>
    <w:basedOn w:val="1"/>
    <w:link w:val="126"/>
    <w:qFormat/>
    <w:uiPriority w:val="34"/>
    <w:pPr>
      <w:widowControl/>
      <w:ind w:firstLine="420" w:firstLineChars="200"/>
      <w:jc w:val="left"/>
    </w:pPr>
    <w:rPr>
      <w:kern w:val="0"/>
      <w:sz w:val="24"/>
    </w:rPr>
  </w:style>
  <w:style w:type="character" w:customStyle="1" w:styleId="65">
    <w:name w:val="NormalCharacter"/>
    <w:semiHidden/>
    <w:qFormat/>
    <w:uiPriority w:val="0"/>
  </w:style>
  <w:style w:type="character" w:customStyle="1" w:styleId="66">
    <w:name w:val="批注框文本 字符"/>
    <w:basedOn w:val="45"/>
    <w:link w:val="29"/>
    <w:qFormat/>
    <w:uiPriority w:val="99"/>
    <w:rPr>
      <w:kern w:val="2"/>
      <w:sz w:val="18"/>
      <w:szCs w:val="18"/>
    </w:rPr>
  </w:style>
  <w:style w:type="character" w:customStyle="1" w:styleId="67">
    <w:name w:val="批注文字 字符"/>
    <w:basedOn w:val="45"/>
    <w:link w:val="18"/>
    <w:qFormat/>
    <w:uiPriority w:val="0"/>
    <w:rPr>
      <w:kern w:val="2"/>
      <w:sz w:val="21"/>
      <w:szCs w:val="24"/>
    </w:rPr>
  </w:style>
  <w:style w:type="character" w:customStyle="1" w:styleId="68">
    <w:name w:val="批注主题 字符"/>
    <w:basedOn w:val="67"/>
    <w:link w:val="41"/>
    <w:qFormat/>
    <w:uiPriority w:val="99"/>
    <w:rPr>
      <w:b/>
      <w:bCs/>
      <w:kern w:val="2"/>
      <w:sz w:val="21"/>
      <w:szCs w:val="24"/>
    </w:rPr>
  </w:style>
  <w:style w:type="character" w:customStyle="1" w:styleId="69">
    <w:name w:val="标准正文样式 Char"/>
    <w:link w:val="8"/>
    <w:qFormat/>
    <w:uiPriority w:val="0"/>
    <w:rPr>
      <w:kern w:val="2"/>
      <w:sz w:val="24"/>
    </w:rPr>
  </w:style>
  <w:style w:type="character" w:customStyle="1" w:styleId="70">
    <w:name w:val="标题 5 字符"/>
    <w:basedOn w:val="45"/>
    <w:link w:val="7"/>
    <w:qFormat/>
    <w:uiPriority w:val="0"/>
    <w:rPr>
      <w:b/>
      <w:bCs/>
      <w:kern w:val="2"/>
      <w:sz w:val="24"/>
      <w:szCs w:val="28"/>
    </w:rPr>
  </w:style>
  <w:style w:type="character" w:customStyle="1" w:styleId="71">
    <w:name w:val="标题 6 字符"/>
    <w:basedOn w:val="45"/>
    <w:link w:val="9"/>
    <w:qFormat/>
    <w:uiPriority w:val="0"/>
    <w:rPr>
      <w:rFonts w:ascii="Arial" w:hAnsi="Arial" w:eastAsia="黑体"/>
      <w:b/>
      <w:bCs/>
      <w:kern w:val="2"/>
      <w:sz w:val="24"/>
      <w:szCs w:val="24"/>
    </w:rPr>
  </w:style>
  <w:style w:type="character" w:customStyle="1" w:styleId="72">
    <w:name w:val="标题 7 字符"/>
    <w:basedOn w:val="45"/>
    <w:link w:val="10"/>
    <w:qFormat/>
    <w:uiPriority w:val="0"/>
    <w:rPr>
      <w:b/>
      <w:bCs/>
      <w:kern w:val="2"/>
      <w:sz w:val="24"/>
      <w:szCs w:val="24"/>
    </w:rPr>
  </w:style>
  <w:style w:type="character" w:customStyle="1" w:styleId="73">
    <w:name w:val="标题 8 字符"/>
    <w:basedOn w:val="45"/>
    <w:link w:val="11"/>
    <w:qFormat/>
    <w:uiPriority w:val="0"/>
    <w:rPr>
      <w:rFonts w:ascii="Cambria" w:hAnsi="Cambria"/>
      <w:kern w:val="2"/>
      <w:sz w:val="24"/>
      <w:szCs w:val="24"/>
    </w:rPr>
  </w:style>
  <w:style w:type="character" w:customStyle="1" w:styleId="74">
    <w:name w:val="标题 9 字符"/>
    <w:basedOn w:val="45"/>
    <w:link w:val="12"/>
    <w:qFormat/>
    <w:uiPriority w:val="0"/>
    <w:rPr>
      <w:rFonts w:ascii="Arial" w:hAnsi="Arial" w:eastAsia="黑体"/>
      <w:kern w:val="2"/>
      <w:sz w:val="21"/>
      <w:szCs w:val="21"/>
    </w:rPr>
  </w:style>
  <w:style w:type="paragraph" w:customStyle="1" w:styleId="7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76">
    <w:name w:val="标题 1 字符1"/>
    <w:link w:val="3"/>
    <w:qFormat/>
    <w:uiPriority w:val="0"/>
    <w:rPr>
      <w:rFonts w:ascii="宋体"/>
      <w:b/>
      <w:kern w:val="44"/>
      <w:sz w:val="32"/>
    </w:rPr>
  </w:style>
  <w:style w:type="paragraph" w:customStyle="1" w:styleId="77">
    <w:name w:val="样式 样式 正文首行缩进 2 + 首行缩进:  2 字符 + 首行缩进:  2 字符"/>
    <w:basedOn w:val="1"/>
    <w:link w:val="78"/>
    <w:qFormat/>
    <w:uiPriority w:val="0"/>
    <w:pPr>
      <w:spacing w:line="360" w:lineRule="auto"/>
      <w:ind w:firstLine="480" w:firstLineChars="200"/>
    </w:pPr>
    <w:rPr>
      <w:sz w:val="24"/>
      <w:szCs w:val="20"/>
    </w:rPr>
  </w:style>
  <w:style w:type="character" w:customStyle="1" w:styleId="78">
    <w:name w:val="样式 样式 正文首行缩进 2 + 首行缩进:  2 字符 + 首行缩进:  2 字符 Char"/>
    <w:link w:val="77"/>
    <w:qFormat/>
    <w:uiPriority w:val="0"/>
    <w:rPr>
      <w:kern w:val="2"/>
      <w:sz w:val="24"/>
    </w:rPr>
  </w:style>
  <w:style w:type="character" w:customStyle="1" w:styleId="79">
    <w:name w:val="标题 2 字符1"/>
    <w:link w:val="4"/>
    <w:qFormat/>
    <w:uiPriority w:val="0"/>
    <w:rPr>
      <w:rFonts w:eastAsia="黑体"/>
      <w:b/>
      <w:kern w:val="2"/>
      <w:sz w:val="30"/>
    </w:rPr>
  </w:style>
  <w:style w:type="character" w:customStyle="1" w:styleId="80">
    <w:name w:val="标题 3 字符1"/>
    <w:link w:val="5"/>
    <w:qFormat/>
    <w:uiPriority w:val="0"/>
    <w:rPr>
      <w:rFonts w:ascii="宋体"/>
      <w:b/>
      <w:sz w:val="24"/>
      <w:u w:val="single"/>
    </w:rPr>
  </w:style>
  <w:style w:type="character" w:customStyle="1" w:styleId="81">
    <w:name w:val="标题 4 字符1"/>
    <w:link w:val="6"/>
    <w:qFormat/>
    <w:uiPriority w:val="0"/>
    <w:rPr>
      <w:b/>
      <w:bCs/>
      <w:kern w:val="2"/>
      <w:sz w:val="21"/>
      <w:szCs w:val="28"/>
    </w:rPr>
  </w:style>
  <w:style w:type="character" w:customStyle="1" w:styleId="82">
    <w:name w:val="正文缩进 字符1"/>
    <w:link w:val="15"/>
    <w:qFormat/>
    <w:uiPriority w:val="0"/>
    <w:rPr>
      <w:rFonts w:ascii="宋体"/>
      <w:sz w:val="24"/>
    </w:rPr>
  </w:style>
  <w:style w:type="character" w:customStyle="1" w:styleId="83">
    <w:name w:val="题注 字符"/>
    <w:link w:val="16"/>
    <w:qFormat/>
    <w:uiPriority w:val="35"/>
    <w:rPr>
      <w:rFonts w:ascii="Arial" w:hAnsi="Arial" w:eastAsia="黑体" w:cs="Arial"/>
      <w:kern w:val="2"/>
    </w:rPr>
  </w:style>
  <w:style w:type="character" w:customStyle="1" w:styleId="84">
    <w:name w:val="文档结构图 字符"/>
    <w:basedOn w:val="45"/>
    <w:link w:val="17"/>
    <w:qFormat/>
    <w:uiPriority w:val="0"/>
    <w:rPr>
      <w:kern w:val="2"/>
      <w:sz w:val="21"/>
      <w:szCs w:val="24"/>
      <w:shd w:val="clear" w:color="auto" w:fill="000080"/>
    </w:rPr>
  </w:style>
  <w:style w:type="character" w:customStyle="1" w:styleId="85">
    <w:name w:val="正文文本 字符"/>
    <w:qFormat/>
    <w:uiPriority w:val="1"/>
    <w:rPr>
      <w:kern w:val="2"/>
      <w:sz w:val="21"/>
      <w:szCs w:val="24"/>
      <w:lang w:bidi="ar-SA"/>
    </w:rPr>
  </w:style>
  <w:style w:type="character" w:customStyle="1" w:styleId="86">
    <w:name w:val="正文文本缩进 字符"/>
    <w:link w:val="20"/>
    <w:qFormat/>
    <w:uiPriority w:val="0"/>
    <w:rPr>
      <w:kern w:val="2"/>
      <w:sz w:val="24"/>
      <w:szCs w:val="24"/>
    </w:rPr>
  </w:style>
  <w:style w:type="character" w:customStyle="1" w:styleId="87">
    <w:name w:val="纯文本 字符"/>
    <w:link w:val="26"/>
    <w:qFormat/>
    <w:uiPriority w:val="0"/>
    <w:rPr>
      <w:rFonts w:ascii="宋体" w:hAnsi="Courier New"/>
      <w:kern w:val="2"/>
      <w:sz w:val="21"/>
    </w:rPr>
  </w:style>
  <w:style w:type="character" w:customStyle="1" w:styleId="88">
    <w:name w:val="正文文本缩进 2 字符"/>
    <w:basedOn w:val="45"/>
    <w:link w:val="28"/>
    <w:qFormat/>
    <w:uiPriority w:val="0"/>
    <w:rPr>
      <w:kern w:val="2"/>
      <w:sz w:val="21"/>
      <w:szCs w:val="24"/>
    </w:rPr>
  </w:style>
  <w:style w:type="character" w:customStyle="1" w:styleId="89">
    <w:name w:val="页脚 字符"/>
    <w:link w:val="30"/>
    <w:qFormat/>
    <w:uiPriority w:val="0"/>
    <w:rPr>
      <w:rFonts w:ascii="宋体"/>
      <w:sz w:val="18"/>
    </w:rPr>
  </w:style>
  <w:style w:type="character" w:customStyle="1" w:styleId="90">
    <w:name w:val="页眉 字符1"/>
    <w:link w:val="32"/>
    <w:qFormat/>
    <w:uiPriority w:val="0"/>
    <w:rPr>
      <w:kern w:val="2"/>
      <w:sz w:val="18"/>
      <w:szCs w:val="18"/>
    </w:rPr>
  </w:style>
  <w:style w:type="character" w:customStyle="1" w:styleId="91">
    <w:name w:val="HTML 预设格式 字符"/>
    <w:basedOn w:val="45"/>
    <w:link w:val="39"/>
    <w:qFormat/>
    <w:uiPriority w:val="99"/>
    <w:rPr>
      <w:rFonts w:eastAsia="等线" w:cs="宋体"/>
      <w:kern w:val="2"/>
      <w:sz w:val="24"/>
      <w:szCs w:val="24"/>
    </w:rPr>
  </w:style>
  <w:style w:type="character" w:customStyle="1" w:styleId="92">
    <w:name w:val="正文文本 字符1"/>
    <w:basedOn w:val="45"/>
    <w:link w:val="19"/>
    <w:qFormat/>
    <w:uiPriority w:val="99"/>
    <w:rPr>
      <w:rFonts w:ascii="宋体" w:hAnsi="宋体"/>
      <w:kern w:val="2"/>
      <w:sz w:val="24"/>
      <w:szCs w:val="24"/>
    </w:rPr>
  </w:style>
  <w:style w:type="character" w:customStyle="1" w:styleId="93">
    <w:name w:val="正文首行缩进 字符"/>
    <w:basedOn w:val="92"/>
    <w:link w:val="42"/>
    <w:qFormat/>
    <w:uiPriority w:val="99"/>
    <w:rPr>
      <w:rFonts w:ascii="宋体" w:hAnsi="宋体"/>
      <w:kern w:val="2"/>
      <w:sz w:val="21"/>
      <w:szCs w:val="24"/>
    </w:rPr>
  </w:style>
  <w:style w:type="character" w:customStyle="1" w:styleId="94">
    <w:name w:val="正文首行缩进 2 字符"/>
    <w:link w:val="21"/>
    <w:qFormat/>
    <w:uiPriority w:val="0"/>
    <w:rPr>
      <w:kern w:val="2"/>
      <w:sz w:val="24"/>
      <w:szCs w:val="24"/>
    </w:rPr>
  </w:style>
  <w:style w:type="paragraph" w:customStyle="1" w:styleId="95">
    <w:name w:val="样式 正文文本缩进 + 左  0 字符"/>
    <w:basedOn w:val="20"/>
    <w:link w:val="96"/>
    <w:qFormat/>
    <w:uiPriority w:val="0"/>
    <w:pPr>
      <w:ind w:firstLine="250" w:firstLineChars="250"/>
    </w:pPr>
    <w:rPr>
      <w:rFonts w:cs="宋体"/>
      <w:szCs w:val="20"/>
    </w:rPr>
  </w:style>
  <w:style w:type="character" w:customStyle="1" w:styleId="96">
    <w:name w:val="样式 正文文本缩进 + 左  0 字符 Char"/>
    <w:link w:val="95"/>
    <w:qFormat/>
    <w:uiPriority w:val="0"/>
    <w:rPr>
      <w:rFonts w:cs="宋体"/>
      <w:kern w:val="2"/>
      <w:sz w:val="24"/>
    </w:rPr>
  </w:style>
  <w:style w:type="paragraph" w:customStyle="1" w:styleId="97">
    <w:name w:val="默认段落字体 Para Char Char Char Char Char Char Char"/>
    <w:basedOn w:val="1"/>
    <w:qFormat/>
    <w:uiPriority w:val="0"/>
    <w:rPr>
      <w:rFonts w:ascii="Tahoma" w:hAnsi="Tahoma"/>
      <w:sz w:val="24"/>
      <w:szCs w:val="20"/>
    </w:rPr>
  </w:style>
  <w:style w:type="paragraph" w:customStyle="1" w:styleId="98">
    <w:name w:val="样式 正文缩进 + 首行缩进:  2 字符"/>
    <w:basedOn w:val="15"/>
    <w:link w:val="99"/>
    <w:qFormat/>
    <w:uiPriority w:val="0"/>
    <w:pPr>
      <w:autoSpaceDE/>
      <w:autoSpaceDN/>
      <w:adjustRightInd/>
      <w:spacing w:line="360" w:lineRule="auto"/>
      <w:ind w:firstLine="200" w:firstLineChars="200"/>
      <w:jc w:val="both"/>
    </w:pPr>
    <w:rPr>
      <w:rFonts w:ascii="Times New Roman"/>
      <w:kern w:val="2"/>
    </w:rPr>
  </w:style>
  <w:style w:type="character" w:customStyle="1" w:styleId="99">
    <w:name w:val="样式 正文缩进 + 首行缩进:  2 字符 Char"/>
    <w:link w:val="98"/>
    <w:qFormat/>
    <w:uiPriority w:val="0"/>
    <w:rPr>
      <w:kern w:val="2"/>
      <w:sz w:val="24"/>
    </w:rPr>
  </w:style>
  <w:style w:type="character" w:customStyle="1" w:styleId="100">
    <w:name w:val="Char Char29"/>
    <w:qFormat/>
    <w:uiPriority w:val="0"/>
    <w:rPr>
      <w:rFonts w:ascii="Arial" w:hAnsi="Arial" w:eastAsia="黑体"/>
      <w:b/>
      <w:bCs/>
      <w:kern w:val="2"/>
      <w:sz w:val="32"/>
      <w:szCs w:val="32"/>
      <w:lang w:val="en-US" w:eastAsia="zh-CN" w:bidi="ar-SA"/>
    </w:rPr>
  </w:style>
  <w:style w:type="paragraph" w:customStyle="1" w:styleId="101">
    <w:name w:val="Table Text"/>
    <w:basedOn w:val="1"/>
    <w:qFormat/>
    <w:uiPriority w:val="0"/>
    <w:pPr>
      <w:widowControl/>
      <w:spacing w:before="60" w:after="60"/>
      <w:jc w:val="left"/>
    </w:pPr>
    <w:rPr>
      <w:kern w:val="0"/>
    </w:rPr>
  </w:style>
  <w:style w:type="character" w:customStyle="1" w:styleId="102">
    <w:name w:val="Char Char1"/>
    <w:qFormat/>
    <w:uiPriority w:val="0"/>
    <w:rPr>
      <w:rFonts w:ascii="Arial" w:hAnsi="Arial" w:eastAsia="黑体"/>
      <w:b/>
      <w:bCs/>
      <w:kern w:val="2"/>
      <w:sz w:val="28"/>
      <w:szCs w:val="28"/>
      <w:lang w:val="en-US" w:eastAsia="zh-CN" w:bidi="ar-SA"/>
    </w:rPr>
  </w:style>
  <w:style w:type="paragraph" w:customStyle="1" w:styleId="103">
    <w:name w:val="Style Normal Indent + First line:  2 ch"/>
    <w:basedOn w:val="15"/>
    <w:qFormat/>
    <w:uiPriority w:val="0"/>
    <w:pPr>
      <w:autoSpaceDE/>
      <w:autoSpaceDN/>
      <w:adjustRightInd/>
      <w:spacing w:line="360" w:lineRule="auto"/>
      <w:ind w:firstLine="200" w:firstLineChars="200"/>
      <w:jc w:val="both"/>
    </w:pPr>
    <w:rPr>
      <w:rFonts w:ascii="Times New Roman" w:cs="宋体"/>
      <w:kern w:val="2"/>
    </w:rPr>
  </w:style>
  <w:style w:type="paragraph" w:customStyle="1" w:styleId="104">
    <w:name w:val="Appendix - Header"/>
    <w:basedOn w:val="1"/>
    <w:qFormat/>
    <w:uiPriority w:val="0"/>
    <w:pPr>
      <w:widowControl/>
      <w:spacing w:after="120" w:line="240" w:lineRule="atLeast"/>
    </w:pPr>
    <w:rPr>
      <w:b/>
      <w:kern w:val="0"/>
      <w:sz w:val="32"/>
      <w:szCs w:val="20"/>
      <w:u w:val="single"/>
    </w:rPr>
  </w:style>
  <w:style w:type="paragraph" w:customStyle="1" w:styleId="105">
    <w:name w:val="Default"/>
    <w:qFormat/>
    <w:uiPriority w:val="0"/>
    <w:pPr>
      <w:widowControl w:val="0"/>
      <w:autoSpaceDE w:val="0"/>
      <w:autoSpaceDN w:val="0"/>
      <w:adjustRightInd w:val="0"/>
    </w:pPr>
    <w:rPr>
      <w:rFonts w:ascii=".." w:hAnsi="Times New Roman" w:eastAsia=".." w:cs=".."/>
      <w:color w:val="000000"/>
      <w:sz w:val="24"/>
      <w:szCs w:val="24"/>
      <w:lang w:val="en-US" w:eastAsia="zh-CN" w:bidi="ar-SA"/>
    </w:rPr>
  </w:style>
  <w:style w:type="paragraph" w:customStyle="1" w:styleId="106">
    <w:name w:val="xl29"/>
    <w:basedOn w:val="1"/>
    <w:qFormat/>
    <w:uiPriority w:val="0"/>
    <w:pPr>
      <w:widowControl/>
      <w:spacing w:before="100" w:after="100"/>
      <w:jc w:val="center"/>
      <w:textAlignment w:val="center"/>
    </w:pPr>
    <w:rPr>
      <w:rFonts w:ascii="Arial Unicode MS" w:hAnsi="Arial Unicode MS" w:eastAsia="Arial Unicode MS"/>
      <w:kern w:val="0"/>
      <w:sz w:val="24"/>
      <w:szCs w:val="20"/>
    </w:rPr>
  </w:style>
  <w:style w:type="character" w:customStyle="1" w:styleId="107">
    <w:name w:val="金宏发行正文 Char Char"/>
    <w:link w:val="108"/>
    <w:qFormat/>
    <w:locked/>
    <w:uiPriority w:val="0"/>
    <w:rPr>
      <w:rFonts w:ascii="仿宋_GB2312" w:eastAsia="仿宋_GB2312" w:cs="宋体"/>
      <w:kern w:val="2"/>
      <w:sz w:val="28"/>
      <w:szCs w:val="24"/>
    </w:rPr>
  </w:style>
  <w:style w:type="paragraph" w:customStyle="1" w:styleId="108">
    <w:name w:val="金宏发行正文 Char"/>
    <w:basedOn w:val="1"/>
    <w:link w:val="107"/>
    <w:qFormat/>
    <w:uiPriority w:val="0"/>
    <w:pPr>
      <w:spacing w:line="500" w:lineRule="exact"/>
      <w:ind w:firstLine="560" w:firstLineChars="200"/>
    </w:pPr>
    <w:rPr>
      <w:rFonts w:ascii="仿宋_GB2312" w:eastAsia="仿宋_GB2312" w:cs="宋体"/>
      <w:sz w:val="28"/>
    </w:rPr>
  </w:style>
  <w:style w:type="paragraph" w:customStyle="1" w:styleId="109">
    <w:name w:val="段落正文"/>
    <w:basedOn w:val="1"/>
    <w:qFormat/>
    <w:uiPriority w:val="0"/>
    <w:pPr>
      <w:spacing w:before="156" w:line="360" w:lineRule="atLeast"/>
      <w:ind w:firstLine="488" w:firstLineChars="200"/>
    </w:pPr>
    <w:rPr>
      <w:spacing w:val="2"/>
      <w:sz w:val="24"/>
    </w:rPr>
  </w:style>
  <w:style w:type="paragraph" w:customStyle="1" w:styleId="110">
    <w:name w:val="样式7"/>
    <w:basedOn w:val="1"/>
    <w:qFormat/>
    <w:uiPriority w:val="0"/>
    <w:pPr>
      <w:spacing w:line="0" w:lineRule="atLeast"/>
      <w:ind w:right="-115" w:rightChars="-55" w:firstLine="420" w:firstLineChars="175"/>
    </w:pPr>
    <w:rPr>
      <w:rFonts w:ascii="楷体_GB2312" w:hAnsi="Courier New" w:eastAsia="仿宋_GB2312"/>
      <w:sz w:val="24"/>
      <w:szCs w:val="21"/>
    </w:rPr>
  </w:style>
  <w:style w:type="character" w:customStyle="1" w:styleId="111">
    <w:name w:val="Char Char28"/>
    <w:qFormat/>
    <w:uiPriority w:val="0"/>
    <w:rPr>
      <w:rFonts w:eastAsia="宋体"/>
      <w:b/>
      <w:bCs/>
      <w:kern w:val="2"/>
      <w:sz w:val="32"/>
      <w:szCs w:val="32"/>
      <w:lang w:val="en-US" w:eastAsia="zh-CN" w:bidi="ar-SA"/>
    </w:rPr>
  </w:style>
  <w:style w:type="paragraph" w:customStyle="1" w:styleId="112">
    <w:name w:val="6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13">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14">
    <w:name w:val="日期1"/>
    <w:basedOn w:val="1"/>
    <w:qFormat/>
    <w:uiPriority w:val="0"/>
    <w:pPr>
      <w:widowControl/>
      <w:spacing w:before="100" w:beforeAutospacing="1" w:after="100" w:afterAutospacing="1"/>
      <w:jc w:val="left"/>
    </w:pPr>
    <w:rPr>
      <w:rFonts w:ascii="宋体" w:hAnsi="宋体"/>
      <w:kern w:val="0"/>
      <w:sz w:val="24"/>
    </w:rPr>
  </w:style>
  <w:style w:type="paragraph" w:customStyle="1" w:styleId="115">
    <w:name w:val="Char Char Char"/>
    <w:basedOn w:val="1"/>
    <w:qFormat/>
    <w:uiPriority w:val="0"/>
  </w:style>
  <w:style w:type="paragraph" w:customStyle="1" w:styleId="116">
    <w:name w:val="样式 样式 正文缩进 + 首行缩进:  2 字符 + 五号 居中"/>
    <w:basedOn w:val="98"/>
    <w:qFormat/>
    <w:uiPriority w:val="0"/>
    <w:pPr>
      <w:spacing w:line="240" w:lineRule="auto"/>
      <w:ind w:firstLine="0" w:firstLineChars="0"/>
      <w:jc w:val="center"/>
    </w:pPr>
    <w:rPr>
      <w:sz w:val="21"/>
      <w:szCs w:val="24"/>
    </w:rPr>
  </w:style>
  <w:style w:type="paragraph" w:customStyle="1" w:styleId="117">
    <w:name w:val="样式 样式 正文缩进 + 首行缩进:  2 字符 + 五号"/>
    <w:basedOn w:val="98"/>
    <w:qFormat/>
    <w:uiPriority w:val="0"/>
    <w:pPr>
      <w:spacing w:line="240" w:lineRule="auto"/>
      <w:ind w:firstLine="0" w:firstLineChars="0"/>
    </w:pPr>
    <w:rPr>
      <w:sz w:val="21"/>
    </w:rPr>
  </w:style>
  <w:style w:type="paragraph" w:styleId="118">
    <w:name w:val="No Spacing"/>
    <w:link w:val="119"/>
    <w:qFormat/>
    <w:uiPriority w:val="1"/>
    <w:rPr>
      <w:rFonts w:ascii="Calibri" w:hAnsi="Calibri" w:eastAsia="宋体" w:cs="Times New Roman"/>
      <w:sz w:val="22"/>
      <w:szCs w:val="22"/>
      <w:lang w:val="en-US" w:eastAsia="zh-CN" w:bidi="ar-SA"/>
    </w:rPr>
  </w:style>
  <w:style w:type="character" w:customStyle="1" w:styleId="119">
    <w:name w:val="无间隔 字符"/>
    <w:link w:val="118"/>
    <w:qFormat/>
    <w:uiPriority w:val="1"/>
    <w:rPr>
      <w:rFonts w:ascii="Calibri" w:hAnsi="Calibri"/>
      <w:sz w:val="22"/>
      <w:szCs w:val="22"/>
    </w:rPr>
  </w:style>
  <w:style w:type="paragraph" w:customStyle="1" w:styleId="120">
    <w:name w:val="TOC 标题1"/>
    <w:basedOn w:val="3"/>
    <w:next w:val="1"/>
    <w:qFormat/>
    <w:uiPriority w:val="0"/>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121">
    <w:name w:val="表格3"/>
    <w:basedOn w:val="1"/>
    <w:next w:val="1"/>
    <w:qFormat/>
    <w:uiPriority w:val="0"/>
    <w:pPr>
      <w:spacing w:line="360" w:lineRule="auto"/>
      <w:jc w:val="left"/>
    </w:pPr>
  </w:style>
  <w:style w:type="paragraph" w:customStyle="1" w:styleId="122">
    <w:name w:val="样式 标题 3 +"/>
    <w:basedOn w:val="5"/>
    <w:qFormat/>
    <w:uiPriority w:val="0"/>
    <w:pPr>
      <w:numPr>
        <w:ilvl w:val="0"/>
        <w:numId w:val="3"/>
      </w:numPr>
      <w:tabs>
        <w:tab w:val="left" w:pos="720"/>
      </w:tabs>
      <w:autoSpaceDE/>
      <w:autoSpaceDN/>
      <w:adjustRightInd/>
      <w:spacing w:before="100" w:beforeAutospacing="1" w:after="100" w:afterAutospacing="1" w:line="412" w:lineRule="auto"/>
      <w:ind w:left="0" w:leftChars="30" w:firstLine="0"/>
    </w:pPr>
    <w:rPr>
      <w:rFonts w:ascii="Arial" w:hAnsi="Arial"/>
      <w:bCs/>
      <w:color w:val="000000"/>
      <w:sz w:val="21"/>
      <w:szCs w:val="21"/>
      <w:u w:val="none"/>
    </w:rPr>
  </w:style>
  <w:style w:type="paragraph" w:customStyle="1" w:styleId="123">
    <w:name w:val="GHC 正文"/>
    <w:basedOn w:val="1"/>
    <w:link w:val="124"/>
    <w:qFormat/>
    <w:uiPriority w:val="0"/>
    <w:pPr>
      <w:spacing w:line="360" w:lineRule="auto"/>
      <w:ind w:firstLine="480" w:firstLineChars="200"/>
    </w:pPr>
    <w:rPr>
      <w:rFonts w:ascii="宋体" w:hAnsi="宋体"/>
      <w:sz w:val="24"/>
    </w:rPr>
  </w:style>
  <w:style w:type="character" w:customStyle="1" w:styleId="124">
    <w:name w:val="GHC 正文 Char"/>
    <w:link w:val="123"/>
    <w:qFormat/>
    <w:uiPriority w:val="0"/>
    <w:rPr>
      <w:rFonts w:ascii="宋体" w:hAnsi="宋体"/>
      <w:kern w:val="2"/>
      <w:sz w:val="24"/>
      <w:szCs w:val="24"/>
    </w:rPr>
  </w:style>
  <w:style w:type="paragraph" w:customStyle="1" w:styleId="125">
    <w:name w:val="编号"/>
    <w:basedOn w:val="1"/>
    <w:next w:val="64"/>
    <w:qFormat/>
    <w:uiPriority w:val="34"/>
    <w:pPr>
      <w:ind w:firstLine="420" w:firstLineChars="200"/>
    </w:pPr>
    <w:rPr>
      <w:rFonts w:ascii="等线" w:hAnsi="等线" w:eastAsia="等线" w:cs="Microsoft Uighur"/>
      <w:szCs w:val="21"/>
    </w:rPr>
  </w:style>
  <w:style w:type="character" w:customStyle="1" w:styleId="126">
    <w:name w:val="列出段落 字符"/>
    <w:link w:val="64"/>
    <w:qFormat/>
    <w:locked/>
    <w:uiPriority w:val="34"/>
    <w:rPr>
      <w:sz w:val="24"/>
      <w:szCs w:val="24"/>
    </w:rPr>
  </w:style>
  <w:style w:type="character" w:customStyle="1" w:styleId="127">
    <w:name w:val="列表段落 字符"/>
    <w:qFormat/>
    <w:uiPriority w:val="0"/>
    <w:rPr>
      <w:rFonts w:ascii="等线" w:hAnsi="等线" w:eastAsia="等线" w:cs="Microsoft Uighur"/>
      <w:kern w:val="2"/>
      <w:sz w:val="21"/>
      <w:szCs w:val="21"/>
      <w:lang w:bidi="ar-SA"/>
    </w:rPr>
  </w:style>
  <w:style w:type="character" w:customStyle="1" w:styleId="128">
    <w:name w:val="Bid_正文 Char"/>
    <w:link w:val="129"/>
    <w:qFormat/>
    <w:uiPriority w:val="0"/>
    <w:rPr>
      <w:sz w:val="24"/>
    </w:rPr>
  </w:style>
  <w:style w:type="paragraph" w:customStyle="1" w:styleId="129">
    <w:name w:val="Bid_正文"/>
    <w:basedOn w:val="15"/>
    <w:link w:val="128"/>
    <w:qFormat/>
    <w:uiPriority w:val="0"/>
    <w:pPr>
      <w:widowControl/>
      <w:autoSpaceDE/>
      <w:autoSpaceDN/>
      <w:adjustRightInd/>
      <w:spacing w:afterLines="50" w:line="360" w:lineRule="auto"/>
      <w:ind w:firstLine="480" w:firstLineChars="200"/>
      <w:jc w:val="both"/>
    </w:pPr>
    <w:rPr>
      <w:rFonts w:ascii="Times New Roman"/>
    </w:rPr>
  </w:style>
  <w:style w:type="paragraph" w:customStyle="1" w:styleId="130">
    <w:name w:val="文档正文"/>
    <w:basedOn w:val="1"/>
    <w:link w:val="131"/>
    <w:qFormat/>
    <w:uiPriority w:val="0"/>
    <w:pPr>
      <w:adjustRightInd w:val="0"/>
      <w:spacing w:line="480" w:lineRule="atLeast"/>
      <w:ind w:firstLine="567"/>
      <w:textAlignment w:val="baseline"/>
    </w:pPr>
    <w:rPr>
      <w:rFonts w:ascii="长城仿宋"/>
      <w:kern w:val="0"/>
      <w:sz w:val="24"/>
      <w:szCs w:val="20"/>
    </w:rPr>
  </w:style>
  <w:style w:type="character" w:customStyle="1" w:styleId="131">
    <w:name w:val="文档正文 Char"/>
    <w:link w:val="130"/>
    <w:qFormat/>
    <w:uiPriority w:val="0"/>
    <w:rPr>
      <w:rFonts w:ascii="长城仿宋"/>
      <w:sz w:val="24"/>
    </w:rPr>
  </w:style>
  <w:style w:type="paragraph" w:customStyle="1" w:styleId="132">
    <w:name w:val="List Paragraph1"/>
    <w:basedOn w:val="1"/>
    <w:next w:val="64"/>
    <w:link w:val="133"/>
    <w:qFormat/>
    <w:uiPriority w:val="34"/>
    <w:pPr>
      <w:ind w:firstLine="420"/>
    </w:pPr>
    <w:rPr>
      <w:rFonts w:eastAsia="等线"/>
      <w:sz w:val="24"/>
      <w:lang w:bidi="ug-CN"/>
    </w:rPr>
  </w:style>
  <w:style w:type="character" w:customStyle="1" w:styleId="133">
    <w:name w:val="列出段落 Char"/>
    <w:link w:val="132"/>
    <w:qFormat/>
    <w:locked/>
    <w:uiPriority w:val="34"/>
    <w:rPr>
      <w:rFonts w:eastAsia="等线"/>
      <w:kern w:val="2"/>
      <w:sz w:val="24"/>
      <w:szCs w:val="24"/>
      <w:lang w:bidi="ug-CN"/>
    </w:rPr>
  </w:style>
  <w:style w:type="paragraph" w:customStyle="1" w:styleId="134">
    <w:name w:val="_正文段落"/>
    <w:basedOn w:val="1"/>
    <w:link w:val="135"/>
    <w:qFormat/>
    <w:uiPriority w:val="0"/>
    <w:pPr>
      <w:widowControl/>
      <w:spacing w:beforeLines="15" w:afterLines="15" w:line="360" w:lineRule="auto"/>
      <w:ind w:firstLine="480" w:firstLineChars="200"/>
      <w:jc w:val="left"/>
    </w:pPr>
    <w:rPr>
      <w:rFonts w:ascii="宋体" w:hAnsi="宋体"/>
      <w:kern w:val="0"/>
      <w:sz w:val="24"/>
    </w:rPr>
  </w:style>
  <w:style w:type="character" w:customStyle="1" w:styleId="135">
    <w:name w:val="_正文段落 Char"/>
    <w:link w:val="134"/>
    <w:qFormat/>
    <w:uiPriority w:val="0"/>
    <w:rPr>
      <w:rFonts w:ascii="宋体" w:hAnsi="宋体"/>
      <w:sz w:val="24"/>
      <w:szCs w:val="24"/>
    </w:rPr>
  </w:style>
  <w:style w:type="character" w:customStyle="1" w:styleId="136">
    <w:name w:val="标题 4 字符"/>
    <w:qFormat/>
    <w:uiPriority w:val="0"/>
    <w:rPr>
      <w:rFonts w:eastAsia="黑体" w:cs="Times New Roman"/>
      <w:b/>
      <w:bCs/>
      <w:kern w:val="2"/>
      <w:sz w:val="30"/>
      <w:szCs w:val="28"/>
    </w:rPr>
  </w:style>
  <w:style w:type="character" w:customStyle="1" w:styleId="137">
    <w:name w:val="页眉 字符"/>
    <w:qFormat/>
    <w:uiPriority w:val="0"/>
    <w:rPr>
      <w:sz w:val="18"/>
      <w:szCs w:val="18"/>
    </w:rPr>
  </w:style>
  <w:style w:type="paragraph" w:customStyle="1" w:styleId="138">
    <w:name w:val="Char Char Char Char Char Char Char"/>
    <w:basedOn w:val="1"/>
    <w:qFormat/>
    <w:uiPriority w:val="0"/>
    <w:pPr>
      <w:spacing w:line="360" w:lineRule="auto"/>
      <w:ind w:firstLine="200" w:firstLineChars="200"/>
    </w:pPr>
    <w:rPr>
      <w:rFonts w:ascii="Tahoma" w:hAnsi="Tahoma" w:eastAsia="等线" w:cs="宋体"/>
      <w:sz w:val="24"/>
      <w:szCs w:val="20"/>
    </w:rPr>
  </w:style>
  <w:style w:type="paragraph" w:customStyle="1" w:styleId="139">
    <w:name w:val="图的格式"/>
    <w:basedOn w:val="1"/>
    <w:link w:val="140"/>
    <w:qFormat/>
    <w:uiPriority w:val="0"/>
    <w:pPr>
      <w:spacing w:after="156" w:afterLines="50"/>
      <w:jc w:val="center"/>
    </w:pPr>
    <w:rPr>
      <w:rFonts w:eastAsia="等线" w:cs="宋体"/>
      <w:sz w:val="24"/>
    </w:rPr>
  </w:style>
  <w:style w:type="character" w:customStyle="1" w:styleId="140">
    <w:name w:val="图的格式 Char"/>
    <w:link w:val="139"/>
    <w:qFormat/>
    <w:uiPriority w:val="0"/>
    <w:rPr>
      <w:rFonts w:eastAsia="等线" w:cs="宋体"/>
      <w:kern w:val="2"/>
      <w:sz w:val="24"/>
      <w:szCs w:val="24"/>
      <w:lang w:val="en-US" w:eastAsia="zh-CN"/>
    </w:rPr>
  </w:style>
  <w:style w:type="paragraph" w:customStyle="1" w:styleId="141">
    <w:name w:val="表的格式"/>
    <w:basedOn w:val="1"/>
    <w:link w:val="142"/>
    <w:qFormat/>
    <w:uiPriority w:val="0"/>
    <w:pPr>
      <w:spacing w:after="156" w:afterLines="50"/>
    </w:pPr>
    <w:rPr>
      <w:rFonts w:eastAsia="等线" w:cs="宋体"/>
      <w:sz w:val="24"/>
    </w:rPr>
  </w:style>
  <w:style w:type="character" w:customStyle="1" w:styleId="142">
    <w:name w:val="表的格式 Char"/>
    <w:link w:val="141"/>
    <w:qFormat/>
    <w:uiPriority w:val="0"/>
    <w:rPr>
      <w:rFonts w:eastAsia="等线" w:cs="宋体"/>
      <w:kern w:val="2"/>
      <w:sz w:val="24"/>
      <w:szCs w:val="24"/>
    </w:rPr>
  </w:style>
  <w:style w:type="paragraph" w:customStyle="1" w:styleId="143">
    <w:name w:val="图的题注"/>
    <w:basedOn w:val="16"/>
    <w:link w:val="144"/>
    <w:qFormat/>
    <w:uiPriority w:val="0"/>
    <w:pPr>
      <w:jc w:val="center"/>
    </w:pPr>
    <w:rPr>
      <w:rFonts w:ascii="Times New Roman" w:hAnsi="Times New Roman" w:eastAsia="等线"/>
      <w:sz w:val="24"/>
      <w:szCs w:val="24"/>
    </w:rPr>
  </w:style>
  <w:style w:type="character" w:customStyle="1" w:styleId="144">
    <w:name w:val="图的题注 Char"/>
    <w:link w:val="143"/>
    <w:qFormat/>
    <w:uiPriority w:val="0"/>
    <w:rPr>
      <w:rFonts w:eastAsia="等线" w:cs="Arial"/>
      <w:kern w:val="2"/>
      <w:sz w:val="24"/>
      <w:szCs w:val="24"/>
    </w:rPr>
  </w:style>
  <w:style w:type="paragraph" w:customStyle="1" w:styleId="145">
    <w:name w:val="表的题注"/>
    <w:basedOn w:val="16"/>
    <w:link w:val="146"/>
    <w:qFormat/>
    <w:uiPriority w:val="0"/>
    <w:pPr>
      <w:keepNext/>
      <w:jc w:val="center"/>
    </w:pPr>
    <w:rPr>
      <w:rFonts w:ascii="Times New Roman" w:hAnsi="Times New Roman" w:eastAsia="等线"/>
      <w:sz w:val="24"/>
      <w:szCs w:val="24"/>
    </w:rPr>
  </w:style>
  <w:style w:type="character" w:customStyle="1" w:styleId="146">
    <w:name w:val="表的题注 Char"/>
    <w:link w:val="145"/>
    <w:qFormat/>
    <w:uiPriority w:val="0"/>
    <w:rPr>
      <w:rFonts w:eastAsia="等线" w:cs="Arial"/>
      <w:kern w:val="2"/>
      <w:sz w:val="24"/>
      <w:szCs w:val="24"/>
    </w:rPr>
  </w:style>
  <w:style w:type="character" w:customStyle="1" w:styleId="147">
    <w:name w:val="标题 1 字符"/>
    <w:qFormat/>
    <w:uiPriority w:val="0"/>
    <w:rPr>
      <w:rFonts w:eastAsia="黑体" w:cs="宋体"/>
      <w:b/>
      <w:bCs/>
      <w:kern w:val="44"/>
      <w:sz w:val="44"/>
      <w:szCs w:val="44"/>
    </w:rPr>
  </w:style>
  <w:style w:type="character" w:customStyle="1" w:styleId="148">
    <w:name w:val="标题 2 字符"/>
    <w:qFormat/>
    <w:uiPriority w:val="0"/>
    <w:rPr>
      <w:rFonts w:eastAsia="黑体" w:cs="宋体"/>
      <w:b/>
      <w:bCs/>
      <w:kern w:val="2"/>
      <w:sz w:val="36"/>
      <w:szCs w:val="32"/>
    </w:rPr>
  </w:style>
  <w:style w:type="character" w:customStyle="1" w:styleId="149">
    <w:name w:val="标题 3 字符"/>
    <w:qFormat/>
    <w:uiPriority w:val="0"/>
    <w:rPr>
      <w:rFonts w:eastAsia="黑体" w:cs="宋体"/>
      <w:b/>
      <w:bCs/>
      <w:kern w:val="2"/>
      <w:sz w:val="32"/>
      <w:szCs w:val="32"/>
    </w:rPr>
  </w:style>
  <w:style w:type="character" w:customStyle="1" w:styleId="150">
    <w:name w:val="正文缩进 字符"/>
    <w:qFormat/>
    <w:locked/>
    <w:uiPriority w:val="0"/>
    <w:rPr>
      <w:rFonts w:cs="宋体"/>
    </w:rPr>
  </w:style>
  <w:style w:type="paragraph" w:customStyle="1" w:styleId="151">
    <w:name w:val="第八级标题"/>
    <w:basedOn w:val="1"/>
    <w:next w:val="1"/>
    <w:qFormat/>
    <w:uiPriority w:val="0"/>
    <w:pPr>
      <w:numPr>
        <w:ilvl w:val="7"/>
        <w:numId w:val="4"/>
      </w:numPr>
      <w:tabs>
        <w:tab w:val="left" w:pos="1440"/>
      </w:tabs>
      <w:spacing w:beforeLines="100" w:afterLines="50" w:line="360" w:lineRule="auto"/>
      <w:outlineLvl w:val="7"/>
    </w:pPr>
    <w:rPr>
      <w:rFonts w:ascii="Calibri" w:hAnsi="Calibri" w:eastAsia="等线" w:cs="宋体"/>
      <w:sz w:val="24"/>
    </w:rPr>
  </w:style>
  <w:style w:type="paragraph" w:customStyle="1" w:styleId="152">
    <w:name w:val="第二级标题"/>
    <w:basedOn w:val="4"/>
    <w:next w:val="1"/>
    <w:qFormat/>
    <w:uiPriority w:val="0"/>
    <w:pPr>
      <w:keepNext w:val="0"/>
      <w:keepLines w:val="0"/>
      <w:numPr>
        <w:ilvl w:val="1"/>
        <w:numId w:val="4"/>
      </w:numPr>
      <w:tabs>
        <w:tab w:val="left" w:pos="720"/>
      </w:tabs>
      <w:autoSpaceDE/>
      <w:autoSpaceDN/>
      <w:spacing w:before="100" w:beforeAutospacing="1" w:line="360" w:lineRule="auto"/>
      <w:jc w:val="both"/>
      <w:textAlignment w:val="baseline"/>
    </w:pPr>
    <w:rPr>
      <w:rFonts w:ascii="Cambria" w:hAnsi="Cambria" w:eastAsia="宋体" w:cs="宋体"/>
      <w:b w:val="0"/>
      <w:sz w:val="21"/>
      <w:szCs w:val="24"/>
    </w:rPr>
  </w:style>
  <w:style w:type="paragraph" w:customStyle="1" w:styleId="153">
    <w:name w:val="第六级标题"/>
    <w:basedOn w:val="9"/>
    <w:next w:val="1"/>
    <w:qFormat/>
    <w:uiPriority w:val="0"/>
    <w:pPr>
      <w:numPr>
        <w:numId w:val="4"/>
      </w:numPr>
      <w:spacing w:before="100" w:beforeAutospacing="1" w:after="0" w:line="360" w:lineRule="auto"/>
    </w:pPr>
    <w:rPr>
      <w:rFonts w:ascii="Times New Roman" w:hAnsi="Times New Roman" w:eastAsia="宋体" w:cs="宋体"/>
    </w:rPr>
  </w:style>
  <w:style w:type="paragraph" w:customStyle="1" w:styleId="154">
    <w:name w:val="第七级标题"/>
    <w:basedOn w:val="1"/>
    <w:next w:val="1"/>
    <w:qFormat/>
    <w:uiPriority w:val="0"/>
    <w:pPr>
      <w:numPr>
        <w:ilvl w:val="6"/>
        <w:numId w:val="4"/>
      </w:numPr>
      <w:tabs>
        <w:tab w:val="left" w:pos="1296"/>
      </w:tabs>
      <w:spacing w:before="100" w:beforeAutospacing="1" w:line="360" w:lineRule="auto"/>
      <w:outlineLvl w:val="6"/>
    </w:pPr>
    <w:rPr>
      <w:rFonts w:eastAsia="等线" w:cs="宋体"/>
      <w:sz w:val="24"/>
    </w:rPr>
  </w:style>
  <w:style w:type="paragraph" w:customStyle="1" w:styleId="155">
    <w:name w:val="第三极标题"/>
    <w:basedOn w:val="5"/>
    <w:next w:val="1"/>
    <w:qFormat/>
    <w:uiPriority w:val="0"/>
    <w:pPr>
      <w:numPr>
        <w:ilvl w:val="2"/>
        <w:numId w:val="4"/>
      </w:numPr>
      <w:autoSpaceDE/>
      <w:autoSpaceDN/>
      <w:adjustRightInd/>
      <w:spacing w:before="100" w:beforeAutospacing="1" w:after="0" w:line="360" w:lineRule="auto"/>
      <w:jc w:val="both"/>
    </w:pPr>
    <w:rPr>
      <w:rFonts w:ascii="Calibri" w:hAnsi="Calibri" w:cs="宋体"/>
      <w:bCs/>
      <w:color w:val="000000"/>
      <w:kern w:val="2"/>
      <w:sz w:val="30"/>
      <w:szCs w:val="32"/>
      <w:u w:val="none"/>
    </w:rPr>
  </w:style>
  <w:style w:type="paragraph" w:customStyle="1" w:styleId="156">
    <w:name w:val="第四级标题"/>
    <w:basedOn w:val="6"/>
    <w:next w:val="1"/>
    <w:qFormat/>
    <w:uiPriority w:val="0"/>
    <w:pPr>
      <w:numPr>
        <w:numId w:val="4"/>
      </w:numPr>
      <w:spacing w:before="100" w:beforeAutospacing="1" w:line="360" w:lineRule="auto"/>
      <w:ind w:firstLine="0"/>
      <w:jc w:val="left"/>
    </w:pPr>
    <w:rPr>
      <w:rFonts w:ascii="Cambria" w:hAnsi="Cambria" w:cs="宋体"/>
      <w:sz w:val="28"/>
    </w:rPr>
  </w:style>
  <w:style w:type="paragraph" w:customStyle="1" w:styleId="157">
    <w:name w:val="第五级标题"/>
    <w:basedOn w:val="7"/>
    <w:next w:val="1"/>
    <w:qFormat/>
    <w:uiPriority w:val="0"/>
    <w:pPr>
      <w:numPr>
        <w:numId w:val="4"/>
      </w:numPr>
      <w:spacing w:before="100" w:beforeAutospacing="1" w:after="0" w:line="360" w:lineRule="auto"/>
      <w:ind w:right="240" w:rightChars="100"/>
      <w:jc w:val="left"/>
    </w:pPr>
    <w:rPr>
      <w:rFonts w:ascii="Calibri" w:hAnsi="Calibri" w:cs="宋体"/>
    </w:rPr>
  </w:style>
  <w:style w:type="paragraph" w:customStyle="1" w:styleId="158">
    <w:name w:val="第一级标题"/>
    <w:basedOn w:val="3"/>
    <w:next w:val="1"/>
    <w:qFormat/>
    <w:uiPriority w:val="0"/>
    <w:pPr>
      <w:autoSpaceDE/>
      <w:autoSpaceDN/>
      <w:adjustRightInd/>
      <w:spacing w:before="100" w:beforeAutospacing="1" w:after="0" w:line="360" w:lineRule="auto"/>
      <w:jc w:val="both"/>
    </w:pPr>
    <w:rPr>
      <w:rFonts w:ascii="Calibri" w:hAnsi="Calibri" w:cs="宋体"/>
      <w:bCs/>
      <w:sz w:val="44"/>
      <w:szCs w:val="44"/>
    </w:rPr>
  </w:style>
  <w:style w:type="paragraph" w:customStyle="1" w:styleId="159">
    <w:name w:val="msonormal"/>
    <w:basedOn w:val="1"/>
    <w:qFormat/>
    <w:uiPriority w:val="0"/>
    <w:pPr>
      <w:spacing w:before="100" w:beforeAutospacing="1" w:after="100" w:afterAutospacing="1"/>
    </w:pPr>
    <w:rPr>
      <w:rFonts w:eastAsia="等线" w:cs="宋体"/>
      <w:sz w:val="24"/>
    </w:rPr>
  </w:style>
  <w:style w:type="paragraph" w:customStyle="1" w:styleId="160">
    <w:name w:val="font5"/>
    <w:basedOn w:val="1"/>
    <w:qFormat/>
    <w:uiPriority w:val="0"/>
    <w:pPr>
      <w:spacing w:before="100" w:beforeAutospacing="1" w:after="100" w:afterAutospacing="1"/>
    </w:pPr>
    <w:rPr>
      <w:rFonts w:eastAsia="等线" w:cs="宋体"/>
      <w:sz w:val="18"/>
      <w:szCs w:val="18"/>
    </w:rPr>
  </w:style>
  <w:style w:type="paragraph" w:customStyle="1" w:styleId="161">
    <w:name w:val="xl65"/>
    <w:basedOn w:val="1"/>
    <w:qFormat/>
    <w:uiPriority w:val="0"/>
    <w:pPr>
      <w:spacing w:before="100" w:beforeAutospacing="1" w:after="100" w:afterAutospacing="1"/>
      <w:jc w:val="center"/>
    </w:pPr>
    <w:rPr>
      <w:rFonts w:eastAsia="等线" w:cs="宋体"/>
      <w:sz w:val="24"/>
    </w:rPr>
  </w:style>
  <w:style w:type="paragraph" w:customStyle="1" w:styleId="162">
    <w:name w:val="xl66"/>
    <w:basedOn w:val="1"/>
    <w:qFormat/>
    <w:uiPriority w:val="0"/>
    <w:pPr>
      <w:spacing w:before="100" w:beforeAutospacing="1" w:after="100" w:afterAutospacing="1"/>
    </w:pPr>
    <w:rPr>
      <w:rFonts w:eastAsia="等线" w:cs="宋体"/>
      <w:sz w:val="24"/>
    </w:rPr>
  </w:style>
  <w:style w:type="paragraph" w:customStyle="1" w:styleId="163">
    <w:name w:val="xl67"/>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pPr>
    <w:rPr>
      <w:rFonts w:eastAsia="等线" w:cs="宋体"/>
      <w:b/>
      <w:bCs/>
      <w:sz w:val="24"/>
    </w:rPr>
  </w:style>
  <w:style w:type="paragraph" w:customStyle="1" w:styleId="164">
    <w:name w:val="xl68"/>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pPr>
    <w:rPr>
      <w:rFonts w:eastAsia="等线" w:cs="宋体"/>
      <w:b/>
      <w:bCs/>
      <w:sz w:val="24"/>
    </w:rPr>
  </w:style>
  <w:style w:type="paragraph" w:customStyle="1" w:styleId="165">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等线" w:cs="宋体"/>
      <w:sz w:val="24"/>
    </w:rPr>
  </w:style>
  <w:style w:type="paragraph" w:customStyle="1" w:styleId="166">
    <w:name w:val="xl70"/>
    <w:basedOn w:val="1"/>
    <w:qFormat/>
    <w:uiPriority w:val="0"/>
    <w:pPr>
      <w:pBdr>
        <w:top w:val="single" w:color="auto" w:sz="4" w:space="0"/>
        <w:left w:val="single" w:color="auto" w:sz="4" w:space="0"/>
        <w:bottom w:val="single" w:color="auto" w:sz="4" w:space="0"/>
        <w:right w:val="single" w:color="auto" w:sz="4" w:space="0"/>
      </w:pBdr>
      <w:shd w:val="clear" w:color="000000" w:fill="F8CBAD"/>
      <w:spacing w:before="100" w:beforeAutospacing="1" w:after="100" w:afterAutospacing="1"/>
    </w:pPr>
    <w:rPr>
      <w:rFonts w:eastAsia="等线" w:cs="宋体"/>
      <w:sz w:val="24"/>
    </w:rPr>
  </w:style>
  <w:style w:type="paragraph" w:customStyle="1" w:styleId="167">
    <w:name w:val="xl71"/>
    <w:basedOn w:val="1"/>
    <w:qFormat/>
    <w:uiPriority w:val="0"/>
    <w:pPr>
      <w:pBdr>
        <w:top w:val="single" w:color="auto" w:sz="4" w:space="0"/>
        <w:left w:val="single" w:color="auto" w:sz="4" w:space="0"/>
        <w:bottom w:val="single" w:color="auto" w:sz="4" w:space="0"/>
        <w:right w:val="single" w:color="auto" w:sz="4" w:space="0"/>
      </w:pBdr>
      <w:shd w:val="clear" w:color="000000" w:fill="00B050"/>
      <w:spacing w:before="100" w:beforeAutospacing="1" w:after="100" w:afterAutospacing="1"/>
      <w:jc w:val="center"/>
    </w:pPr>
    <w:rPr>
      <w:rFonts w:eastAsia="等线" w:cs="宋体"/>
      <w:sz w:val="24"/>
    </w:rPr>
  </w:style>
  <w:style w:type="paragraph" w:customStyle="1" w:styleId="168">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eastAsia="等线" w:cs="宋体"/>
      <w:sz w:val="24"/>
    </w:rPr>
  </w:style>
  <w:style w:type="paragraph" w:customStyle="1" w:styleId="169">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eastAsia="等线" w:cs="宋体"/>
      <w:color w:val="000000"/>
      <w:sz w:val="24"/>
    </w:rPr>
  </w:style>
  <w:style w:type="paragraph" w:customStyle="1" w:styleId="170">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eastAsia="等线" w:cs="宋体"/>
      <w:sz w:val="24"/>
    </w:rPr>
  </w:style>
  <w:style w:type="paragraph" w:customStyle="1" w:styleId="171">
    <w:name w:val="xl75"/>
    <w:basedOn w:val="1"/>
    <w:qFormat/>
    <w:uiPriority w:val="0"/>
    <w:pPr>
      <w:pBdr>
        <w:top w:val="single" w:color="auto" w:sz="4" w:space="0"/>
        <w:left w:val="single" w:color="auto" w:sz="4" w:space="0"/>
        <w:bottom w:val="single" w:color="auto" w:sz="4" w:space="0"/>
        <w:right w:val="single" w:color="auto" w:sz="4" w:space="0"/>
      </w:pBdr>
      <w:shd w:val="clear" w:color="000000" w:fill="F8CBAD"/>
      <w:spacing w:before="100" w:beforeAutospacing="1" w:after="100" w:afterAutospacing="1"/>
      <w:jc w:val="center"/>
    </w:pPr>
    <w:rPr>
      <w:rFonts w:eastAsia="等线" w:cs="宋体"/>
      <w:sz w:val="24"/>
    </w:rPr>
  </w:style>
  <w:style w:type="paragraph" w:customStyle="1" w:styleId="172">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eastAsia="等线" w:cs="宋体"/>
      <w:color w:val="FF0000"/>
      <w:sz w:val="24"/>
    </w:rPr>
  </w:style>
  <w:style w:type="paragraph" w:customStyle="1" w:styleId="173">
    <w:name w:val="xl77"/>
    <w:basedOn w:val="1"/>
    <w:qFormat/>
    <w:uiPriority w:val="0"/>
    <w:pPr>
      <w:pBdr>
        <w:top w:val="single" w:color="auto" w:sz="4" w:space="0"/>
        <w:left w:val="single" w:color="auto" w:sz="4" w:space="0"/>
        <w:right w:val="single" w:color="auto" w:sz="4" w:space="0"/>
      </w:pBdr>
      <w:shd w:val="clear" w:color="000000" w:fill="00B050"/>
      <w:spacing w:before="100" w:beforeAutospacing="1" w:after="100" w:afterAutospacing="1"/>
      <w:jc w:val="center"/>
    </w:pPr>
    <w:rPr>
      <w:rFonts w:eastAsia="等线" w:cs="宋体"/>
      <w:sz w:val="24"/>
    </w:rPr>
  </w:style>
  <w:style w:type="paragraph" w:customStyle="1" w:styleId="174">
    <w:name w:val="xl78"/>
    <w:basedOn w:val="1"/>
    <w:qFormat/>
    <w:uiPriority w:val="0"/>
    <w:pPr>
      <w:pBdr>
        <w:left w:val="single" w:color="auto" w:sz="4" w:space="0"/>
        <w:right w:val="single" w:color="auto" w:sz="4" w:space="0"/>
      </w:pBdr>
      <w:shd w:val="clear" w:color="000000" w:fill="00B050"/>
      <w:spacing w:before="100" w:beforeAutospacing="1" w:after="100" w:afterAutospacing="1"/>
      <w:jc w:val="center"/>
    </w:pPr>
    <w:rPr>
      <w:rFonts w:eastAsia="等线" w:cs="宋体"/>
      <w:sz w:val="24"/>
    </w:rPr>
  </w:style>
  <w:style w:type="paragraph" w:customStyle="1" w:styleId="175">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eastAsia="等线" w:cs="宋体"/>
      <w:sz w:val="24"/>
    </w:rPr>
  </w:style>
  <w:style w:type="paragraph" w:customStyle="1" w:styleId="176">
    <w:name w:val="xl80"/>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eastAsia="等线" w:cs="宋体"/>
      <w:sz w:val="24"/>
    </w:rPr>
  </w:style>
  <w:style w:type="paragraph" w:customStyle="1" w:styleId="177">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eastAsia="等线" w:cs="宋体"/>
      <w:sz w:val="24"/>
    </w:rPr>
  </w:style>
  <w:style w:type="paragraph" w:customStyle="1" w:styleId="178">
    <w:name w:val="xl82"/>
    <w:basedOn w:val="1"/>
    <w:qFormat/>
    <w:uiPriority w:val="0"/>
    <w:pPr>
      <w:pBdr>
        <w:top w:val="single" w:color="auto" w:sz="4" w:space="0"/>
        <w:left w:val="single" w:color="auto" w:sz="4" w:space="0"/>
        <w:bottom w:val="single" w:color="auto" w:sz="4" w:space="0"/>
        <w:right w:val="single" w:color="auto" w:sz="4" w:space="0"/>
      </w:pBdr>
      <w:shd w:val="clear" w:color="000000" w:fill="F8CBAD"/>
      <w:spacing w:before="100" w:beforeAutospacing="1" w:after="100" w:afterAutospacing="1"/>
    </w:pPr>
    <w:rPr>
      <w:rFonts w:eastAsia="等线" w:cs="宋体"/>
      <w:color w:val="FF0000"/>
      <w:sz w:val="24"/>
    </w:rPr>
  </w:style>
  <w:style w:type="paragraph" w:customStyle="1" w:styleId="179">
    <w:name w:val="xl8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eastAsia="等线" w:cs="宋体"/>
      <w:sz w:val="24"/>
    </w:rPr>
  </w:style>
  <w:style w:type="paragraph" w:customStyle="1" w:styleId="180">
    <w:name w:val="xl84"/>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eastAsia="等线" w:cs="宋体"/>
      <w:sz w:val="24"/>
    </w:rPr>
  </w:style>
  <w:style w:type="paragraph" w:customStyle="1" w:styleId="181">
    <w:name w:val="xl85"/>
    <w:basedOn w:val="1"/>
    <w:qFormat/>
    <w:uiPriority w:val="0"/>
    <w:pPr>
      <w:pBdr>
        <w:left w:val="single" w:color="auto" w:sz="4" w:space="0"/>
        <w:right w:val="single" w:color="auto" w:sz="4" w:space="0"/>
      </w:pBdr>
      <w:spacing w:before="100" w:beforeAutospacing="1" w:after="100" w:afterAutospacing="1"/>
      <w:jc w:val="center"/>
    </w:pPr>
    <w:rPr>
      <w:rFonts w:eastAsia="等线" w:cs="宋体"/>
      <w:sz w:val="24"/>
    </w:rPr>
  </w:style>
  <w:style w:type="paragraph" w:customStyle="1" w:styleId="182">
    <w:name w:val="xl86"/>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eastAsia="等线" w:cs="宋体"/>
      <w:sz w:val="24"/>
    </w:rPr>
  </w:style>
  <w:style w:type="paragraph" w:customStyle="1" w:styleId="183">
    <w:name w:val="xl87"/>
    <w:basedOn w:val="1"/>
    <w:qFormat/>
    <w:uiPriority w:val="0"/>
    <w:pPr>
      <w:pBdr>
        <w:top w:val="single" w:color="auto" w:sz="4" w:space="0"/>
        <w:left w:val="single" w:color="auto" w:sz="4" w:space="0"/>
        <w:right w:val="single" w:color="auto" w:sz="4" w:space="0"/>
      </w:pBdr>
      <w:spacing w:before="100" w:beforeAutospacing="1" w:after="100" w:afterAutospacing="1"/>
    </w:pPr>
    <w:rPr>
      <w:rFonts w:eastAsia="等线" w:cs="宋体"/>
      <w:sz w:val="24"/>
    </w:rPr>
  </w:style>
  <w:style w:type="paragraph" w:customStyle="1" w:styleId="184">
    <w:name w:val="xl88"/>
    <w:basedOn w:val="1"/>
    <w:qFormat/>
    <w:uiPriority w:val="0"/>
    <w:pPr>
      <w:pBdr>
        <w:left w:val="single" w:color="auto" w:sz="4" w:space="0"/>
        <w:right w:val="single" w:color="auto" w:sz="4" w:space="0"/>
      </w:pBdr>
      <w:spacing w:before="100" w:beforeAutospacing="1" w:after="100" w:afterAutospacing="1"/>
    </w:pPr>
    <w:rPr>
      <w:rFonts w:eastAsia="等线" w:cs="宋体"/>
      <w:sz w:val="24"/>
    </w:rPr>
  </w:style>
  <w:style w:type="paragraph" w:customStyle="1" w:styleId="185">
    <w:name w:val="xl89"/>
    <w:basedOn w:val="1"/>
    <w:qFormat/>
    <w:uiPriority w:val="0"/>
    <w:pPr>
      <w:pBdr>
        <w:left w:val="single" w:color="auto" w:sz="4" w:space="0"/>
        <w:right w:val="single" w:color="auto" w:sz="4" w:space="0"/>
      </w:pBdr>
      <w:spacing w:before="100" w:beforeAutospacing="1" w:after="100" w:afterAutospacing="1"/>
    </w:pPr>
    <w:rPr>
      <w:rFonts w:eastAsia="等线" w:cs="宋体"/>
      <w:sz w:val="24"/>
    </w:rPr>
  </w:style>
  <w:style w:type="paragraph" w:customStyle="1" w:styleId="186">
    <w:name w:val="xl90"/>
    <w:basedOn w:val="1"/>
    <w:qFormat/>
    <w:uiPriority w:val="0"/>
    <w:pPr>
      <w:pBdr>
        <w:left w:val="single" w:color="auto" w:sz="4" w:space="0"/>
        <w:bottom w:val="single" w:color="auto" w:sz="4" w:space="0"/>
        <w:right w:val="single" w:color="auto" w:sz="4" w:space="0"/>
      </w:pBdr>
      <w:spacing w:before="100" w:beforeAutospacing="1" w:after="100" w:afterAutospacing="1"/>
    </w:pPr>
    <w:rPr>
      <w:rFonts w:eastAsia="等线" w:cs="宋体"/>
      <w:sz w:val="24"/>
    </w:rPr>
  </w:style>
  <w:style w:type="paragraph" w:customStyle="1" w:styleId="187">
    <w:name w:val="xl91"/>
    <w:basedOn w:val="1"/>
    <w:qFormat/>
    <w:uiPriority w:val="0"/>
    <w:pPr>
      <w:pBdr>
        <w:top w:val="single" w:color="auto" w:sz="4" w:space="0"/>
        <w:left w:val="single" w:color="auto" w:sz="4" w:space="0"/>
        <w:right w:val="single" w:color="auto" w:sz="4" w:space="0"/>
      </w:pBdr>
      <w:spacing w:before="100" w:beforeAutospacing="1" w:after="100" w:afterAutospacing="1"/>
    </w:pPr>
    <w:rPr>
      <w:rFonts w:eastAsia="等线" w:cs="宋体"/>
      <w:sz w:val="24"/>
    </w:rPr>
  </w:style>
  <w:style w:type="paragraph" w:customStyle="1" w:styleId="188">
    <w:name w:val="xl92"/>
    <w:basedOn w:val="1"/>
    <w:qFormat/>
    <w:uiPriority w:val="0"/>
    <w:pPr>
      <w:pBdr>
        <w:left w:val="single" w:color="auto" w:sz="4" w:space="0"/>
        <w:bottom w:val="single" w:color="auto" w:sz="4" w:space="0"/>
        <w:right w:val="single" w:color="auto" w:sz="4" w:space="0"/>
      </w:pBdr>
      <w:spacing w:before="100" w:beforeAutospacing="1" w:after="100" w:afterAutospacing="1"/>
    </w:pPr>
    <w:rPr>
      <w:rFonts w:eastAsia="等线" w:cs="宋体"/>
      <w:sz w:val="24"/>
    </w:rPr>
  </w:style>
  <w:style w:type="paragraph" w:customStyle="1" w:styleId="189">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eastAsia="等线" w:cs="宋体"/>
      <w:color w:val="000000"/>
      <w:sz w:val="24"/>
    </w:rPr>
  </w:style>
  <w:style w:type="paragraph" w:customStyle="1" w:styleId="190">
    <w:name w:val="xl94"/>
    <w:basedOn w:val="1"/>
    <w:qFormat/>
    <w:uiPriority w:val="0"/>
    <w:pPr>
      <w:pBdr>
        <w:top w:val="single" w:color="auto" w:sz="4" w:space="0"/>
        <w:left w:val="single" w:color="auto" w:sz="4" w:space="0"/>
      </w:pBdr>
      <w:spacing w:before="100" w:beforeAutospacing="1" w:after="100" w:afterAutospacing="1"/>
    </w:pPr>
    <w:rPr>
      <w:rFonts w:eastAsia="等线" w:cs="宋体"/>
      <w:sz w:val="24"/>
    </w:rPr>
  </w:style>
  <w:style w:type="paragraph" w:customStyle="1" w:styleId="191">
    <w:name w:val="xl95"/>
    <w:basedOn w:val="1"/>
    <w:qFormat/>
    <w:uiPriority w:val="0"/>
    <w:pPr>
      <w:pBdr>
        <w:top w:val="single" w:color="auto" w:sz="4" w:space="0"/>
        <w:right w:val="single" w:color="auto" w:sz="4" w:space="0"/>
      </w:pBdr>
      <w:spacing w:before="100" w:beforeAutospacing="1" w:after="100" w:afterAutospacing="1"/>
    </w:pPr>
    <w:rPr>
      <w:rFonts w:eastAsia="等线" w:cs="宋体"/>
      <w:sz w:val="24"/>
    </w:rPr>
  </w:style>
  <w:style w:type="paragraph" w:customStyle="1" w:styleId="192">
    <w:name w:val="xl96"/>
    <w:basedOn w:val="1"/>
    <w:qFormat/>
    <w:uiPriority w:val="0"/>
    <w:pPr>
      <w:pBdr>
        <w:left w:val="single" w:color="auto" w:sz="4" w:space="0"/>
      </w:pBdr>
      <w:spacing w:before="100" w:beforeAutospacing="1" w:after="100" w:afterAutospacing="1"/>
    </w:pPr>
    <w:rPr>
      <w:rFonts w:eastAsia="等线" w:cs="宋体"/>
      <w:sz w:val="24"/>
    </w:rPr>
  </w:style>
  <w:style w:type="paragraph" w:customStyle="1" w:styleId="193">
    <w:name w:val="xl97"/>
    <w:basedOn w:val="1"/>
    <w:qFormat/>
    <w:uiPriority w:val="0"/>
    <w:pPr>
      <w:pBdr>
        <w:right w:val="single" w:color="auto" w:sz="4" w:space="0"/>
      </w:pBdr>
      <w:spacing w:before="100" w:beforeAutospacing="1" w:after="100" w:afterAutospacing="1"/>
    </w:pPr>
    <w:rPr>
      <w:rFonts w:eastAsia="等线" w:cs="宋体"/>
      <w:sz w:val="24"/>
    </w:rPr>
  </w:style>
  <w:style w:type="paragraph" w:customStyle="1" w:styleId="194">
    <w:name w:val="xl98"/>
    <w:basedOn w:val="1"/>
    <w:qFormat/>
    <w:uiPriority w:val="0"/>
    <w:pPr>
      <w:pBdr>
        <w:top w:val="single" w:color="auto" w:sz="4" w:space="0"/>
        <w:left w:val="single" w:color="auto" w:sz="4" w:space="0"/>
      </w:pBdr>
      <w:spacing w:before="100" w:beforeAutospacing="1" w:after="100" w:afterAutospacing="1"/>
    </w:pPr>
    <w:rPr>
      <w:rFonts w:eastAsia="等线" w:cs="宋体"/>
      <w:sz w:val="24"/>
    </w:rPr>
  </w:style>
  <w:style w:type="paragraph" w:customStyle="1" w:styleId="195">
    <w:name w:val="xl99"/>
    <w:basedOn w:val="1"/>
    <w:qFormat/>
    <w:uiPriority w:val="0"/>
    <w:pPr>
      <w:pBdr>
        <w:top w:val="single" w:color="auto" w:sz="4" w:space="0"/>
        <w:right w:val="single" w:color="auto" w:sz="4" w:space="0"/>
      </w:pBdr>
      <w:spacing w:before="100" w:beforeAutospacing="1" w:after="100" w:afterAutospacing="1"/>
    </w:pPr>
    <w:rPr>
      <w:rFonts w:eastAsia="等线" w:cs="宋体"/>
      <w:sz w:val="24"/>
    </w:rPr>
  </w:style>
  <w:style w:type="paragraph" w:customStyle="1" w:styleId="196">
    <w:name w:val="xl100"/>
    <w:basedOn w:val="1"/>
    <w:qFormat/>
    <w:uiPriority w:val="0"/>
    <w:pPr>
      <w:pBdr>
        <w:left w:val="single" w:color="auto" w:sz="4" w:space="0"/>
      </w:pBdr>
      <w:spacing w:before="100" w:beforeAutospacing="1" w:after="100" w:afterAutospacing="1"/>
    </w:pPr>
    <w:rPr>
      <w:rFonts w:eastAsia="等线" w:cs="宋体"/>
      <w:sz w:val="24"/>
    </w:rPr>
  </w:style>
  <w:style w:type="paragraph" w:customStyle="1" w:styleId="197">
    <w:name w:val="xl101"/>
    <w:basedOn w:val="1"/>
    <w:qFormat/>
    <w:uiPriority w:val="0"/>
    <w:pPr>
      <w:pBdr>
        <w:right w:val="single" w:color="auto" w:sz="4" w:space="0"/>
      </w:pBdr>
      <w:spacing w:before="100" w:beforeAutospacing="1" w:after="100" w:afterAutospacing="1"/>
    </w:pPr>
    <w:rPr>
      <w:rFonts w:eastAsia="等线" w:cs="宋体"/>
      <w:sz w:val="24"/>
    </w:rPr>
  </w:style>
  <w:style w:type="paragraph" w:customStyle="1" w:styleId="198">
    <w:name w:val="xl102"/>
    <w:basedOn w:val="1"/>
    <w:qFormat/>
    <w:uiPriority w:val="0"/>
    <w:pPr>
      <w:pBdr>
        <w:left w:val="single" w:color="auto" w:sz="4" w:space="0"/>
        <w:bottom w:val="single" w:color="auto" w:sz="4" w:space="0"/>
      </w:pBdr>
      <w:spacing w:before="100" w:beforeAutospacing="1" w:after="100" w:afterAutospacing="1"/>
    </w:pPr>
    <w:rPr>
      <w:rFonts w:eastAsia="等线" w:cs="宋体"/>
      <w:sz w:val="24"/>
    </w:rPr>
  </w:style>
  <w:style w:type="paragraph" w:customStyle="1" w:styleId="199">
    <w:name w:val="xl103"/>
    <w:basedOn w:val="1"/>
    <w:qFormat/>
    <w:uiPriority w:val="0"/>
    <w:pPr>
      <w:pBdr>
        <w:bottom w:val="single" w:color="auto" w:sz="4" w:space="0"/>
        <w:right w:val="single" w:color="auto" w:sz="4" w:space="0"/>
      </w:pBdr>
      <w:spacing w:before="100" w:beforeAutospacing="1" w:after="100" w:afterAutospacing="1"/>
    </w:pPr>
    <w:rPr>
      <w:rFonts w:eastAsia="等线" w:cs="宋体"/>
      <w:sz w:val="24"/>
    </w:rPr>
  </w:style>
  <w:style w:type="table" w:customStyle="1" w:styleId="200">
    <w:name w:val="Table Normal"/>
    <w:unhideWhenUsed/>
    <w:qFormat/>
    <w:uiPriority w:val="2"/>
    <w:tblPr>
      <w:tblCellMar>
        <w:top w:w="0" w:type="dxa"/>
        <w:left w:w="0" w:type="dxa"/>
        <w:bottom w:w="0" w:type="dxa"/>
        <w:right w:w="0" w:type="dxa"/>
      </w:tblCellMar>
    </w:tblPr>
  </w:style>
  <w:style w:type="paragraph" w:customStyle="1" w:styleId="201">
    <w:name w:val="Table Paragraph"/>
    <w:basedOn w:val="1"/>
    <w:qFormat/>
    <w:uiPriority w:val="1"/>
    <w:pPr>
      <w:autoSpaceDE w:val="0"/>
      <w:autoSpaceDN w:val="0"/>
      <w:spacing w:before="96"/>
      <w:ind w:left="102"/>
    </w:pPr>
    <w:rPr>
      <w:rFonts w:ascii="仿宋" w:hAnsi="仿宋" w:eastAsia="等线" w:cs="仿宋"/>
      <w:sz w:val="22"/>
      <w:lang w:eastAsia="en-US"/>
    </w:rPr>
  </w:style>
  <w:style w:type="paragraph" w:customStyle="1" w:styleId="202">
    <w:name w:val="标题 4（绿盟科技）"/>
    <w:basedOn w:val="6"/>
    <w:next w:val="55"/>
    <w:qFormat/>
    <w:uiPriority w:val="99"/>
    <w:pPr>
      <w:numPr>
        <w:ilvl w:val="0"/>
        <w:numId w:val="0"/>
      </w:numPr>
      <w:spacing w:before="280" w:after="156" w:line="374" w:lineRule="auto"/>
      <w:jc w:val="left"/>
    </w:pPr>
    <w:rPr>
      <w:bCs w:val="0"/>
      <w:color w:val="000000"/>
      <w:sz w:val="28"/>
    </w:rPr>
  </w:style>
  <w:style w:type="paragraph" w:customStyle="1" w:styleId="203">
    <w:name w:val="三级标题1"/>
    <w:basedOn w:val="1"/>
    <w:qFormat/>
    <w:uiPriority w:val="0"/>
    <w:pPr>
      <w:keepNext/>
      <w:spacing w:before="240" w:after="120"/>
      <w:ind w:left="1418" w:hanging="1418"/>
      <w:outlineLvl w:val="2"/>
    </w:pPr>
    <w:rPr>
      <w:rFonts w:ascii="等线" w:hAnsi="等线" w:eastAsia="等线" w:cs="Microsoft Uighur"/>
      <w:b/>
      <w:sz w:val="28"/>
      <w:szCs w:val="21"/>
    </w:rPr>
  </w:style>
  <w:style w:type="paragraph" w:customStyle="1" w:styleId="204">
    <w:name w:val="TOC 标题11"/>
    <w:basedOn w:val="3"/>
    <w:next w:val="1"/>
    <w:unhideWhenUsed/>
    <w:qFormat/>
    <w:uiPriority w:val="0"/>
    <w:pPr>
      <w:autoSpaceDE/>
      <w:autoSpaceDN/>
      <w:adjustRightInd/>
      <w:spacing w:after="0" w:line="259" w:lineRule="auto"/>
      <w:jc w:val="left"/>
      <w:outlineLvl w:val="9"/>
    </w:pPr>
    <w:rPr>
      <w:rFonts w:ascii="等线 Light" w:hAnsi="等线 Light" w:eastAsia="黑体"/>
      <w:b w:val="0"/>
      <w:color w:val="2E74B5"/>
      <w:kern w:val="0"/>
      <w:szCs w:val="32"/>
    </w:rPr>
  </w:style>
  <w:style w:type="character" w:customStyle="1" w:styleId="205">
    <w:name w:val="font51"/>
    <w:qFormat/>
    <w:uiPriority w:val="0"/>
    <w:rPr>
      <w:rFonts w:hint="eastAsia" w:ascii="宋体" w:hAnsi="宋体" w:eastAsia="宋体" w:cs="宋体"/>
      <w:color w:val="000000"/>
      <w:sz w:val="24"/>
      <w:szCs w:val="24"/>
      <w:u w:val="none"/>
    </w:rPr>
  </w:style>
  <w:style w:type="character" w:customStyle="1" w:styleId="206">
    <w:name w:val="font81"/>
    <w:qFormat/>
    <w:uiPriority w:val="0"/>
    <w:rPr>
      <w:rFonts w:ascii="微软雅黑" w:hAnsi="微软雅黑" w:eastAsia="微软雅黑" w:cs="微软雅黑"/>
      <w:b/>
      <w:bCs/>
      <w:color w:val="000000"/>
      <w:sz w:val="24"/>
      <w:szCs w:val="24"/>
      <w:u w:val="none"/>
    </w:rPr>
  </w:style>
  <w:style w:type="character" w:customStyle="1" w:styleId="207">
    <w:name w:val="font71"/>
    <w:qFormat/>
    <w:uiPriority w:val="0"/>
    <w:rPr>
      <w:rFonts w:ascii="Wingdings" w:hAnsi="Wingdings" w:cs="Wingdings"/>
      <w:color w:val="000000"/>
      <w:sz w:val="24"/>
      <w:szCs w:val="24"/>
      <w:u w:val="none"/>
    </w:rPr>
  </w:style>
  <w:style w:type="paragraph" w:customStyle="1" w:styleId="208">
    <w:name w:val="标题 1-P"/>
    <w:basedOn w:val="1"/>
    <w:qFormat/>
    <w:uiPriority w:val="0"/>
    <w:pPr>
      <w:tabs>
        <w:tab w:val="left" w:pos="312"/>
        <w:tab w:val="left" w:pos="360"/>
      </w:tabs>
    </w:pPr>
    <w:rPr>
      <w:rFonts w:eastAsia="等线"/>
      <w:sz w:val="24"/>
    </w:rPr>
  </w:style>
  <w:style w:type="paragraph" w:customStyle="1" w:styleId="209">
    <w:name w:val="标题 2-P"/>
    <w:basedOn w:val="1"/>
    <w:qFormat/>
    <w:uiPriority w:val="0"/>
    <w:pPr>
      <w:numPr>
        <w:ilvl w:val="1"/>
        <w:numId w:val="5"/>
      </w:numPr>
      <w:tabs>
        <w:tab w:val="left" w:pos="312"/>
        <w:tab w:val="left" w:pos="360"/>
      </w:tabs>
    </w:pPr>
    <w:rPr>
      <w:rFonts w:eastAsia="等线"/>
      <w:sz w:val="24"/>
    </w:rPr>
  </w:style>
  <w:style w:type="paragraph" w:customStyle="1" w:styleId="210">
    <w:name w:val="标题 3-p"/>
    <w:basedOn w:val="1"/>
    <w:qFormat/>
    <w:uiPriority w:val="0"/>
    <w:pPr>
      <w:numPr>
        <w:ilvl w:val="2"/>
        <w:numId w:val="5"/>
      </w:numPr>
      <w:tabs>
        <w:tab w:val="left" w:pos="312"/>
        <w:tab w:val="left" w:pos="360"/>
      </w:tabs>
    </w:pPr>
    <w:rPr>
      <w:rFonts w:eastAsia="等线"/>
      <w:sz w:val="24"/>
    </w:rPr>
  </w:style>
  <w:style w:type="table" w:customStyle="1" w:styleId="211">
    <w:name w:val="无格式表格 31"/>
    <w:basedOn w:val="43"/>
    <w:qFormat/>
    <w:uiPriority w:val="43"/>
    <w:rPr>
      <w:rFonts w:ascii="Calibri Light" w:hAnsi="Calibri Light" w:cs="Calibri Light"/>
    </w:rPr>
    <w:tblStylePr w:type="firstRow">
      <w:rPr>
        <w:b/>
        <w:bCs/>
        <w:caps/>
      </w:rPr>
      <w:tcPr>
        <w:tcBorders>
          <w:top w:val="nil"/>
          <w:left w:val="nil"/>
          <w:bottom w:val="single" w:color="7F7F7F" w:sz="4" w:space="0"/>
          <w:right w:val="nil"/>
          <w:insideH w:val="nil"/>
          <w:insideV w:val="nil"/>
          <w:tl2br w:val="nil"/>
          <w:tr2bl w:val="nil"/>
        </w:tcBorders>
      </w:tcPr>
    </w:tblStylePr>
    <w:tblStylePr w:type="lastRow">
      <w:rPr>
        <w:b/>
        <w:bCs/>
        <w:caps/>
      </w:rPr>
      <w:tcPr>
        <w:tcBorders>
          <w:top w:val="nil"/>
          <w:left w:val="nil"/>
          <w:bottom w:val="nil"/>
          <w:right w:val="nil"/>
          <w:insideH w:val="nil"/>
          <w:insideV w:val="nil"/>
          <w:tl2br w:val="nil"/>
          <w:tr2bl w:val="nil"/>
        </w:tcBorders>
      </w:tcPr>
    </w:tblStylePr>
    <w:tblStylePr w:type="firstCol">
      <w:rPr>
        <w:b/>
        <w:bCs/>
        <w:caps/>
      </w:rPr>
      <w:tcPr>
        <w:tcBorders>
          <w:top w:val="nil"/>
          <w:left w:val="nil"/>
          <w:bottom w:val="nil"/>
          <w:right w:val="single" w:color="7F7F7F" w:sz="4" w:space="0"/>
          <w:insideH w:val="nil"/>
          <w:insideV w:val="nil"/>
          <w:tl2br w:val="nil"/>
          <w:tr2bl w:val="nil"/>
        </w:tcBorders>
      </w:tcPr>
    </w:tblStylePr>
    <w:tblStylePr w:type="lastCol">
      <w:rPr>
        <w:b/>
        <w:bCs/>
        <w:caps/>
      </w:rPr>
      <w:tcPr>
        <w:tcBorders>
          <w:top w:val="nil"/>
          <w:left w:val="nil"/>
          <w:bottom w:val="nil"/>
          <w:right w:val="nil"/>
          <w:insideH w:val="nil"/>
          <w:insideV w:val="nil"/>
          <w:tl2br w:val="nil"/>
          <w:tr2bl w:val="nil"/>
        </w:tcBorders>
      </w:tcPr>
    </w:tblStylePr>
    <w:tblStylePr w:type="band1Vert">
      <w:tcPr>
        <w:shd w:val="clear" w:color="auto" w:fill="F2F2F2"/>
      </w:tcPr>
    </w:tblStylePr>
    <w:tblStylePr w:type="band1Horz">
      <w:tcPr>
        <w:shd w:val="clear" w:color="auto" w:fill="F2F2F2"/>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style>
  <w:style w:type="paragraph" w:customStyle="1" w:styleId="212">
    <w:name w:val="正文序号 2"/>
    <w:basedOn w:val="1"/>
    <w:qFormat/>
    <w:uiPriority w:val="0"/>
    <w:pPr>
      <w:numPr>
        <w:ilvl w:val="1"/>
        <w:numId w:val="6"/>
      </w:numPr>
      <w:tabs>
        <w:tab w:val="left" w:pos="360"/>
        <w:tab w:val="left" w:pos="839"/>
      </w:tabs>
      <w:spacing w:before="60"/>
    </w:pPr>
    <w:rPr>
      <w:rFonts w:eastAsia="等线" w:cs="宋体"/>
      <w:sz w:val="24"/>
    </w:rPr>
  </w:style>
  <w:style w:type="paragraph" w:customStyle="1" w:styleId="213">
    <w:name w:val="正文序号 4"/>
    <w:basedOn w:val="1"/>
    <w:qFormat/>
    <w:uiPriority w:val="0"/>
    <w:pPr>
      <w:numPr>
        <w:ilvl w:val="3"/>
        <w:numId w:val="6"/>
      </w:numPr>
      <w:tabs>
        <w:tab w:val="left" w:pos="360"/>
        <w:tab w:val="left" w:pos="839"/>
      </w:tabs>
      <w:spacing w:before="60"/>
    </w:pPr>
    <w:rPr>
      <w:rFonts w:eastAsia="等线" w:cs="宋体"/>
      <w:sz w:val="24"/>
    </w:rPr>
  </w:style>
  <w:style w:type="paragraph" w:customStyle="1" w:styleId="214">
    <w:name w:val="样式 标题 5 + 段前: 0 磅 段后: 0 磅 行距: 固定值 25 磅"/>
    <w:basedOn w:val="7"/>
    <w:qFormat/>
    <w:uiPriority w:val="0"/>
    <w:pPr>
      <w:numPr>
        <w:numId w:val="6"/>
      </w:numPr>
      <w:tabs>
        <w:tab w:val="left" w:pos="360"/>
      </w:tabs>
      <w:snapToGrid w:val="0"/>
      <w:spacing w:line="500" w:lineRule="exact"/>
      <w:jc w:val="left"/>
    </w:pPr>
    <w:rPr>
      <w:rFonts w:eastAsia="等线" w:cs="宋体"/>
    </w:rPr>
  </w:style>
  <w:style w:type="paragraph" w:customStyle="1" w:styleId="215">
    <w:name w:val="样式 标题 3 + 段前: 0 磅 段后: 0 磅 行距: 固定值 25 磅"/>
    <w:basedOn w:val="5"/>
    <w:qFormat/>
    <w:uiPriority w:val="0"/>
    <w:pPr>
      <w:numPr>
        <w:ilvl w:val="2"/>
        <w:numId w:val="6"/>
      </w:numPr>
      <w:tabs>
        <w:tab w:val="left" w:pos="1259"/>
      </w:tabs>
      <w:autoSpaceDE/>
      <w:autoSpaceDN/>
      <w:adjustRightInd/>
      <w:snapToGrid w:val="0"/>
      <w:spacing w:before="120" w:line="500" w:lineRule="exact"/>
      <w:ind w:firstLine="200" w:firstLineChars="200"/>
    </w:pPr>
    <w:rPr>
      <w:rFonts w:ascii="Times New Roman" w:eastAsia="仿宋_GB2312" w:cs="宋体"/>
      <w:bCs/>
      <w:kern w:val="2"/>
      <w:sz w:val="30"/>
      <w:u w:val="none"/>
    </w:rPr>
  </w:style>
  <w:style w:type="paragraph" w:customStyle="1" w:styleId="216">
    <w:name w:val="正文序号 1"/>
    <w:basedOn w:val="1"/>
    <w:qFormat/>
    <w:uiPriority w:val="0"/>
    <w:pPr>
      <w:tabs>
        <w:tab w:val="left" w:pos="360"/>
        <w:tab w:val="left" w:pos="839"/>
      </w:tabs>
      <w:spacing w:before="60"/>
    </w:pPr>
    <w:rPr>
      <w:rFonts w:eastAsia="等线" w:cs="宋体"/>
      <w:sz w:val="24"/>
    </w:rPr>
  </w:style>
  <w:style w:type="character" w:customStyle="1" w:styleId="217">
    <w:name w:val="未处理的提及1"/>
    <w:unhideWhenUsed/>
    <w:qFormat/>
    <w:uiPriority w:val="99"/>
    <w:rPr>
      <w:color w:val="605E5C"/>
      <w:shd w:val="clear" w:color="auto" w:fill="E1DFDD"/>
    </w:rPr>
  </w:style>
  <w:style w:type="character" w:customStyle="1" w:styleId="218">
    <w:name w:val="段落1 Char"/>
    <w:link w:val="219"/>
    <w:qFormat/>
    <w:locked/>
    <w:uiPriority w:val="0"/>
    <w:rPr>
      <w:rFonts w:ascii="等线" w:hAnsi="等线" w:cs="仿宋"/>
      <w:color w:val="000000"/>
      <w:sz w:val="24"/>
      <w:szCs w:val="24"/>
    </w:rPr>
  </w:style>
  <w:style w:type="paragraph" w:customStyle="1" w:styleId="219">
    <w:name w:val="段落1"/>
    <w:basedOn w:val="1"/>
    <w:link w:val="218"/>
    <w:qFormat/>
    <w:uiPriority w:val="0"/>
    <w:pPr>
      <w:spacing w:after="89" w:line="360" w:lineRule="auto"/>
      <w:ind w:left="-6" w:right="-17" w:firstLine="200" w:firstLineChars="200"/>
    </w:pPr>
    <w:rPr>
      <w:rFonts w:ascii="等线" w:hAnsi="等线" w:cs="仿宋"/>
      <w:color w:val="000000"/>
      <w:kern w:val="0"/>
      <w:sz w:val="24"/>
    </w:rPr>
  </w:style>
  <w:style w:type="character" w:customStyle="1" w:styleId="220">
    <w:name w:val="未处理的提及"/>
    <w:unhideWhenUsed/>
    <w:qFormat/>
    <w:uiPriority w:val="99"/>
    <w:rPr>
      <w:color w:val="605E5C"/>
      <w:shd w:val="clear" w:color="auto" w:fill="E1DFDD"/>
    </w:rPr>
  </w:style>
  <w:style w:type="paragraph" w:customStyle="1" w:styleId="221">
    <w:name w:val="操作步骤"/>
    <w:basedOn w:val="1"/>
    <w:qFormat/>
    <w:uiPriority w:val="0"/>
    <w:pPr>
      <w:numPr>
        <w:ilvl w:val="0"/>
        <w:numId w:val="7"/>
      </w:numPr>
      <w:tabs>
        <w:tab w:val="left" w:pos="425"/>
      </w:tabs>
      <w:autoSpaceDE w:val="0"/>
      <w:autoSpaceDN w:val="0"/>
      <w:adjustRightInd w:val="0"/>
      <w:snapToGrid w:val="0"/>
      <w:spacing w:line="40" w:lineRule="atLeast"/>
      <w:textAlignment w:val="bottom"/>
    </w:pPr>
    <w:rPr>
      <w:rFonts w:ascii="昆仑楷体" w:eastAsia="楷体_GB2312"/>
      <w:kern w:val="0"/>
      <w:szCs w:val="20"/>
    </w:rPr>
  </w:style>
  <w:style w:type="paragraph" w:customStyle="1" w:styleId="222">
    <w:name w:val="et26"/>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pPr>
    <w:rPr>
      <w:rFonts w:eastAsia="仿宋_GB2312" w:cs="宋体"/>
      <w:color w:val="000000"/>
      <w:sz w:val="24"/>
    </w:rPr>
  </w:style>
  <w:style w:type="character" w:customStyle="1" w:styleId="223">
    <w:name w:val="批注文字 字符1"/>
    <w:qFormat/>
    <w:uiPriority w:val="0"/>
    <w:rPr>
      <w:rFonts w:ascii="Times New Roman" w:hAnsi="Times New Roman" w:eastAsia="仿宋" w:cs="Times New Roman"/>
      <w:sz w:val="28"/>
      <w:szCs w:val="24"/>
    </w:rPr>
  </w:style>
  <w:style w:type="paragraph" w:customStyle="1" w:styleId="224">
    <w:name w:val="[正文行首缩进]"/>
    <w:link w:val="225"/>
    <w:qFormat/>
    <w:uiPriority w:val="0"/>
    <w:pPr>
      <w:widowControl w:val="0"/>
      <w:spacing w:afterLines="50" w:line="360" w:lineRule="auto"/>
      <w:ind w:firstLine="480" w:firstLineChars="200"/>
      <w:jc w:val="both"/>
    </w:pPr>
    <w:rPr>
      <w:rFonts w:ascii="Times New Roman" w:hAnsi="Times New Roman" w:eastAsia="宋体" w:cs="Times New Roman"/>
      <w:bCs/>
      <w:color w:val="000000"/>
      <w:kern w:val="2"/>
      <w:sz w:val="24"/>
      <w:szCs w:val="24"/>
      <w:lang w:val="en-US" w:eastAsia="zh-CN" w:bidi="ar-SA"/>
    </w:rPr>
  </w:style>
  <w:style w:type="character" w:customStyle="1" w:styleId="225">
    <w:name w:val="[正文行首缩进] Char1"/>
    <w:link w:val="224"/>
    <w:qFormat/>
    <w:uiPriority w:val="0"/>
    <w:rPr>
      <w:bCs/>
      <w:color w:val="000000"/>
      <w:kern w:val="2"/>
      <w:sz w:val="24"/>
      <w:szCs w:val="24"/>
    </w:rPr>
  </w:style>
  <w:style w:type="character" w:customStyle="1" w:styleId="226">
    <w:name w:val="列出段落 字符1"/>
    <w:qFormat/>
    <w:locked/>
    <w:uiPriority w:val="34"/>
  </w:style>
  <w:style w:type="character" w:customStyle="1" w:styleId="227">
    <w:name w:val="脚注文本 字符"/>
    <w:link w:val="35"/>
    <w:qFormat/>
    <w:uiPriority w:val="0"/>
    <w:rPr>
      <w:kern w:val="2"/>
      <w:sz w:val="18"/>
      <w:szCs w:val="24"/>
    </w:rPr>
  </w:style>
  <w:style w:type="character" w:customStyle="1" w:styleId="228">
    <w:name w:val="Char Char291"/>
    <w:qFormat/>
    <w:uiPriority w:val="0"/>
    <w:rPr>
      <w:rFonts w:ascii="Arial" w:hAnsi="Arial" w:eastAsia="黑体"/>
      <w:b/>
      <w:bCs/>
      <w:kern w:val="2"/>
      <w:sz w:val="32"/>
      <w:szCs w:val="32"/>
      <w:lang w:val="en-US" w:eastAsia="zh-CN" w:bidi="ar-SA"/>
    </w:rPr>
  </w:style>
  <w:style w:type="character" w:customStyle="1" w:styleId="229">
    <w:name w:val="Char Char11"/>
    <w:qFormat/>
    <w:uiPriority w:val="0"/>
    <w:rPr>
      <w:rFonts w:ascii="Arial" w:hAnsi="Arial" w:eastAsia="黑体"/>
      <w:b/>
      <w:bCs/>
      <w:kern w:val="2"/>
      <w:sz w:val="28"/>
      <w:szCs w:val="28"/>
      <w:lang w:val="en-US" w:eastAsia="zh-CN" w:bidi="ar-SA"/>
    </w:rPr>
  </w:style>
  <w:style w:type="character" w:customStyle="1" w:styleId="230">
    <w:name w:val="Char Char281"/>
    <w:qFormat/>
    <w:uiPriority w:val="0"/>
    <w:rPr>
      <w:rFonts w:eastAsia="宋体"/>
      <w:b/>
      <w:bCs/>
      <w:kern w:val="2"/>
      <w:sz w:val="32"/>
      <w:szCs w:val="32"/>
      <w:lang w:val="en-US" w:eastAsia="zh-CN" w:bidi="ar-SA"/>
    </w:rPr>
  </w:style>
  <w:style w:type="paragraph" w:customStyle="1" w:styleId="231">
    <w:name w:val="日期2"/>
    <w:basedOn w:val="1"/>
    <w:qFormat/>
    <w:uiPriority w:val="0"/>
    <w:pPr>
      <w:widowControl/>
      <w:spacing w:before="100" w:beforeAutospacing="1" w:after="100" w:afterAutospacing="1"/>
      <w:jc w:val="left"/>
    </w:pPr>
    <w:rPr>
      <w:rFonts w:ascii="宋体" w:hAnsi="宋体"/>
      <w:kern w:val="0"/>
      <w:sz w:val="24"/>
    </w:rPr>
  </w:style>
  <w:style w:type="paragraph" w:customStyle="1" w:styleId="232">
    <w:name w:val="Char Char Char1"/>
    <w:basedOn w:val="1"/>
    <w:qFormat/>
    <w:uiPriority w:val="0"/>
  </w:style>
  <w:style w:type="paragraph" w:customStyle="1" w:styleId="233">
    <w:name w:val="TOC Heading"/>
    <w:basedOn w:val="3"/>
    <w:next w:val="1"/>
    <w:qFormat/>
    <w:uiPriority w:val="39"/>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234">
    <w:name w:val="样式 宋体 四号 加粗 海绿 首行缩进:  0.85 厘米 行距: 1.5 倍行距"/>
    <w:basedOn w:val="1"/>
    <w:qFormat/>
    <w:uiPriority w:val="0"/>
    <w:pPr>
      <w:widowControl/>
      <w:tabs>
        <w:tab w:val="left" w:pos="900"/>
      </w:tabs>
      <w:ind w:left="900" w:hanging="420"/>
      <w:jc w:val="left"/>
    </w:pPr>
    <w:rPr>
      <w:kern w:val="0"/>
      <w:sz w:val="24"/>
    </w:rPr>
  </w:style>
  <w:style w:type="paragraph" w:customStyle="1" w:styleId="235">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szCs w:val="20"/>
    </w:rPr>
  </w:style>
  <w:style w:type="character" w:customStyle="1" w:styleId="236">
    <w:name w:val="正文文本首行缩进 字符"/>
    <w:qFormat/>
    <w:uiPriority w:val="99"/>
    <w:rPr>
      <w:kern w:val="2"/>
      <w:sz w:val="21"/>
      <w:szCs w:val="24"/>
      <w:lang w:bidi="ar-SA"/>
    </w:rPr>
  </w:style>
  <w:style w:type="character" w:customStyle="1" w:styleId="237">
    <w:name w:val="正文文本首行缩进 2 字符"/>
    <w:qFormat/>
    <w:uiPriority w:val="0"/>
  </w:style>
  <w:style w:type="character" w:customStyle="1" w:styleId="238">
    <w:name w:val="列表段落 字符1"/>
    <w:qFormat/>
    <w:locked/>
    <w:uiPriority w:val="34"/>
    <w:rPr>
      <w:kern w:val="2"/>
      <w:sz w:val="21"/>
      <w:szCs w:val="24"/>
    </w:rPr>
  </w:style>
  <w:style w:type="paragraph" w:customStyle="1" w:styleId="239">
    <w:name w:val="_Style 238"/>
    <w:basedOn w:val="1"/>
    <w:next w:val="64"/>
    <w:qFormat/>
    <w:uiPriority w:val="34"/>
    <w:pPr>
      <w:ind w:firstLine="420" w:firstLineChars="200"/>
    </w:pPr>
  </w:style>
  <w:style w:type="character" w:customStyle="1" w:styleId="240">
    <w:name w:val="font11"/>
    <w:basedOn w:val="45"/>
    <w:qFormat/>
    <w:uiPriority w:val="0"/>
    <w:rPr>
      <w:rFonts w:hint="eastAsia" w:ascii="宋体" w:hAnsi="宋体" w:eastAsia="宋体" w:cs="宋体"/>
      <w:color w:val="000000"/>
      <w:sz w:val="18"/>
      <w:szCs w:val="18"/>
      <w:u w:val="none"/>
    </w:rPr>
  </w:style>
  <w:style w:type="character" w:customStyle="1" w:styleId="241">
    <w:name w:val="font21"/>
    <w:basedOn w:val="45"/>
    <w:qFormat/>
    <w:uiPriority w:val="0"/>
    <w:rPr>
      <w:rFonts w:hint="eastAsia" w:ascii="宋体" w:hAnsi="宋体" w:eastAsia="宋体" w:cs="宋体"/>
      <w:color w:val="FF0000"/>
      <w:sz w:val="18"/>
      <w:szCs w:val="18"/>
      <w:u w:val="none"/>
    </w:rPr>
  </w:style>
  <w:style w:type="character" w:customStyle="1" w:styleId="242">
    <w:name w:val="font31"/>
    <w:basedOn w:val="4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jpeg"/><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461</Pages>
  <Words>221460</Words>
  <Characters>235563</Characters>
  <Lines>1742</Lines>
  <Paragraphs>490</Paragraphs>
  <TotalTime>158</TotalTime>
  <ScaleCrop>false</ScaleCrop>
  <LinksUpToDate>false</LinksUpToDate>
  <CharactersWithSpaces>240287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2023-04-13T19:32:00Z</dcterms:created>
  <dc:creator>Data</dc:creator>
  <cp:lastModifiedBy>朱文财</cp:lastModifiedBy>
  <cp:lastPrinted>2023-04-17T01:44:00Z</cp:lastPrinted>
  <dcterms:modified xsi:type="dcterms:W3CDTF">2023-07-12T11:40:50Z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4AB085283868434791006F9787EEC2A9_13</vt:lpwstr>
  </property>
</Properties>
</file>