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52"/>
          <w:szCs w:val="52"/>
          <w:highlight w:val="none"/>
          <w:lang w:val="en-US" w:eastAsia="zh-CN"/>
        </w:rPr>
      </w:pPr>
    </w:p>
    <w:p>
      <w:pPr>
        <w:pStyle w:val="20"/>
        <w:rPr>
          <w:rFonts w:hint="eastAsia" w:ascii="宋体" w:hAnsi="宋体" w:eastAsia="宋体" w:cs="宋体"/>
          <w:b/>
          <w:bCs/>
          <w:color w:val="auto"/>
          <w:sz w:val="52"/>
          <w:szCs w:val="52"/>
          <w:highlight w:val="none"/>
          <w:lang w:val="en-US" w:eastAsia="zh-CN"/>
        </w:rPr>
      </w:pPr>
    </w:p>
    <w:p>
      <w:pPr>
        <w:rPr>
          <w:rFonts w:hint="eastAsia" w:ascii="宋体" w:hAnsi="宋体" w:eastAsia="宋体" w:cs="宋体"/>
          <w:color w:val="auto"/>
          <w:highlight w:val="none"/>
          <w:lang w:val="en-US" w:eastAsia="zh-CN"/>
        </w:rPr>
      </w:pPr>
    </w:p>
    <w:p>
      <w:pPr>
        <w:jc w:val="center"/>
        <w:outlineLvl w:val="0"/>
        <w:rPr>
          <w:rFonts w:hint="eastAsia" w:ascii="宋体" w:hAnsi="宋体" w:eastAsia="宋体" w:cs="宋体"/>
          <w:color w:val="auto"/>
          <w:sz w:val="16"/>
          <w:szCs w:val="20"/>
          <w:highlight w:val="none"/>
          <w:lang w:val="en-US"/>
        </w:rPr>
      </w:pPr>
      <w:r>
        <w:rPr>
          <w:rFonts w:hint="eastAsia" w:ascii="宋体" w:hAnsi="宋体" w:eastAsia="宋体" w:cs="宋体"/>
          <w:b/>
          <w:bCs/>
          <w:color w:val="auto"/>
          <w:sz w:val="60"/>
          <w:szCs w:val="60"/>
          <w:highlight w:val="none"/>
        </w:rPr>
        <w:t>政府采购项目</w:t>
      </w:r>
    </w:p>
    <w:p>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60"/>
          <w:szCs w:val="60"/>
          <w:highlight w:val="none"/>
        </w:rPr>
        <w:t>公开招标文件</w:t>
      </w:r>
    </w:p>
    <w:p>
      <w:pPr>
        <w:pStyle w:val="90"/>
        <w:rPr>
          <w:rFonts w:hint="eastAsia" w:ascii="宋体" w:hAnsi="宋体" w:eastAsia="宋体" w:cs="宋体"/>
          <w:color w:val="auto"/>
          <w:sz w:val="28"/>
          <w:szCs w:val="28"/>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pStyle w:val="90"/>
        <w:rPr>
          <w:rFonts w:hint="eastAsia" w:ascii="宋体" w:hAnsi="宋体" w:eastAsia="宋体" w:cs="宋体"/>
          <w:color w:val="auto"/>
          <w:highlight w:val="none"/>
          <w:lang w:val="zh-CN"/>
        </w:rPr>
      </w:pPr>
    </w:p>
    <w:p>
      <w:pPr>
        <w:ind w:left="0" w:leftChars="0" w:firstLine="0" w:firstLineChars="0"/>
        <w:rPr>
          <w:rFonts w:hint="eastAsia" w:ascii="宋体" w:hAnsi="宋体" w:eastAsia="宋体" w:cs="宋体"/>
          <w:color w:val="auto"/>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lang w:eastAsia="zh-CN"/>
        </w:rPr>
        <w:t>和田县自然资源局统一确权登记工作服务采购项目</w:t>
      </w:r>
      <w:bookmarkStart w:id="466" w:name="_GoBack"/>
      <w:bookmarkEnd w:id="466"/>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项目编号/包号</w:t>
      </w:r>
      <w:r>
        <w:rPr>
          <w:rFonts w:hint="eastAsia" w:ascii="宋体" w:hAnsi="宋体" w:eastAsia="宋体" w:cs="宋体"/>
          <w:bCs/>
          <w:color w:val="auto"/>
          <w:sz w:val="36"/>
          <w:szCs w:val="36"/>
          <w:highlight w:val="none"/>
          <w:u w:val="single"/>
        </w:rPr>
        <w:t>：</w:t>
      </w:r>
      <w:r>
        <w:rPr>
          <w:rFonts w:hint="eastAsia" w:ascii="宋体" w:hAnsi="宋体" w:eastAsia="宋体" w:cs="宋体"/>
          <w:bCs/>
          <w:color w:val="auto"/>
          <w:sz w:val="36"/>
          <w:szCs w:val="36"/>
          <w:highlight w:val="none"/>
          <w:u w:val="single"/>
          <w:lang w:eastAsia="zh-CN"/>
        </w:rPr>
        <w:t>HTXZFCG(2023FS)68 号</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u w:val="single"/>
          <w:lang w:val="en-US" w:eastAsia="zh-CN"/>
        </w:rPr>
        <w:t>和田县自然资源局</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u w:val="single"/>
          <w:lang w:val="en-US" w:eastAsia="zh-CN"/>
        </w:rPr>
        <w:t>新疆正昊建设工程项目管理有限公司</w:t>
      </w:r>
      <w:r>
        <w:rPr>
          <w:rFonts w:hint="eastAsia" w:ascii="宋体" w:hAnsi="宋体" w:eastAsia="宋体" w:cs="宋体"/>
          <w:bCs/>
          <w:color w:val="auto"/>
          <w:sz w:val="36"/>
          <w:szCs w:val="36"/>
          <w:highlight w:val="none"/>
        </w:rPr>
        <w:t xml:space="preserve"> </w:t>
      </w:r>
    </w:p>
    <w:p>
      <w:pPr>
        <w:autoSpaceDE w:val="0"/>
        <w:autoSpaceDN w:val="0"/>
        <w:jc w:val="center"/>
        <w:rPr>
          <w:rFonts w:hint="eastAsia" w:ascii="宋体" w:hAnsi="宋体" w:eastAsia="宋体" w:cs="宋体"/>
          <w:bCs/>
          <w:color w:val="auto"/>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7 </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color w:val="auto"/>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color w:val="auto"/>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color w:val="auto"/>
          <w:kern w:val="0"/>
          <w:sz w:val="28"/>
          <w:szCs w:val="28"/>
          <w:highlight w:val="none"/>
          <w:lang w:val="zh-CN"/>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项目名称：和田县自然资源局统一确权登记工作服务采购项目</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4"/>
          <w:highlight w:val="none"/>
          <w:lang w:val="en-US" w:eastAsia="zh-CN"/>
        </w:rPr>
        <w:t>和田县财政局</w:t>
      </w:r>
      <w:bookmarkStart w:id="0" w:name="_Toc17774"/>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招标公告</w:t>
      </w:r>
      <w:bookmarkEnd w:id="0"/>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6"/>
          <w:szCs w:val="36"/>
          <w:highlight w:val="none"/>
          <w:lang w:val="en-US" w:eastAsia="zh-CN"/>
        </w:rPr>
        <w:t>和田县自然资源局统一确权登记工作服务采购项目公开招标公告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auto"/>
          <w:spacing w:val="0"/>
          <w:kern w:val="0"/>
          <w:sz w:val="24"/>
          <w:szCs w:val="24"/>
          <w:highlight w:val="none"/>
          <w:lang w:val="en-US" w:eastAsia="zh-CN" w:bidi="ar-SA"/>
        </w:rPr>
      </w:pPr>
      <w:bookmarkStart w:id="1" w:name="_Toc35393790"/>
      <w:bookmarkStart w:id="2" w:name="_Toc35393621"/>
      <w:bookmarkStart w:id="3" w:name="_Hlk24379207"/>
      <w:bookmarkStart w:id="4" w:name="_Toc28359079"/>
      <w:bookmarkStart w:id="5" w:name="_Toc28359002"/>
      <w:r>
        <w:rPr>
          <w:rFonts w:hint="eastAsia" w:ascii="宋体" w:hAnsi="宋体" w:eastAsia="宋体" w:cs="宋体"/>
          <w:i w:val="0"/>
          <w:iCs w:val="0"/>
          <w:caps w:val="0"/>
          <w:color w:val="auto"/>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  和田县自然资源局统一确权登记工作服务采购项目(的潜在投标人应登陆政采云平台https://www.zcygov.cn/在线申请获取采购文件（进入“项目采购”应用，在获取采购文件菜单中选择项目，申请获取采购文件），并于 2023  年</w:t>
      </w:r>
      <w:r>
        <w:rPr>
          <w:rFonts w:hint="eastAsia" w:ascii="宋体" w:hAnsi="宋体" w:cs="宋体"/>
          <w:i w:val="0"/>
          <w:iCs w:val="0"/>
          <w:caps w:val="0"/>
          <w:color w:val="auto"/>
          <w:spacing w:val="0"/>
          <w:kern w:val="0"/>
          <w:sz w:val="24"/>
          <w:szCs w:val="24"/>
          <w:highlight w:val="none"/>
          <w:lang w:val="en-US" w:eastAsia="zh-CN" w:bidi="ar-SA"/>
        </w:rPr>
        <w:t>8月8日</w:t>
      </w:r>
      <w:r>
        <w:rPr>
          <w:rFonts w:hint="eastAsia" w:ascii="宋体" w:hAnsi="宋体" w:eastAsia="宋体" w:cs="宋体"/>
          <w:i w:val="0"/>
          <w:iCs w:val="0"/>
          <w:caps w:val="0"/>
          <w:color w:val="auto"/>
          <w:spacing w:val="0"/>
          <w:kern w:val="0"/>
          <w:sz w:val="24"/>
          <w:szCs w:val="24"/>
          <w:highlight w:val="none"/>
          <w:lang w:val="en-US" w:eastAsia="zh-CN" w:bidi="ar-SA"/>
        </w:rPr>
        <w:t xml:space="preserve"> 11  点00分（北京时间）前递交投标文件。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auto"/>
          <w:spacing w:val="0"/>
          <w:sz w:val="27"/>
          <w:szCs w:val="27"/>
          <w:highlight w:val="none"/>
        </w:rPr>
      </w:pPr>
      <w:bookmarkStart w:id="6" w:name="_Toc27595"/>
      <w:bookmarkStart w:id="7" w:name="_Toc24430"/>
      <w:bookmarkStart w:id="8" w:name="_Toc30392"/>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项目编号：HTXZFCG(2023FS)68 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kern w:val="0"/>
          <w:sz w:val="24"/>
          <w:szCs w:val="24"/>
          <w:highlight w:val="none"/>
          <w:lang w:val="en-US" w:eastAsia="zh-CN" w:bidi="ar-SA"/>
        </w:rPr>
        <w:t>和田县自然资源局统一确权登记工作服务采购项目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w:t>
      </w:r>
      <w:r>
        <w:rPr>
          <w:rFonts w:hint="eastAsia" w:ascii="宋体" w:hAnsi="宋体" w:eastAsia="宋体" w:cs="宋体"/>
          <w:i w:val="0"/>
          <w:iCs w:val="0"/>
          <w:caps w:val="0"/>
          <w:color w:val="auto"/>
          <w:spacing w:val="0"/>
          <w:sz w:val="24"/>
          <w:szCs w:val="24"/>
          <w:highlight w:val="none"/>
          <w:lang w:val="en-US" w:eastAsia="zh-CN"/>
        </w:rPr>
        <w:t>285万元</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最高限价：</w:t>
      </w:r>
      <w:r>
        <w:rPr>
          <w:rFonts w:hint="eastAsia" w:ascii="宋体" w:hAnsi="宋体" w:eastAsia="宋体" w:cs="宋体"/>
          <w:i w:val="0"/>
          <w:iCs w:val="0"/>
          <w:caps w:val="0"/>
          <w:color w:val="auto"/>
          <w:spacing w:val="0"/>
          <w:sz w:val="24"/>
          <w:szCs w:val="24"/>
          <w:highlight w:val="none"/>
          <w:lang w:val="en-US" w:eastAsia="zh-CN"/>
        </w:rPr>
        <w:t>285万元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auto"/>
          <w:spacing w:val="0"/>
          <w:sz w:val="24"/>
          <w:szCs w:val="24"/>
          <w:highlight w:val="none"/>
          <w:lang w:val="en-US" w:eastAsia="zh-CN"/>
        </w:rPr>
      </w:pPr>
      <w:bookmarkStart w:id="9" w:name="_Toc15068"/>
      <w:r>
        <w:rPr>
          <w:rFonts w:hint="eastAsia" w:ascii="宋体" w:hAnsi="宋体" w:eastAsia="宋体" w:cs="宋体"/>
          <w:i w:val="0"/>
          <w:iCs w:val="0"/>
          <w:caps w:val="0"/>
          <w:color w:val="auto"/>
          <w:spacing w:val="0"/>
          <w:sz w:val="24"/>
          <w:szCs w:val="24"/>
          <w:highlight w:val="none"/>
          <w:lang w:val="en-US" w:eastAsia="zh-CN"/>
        </w:rPr>
        <w:t>资金来源：</w:t>
      </w:r>
      <w:bookmarkEnd w:id="9"/>
      <w:r>
        <w:rPr>
          <w:rFonts w:hint="eastAsia" w:ascii="宋体" w:hAnsi="宋体" w:eastAsia="宋体" w:cs="宋体"/>
          <w:i w:val="0"/>
          <w:iCs w:val="0"/>
          <w:caps w:val="0"/>
          <w:color w:val="auto"/>
          <w:spacing w:val="0"/>
          <w:sz w:val="24"/>
          <w:szCs w:val="24"/>
          <w:highlight w:val="none"/>
          <w:lang w:val="en-US" w:eastAsia="zh-CN"/>
        </w:rPr>
        <w:t xml:space="preserve">财政资金       </w:t>
      </w:r>
    </w:p>
    <w:p>
      <w:pPr>
        <w:pStyle w:val="67"/>
        <w:spacing w:line="200" w:lineRule="atLeast"/>
        <w:ind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：2023 年至 2024 年和田县需完成 19 条规模以下河流的统一确权登记工作</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合同履约期限：</w:t>
      </w:r>
      <w:r>
        <w:rPr>
          <w:rFonts w:hint="eastAsia" w:ascii="宋体" w:hAnsi="宋体" w:eastAsia="宋体" w:cs="宋体"/>
          <w:i w:val="0"/>
          <w:iCs w:val="0"/>
          <w:caps w:val="0"/>
          <w:color w:val="auto"/>
          <w:spacing w:val="0"/>
          <w:sz w:val="24"/>
          <w:szCs w:val="24"/>
          <w:highlight w:val="none"/>
          <w:lang w:val="en-US" w:eastAsia="zh-CN"/>
        </w:rPr>
        <w:t>一年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10" w:name="_Toc11569"/>
      <w:bookmarkStart w:id="11" w:name="_Toc22990"/>
      <w:bookmarkStart w:id="12" w:name="_Toc22510"/>
      <w:r>
        <w:rPr>
          <w:rFonts w:hint="eastAsia" w:ascii="宋体" w:hAnsi="宋体" w:eastAsia="宋体" w:cs="宋体"/>
          <w:b/>
          <w:bCs/>
          <w:i w:val="0"/>
          <w:iCs w:val="0"/>
          <w:caps w:val="0"/>
          <w:color w:val="auto"/>
          <w:spacing w:val="0"/>
          <w:kern w:val="0"/>
          <w:sz w:val="24"/>
          <w:szCs w:val="24"/>
          <w:highlight w:val="none"/>
          <w:lang w:val="en-US" w:eastAsia="zh-CN" w:bidi="ar"/>
        </w:rPr>
        <w:t xml:space="preserve">本项目（是/否）接受联合体投标：否    </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color w:val="auto"/>
          <w:highlight w:val="none"/>
          <w:lang w:val="en-US" w:eastAsia="zh-CN" w:bidi="ar"/>
        </w:rPr>
      </w:pPr>
      <w:bookmarkStart w:id="13" w:name="_Toc23893"/>
      <w:r>
        <w:rPr>
          <w:rFonts w:hint="eastAsia" w:ascii="宋体" w:hAnsi="宋体" w:eastAsia="宋体" w:cs="宋体"/>
          <w:color w:val="auto"/>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2.1 中小企业政策</w:t>
      </w:r>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□本项目专门面向  ☑中小 □小微企业  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2.2 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（2）财政部、生态环境部《关于印发环境标志产品政府采购品目清单的通知》（财库[2019]18号文）；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（3）财政部、发展改革委《关于印发节能产品政府采购品目清单的通知》（财库[2019]19号文）；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（6）财政部、民政部、中国残疾人联合会《关于促进残疾人就业政府采购政策的通知》（财库[2017]141号）；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（7）财政部、司法部《关于政府采购支持监狱企业发展有关问题的通知》（财库[2014]68号文）； </w:t>
      </w:r>
    </w:p>
    <w:p>
      <w:pPr>
        <w:pStyle w:val="44"/>
        <w:snapToGrid w:val="0"/>
        <w:spacing w:line="360" w:lineRule="auto"/>
        <w:ind w:left="0" w:leftChars="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（8）财政部、生态环境部、国家邮政局《关于印发《商品包装政府采购需求标准（试行）》、 《快递包装政府采购需求标准（试行）》的通知》（财办库〔2020〕123号）。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auto"/>
          <w:spacing w:val="0"/>
          <w:sz w:val="24"/>
          <w:szCs w:val="24"/>
          <w:highlight w:val="none"/>
          <w:lang w:val="en-US" w:eastAsia="zh-CN"/>
        </w:rPr>
      </w:pPr>
      <w:bookmarkStart w:id="14" w:name="_Toc5294"/>
      <w:r>
        <w:rPr>
          <w:rFonts w:hint="eastAsia" w:ascii="宋体" w:hAnsi="宋体" w:eastAsia="宋体" w:cs="宋体"/>
          <w:i w:val="0"/>
          <w:iCs w:val="0"/>
          <w:caps w:val="0"/>
          <w:color w:val="auto"/>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bookmarkStart w:id="15" w:name="_Toc14519"/>
      <w:bookmarkStart w:id="16" w:name="_Toc4096"/>
      <w:bookmarkStart w:id="17" w:name="_Toc29122"/>
      <w:r>
        <w:rPr>
          <w:rFonts w:hint="eastAsia" w:ascii="宋体" w:hAnsi="宋体" w:eastAsia="宋体" w:cs="宋体"/>
          <w:i w:val="0"/>
          <w:iCs w:val="0"/>
          <w:caps w:val="0"/>
          <w:color w:val="auto"/>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（8）投标保证金或电子保函：28500元整（大写：贰万捌仟伍佰元整）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（9）供应商需同时具有乙级测绘资质（工程测量、界线与不动产测绘）及工程勘察工程测量专业甲级资质</w:t>
      </w:r>
    </w:p>
    <w:bookmarkEnd w:id="15"/>
    <w:bookmarkEnd w:id="16"/>
    <w:bookmarkEnd w:id="17"/>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Chars="200" w:right="0" w:rightChars="0"/>
        <w:textAlignment w:val="baseline"/>
        <w:rPr>
          <w:rFonts w:hint="eastAsia" w:ascii="宋体" w:hAnsi="宋体" w:eastAsia="宋体" w:cs="宋体"/>
          <w:b/>
          <w:bCs/>
          <w:color w:val="auto"/>
          <w:kern w:val="0"/>
          <w:sz w:val="24"/>
          <w:szCs w:val="24"/>
          <w:highlight w:val="none"/>
        </w:rPr>
      </w:pPr>
      <w:bookmarkStart w:id="18" w:name="_Toc4068"/>
      <w:bookmarkStart w:id="19" w:name="_Toc4398"/>
      <w:bookmarkStart w:id="20" w:name="_Toc20322"/>
      <w:r>
        <w:rPr>
          <w:rFonts w:hint="eastAsia" w:ascii="宋体" w:hAnsi="宋体" w:eastAsia="宋体" w:cs="宋体"/>
          <w:b/>
          <w:bCs/>
          <w:color w:val="auto"/>
          <w:kern w:val="0"/>
          <w:sz w:val="24"/>
          <w:szCs w:val="24"/>
          <w:highlight w:val="none"/>
        </w:rPr>
        <w:t>三、</w:t>
      </w:r>
      <w:r>
        <w:rPr>
          <w:rFonts w:hint="eastAsia" w:ascii="宋体" w:hAnsi="宋体" w:cs="宋体"/>
          <w:b/>
          <w:bCs/>
          <w:color w:val="auto"/>
          <w:kern w:val="0"/>
          <w:sz w:val="24"/>
          <w:szCs w:val="24"/>
          <w:highlight w:val="none"/>
          <w:lang w:val="en-US" w:eastAsia="zh-CN"/>
        </w:rPr>
        <w:t>获取招标文件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color w:val="auto"/>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color w:val="auto"/>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 2023年</w:t>
      </w:r>
      <w:r>
        <w:rPr>
          <w:rFonts w:hint="eastAsia" w:cs="宋体"/>
          <w:i w:val="0"/>
          <w:iCs w:val="0"/>
          <w:caps w:val="0"/>
          <w:color w:val="auto"/>
          <w:spacing w:val="0"/>
          <w:sz w:val="24"/>
          <w:szCs w:val="24"/>
          <w:highlight w:val="none"/>
          <w:lang w:val="en-US" w:eastAsia="zh-CN"/>
        </w:rPr>
        <w:t>8月8日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 2023年</w:t>
      </w:r>
      <w:r>
        <w:rPr>
          <w:rFonts w:hint="eastAsia" w:cs="宋体"/>
          <w:i w:val="0"/>
          <w:iCs w:val="0"/>
          <w:caps w:val="0"/>
          <w:color w:val="auto"/>
          <w:spacing w:val="0"/>
          <w:sz w:val="24"/>
          <w:szCs w:val="24"/>
          <w:highlight w:val="none"/>
          <w:lang w:val="en-US" w:eastAsia="zh-CN"/>
        </w:rPr>
        <w:t>8月8日</w:t>
      </w:r>
      <w:r>
        <w:rPr>
          <w:rFonts w:hint="eastAsia" w:ascii="宋体" w:hAnsi="宋体" w:eastAsia="宋体" w:cs="宋体"/>
          <w:i w:val="0"/>
          <w:iCs w:val="0"/>
          <w:caps w:val="0"/>
          <w:color w:val="auto"/>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  2023年</w:t>
      </w:r>
      <w:r>
        <w:rPr>
          <w:rFonts w:hint="eastAsia" w:cs="宋体"/>
          <w:i w:val="0"/>
          <w:iCs w:val="0"/>
          <w:caps w:val="0"/>
          <w:color w:val="auto"/>
          <w:spacing w:val="0"/>
          <w:sz w:val="24"/>
          <w:szCs w:val="24"/>
          <w:highlight w:val="none"/>
          <w:lang w:val="en-US" w:eastAsia="zh-CN"/>
        </w:rPr>
        <w:t>8月8日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color w:val="auto"/>
          <w:sz w:val="24"/>
          <w:szCs w:val="24"/>
        </w:rPr>
      </w:pPr>
      <w:bookmarkStart w:id="21" w:name="_Toc9151"/>
      <w:bookmarkStart w:id="22" w:name="_Toc30941"/>
      <w:bookmarkStart w:id="23" w:name="_Toc19015"/>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和田县自然资源局统一确权登记工作服务采购项目</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中国农业银行股份有限公司和田市支行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30580801040005315 </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和田县行政服务和公共资源交易中心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4" w:name="_Toc2426"/>
      <w:bookmarkStart w:id="25" w:name="_Toc32428"/>
      <w:bookmarkStart w:id="26" w:name="_Toc1504"/>
      <w:r>
        <w:rPr>
          <w:rFonts w:hint="eastAsia" w:ascii="宋体" w:hAnsi="宋体" w:eastAsia="宋体" w:cs="宋体"/>
          <w:b/>
          <w:bCs/>
          <w:i w:val="0"/>
          <w:iCs w:val="0"/>
          <w:caps w:val="0"/>
          <w:color w:val="auto"/>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i w:val="0"/>
          <w:caps w:val="0"/>
          <w:color w:val="auto"/>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7" w:name="_Toc3331"/>
      <w:bookmarkStart w:id="28" w:name="_Toc9402"/>
      <w:bookmarkStart w:id="29" w:name="_Toc3294"/>
      <w:r>
        <w:rPr>
          <w:rFonts w:hint="eastAsia" w:ascii="宋体" w:hAnsi="宋体" w:eastAsia="宋体" w:cs="宋体"/>
          <w:b/>
          <w:bCs/>
          <w:i w:val="0"/>
          <w:iCs w:val="0"/>
          <w:caps w:val="0"/>
          <w:color w:val="auto"/>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 称：和田县自然资源局</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lang w:val="en-US" w:eastAsia="zh-CN"/>
        </w:rPr>
        <w:t>地 址：</w:t>
      </w:r>
      <w:r>
        <w:rPr>
          <w:rFonts w:hint="eastAsia" w:ascii="宋体" w:hAnsi="宋体" w:eastAsia="宋体" w:cs="宋体"/>
          <w:color w:val="auto"/>
          <w:sz w:val="24"/>
          <w:szCs w:val="24"/>
        </w:rPr>
        <w:t>和田县行政服务中心一楼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联系人：张女士</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联系方式：15199799633</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 称：新疆正昊建设工程项目管理有限公司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址：和田市台北西路354号1栋2号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联系人：王女士</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联系方式：13319038899</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val="en-US" w:eastAsia="zh-CN"/>
        </w:rPr>
        <w:t>和田县政府采购办公室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张先生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13279061956</w:t>
      </w: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 xml:space="preserve">  </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auto"/>
          <w:sz w:val="24"/>
          <w:szCs w:val="24"/>
          <w:highlight w:val="none"/>
        </w:rPr>
      </w:pPr>
      <w:bookmarkStart w:id="30" w:name="_Toc16152"/>
      <w:r>
        <w:rPr>
          <w:rStyle w:val="89"/>
          <w:rFonts w:hint="eastAsia" w:ascii="宋体" w:hAnsi="宋体" w:eastAsia="宋体" w:cs="宋体"/>
          <w:b/>
          <w:bCs/>
          <w:color w:val="auto"/>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eastAsia="宋体" w:cs="宋体"/>
          <w:b/>
          <w:color w:val="auto"/>
          <w:sz w:val="24"/>
          <w:szCs w:val="24"/>
          <w:highlight w:val="none"/>
          <w:lang w:eastAsia="zh-CN"/>
        </w:rPr>
        <w:t>2023年</w:t>
      </w:r>
      <w:r>
        <w:rPr>
          <w:rStyle w:val="89"/>
          <w:rFonts w:hint="eastAsia" w:ascii="宋体" w:hAnsi="宋体" w:cs="宋体"/>
          <w:b/>
          <w:color w:val="auto"/>
          <w:sz w:val="24"/>
          <w:szCs w:val="24"/>
          <w:highlight w:val="none"/>
          <w:lang w:eastAsia="zh-CN"/>
        </w:rPr>
        <w:t>8月8日</w:t>
      </w:r>
      <w:r>
        <w:rPr>
          <w:rStyle w:val="89"/>
          <w:rFonts w:hint="eastAsia" w:ascii="宋体" w:hAnsi="宋体" w:eastAsia="宋体" w:cs="宋体"/>
          <w:b/>
          <w:color w:val="auto"/>
          <w:sz w:val="24"/>
          <w:szCs w:val="24"/>
          <w:highlight w:val="none"/>
          <w:lang w:eastAsia="zh-CN"/>
        </w:rPr>
        <w:t>1</w:t>
      </w:r>
      <w:r>
        <w:rPr>
          <w:rStyle w:val="89"/>
          <w:rFonts w:hint="eastAsia" w:ascii="宋体" w:hAnsi="宋体" w:eastAsia="宋体" w:cs="宋体"/>
          <w:b/>
          <w:color w:val="auto"/>
          <w:sz w:val="24"/>
          <w:szCs w:val="24"/>
          <w:highlight w:val="none"/>
          <w:lang w:val="en-US" w:eastAsia="zh-CN"/>
        </w:rPr>
        <w:t>1</w:t>
      </w:r>
      <w:r>
        <w:rPr>
          <w:rStyle w:val="89"/>
          <w:rFonts w:hint="eastAsia" w:ascii="宋体" w:hAnsi="宋体" w:eastAsia="宋体" w:cs="宋体"/>
          <w:b/>
          <w:color w:val="auto"/>
          <w:sz w:val="24"/>
          <w:szCs w:val="24"/>
          <w:highlight w:val="none"/>
          <w:lang w:eastAsia="zh-CN"/>
        </w:rPr>
        <w:t>：00：00</w:t>
      </w:r>
      <w:r>
        <w:rPr>
          <w:rStyle w:val="89"/>
          <w:rFonts w:hint="eastAsia" w:ascii="宋体" w:hAnsi="宋体" w:eastAsia="宋体" w:cs="宋体"/>
          <w:b/>
          <w:color w:val="auto"/>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idowControl/>
        <w:spacing w:line="320" w:lineRule="exact"/>
        <w:ind w:left="141" w:hanging="141"/>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投标人须知</w:t>
      </w:r>
      <w:bookmarkEnd w:id="30"/>
    </w:p>
    <w:p>
      <w:pPr>
        <w:widowControl/>
        <w:spacing w:line="320" w:lineRule="exact"/>
        <w:ind w:left="141" w:hanging="141"/>
        <w:rPr>
          <w:rFonts w:hint="eastAsia" w:ascii="宋体" w:hAnsi="宋体" w:eastAsia="宋体" w:cs="宋体"/>
          <w:b/>
          <w:color w:val="auto"/>
          <w:sz w:val="28"/>
          <w:szCs w:val="28"/>
          <w:highlight w:val="none"/>
        </w:rPr>
      </w:pPr>
    </w:p>
    <w:p>
      <w:pPr>
        <w:widowControl/>
        <w:spacing w:line="320" w:lineRule="exact"/>
        <w:ind w:left="141" w:hanging="141"/>
        <w:jc w:val="center"/>
        <w:outlineLvl w:val="1"/>
        <w:rPr>
          <w:rFonts w:hint="eastAsia" w:ascii="宋体" w:hAnsi="宋体" w:eastAsia="宋体" w:cs="宋体"/>
          <w:b/>
          <w:color w:val="auto"/>
          <w:sz w:val="32"/>
          <w:szCs w:val="32"/>
          <w:highlight w:val="none"/>
        </w:rPr>
      </w:pPr>
      <w:bookmarkStart w:id="31" w:name="_Toc10036"/>
      <w:r>
        <w:rPr>
          <w:rFonts w:hint="eastAsia" w:ascii="宋体" w:hAnsi="宋体" w:eastAsia="宋体" w:cs="宋体"/>
          <w:b/>
          <w:color w:val="auto"/>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color w:val="auto"/>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称：和田县自然资源局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址：和田县行政服务中心一楼</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联系人：张女士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联系方式：15199799633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称：新疆正昊建设工程项目管理有限公司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址：和田市台北西路354号1栋2号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联系人：王女士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联系方式：13319038899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和田县自然资源局统一确权登记工作服务采购项目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2"/>
                <w:sz w:val="21"/>
                <w:szCs w:val="21"/>
                <w:highlight w:val="none"/>
                <w:lang w:val="en-US" w:eastAsia="zh-CN" w:bidi="ar-SA"/>
              </w:rPr>
              <w:t>2023 年至 2024 年和田县需完成 19 条规模以下河流的统一确权登记工作</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 xml:space="preserve">合同履约期限：一年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i w:val="0"/>
                <w:iCs w:val="0"/>
                <w:caps w:val="0"/>
                <w:color w:val="auto"/>
                <w:spacing w:val="0"/>
                <w:sz w:val="21"/>
                <w:szCs w:val="21"/>
                <w:highlight w:val="none"/>
                <w:lang w:val="en-US" w:eastAsia="zh-CN"/>
              </w:rPr>
              <w:t>285万元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（8）投标保证金或电子保函：28500元整（大写：贰万捌仟伍佰元整）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（9）供应商需同时具有乙级测绘资质（工程测量、界线与不动产测绘）及工程勘察工程测量专业甲级资质</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供货</w:t>
            </w:r>
            <w:r>
              <w:rPr>
                <w:rFonts w:hint="eastAsia" w:ascii="宋体" w:hAnsi="宋体" w:eastAsia="宋体" w:cs="宋体"/>
                <w:b w:val="0"/>
                <w:bCs w:val="0"/>
                <w:color w:val="auto"/>
                <w:sz w:val="21"/>
                <w:szCs w:val="21"/>
                <w:highlight w:val="none"/>
              </w:rPr>
              <w:t>期</w:t>
            </w:r>
            <w:r>
              <w:rPr>
                <w:rFonts w:hint="eastAsia" w:ascii="宋体" w:hAnsi="宋体" w:eastAsia="宋体" w:cs="宋体"/>
                <w:b w:val="0"/>
                <w:bCs w:val="0"/>
                <w:color w:val="auto"/>
                <w:sz w:val="21"/>
                <w:szCs w:val="21"/>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 xml:space="preserve">一年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满足招标文件及国家、自治区相关规范的要求.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1期：支付比例30%，合同签订生效后的15个工作日内，将合同总金额的30%支付给中标供应商。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2期：支付比例50%，项目竣工后的30个工作日内，将合同总金额的50%支付给中标供应商。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3期：支付比例20%，项目通过验收后，30个工作日内，将余下款项（合同总金额的20%）支付给中标供应商。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2023年</w:t>
            </w:r>
            <w:r>
              <w:rPr>
                <w:rFonts w:hint="eastAsia" w:ascii="宋体" w:hAnsi="宋体" w:cs="宋体"/>
                <w:color w:val="auto"/>
                <w:sz w:val="21"/>
                <w:szCs w:val="21"/>
                <w:highlight w:val="none"/>
                <w:lang w:val="en-US" w:eastAsia="zh-CN"/>
              </w:rPr>
              <w:t>8月8日</w:t>
            </w:r>
            <w:r>
              <w:rPr>
                <w:rFonts w:hint="eastAsia" w:ascii="宋体" w:hAnsi="宋体" w:eastAsia="宋体" w:cs="宋体"/>
                <w:color w:val="auto"/>
                <w:sz w:val="21"/>
                <w:szCs w:val="21"/>
                <w:highlight w:val="none"/>
                <w:lang w:val="en-US" w:eastAsia="zh-CN"/>
              </w:rPr>
              <w:t>11：00分（北京时间）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eastAsia="zh-CN"/>
              </w:rPr>
              <w:t>28500</w:t>
            </w:r>
            <w:r>
              <w:rPr>
                <w:rFonts w:hint="eastAsia" w:ascii="宋体" w:hAnsi="宋体" w:eastAsia="宋体" w:cs="宋体"/>
                <w:b/>
                <w:bCs/>
                <w:color w:val="auto"/>
                <w:sz w:val="21"/>
                <w:szCs w:val="21"/>
                <w:highlight w:val="none"/>
              </w:rPr>
              <w:t>元整（大写：</w:t>
            </w:r>
            <w:r>
              <w:rPr>
                <w:rFonts w:hint="eastAsia" w:ascii="宋体" w:hAnsi="宋体" w:eastAsia="宋体" w:cs="宋体"/>
                <w:b/>
                <w:bCs/>
                <w:color w:val="auto"/>
                <w:sz w:val="21"/>
                <w:szCs w:val="21"/>
                <w:highlight w:val="none"/>
                <w:lang w:eastAsia="zh-CN"/>
              </w:rPr>
              <w:t>贰万捌仟伍佰</w:t>
            </w:r>
            <w:r>
              <w:rPr>
                <w:rFonts w:hint="eastAsia" w:ascii="宋体" w:hAnsi="宋体" w:eastAsia="宋体" w:cs="宋体"/>
                <w:b/>
                <w:bCs/>
                <w:color w:val="auto"/>
                <w:sz w:val="21"/>
                <w:szCs w:val="21"/>
                <w:highlight w:val="none"/>
              </w:rPr>
              <w:t>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投标保证金账号：和田县行政服务和公共资源交易中心</w:t>
            </w:r>
          </w:p>
          <w:p>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开户银行：中国农业银行股份有限公司和田市支行</w:t>
            </w:r>
          </w:p>
          <w:p>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账     号：30580801040005315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注：1.采用银行转账或电汇的方式的，由报名单位基本账户于 2023年</w:t>
            </w:r>
            <w:r>
              <w:rPr>
                <w:rFonts w:hint="eastAsia" w:ascii="宋体" w:hAnsi="宋体" w:cs="宋体"/>
                <w:color w:val="auto"/>
                <w:sz w:val="21"/>
                <w:szCs w:val="21"/>
                <w:highlight w:val="none"/>
                <w:lang w:val="en-US" w:eastAsia="zh-CN"/>
              </w:rPr>
              <w:t>8月8日</w:t>
            </w:r>
            <w:r>
              <w:rPr>
                <w:rFonts w:hint="eastAsia" w:ascii="宋体" w:hAnsi="宋体" w:eastAsia="宋体" w:cs="宋体"/>
                <w:color w:val="auto"/>
                <w:sz w:val="21"/>
                <w:szCs w:val="21"/>
                <w:highlight w:val="none"/>
                <w:lang w:val="en-US" w:eastAsia="zh-CN"/>
              </w:rPr>
              <w:t>11：00（北京时间）前汇至和田县行政服务和公共资源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，以便查对核实。投标保证金缴纳截止时间为递交投标文件截止时间，无须到和田县行政服务和公共资源交易中心换取收据。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保函投保金额(元)：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28500</w:t>
            </w:r>
            <w:r>
              <w:rPr>
                <w:rFonts w:hint="eastAsia" w:ascii="宋体" w:hAnsi="宋体" w:eastAsia="宋体" w:cs="宋体"/>
                <w:b/>
                <w:bCs/>
                <w:color w:val="auto"/>
                <w:sz w:val="21"/>
                <w:szCs w:val="21"/>
                <w:highlight w:val="none"/>
              </w:rPr>
              <w:t>元整（大写：</w:t>
            </w:r>
            <w:r>
              <w:rPr>
                <w:rFonts w:hint="eastAsia" w:ascii="宋体" w:hAnsi="宋体" w:eastAsia="宋体" w:cs="宋体"/>
                <w:b/>
                <w:bCs/>
                <w:color w:val="auto"/>
                <w:sz w:val="21"/>
                <w:szCs w:val="21"/>
                <w:highlight w:val="none"/>
                <w:lang w:eastAsia="zh-CN"/>
              </w:rPr>
              <w:t>贰万捌仟伍佰</w:t>
            </w:r>
            <w:r>
              <w:rPr>
                <w:rFonts w:hint="eastAsia" w:ascii="宋体" w:hAnsi="宋体" w:eastAsia="宋体" w:cs="宋体"/>
                <w:b/>
                <w:bCs/>
                <w:color w:val="auto"/>
                <w:sz w:val="21"/>
                <w:szCs w:val="21"/>
                <w:highlight w:val="none"/>
              </w:rPr>
              <w:t>元整）</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 2023   年7  月1</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 xml:space="preserve"> 日----  2023  年10 月 18 日（90日历天） </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625" w:leftChars="1" w:hanging="623" w:hangingChars="297"/>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递交投标文件的地点及方式：</w:t>
            </w: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2023年</w:t>
            </w:r>
            <w:r>
              <w:rPr>
                <w:rFonts w:hint="eastAsia" w:ascii="宋体" w:hAnsi="宋体" w:cs="宋体"/>
                <w:bCs/>
                <w:color w:val="auto"/>
                <w:sz w:val="21"/>
                <w:szCs w:val="21"/>
                <w:highlight w:val="none"/>
                <w:lang w:eastAsia="zh-CN"/>
              </w:rPr>
              <w:t>8月8日</w:t>
            </w:r>
            <w:r>
              <w:rPr>
                <w:rFonts w:hint="eastAsia" w:ascii="宋体" w:hAnsi="宋体" w:eastAsia="宋体" w:cs="宋体"/>
                <w:bCs/>
                <w:color w:val="auto"/>
                <w:sz w:val="21"/>
                <w:szCs w:val="21"/>
                <w:highlight w:val="none"/>
                <w:lang w:eastAsia="zh-CN"/>
              </w:rPr>
              <w:t>11点00分</w:t>
            </w:r>
            <w:r>
              <w:rPr>
                <w:rFonts w:hint="eastAsia" w:ascii="宋体" w:hAnsi="宋体" w:eastAsia="宋体" w:cs="宋体"/>
                <w:bCs/>
                <w:color w:val="auto"/>
                <w:sz w:val="21"/>
                <w:szCs w:val="21"/>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1"/>
                <w:szCs w:val="21"/>
                <w:highlight w:val="none"/>
                <w:lang w:val="en-US" w:eastAsia="zh-CN"/>
              </w:rPr>
              <w:t>或95763</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投标文件：开标结束后各投标人将上传政府采购网的投标文件使用A4纸胶装成册（1正2副）递交或邮寄至新疆正昊建设工程项目管理有限公司。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2023年</w:t>
            </w:r>
            <w:r>
              <w:rPr>
                <w:rFonts w:hint="eastAsia" w:ascii="宋体" w:hAnsi="宋体" w:cs="宋体"/>
                <w:color w:val="auto"/>
                <w:sz w:val="21"/>
                <w:szCs w:val="21"/>
                <w:highlight w:val="none"/>
                <w:lang w:val="en-US" w:eastAsia="zh-CN"/>
              </w:rPr>
              <w:t>8月8日</w:t>
            </w:r>
            <w:r>
              <w:rPr>
                <w:rFonts w:hint="eastAsia" w:ascii="宋体" w:hAnsi="宋体" w:eastAsia="宋体" w:cs="宋体"/>
                <w:color w:val="auto"/>
                <w:sz w:val="21"/>
                <w:szCs w:val="21"/>
                <w:highlight w:val="none"/>
                <w:lang w:val="en-US" w:eastAsia="zh-CN"/>
              </w:rPr>
              <w:t>11：00</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北京时间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前供应商可以登录“</w:t>
            </w:r>
            <w:r>
              <w:rPr>
                <w:rFonts w:hint="eastAsia" w:ascii="宋体" w:hAnsi="宋体" w:eastAsia="宋体" w:cs="宋体"/>
                <w:b w:val="0"/>
                <w:bCs w:val="0"/>
                <w:color w:val="auto"/>
                <w:sz w:val="21"/>
                <w:szCs w:val="21"/>
                <w:highlight w:val="none"/>
                <w:lang w:val="en-US" w:eastAsia="zh-CN"/>
              </w:rPr>
              <w:t>政采云</w:t>
            </w:r>
            <w:r>
              <w:rPr>
                <w:rFonts w:hint="eastAsia" w:ascii="宋体" w:hAnsi="宋体" w:eastAsia="宋体" w:cs="宋体"/>
                <w:b w:val="0"/>
                <w:bCs w:val="0"/>
                <w:color w:val="auto"/>
                <w:sz w:val="21"/>
                <w:szCs w:val="21"/>
                <w:highlight w:val="none"/>
              </w:rPr>
              <w:t>”平台，用“项目采购-开标评标”功能进行解密投标文件。若供应商在规定时间内（</w:t>
            </w: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8月8日</w:t>
            </w:r>
            <w:r>
              <w:rPr>
                <w:rFonts w:hint="eastAsia" w:ascii="宋体" w:hAnsi="宋体" w:eastAsia="宋体" w:cs="宋体"/>
                <w:b w:val="0"/>
                <w:bCs w:val="0"/>
                <w:color w:val="auto"/>
                <w:sz w:val="21"/>
                <w:szCs w:val="21"/>
                <w:highlight w:val="none"/>
                <w:lang w:val="en-US" w:eastAsia="zh-CN"/>
              </w:rPr>
              <w:t>上午12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 xml:space="preserve">  5  </w:t>
            </w:r>
            <w:r>
              <w:rPr>
                <w:rFonts w:hint="eastAsia" w:ascii="宋体" w:hAnsi="宋体" w:eastAsia="宋体" w:cs="宋体"/>
                <w:color w:val="auto"/>
                <w:sz w:val="21"/>
                <w:szCs w:val="21"/>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本项目所属行业（服务）：其他未列明的行业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新疆正昊建设工程项目管理有限公司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政府采购监督管理部门：</w:t>
            </w:r>
          </w:p>
          <w:p>
            <w:pPr>
              <w:pStyle w:val="1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名称：和田县政府采购办公室</w:t>
            </w:r>
          </w:p>
          <w:p>
            <w:pPr>
              <w:pStyle w:val="1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联系人：张先生</w:t>
            </w:r>
          </w:p>
          <w:p>
            <w:pPr>
              <w:pStyle w:val="1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联系电话：13279061956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90"/>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pPr>
        <w:spacing w:line="500" w:lineRule="exact"/>
        <w:ind w:left="120" w:hanging="12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bookmarkStart w:id="32" w:name="_Toc17382"/>
      <w:r>
        <w:rPr>
          <w:rFonts w:hint="eastAsia" w:ascii="宋体" w:hAnsi="宋体" w:eastAsia="宋体" w:cs="宋体"/>
          <w:b/>
          <w:color w:val="auto"/>
          <w:sz w:val="28"/>
          <w:szCs w:val="28"/>
          <w:highlight w:val="none"/>
          <w:lang w:val="en-US" w:eastAsia="zh-CN"/>
        </w:rPr>
        <w:t>（一）总则</w:t>
      </w:r>
      <w:bookmarkEnd w:id="32"/>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（一）适用范围</w:t>
      </w:r>
    </w:p>
    <w:p>
      <w:pPr>
        <w:spacing w:line="360" w:lineRule="auto"/>
        <w:ind w:left="0" w:right="0" w:firstLine="48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本招标文件适用于和田县自然资源局统一确权登记工作服务采购项目的招标、投标、评标、定标、验收、合同履约、付款等行为（法律、法规另有规定的，从其规定）。</w:t>
      </w:r>
    </w:p>
    <w:p>
      <w:pPr>
        <w:spacing w:line="300" w:lineRule="auto"/>
        <w:outlineLvl w:val="1"/>
        <w:rPr>
          <w:rFonts w:hint="eastAsia" w:ascii="宋体" w:hAnsi="宋体" w:eastAsia="宋体" w:cs="宋体"/>
          <w:b/>
          <w:bCs/>
          <w:color w:val="auto"/>
          <w:highlight w:val="none"/>
          <w:lang w:val="en-US" w:eastAsia="zh-CN"/>
        </w:rPr>
      </w:pPr>
      <w:bookmarkStart w:id="33" w:name="_Toc13192"/>
      <w:bookmarkStart w:id="34" w:name="_Toc21374"/>
      <w:r>
        <w:rPr>
          <w:rFonts w:hint="eastAsia" w:ascii="宋体" w:hAnsi="宋体" w:eastAsia="宋体" w:cs="宋体"/>
          <w:b/>
          <w:bCs/>
          <w:color w:val="auto"/>
          <w:highlight w:val="none"/>
          <w:lang w:val="en-US" w:eastAsia="zh-CN"/>
        </w:rPr>
        <w:t>（二）定义</w:t>
      </w:r>
      <w:bookmarkEnd w:id="33"/>
      <w:bookmarkEnd w:id="34"/>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bookmarkStart w:id="35" w:name="_Toc16199"/>
      <w:r>
        <w:rPr>
          <w:rFonts w:hint="eastAsia" w:ascii="宋体" w:hAnsi="宋体" w:eastAsia="宋体" w:cs="宋体"/>
          <w:color w:val="auto"/>
          <w:highlight w:val="none"/>
          <w:lang w:val="en-US" w:eastAsia="zh-CN"/>
        </w:rPr>
        <w:t>2.“投标人”系指向招标方提交投标文件的单位或个人。</w:t>
      </w:r>
      <w:bookmarkEnd w:id="35"/>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5.“项目”系指投标人按招标文件规定向招标人提供的产品和服务。</w:t>
      </w:r>
    </w:p>
    <w:p>
      <w:pPr>
        <w:spacing w:line="300" w:lineRule="auto"/>
        <w:ind w:left="210" w:leftChars="100" w:firstLine="105" w:firstLineChars="50"/>
        <w:rPr>
          <w:rFonts w:hint="eastAsia" w:ascii="宋体" w:hAnsi="宋体" w:eastAsia="宋体" w:cs="宋体"/>
          <w:color w:val="auto"/>
          <w:highlight w:val="none"/>
          <w:lang w:val="en-US" w:eastAsia="zh-CN"/>
        </w:rPr>
      </w:pPr>
      <w:bookmarkStart w:id="36" w:name="_Toc20586"/>
      <w:r>
        <w:rPr>
          <w:rFonts w:hint="eastAsia" w:ascii="宋体" w:hAnsi="宋体" w:eastAsia="宋体" w:cs="宋体"/>
          <w:color w:val="auto"/>
          <w:highlight w:val="none"/>
          <w:lang w:val="en-US" w:eastAsia="zh-CN"/>
        </w:rPr>
        <w:t>6.“书面形式”包括信函、传真、电报等。</w:t>
      </w:r>
      <w:bookmarkEnd w:id="36"/>
    </w:p>
    <w:p>
      <w:pPr>
        <w:spacing w:line="300" w:lineRule="auto"/>
        <w:outlineLvl w:val="1"/>
        <w:rPr>
          <w:rFonts w:hint="eastAsia" w:ascii="宋体" w:hAnsi="宋体" w:eastAsia="宋体" w:cs="宋体"/>
          <w:b/>
          <w:bCs/>
          <w:color w:val="auto"/>
          <w:highlight w:val="none"/>
          <w:lang w:val="en-US" w:eastAsia="zh-CN"/>
        </w:rPr>
      </w:pPr>
      <w:bookmarkStart w:id="37" w:name="_Toc15840"/>
      <w:bookmarkStart w:id="38" w:name="_Toc14030"/>
      <w:r>
        <w:rPr>
          <w:rFonts w:hint="eastAsia" w:ascii="宋体" w:hAnsi="宋体" w:eastAsia="宋体" w:cs="宋体"/>
          <w:b/>
          <w:bCs/>
          <w:color w:val="auto"/>
          <w:highlight w:val="none"/>
          <w:lang w:val="en-US" w:eastAsia="zh-CN"/>
        </w:rPr>
        <w:t>（三）招标方式</w:t>
      </w:r>
      <w:bookmarkEnd w:id="37"/>
      <w:bookmarkEnd w:id="38"/>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本次招标采用公开招标方式进行。</w:t>
      </w:r>
    </w:p>
    <w:p>
      <w:pPr>
        <w:spacing w:line="300" w:lineRule="auto"/>
        <w:outlineLvl w:val="1"/>
        <w:rPr>
          <w:rFonts w:hint="eastAsia" w:ascii="宋体" w:hAnsi="宋体" w:eastAsia="宋体" w:cs="宋体"/>
          <w:b/>
          <w:bCs/>
          <w:color w:val="auto"/>
          <w:highlight w:val="none"/>
          <w:lang w:val="en-US" w:eastAsia="zh-CN"/>
        </w:rPr>
      </w:pPr>
      <w:bookmarkStart w:id="39" w:name="_Toc20843"/>
      <w:bookmarkStart w:id="40" w:name="_Toc18596"/>
      <w:r>
        <w:rPr>
          <w:rFonts w:hint="eastAsia" w:ascii="宋体" w:hAnsi="宋体" w:eastAsia="宋体" w:cs="宋体"/>
          <w:b/>
          <w:bCs/>
          <w:color w:val="auto"/>
          <w:highlight w:val="none"/>
          <w:lang w:val="en-US" w:eastAsia="zh-CN"/>
        </w:rPr>
        <w:t>（四）采购文件获取</w:t>
      </w:r>
      <w:bookmarkEnd w:id="39"/>
      <w:bookmarkEnd w:id="40"/>
    </w:p>
    <w:p>
      <w:pPr>
        <w:pStyle w:val="67"/>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spacing w:line="300" w:lineRule="auto"/>
        <w:outlineLvl w:val="1"/>
        <w:rPr>
          <w:rFonts w:hint="eastAsia" w:ascii="宋体" w:hAnsi="宋体" w:eastAsia="宋体" w:cs="宋体"/>
          <w:b/>
          <w:bCs/>
          <w:color w:val="auto"/>
          <w:highlight w:val="none"/>
          <w:lang w:val="en-US" w:eastAsia="zh-CN"/>
        </w:rPr>
      </w:pPr>
      <w:bookmarkStart w:id="41" w:name="_Toc17293"/>
      <w:bookmarkStart w:id="42" w:name="_Toc1704"/>
      <w:r>
        <w:rPr>
          <w:rFonts w:hint="eastAsia" w:ascii="宋体" w:hAnsi="宋体" w:eastAsia="宋体" w:cs="宋体"/>
          <w:b/>
          <w:bCs/>
          <w:color w:val="auto"/>
          <w:highlight w:val="none"/>
          <w:lang w:val="en-US" w:eastAsia="zh-CN"/>
        </w:rPr>
        <w:t>（五）投标费用</w:t>
      </w:r>
      <w:bookmarkEnd w:id="41"/>
      <w:bookmarkEnd w:id="42"/>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color w:val="auto"/>
          <w:highlight w:val="none"/>
          <w:lang w:val="en-US" w:eastAsia="zh-CN"/>
        </w:rPr>
      </w:pPr>
      <w:bookmarkStart w:id="43" w:name="_Toc22117"/>
      <w:bookmarkStart w:id="44" w:name="_Toc19554"/>
      <w:r>
        <w:rPr>
          <w:rFonts w:hint="eastAsia" w:ascii="宋体" w:hAnsi="宋体" w:eastAsia="宋体" w:cs="宋体"/>
          <w:b/>
          <w:bCs/>
          <w:color w:val="auto"/>
          <w:highlight w:val="none"/>
          <w:lang w:val="en-US" w:eastAsia="zh-CN"/>
        </w:rPr>
        <w:t>（六）联合体投标</w:t>
      </w:r>
      <w:bookmarkEnd w:id="43"/>
      <w:bookmarkEnd w:id="44"/>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4联合体成员存在不良信用记录的，视同联合体存在不良信用记录。</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6联合体各方应当共同与采购人签订采购合同，就合同约定的事项对采购人承担连带责任。</w:t>
      </w:r>
    </w:p>
    <w:p>
      <w:pPr>
        <w:spacing w:line="300" w:lineRule="auto"/>
        <w:outlineLvl w:val="1"/>
        <w:rPr>
          <w:rFonts w:hint="eastAsia" w:ascii="宋体" w:hAnsi="宋体" w:eastAsia="宋体" w:cs="宋体"/>
          <w:b/>
          <w:bCs/>
          <w:color w:val="auto"/>
          <w:highlight w:val="none"/>
          <w:lang w:val="en-US" w:eastAsia="zh-CN"/>
        </w:rPr>
      </w:pPr>
      <w:bookmarkStart w:id="45" w:name="_Toc21389"/>
      <w:bookmarkStart w:id="46" w:name="_Toc11478"/>
      <w:r>
        <w:rPr>
          <w:rFonts w:hint="eastAsia" w:ascii="宋体" w:hAnsi="宋体" w:eastAsia="宋体" w:cs="宋体"/>
          <w:b/>
          <w:bCs/>
          <w:color w:val="auto"/>
          <w:highlight w:val="none"/>
          <w:lang w:val="en-US" w:eastAsia="zh-CN"/>
        </w:rPr>
        <w:t>（七）转包与分包</w:t>
      </w:r>
      <w:bookmarkEnd w:id="45"/>
      <w:bookmarkEnd w:id="46"/>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1.本项目不允许转包。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2.本项目可以分包。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color w:val="auto"/>
          <w:highlight w:val="none"/>
          <w:lang w:val="en-US" w:eastAsia="zh-CN"/>
        </w:rPr>
      </w:pPr>
      <w:bookmarkStart w:id="47" w:name="_Toc4294"/>
      <w:bookmarkStart w:id="48" w:name="_Toc14774"/>
      <w:r>
        <w:rPr>
          <w:rFonts w:hint="eastAsia" w:ascii="宋体" w:hAnsi="宋体" w:eastAsia="宋体" w:cs="宋体"/>
          <w:b/>
          <w:bCs/>
          <w:color w:val="auto"/>
          <w:highlight w:val="none"/>
          <w:lang w:val="en-US" w:eastAsia="zh-CN"/>
        </w:rPr>
        <w:t>（八）质疑和投诉</w:t>
      </w:r>
      <w:bookmarkEnd w:id="47"/>
      <w:bookmarkEnd w:id="48"/>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（九）纪律与保密事项</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bookmarkStart w:id="49" w:name="_Toc521014777"/>
      <w:bookmarkStart w:id="50" w:name="_Toc28270"/>
      <w:bookmarkStart w:id="51" w:name="_Toc503212209"/>
      <w:bookmarkStart w:id="52" w:name="_Toc30350"/>
      <w:bookmarkStart w:id="53" w:name="_Toc32144"/>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第一章 招标公告</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第二章 投标人须知</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第三章 评标办法及标准</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招标需求</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合同主要条款</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投标文件格式</w:t>
      </w:r>
    </w:p>
    <w:p>
      <w:pPr>
        <w:spacing w:line="300" w:lineRule="auto"/>
        <w:outlineLvl w:val="1"/>
        <w:rPr>
          <w:rFonts w:hint="eastAsia" w:ascii="宋体" w:hAnsi="宋体" w:eastAsia="宋体" w:cs="宋体"/>
          <w:b/>
          <w:bCs/>
          <w:color w:val="auto"/>
          <w:highlight w:val="none"/>
          <w:lang w:val="en-US" w:eastAsia="zh-CN"/>
        </w:rPr>
      </w:pPr>
      <w:bookmarkStart w:id="54" w:name="_Toc12877"/>
      <w:bookmarkStart w:id="55" w:name="_Toc18044"/>
      <w:r>
        <w:rPr>
          <w:rFonts w:hint="eastAsia" w:ascii="宋体" w:hAnsi="宋体" w:eastAsia="宋体" w:cs="宋体"/>
          <w:b/>
          <w:bCs/>
          <w:color w:val="auto"/>
          <w:highlight w:val="none"/>
          <w:lang w:val="en-US" w:eastAsia="zh-CN"/>
        </w:rPr>
        <w:t>（二）投标人的风险</w:t>
      </w:r>
      <w:bookmarkEnd w:id="54"/>
      <w:bookmarkEnd w:id="55"/>
    </w:p>
    <w:p>
      <w:pPr>
        <w:spacing w:line="300" w:lineRule="auto"/>
        <w:ind w:left="210" w:leftChars="100"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color w:val="auto"/>
          <w:highlight w:val="none"/>
          <w:lang w:val="en-US" w:eastAsia="zh-CN"/>
        </w:rPr>
      </w:pPr>
      <w:bookmarkStart w:id="56" w:name="_Toc27766"/>
      <w:bookmarkStart w:id="57" w:name="_Toc15241"/>
      <w:r>
        <w:rPr>
          <w:rFonts w:hint="eastAsia" w:ascii="宋体" w:hAnsi="宋体" w:eastAsia="宋体" w:cs="宋体"/>
          <w:b/>
          <w:bCs/>
          <w:color w:val="auto"/>
          <w:highlight w:val="none"/>
          <w:lang w:val="en-US" w:eastAsia="zh-CN"/>
        </w:rPr>
        <w:t>（三）招标文件的澄清与修改</w:t>
      </w:r>
      <w:bookmarkEnd w:id="56"/>
      <w:bookmarkEnd w:id="57"/>
      <w:r>
        <w:rPr>
          <w:rFonts w:hint="eastAsia" w:ascii="宋体" w:hAnsi="宋体" w:eastAsia="宋体" w:cs="宋体"/>
          <w:b/>
          <w:bCs/>
          <w:color w:val="auto"/>
          <w:highlight w:val="none"/>
          <w:lang w:val="en-US" w:eastAsia="zh-CN"/>
        </w:rPr>
        <w:t xml:space="preserve"> </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3.招标文件的澄清、答复、修改或补充都应该通过本代理机构以法定形式发布，招标人非通过本机构，不得擅自澄清、答复、修改或补充招标文件。</w:t>
      </w:r>
    </w:p>
    <w:p>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58" w:name="_Toc521014778"/>
      <w:bookmarkStart w:id="59" w:name="_Toc10814"/>
      <w:bookmarkStart w:id="60" w:name="_Toc503212210"/>
      <w:bookmarkStart w:id="61" w:name="_Toc12173"/>
      <w:bookmarkStart w:id="62" w:name="_Toc765"/>
      <w:bookmarkStart w:id="63" w:name="_Toc8746"/>
      <w:bookmarkStart w:id="64" w:name="_Toc27918"/>
      <w:r>
        <w:rPr>
          <w:rFonts w:hint="eastAsia" w:ascii="宋体" w:hAnsi="宋体" w:eastAsia="宋体" w:cs="宋体"/>
          <w:b/>
          <w:bCs/>
          <w:color w:val="auto"/>
          <w:kern w:val="2"/>
          <w:sz w:val="28"/>
          <w:szCs w:val="28"/>
          <w:highlight w:val="none"/>
          <w:lang w:val="en-US" w:eastAsia="zh-CN" w:bidi="ar-SA"/>
        </w:rPr>
        <w:t>（三）投标文件的编制</w:t>
      </w:r>
      <w:bookmarkEnd w:id="58"/>
      <w:bookmarkEnd w:id="59"/>
      <w:bookmarkEnd w:id="60"/>
      <w:bookmarkEnd w:id="61"/>
      <w:bookmarkEnd w:id="62"/>
      <w:bookmarkEnd w:id="63"/>
      <w:bookmarkEnd w:id="64"/>
    </w:p>
    <w:p>
      <w:pPr>
        <w:spacing w:line="300" w:lineRule="auto"/>
        <w:rPr>
          <w:rFonts w:hint="eastAsia" w:ascii="宋体" w:hAnsi="宋体" w:eastAsia="宋体" w:cs="宋体"/>
          <w:b/>
          <w:bCs/>
          <w:color w:val="auto"/>
          <w:highlight w:val="none"/>
        </w:rPr>
      </w:pPr>
      <w:bookmarkStart w:id="65" w:name="_Toc503212211"/>
      <w:bookmarkStart w:id="66" w:name="_Toc29977"/>
      <w:bookmarkStart w:id="67" w:name="_Toc521014779"/>
      <w:bookmarkStart w:id="68" w:name="_Toc23068"/>
      <w:r>
        <w:rPr>
          <w:rFonts w:hint="eastAsia" w:ascii="宋体" w:hAnsi="宋体" w:eastAsia="宋体" w:cs="宋体"/>
          <w:b/>
          <w:bCs/>
          <w:color w:val="auto"/>
          <w:highlight w:val="none"/>
        </w:rPr>
        <w:t>投标文件的组成</w:t>
      </w:r>
      <w:bookmarkEnd w:id="65"/>
      <w:bookmarkEnd w:id="66"/>
      <w:bookmarkEnd w:id="67"/>
      <w:bookmarkEnd w:id="68"/>
    </w:p>
    <w:p>
      <w:pPr>
        <w:spacing w:line="300" w:lineRule="auto"/>
        <w:outlineLvl w:val="2"/>
        <w:rPr>
          <w:rFonts w:hint="eastAsia" w:ascii="宋体" w:hAnsi="宋体" w:eastAsia="宋体" w:cs="宋体"/>
          <w:color w:val="auto"/>
          <w:highlight w:val="none"/>
        </w:rPr>
      </w:pPr>
      <w:bookmarkStart w:id="69" w:name="_Toc21340"/>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投标文件由报价部分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技术部分组成。</w:t>
      </w:r>
      <w:bookmarkEnd w:id="69"/>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、招标文件使用的计量单位，应采用国家法定的计量单位。</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spacing w:line="30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9、拟派驻的技术/服务人员的近3个月的社保证明扫描件（社保缴纳个人明细）； </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12、投标保证金打款凭证或保函文件；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16、中小企业声明函</w:t>
      </w:r>
      <w:r>
        <w:rPr>
          <w:rFonts w:hint="eastAsia" w:ascii="宋体" w:hAnsi="宋体" w:eastAsia="宋体" w:cs="宋体"/>
          <w:color w:val="auto"/>
          <w:highlight w:val="none"/>
        </w:rPr>
        <w:t>；</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对本次</w:t>
      </w:r>
      <w:r>
        <w:rPr>
          <w:rFonts w:hint="eastAsia" w:ascii="宋体" w:hAnsi="宋体" w:eastAsia="宋体" w:cs="宋体"/>
          <w:color w:val="auto"/>
          <w:highlight w:val="none"/>
          <w:lang w:val="en-US" w:eastAsia="zh-CN"/>
        </w:rPr>
        <w:t>投标项目的技术方案</w:t>
      </w:r>
      <w:r>
        <w:rPr>
          <w:rFonts w:hint="eastAsia" w:ascii="宋体" w:hAnsi="宋体" w:eastAsia="宋体" w:cs="宋体"/>
          <w:color w:val="auto"/>
          <w:highlight w:val="none"/>
        </w:rPr>
        <w:t>(投标人视需要自行编写)；</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19、服务承诺书</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其他有利于投标人的资料（如有）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注：法定代表人授权委托书、投标声明书、投标函、投标报价一览表必须由法定代表人签名</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盖章并加盖单位公章。</w:t>
      </w:r>
    </w:p>
    <w:p>
      <w:pPr>
        <w:spacing w:line="300" w:lineRule="auto"/>
        <w:outlineLvl w:val="1"/>
        <w:rPr>
          <w:rFonts w:hint="eastAsia" w:ascii="宋体" w:hAnsi="宋体" w:eastAsia="宋体" w:cs="宋体"/>
          <w:b/>
          <w:bCs/>
          <w:color w:val="auto"/>
          <w:highlight w:val="none"/>
        </w:rPr>
      </w:pPr>
      <w:bookmarkStart w:id="70" w:name="_Toc521014780"/>
      <w:bookmarkStart w:id="71" w:name="_Toc28971"/>
      <w:bookmarkStart w:id="72" w:name="_Toc503212212"/>
      <w:bookmarkStart w:id="73" w:name="_Toc18015"/>
      <w:bookmarkStart w:id="74" w:name="_Toc24112"/>
      <w:bookmarkStart w:id="75" w:name="_Toc14838"/>
      <w:r>
        <w:rPr>
          <w:rFonts w:hint="eastAsia" w:ascii="宋体" w:hAnsi="宋体" w:eastAsia="宋体" w:cs="宋体"/>
          <w:b/>
          <w:bCs/>
          <w:color w:val="auto"/>
          <w:highlight w:val="none"/>
        </w:rPr>
        <w:t>投标文件的语言及计量</w:t>
      </w:r>
      <w:bookmarkEnd w:id="70"/>
      <w:bookmarkEnd w:id="71"/>
      <w:bookmarkEnd w:id="72"/>
      <w:bookmarkEnd w:id="73"/>
      <w:bookmarkEnd w:id="74"/>
      <w:bookmarkEnd w:id="75"/>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color w:val="auto"/>
          <w:highlight w:val="none"/>
        </w:rPr>
      </w:pPr>
      <w:bookmarkStart w:id="76" w:name="_Toc6985"/>
      <w:bookmarkStart w:id="77" w:name="_Toc503212213"/>
      <w:bookmarkStart w:id="78" w:name="_Toc521014781"/>
      <w:bookmarkStart w:id="79" w:name="_Toc3970"/>
      <w:r>
        <w:rPr>
          <w:rFonts w:hint="eastAsia" w:ascii="宋体" w:hAnsi="宋体" w:eastAsia="宋体" w:cs="宋体"/>
          <w:b/>
          <w:bCs/>
          <w:color w:val="auto"/>
          <w:highlight w:val="none"/>
        </w:rPr>
        <w:t>投标报价</w:t>
      </w:r>
      <w:bookmarkEnd w:id="76"/>
      <w:bookmarkEnd w:id="77"/>
      <w:bookmarkEnd w:id="78"/>
      <w:bookmarkEnd w:id="79"/>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（二）大写金额和小写金额不一致的，以大写金额为准；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（三）单价金额小数点或者百分比有明显错位的，以开标一览表的总价为准，并修改单价；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（四）总价金额与单价汇总金额不一致的，以单价金额计算结果为准。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3报价时应对下列几点特别注明：</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3.1招标文件中特别要求的备品备件、易损件和专用工具的费用；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4.1 当以数字表示的金额与文字表示的金额有差异时，以文字表示的金额为准；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4.3 当各明细部分的价格累计不等于合价时，应以各明细的累计计数为准，修正合价。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投标文件只允许有一个报价，有选择的或有条件的报价将不予接受。</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招标代理服务费由中标单位支付，投标单位在报价时请考虑。</w:t>
      </w:r>
    </w:p>
    <w:p>
      <w:pPr>
        <w:spacing w:line="300" w:lineRule="auto"/>
        <w:rPr>
          <w:rFonts w:hint="eastAsia" w:ascii="宋体" w:hAnsi="宋体" w:eastAsia="宋体" w:cs="宋体"/>
          <w:b/>
          <w:bCs/>
          <w:color w:val="auto"/>
          <w:highlight w:val="none"/>
        </w:rPr>
      </w:pPr>
      <w:bookmarkStart w:id="80" w:name="_Toc521014782"/>
      <w:bookmarkStart w:id="81" w:name="_Toc21800"/>
      <w:bookmarkStart w:id="82" w:name="_Toc21211"/>
      <w:bookmarkStart w:id="83" w:name="_Toc503212214"/>
      <w:r>
        <w:rPr>
          <w:rFonts w:hint="eastAsia" w:ascii="宋体" w:hAnsi="宋体" w:eastAsia="宋体" w:cs="宋体"/>
          <w:b/>
          <w:bCs/>
          <w:color w:val="auto"/>
          <w:highlight w:val="none"/>
        </w:rPr>
        <w:t>投标文件的有效期</w:t>
      </w:r>
      <w:bookmarkEnd w:id="80"/>
      <w:bookmarkEnd w:id="81"/>
      <w:bookmarkEnd w:id="82"/>
      <w:bookmarkEnd w:id="83"/>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1.自投标截止日起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90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天投标文件应保持有效。有效期不足的投标文件将被拒绝。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4.中标人的投标文件自开标之日起至合同履行完毕止均应保持有效。</w:t>
      </w:r>
    </w:p>
    <w:p>
      <w:pPr>
        <w:spacing w:line="300" w:lineRule="auto"/>
        <w:rPr>
          <w:rFonts w:hint="eastAsia" w:ascii="宋体" w:hAnsi="宋体" w:eastAsia="宋体" w:cs="宋体"/>
          <w:b/>
          <w:bCs/>
          <w:color w:val="auto"/>
          <w:highlight w:val="none"/>
        </w:rPr>
      </w:pPr>
      <w:bookmarkStart w:id="84" w:name="_Toc16117"/>
      <w:bookmarkStart w:id="85" w:name="_Toc503212215"/>
      <w:bookmarkStart w:id="86" w:name="_Toc521014783"/>
      <w:bookmarkStart w:id="87" w:name="_Toc22838"/>
      <w:r>
        <w:rPr>
          <w:rFonts w:hint="eastAsia" w:ascii="宋体" w:hAnsi="宋体" w:eastAsia="宋体" w:cs="宋体"/>
          <w:b/>
          <w:bCs/>
          <w:color w:val="auto"/>
          <w:highlight w:val="none"/>
        </w:rPr>
        <w:t>投标保证金</w:t>
      </w:r>
      <w:bookmarkEnd w:id="84"/>
      <w:bookmarkEnd w:id="85"/>
      <w:bookmarkEnd w:id="86"/>
      <w:bookmarkEnd w:id="87"/>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1.投标人须按规定提交投标保证金</w:t>
      </w:r>
      <w:r>
        <w:rPr>
          <w:rFonts w:hint="eastAsia" w:ascii="宋体" w:hAnsi="宋体" w:eastAsia="宋体" w:cs="宋体"/>
          <w:color w:val="auto"/>
          <w:highlight w:val="none"/>
          <w:lang w:val="en-US" w:eastAsia="zh-CN"/>
        </w:rPr>
        <w:t>或电子保函</w:t>
      </w:r>
      <w:r>
        <w:rPr>
          <w:rFonts w:hint="eastAsia" w:ascii="宋体" w:hAnsi="宋体" w:eastAsia="宋体" w:cs="宋体"/>
          <w:color w:val="auto"/>
          <w:highlight w:val="none"/>
        </w:rPr>
        <w:t>。否则，其投标将被拒绝。</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2.保证金形式：</w:t>
      </w:r>
      <w:r>
        <w:rPr>
          <w:rFonts w:hint="eastAsia" w:ascii="宋体" w:hAnsi="宋体" w:eastAsia="宋体" w:cs="宋体"/>
          <w:color w:val="auto"/>
          <w:highlight w:val="none"/>
          <w:lang w:val="en-US" w:eastAsia="zh-CN"/>
        </w:rPr>
        <w:t>转账、汇款</w:t>
      </w:r>
      <w:r>
        <w:rPr>
          <w:rFonts w:hint="eastAsia" w:ascii="宋体" w:hAnsi="宋体" w:eastAsia="宋体" w:cs="宋体"/>
          <w:color w:val="auto"/>
          <w:highlight w:val="none"/>
        </w:rPr>
        <w:t>（必须从基本账户转出）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电子保函</w:t>
      </w:r>
      <w:r>
        <w:rPr>
          <w:rFonts w:hint="eastAsia" w:ascii="宋体" w:hAnsi="宋体" w:eastAsia="宋体" w:cs="宋体"/>
          <w:color w:val="auto"/>
          <w:highlight w:val="none"/>
        </w:rPr>
        <w:t xml:space="preserve">。 </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3.未中标人的投标保证金在公示期截止后退还。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4.中标人的投标保证金在中标通知书发出签订正式采购合同，</w:t>
      </w:r>
      <w:r>
        <w:rPr>
          <w:rFonts w:hint="eastAsia" w:ascii="宋体" w:hAnsi="宋体" w:eastAsia="宋体" w:cs="宋体"/>
          <w:color w:val="auto"/>
          <w:highlight w:val="none"/>
          <w:lang w:val="en-US" w:eastAsia="zh-CN"/>
        </w:rPr>
        <w:t>需提供一份合同原件及相关材料办理退还投标保证金事宜</w:t>
      </w:r>
      <w:r>
        <w:rPr>
          <w:rFonts w:hint="eastAsia" w:ascii="宋体" w:hAnsi="宋体" w:eastAsia="宋体" w:cs="宋体"/>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5.保证金不计息。</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（2）投标人在投标过程中弄虚作假，提供虚假材料的；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（3）中标人无正当理由不与招标人签订合同的；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（4）其他严重扰乱招投标程序的。</w:t>
      </w:r>
    </w:p>
    <w:p>
      <w:pPr>
        <w:spacing w:line="300" w:lineRule="auto"/>
        <w:rPr>
          <w:rFonts w:hint="eastAsia" w:ascii="宋体" w:hAnsi="宋体" w:eastAsia="宋体" w:cs="宋体"/>
          <w:b/>
          <w:bCs/>
          <w:color w:val="auto"/>
          <w:highlight w:val="none"/>
        </w:rPr>
      </w:pPr>
      <w:bookmarkStart w:id="88" w:name="_Toc503212216"/>
      <w:bookmarkStart w:id="89" w:name="_Toc25982"/>
      <w:bookmarkStart w:id="90" w:name="_Toc521014784"/>
      <w:bookmarkStart w:id="91" w:name="_Toc4584"/>
      <w:r>
        <w:rPr>
          <w:rFonts w:hint="eastAsia" w:ascii="宋体" w:hAnsi="宋体" w:eastAsia="宋体" w:cs="宋体"/>
          <w:b/>
          <w:bCs/>
          <w:color w:val="auto"/>
          <w:highlight w:val="none"/>
        </w:rPr>
        <w:t>投标文件的签署和</w:t>
      </w:r>
      <w:bookmarkEnd w:id="88"/>
      <w:bookmarkEnd w:id="89"/>
      <w:bookmarkEnd w:id="90"/>
      <w:bookmarkEnd w:id="91"/>
      <w:r>
        <w:rPr>
          <w:rFonts w:hint="eastAsia" w:ascii="宋体" w:hAnsi="宋体" w:eastAsia="宋体" w:cs="宋体"/>
          <w:b/>
          <w:bCs/>
          <w:color w:val="auto"/>
          <w:highlight w:val="none"/>
          <w:lang w:eastAsia="zh-CN"/>
        </w:rPr>
        <w:t>递交</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投标人应按本招标文件规定的格式和顺序编制、装订投标文件并标注页码，投标文件内容不完整、编排混乱</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上传不完整</w:t>
      </w:r>
      <w:r>
        <w:rPr>
          <w:rFonts w:hint="eastAsia" w:ascii="宋体" w:hAnsi="宋体" w:eastAsia="宋体" w:cs="宋体"/>
          <w:color w:val="auto"/>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投标人应于</w:t>
      </w:r>
      <w:r>
        <w:rPr>
          <w:rFonts w:hint="eastAsia" w:ascii="宋体" w:hAnsi="宋体" w:eastAsia="宋体" w:cs="宋体"/>
          <w:color w:val="auto"/>
          <w:highlight w:val="none"/>
          <w:lang w:val="en-US" w:eastAsia="zh-CN"/>
        </w:rPr>
        <w:t xml:space="preserve"> 2023年</w:t>
      </w:r>
      <w:r>
        <w:rPr>
          <w:rFonts w:hint="eastAsia" w:ascii="宋体" w:hAnsi="宋体" w:cs="宋体"/>
          <w:color w:val="auto"/>
          <w:highlight w:val="none"/>
          <w:lang w:val="en-US" w:eastAsia="zh-CN"/>
        </w:rPr>
        <w:t>8月8日</w:t>
      </w:r>
      <w:r>
        <w:rPr>
          <w:rFonts w:hint="eastAsia" w:ascii="宋体" w:hAnsi="宋体" w:eastAsia="宋体" w:cs="宋体"/>
          <w:color w:val="auto"/>
          <w:highlight w:val="none"/>
          <w:lang w:val="en-US" w:eastAsia="zh-CN"/>
        </w:rPr>
        <w:t>11：00（北京时间）</w:t>
      </w:r>
      <w:r>
        <w:rPr>
          <w:rFonts w:hint="eastAsia" w:ascii="宋体" w:hAnsi="宋体" w:eastAsia="宋体" w:cs="宋体"/>
          <w:color w:val="auto"/>
          <w:highlight w:val="none"/>
        </w:rPr>
        <w:t>前将电子投标文件上传到“</w:t>
      </w:r>
      <w:r>
        <w:rPr>
          <w:rFonts w:hint="eastAsia" w:ascii="宋体" w:hAnsi="宋体" w:eastAsia="宋体" w:cs="宋体"/>
          <w:color w:val="auto"/>
          <w:highlight w:val="none"/>
          <w:lang w:eastAsia="zh-CN"/>
        </w:rPr>
        <w:t>新疆政府采购</w:t>
      </w:r>
      <w:r>
        <w:rPr>
          <w:rFonts w:hint="eastAsia" w:ascii="宋体" w:hAnsi="宋体" w:eastAsia="宋体" w:cs="宋体"/>
          <w:color w:val="auto"/>
          <w:highlight w:val="none"/>
        </w:rPr>
        <w:t>”平台。应按照本项目招标文件和</w:t>
      </w:r>
      <w:r>
        <w:rPr>
          <w:rFonts w:hint="eastAsia" w:ascii="宋体" w:hAnsi="宋体" w:eastAsia="宋体" w:cs="宋体"/>
          <w:color w:val="auto"/>
          <w:highlight w:val="none"/>
          <w:lang w:eastAsia="zh-CN"/>
        </w:rPr>
        <w:t>新疆政府采购</w:t>
      </w:r>
      <w:r>
        <w:rPr>
          <w:rFonts w:hint="eastAsia" w:ascii="宋体" w:hAnsi="宋体" w:eastAsia="宋体" w:cs="宋体"/>
          <w:color w:val="auto"/>
          <w:highlight w:val="none"/>
        </w:rPr>
        <w:t>平台的要求编制、加密传输投标文件。供应商在使用系统进行投标的过程中遇到涉及平台使用的任何问题，可致电</w:t>
      </w:r>
      <w:r>
        <w:rPr>
          <w:rFonts w:hint="eastAsia" w:ascii="宋体" w:hAnsi="宋体" w:eastAsia="宋体" w:cs="宋体"/>
          <w:color w:val="auto"/>
          <w:highlight w:val="none"/>
          <w:lang w:eastAsia="zh-CN"/>
        </w:rPr>
        <w:t>新疆政府采购</w:t>
      </w:r>
      <w:r>
        <w:rPr>
          <w:rFonts w:hint="eastAsia" w:ascii="宋体" w:hAnsi="宋体" w:eastAsia="宋体" w:cs="宋体"/>
          <w:color w:val="auto"/>
          <w:highlight w:val="none"/>
        </w:rPr>
        <w:t>平台技术支持热线咨询，联系方式：</w:t>
      </w:r>
      <w:r>
        <w:rPr>
          <w:rFonts w:hint="eastAsia" w:ascii="宋体" w:hAnsi="宋体" w:eastAsia="宋体" w:cs="宋体"/>
          <w:color w:val="auto"/>
          <w:highlight w:val="none"/>
          <w:lang w:val="en-US" w:eastAsia="zh-CN"/>
        </w:rPr>
        <w:t>95763</w:t>
      </w:r>
      <w:r>
        <w:rPr>
          <w:rFonts w:hint="eastAsia" w:ascii="宋体" w:hAnsi="宋体" w:eastAsia="宋体" w:cs="宋体"/>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应严格响应招标文件要求，有表述</w:t>
      </w:r>
      <w:r>
        <w:rPr>
          <w:rFonts w:hint="eastAsia" w:ascii="宋体" w:hAnsi="宋体" w:eastAsia="宋体" w:cs="宋体"/>
          <w:color w:val="auto"/>
          <w:highlight w:val="none"/>
        </w:rPr>
        <w:t>不清所引起的后果由投标人负责。</w:t>
      </w:r>
      <w:bookmarkStart w:id="92" w:name="_Toc28926"/>
      <w:bookmarkStart w:id="93" w:name="_Toc9280"/>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highlight w:val="none"/>
          <w:lang w:eastAsia="zh-CN"/>
        </w:rPr>
        <w:t>http://www.ccgp-xinjiang.gov.cn/</w:t>
      </w:r>
      <w:r>
        <w:rPr>
          <w:rFonts w:hint="eastAsia" w:ascii="宋体" w:hAnsi="宋体" w:eastAsia="宋体" w:cs="宋体"/>
          <w:b/>
          <w:bCs/>
          <w:color w:val="auto"/>
          <w:highlight w:val="none"/>
        </w:rPr>
        <w:t>/）下载专区查看，如有问题可拨打政采云客户服务热线400-881-7190进行咨询。</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lang w:eastAsia="zh-CN"/>
        </w:rPr>
        <w:t>开标时间后60分钟内</w:t>
      </w:r>
      <w:r>
        <w:rPr>
          <w:rFonts w:hint="eastAsia" w:ascii="宋体" w:hAnsi="宋体" w:eastAsia="宋体" w:cs="宋体"/>
          <w:b/>
          <w:bCs/>
          <w:color w:val="auto"/>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投标文件未按规定上传的，视为其自动放弃投标。</w:t>
      </w:r>
    </w:p>
    <w:bookmarkEnd w:id="92"/>
    <w:bookmarkEnd w:id="93"/>
    <w:p>
      <w:pPr>
        <w:spacing w:line="300" w:lineRule="auto"/>
        <w:rPr>
          <w:rFonts w:hint="eastAsia" w:ascii="宋体" w:hAnsi="宋体" w:eastAsia="宋体" w:cs="宋体"/>
          <w:b/>
          <w:bCs/>
          <w:color w:val="auto"/>
          <w:highlight w:val="none"/>
        </w:rPr>
      </w:pPr>
      <w:bookmarkStart w:id="94" w:name="_Toc4197"/>
      <w:bookmarkStart w:id="95" w:name="_Toc6355"/>
      <w:bookmarkStart w:id="96" w:name="_Toc521014786"/>
      <w:bookmarkStart w:id="97" w:name="_Toc503212218"/>
      <w:r>
        <w:rPr>
          <w:rFonts w:hint="eastAsia" w:ascii="宋体" w:hAnsi="宋体" w:eastAsia="宋体" w:cs="宋体"/>
          <w:b/>
          <w:bCs/>
          <w:color w:val="auto"/>
          <w:highlight w:val="none"/>
        </w:rPr>
        <w:t>投标文件的修改、撤回与撤销</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投标文件的解密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投标有效期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样品（演示）</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投标无效的情形</w:t>
      </w:r>
      <w:bookmarkEnd w:id="94"/>
      <w:bookmarkEnd w:id="95"/>
      <w:bookmarkEnd w:id="96"/>
      <w:bookmarkEnd w:id="97"/>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100" w:name="_Toc11270"/>
      <w:bookmarkStart w:id="101" w:name="_Toc3022"/>
      <w:bookmarkStart w:id="102" w:name="_Toc31877"/>
      <w:bookmarkStart w:id="103" w:name="_Toc503212219"/>
      <w:bookmarkStart w:id="104" w:name="_Toc521014787"/>
      <w:r>
        <w:rPr>
          <w:rFonts w:hint="eastAsia" w:ascii="宋体" w:hAnsi="宋体" w:eastAsia="宋体" w:cs="宋体"/>
          <w:b/>
          <w:bCs/>
          <w:color w:val="auto"/>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snapToGrid w:val="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"http://www.ccgp-xinjiang.gov.cn/"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http://www.ccgp-xinjiang.gov.cn/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22" w:firstLineChars="200"/>
        <w:textAlignment w:val="auto"/>
        <w:outlineLvl w:val="1"/>
        <w:rPr>
          <w:rFonts w:hint="eastAsia" w:ascii="宋体" w:hAnsi="宋体" w:eastAsia="宋体" w:cs="宋体"/>
          <w:b/>
          <w:bCs/>
          <w:color w:val="auto"/>
          <w:kern w:val="2"/>
          <w:sz w:val="21"/>
          <w:szCs w:val="24"/>
          <w:highlight w:val="none"/>
          <w:lang w:val="en-US" w:eastAsia="zh-CN" w:bidi="ar-SA"/>
        </w:rPr>
      </w:pPr>
      <w:bookmarkStart w:id="105" w:name="_Toc24853"/>
      <w:bookmarkStart w:id="106" w:name="_Toc1875"/>
      <w:r>
        <w:rPr>
          <w:rFonts w:hint="eastAsia" w:ascii="宋体" w:hAnsi="宋体" w:eastAsia="宋体" w:cs="宋体"/>
          <w:b/>
          <w:bCs/>
          <w:color w:val="auto"/>
          <w:kern w:val="2"/>
          <w:sz w:val="21"/>
          <w:szCs w:val="24"/>
          <w:highlight w:val="none"/>
          <w:lang w:val="en-US" w:eastAsia="zh-CN" w:bidi="ar-SA"/>
        </w:rPr>
        <w:t>（二） 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bookmarkStart w:id="107" w:name="_Toc3024"/>
      <w:bookmarkStart w:id="108" w:name="_Toc503212220"/>
      <w:bookmarkStart w:id="109" w:name="_Toc521014788"/>
      <w:bookmarkStart w:id="110" w:name="_Toc20288"/>
      <w:bookmarkStart w:id="111" w:name="_Toc24288"/>
      <w:bookmarkStart w:id="112" w:name="_Toc20065"/>
      <w:bookmarkStart w:id="113" w:name="_Toc12263"/>
      <w:r>
        <w:rPr>
          <w:rFonts w:hint="eastAsia" w:ascii="宋体" w:hAnsi="宋体" w:eastAsia="宋体" w:cs="宋体"/>
          <w:color w:val="auto"/>
          <w:highlight w:val="none"/>
        </w:rPr>
        <w:t>1.1 开标程序</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（一）组建评标委员会</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 5  人组成；专家由招标代理机构在开标前48小时在新疆政府采购专家中随机抽取。其中熟悉相关技术方面的专家不得少于成员总数的三之二。并对投标文件进行审查、评估和比较，并做出授予合同的建议。</w:t>
      </w:r>
    </w:p>
    <w:p>
      <w:pPr>
        <w:pStyle w:val="44"/>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14" w:name="_Toc26886"/>
      <w:bookmarkStart w:id="115" w:name="_Toc27271"/>
      <w:r>
        <w:rPr>
          <w:rFonts w:hint="eastAsia" w:ascii="宋体" w:hAnsi="宋体" w:eastAsia="宋体" w:cs="宋体"/>
          <w:b/>
          <w:bCs/>
          <w:color w:val="auto"/>
          <w:kern w:val="2"/>
          <w:sz w:val="21"/>
          <w:szCs w:val="24"/>
          <w:highlight w:val="none"/>
          <w:lang w:val="en-US" w:eastAsia="zh-CN" w:bidi="ar-SA"/>
        </w:rPr>
        <w:t>（二）评标的方式</w:t>
      </w:r>
      <w:bookmarkEnd w:id="114"/>
      <w:bookmarkEnd w:id="115"/>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（三）评标原则</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2.2具体评标事项由评标委员会负责，并按招标文件的规定办法进行评审。</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（四）评标应遵守下列评标纪律：</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（1）评标情况不得私自外泄，有关信息由新疆正昊建设工程项目管理有限公司统一对外发布。</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（2）对新疆正昊建设工程项目管理有限公司或投标人提供的要求保密的资料，不得摘记翻印和外传。</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（4）全体评委应按照招标文件规定进行评标，一切认定事项应查有实据且不得弄虚作假。</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44"/>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※对违反评标纪律的评委，将取消其评委资格，对评标工作造成严重损失者将予以通报批评乃至追究法律责任。</w:t>
      </w:r>
    </w:p>
    <w:p>
      <w:pPr>
        <w:pStyle w:val="44"/>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16" w:name="_Toc13223"/>
      <w:bookmarkStart w:id="117" w:name="_Toc4747"/>
      <w:r>
        <w:rPr>
          <w:rFonts w:hint="eastAsia" w:ascii="宋体" w:hAnsi="宋体" w:eastAsia="宋体" w:cs="宋体"/>
          <w:b/>
          <w:bCs/>
          <w:color w:val="auto"/>
          <w:kern w:val="2"/>
          <w:sz w:val="21"/>
          <w:szCs w:val="24"/>
          <w:highlight w:val="none"/>
          <w:lang w:val="en-US" w:eastAsia="zh-CN" w:bidi="ar-SA"/>
        </w:rPr>
        <w:t>（五）评标程序</w:t>
      </w:r>
      <w:bookmarkEnd w:id="116"/>
      <w:bookmarkEnd w:id="117"/>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本项目采用</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44"/>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18" w:name="_Toc17462"/>
      <w:r>
        <w:rPr>
          <w:rFonts w:hint="eastAsia" w:ascii="宋体" w:hAnsi="宋体" w:eastAsia="宋体" w:cs="宋体"/>
          <w:color w:val="auto"/>
          <w:kern w:val="2"/>
          <w:sz w:val="21"/>
          <w:szCs w:val="24"/>
          <w:highlight w:val="none"/>
          <w:lang w:val="en-US" w:eastAsia="zh-CN" w:bidi="ar-SA"/>
        </w:rPr>
        <w:t>2. 评标的依据为招标文件和投标文件。</w:t>
      </w:r>
      <w:bookmarkEnd w:id="118"/>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 投标人在评标过程中所进行的试图影响评标结果、有悖于招标规则的活动，可能导致取消其中标资格。</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 与招标文件有重大偏离的投标文件将被拒绝。且此重大偏离在开标后不许修改。</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 根据国家计委等七部委颁发的《评标委员会和评标方法暂行规定》以下为重大偏离：</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（一）投标保证金的缴纳主体与投标人不一致的，没有按照招标文件要求提供投标担保，或者所提供的投标担保有瑕疵的；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（二）投标文件没有投标人法定代表人或其授权代表签字（章）和加盖投标单位公章的；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（三）投标文件记载的招标项目完成期限超过招标文件规定的完成期限；</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（四）明显不符合技术规格和技术标准（技术规格、合同条款有偏离情况的）；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（五）商务条款有偏离情况的；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（六）投标附有招标人不能接受的条件；</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（七）不符合招标文件中规定的其他实质性要求。</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 投标报价不符合招标文件规定的要求。</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投标文件有上述情形之一的，视为非实质性响应招标，并按规定作废标处理。招标文件对重大偏差另有规定的，从其规定。</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19" w:name="_Toc3963"/>
      <w:r>
        <w:rPr>
          <w:rFonts w:hint="eastAsia" w:ascii="宋体" w:hAnsi="宋体" w:eastAsia="宋体" w:cs="宋体"/>
          <w:color w:val="auto"/>
          <w:kern w:val="2"/>
          <w:sz w:val="21"/>
          <w:szCs w:val="24"/>
          <w:highlight w:val="none"/>
          <w:lang w:val="en-US" w:eastAsia="zh-CN" w:bidi="ar-SA"/>
        </w:rPr>
        <w:t>7.对投标文件的初步审查和响应性确定</w:t>
      </w:r>
      <w:bookmarkEnd w:id="119"/>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10.招标人判断投标文件的响应性是基于投标文件本身而不靠外部证据。</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11.招标人将拒绝被定为非响应性的投标，投标人不能通过修正或撤消不符之处而使其投标成为响应性投标。</w:t>
      </w:r>
    </w:p>
    <w:p>
      <w:pPr>
        <w:pStyle w:val="44"/>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0" w:name="_Toc13450"/>
      <w:bookmarkStart w:id="121" w:name="_Toc32133"/>
      <w:r>
        <w:rPr>
          <w:rFonts w:hint="eastAsia" w:ascii="宋体" w:hAnsi="宋体" w:eastAsia="宋体" w:cs="宋体"/>
          <w:b/>
          <w:bCs/>
          <w:color w:val="auto"/>
          <w:kern w:val="2"/>
          <w:sz w:val="21"/>
          <w:szCs w:val="24"/>
          <w:highlight w:val="none"/>
          <w:lang w:val="en-US" w:eastAsia="zh-CN" w:bidi="ar-SA"/>
        </w:rPr>
        <w:t>（六）澄清问题的形式</w:t>
      </w:r>
      <w:bookmarkEnd w:id="120"/>
      <w:bookmarkEnd w:id="121"/>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2" w:name="_Toc31156"/>
      <w:bookmarkStart w:id="123" w:name="_Toc30297"/>
      <w:r>
        <w:rPr>
          <w:rFonts w:hint="eastAsia" w:ascii="宋体" w:hAnsi="宋体" w:eastAsia="宋体" w:cs="宋体"/>
          <w:b/>
          <w:bCs/>
          <w:color w:val="auto"/>
          <w:kern w:val="2"/>
          <w:sz w:val="21"/>
          <w:szCs w:val="24"/>
          <w:highlight w:val="none"/>
          <w:lang w:val="en-US" w:eastAsia="zh-CN" w:bidi="ar-SA"/>
        </w:rPr>
        <w:t>（七）错误修正</w:t>
      </w:r>
      <w:bookmarkEnd w:id="122"/>
      <w:bookmarkEnd w:id="123"/>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投标文件如果出现计算或表达上的错误，修正错误的原则如下：</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1.投标报价一览表总价与投标报价明细表汇总数不一致的，以投标报价一览表为准；</w:t>
      </w:r>
    </w:p>
    <w:p>
      <w:pPr>
        <w:pStyle w:val="44"/>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24" w:name="_Toc29280"/>
      <w:r>
        <w:rPr>
          <w:rFonts w:hint="eastAsia" w:ascii="宋体" w:hAnsi="宋体" w:eastAsia="宋体" w:cs="宋体"/>
          <w:color w:val="auto"/>
          <w:kern w:val="2"/>
          <w:sz w:val="21"/>
          <w:szCs w:val="24"/>
          <w:highlight w:val="none"/>
          <w:lang w:val="en-US" w:eastAsia="zh-CN" w:bidi="ar-SA"/>
        </w:rPr>
        <w:t>2.投标文件的大写金额和小写金额不一致的，以大写金额为准；</w:t>
      </w:r>
      <w:bookmarkEnd w:id="124"/>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3.总价金额与按单价汇总金额不一致的，以单价金额计算结果为准；</w:t>
      </w:r>
    </w:p>
    <w:p>
      <w:pPr>
        <w:pStyle w:val="44"/>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25" w:name="_Toc16465"/>
      <w:r>
        <w:rPr>
          <w:rFonts w:hint="eastAsia" w:ascii="宋体" w:hAnsi="宋体" w:eastAsia="宋体" w:cs="宋体"/>
          <w:color w:val="auto"/>
          <w:kern w:val="2"/>
          <w:sz w:val="21"/>
          <w:szCs w:val="24"/>
          <w:highlight w:val="none"/>
          <w:lang w:val="en-US" w:eastAsia="zh-CN" w:bidi="ar-SA"/>
        </w:rPr>
        <w:t>4.对不同文字文本投标文件的解释发生异议的，以中文文本为准。</w:t>
      </w:r>
      <w:bookmarkEnd w:id="125"/>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bookmarkStart w:id="126" w:name="_Toc19846"/>
      <w:bookmarkStart w:id="127" w:name="_Toc15699"/>
      <w:r>
        <w:rPr>
          <w:rFonts w:hint="eastAsia" w:ascii="宋体" w:hAnsi="宋体" w:eastAsia="宋体" w:cs="宋体"/>
          <w:b/>
          <w:bCs/>
          <w:color w:val="auto"/>
          <w:kern w:val="2"/>
          <w:sz w:val="21"/>
          <w:szCs w:val="24"/>
          <w:highlight w:val="none"/>
          <w:lang w:val="en-US" w:eastAsia="zh-CN" w:bidi="ar-SA"/>
        </w:rPr>
        <w:t>（八）</w:t>
      </w:r>
      <w:bookmarkEnd w:id="126"/>
      <w:bookmarkEnd w:id="127"/>
      <w:r>
        <w:rPr>
          <w:rFonts w:hint="eastAsia" w:ascii="宋体" w:hAnsi="宋体" w:eastAsia="宋体" w:cs="宋体"/>
          <w:b/>
          <w:bCs/>
          <w:color w:val="auto"/>
          <w:kern w:val="2"/>
          <w:sz w:val="21"/>
          <w:szCs w:val="24"/>
          <w:highlight w:val="none"/>
          <w:lang w:val="en-US" w:eastAsia="zh-CN" w:bidi="ar-SA"/>
        </w:rPr>
        <w:t>有下列情形之一的，视为投标人串通投标，其投标无效</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bookmarkStart w:id="128" w:name="_Toc29743"/>
      <w:bookmarkStart w:id="129" w:name="_Toc9664"/>
      <w:r>
        <w:rPr>
          <w:rFonts w:hint="eastAsia" w:ascii="宋体" w:hAnsi="宋体" w:eastAsia="宋体" w:cs="宋体"/>
          <w:color w:val="auto"/>
          <w:kern w:val="2"/>
          <w:sz w:val="21"/>
          <w:szCs w:val="24"/>
          <w:highlight w:val="none"/>
          <w:lang w:val="en-US" w:eastAsia="zh-CN" w:bidi="ar-SA"/>
        </w:rPr>
        <w:t>1不同投标人的投标文件由同一单位或者个人编制；</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2不同投标人委托同一单位或者个人办理投标事宜；</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3不同投标人的投标文件载明的项目管理成员或者联系人员为同一人；</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4不同投标人的投标文件异常一致或者投标报价呈规律性差异；</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5不同投标人的投标文件相互混装；</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6不同投标人的投标保证金或购买电子保函支付款为从同一单位或个人的账户转出；</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7投标人上传的电子投标文件使用该项目其他投标人的数字证书加密的或加盖该项目的其他投标人的电子印章的。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4"/>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（九）评标过程的监控</w:t>
      </w:r>
      <w:bookmarkEnd w:id="128"/>
      <w:bookmarkEnd w:id="129"/>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130" w:name="_Toc503212221"/>
      <w:bookmarkStart w:id="131" w:name="_Toc21069"/>
      <w:bookmarkStart w:id="132" w:name="_Toc521014789"/>
      <w:bookmarkStart w:id="133" w:name="_Toc10823"/>
      <w:bookmarkStart w:id="134" w:name="_Toc28372"/>
      <w:bookmarkStart w:id="135" w:name="_Toc26644"/>
      <w:bookmarkStart w:id="136" w:name="_Toc2497"/>
      <w:r>
        <w:rPr>
          <w:rFonts w:hint="eastAsia" w:ascii="宋体" w:hAnsi="宋体" w:eastAsia="宋体" w:cs="宋体"/>
          <w:b/>
          <w:bCs/>
          <w:color w:val="auto"/>
          <w:kern w:val="2"/>
          <w:sz w:val="28"/>
          <w:szCs w:val="28"/>
          <w:highlight w:val="none"/>
          <w:lang w:val="en-US" w:eastAsia="zh-CN" w:bidi="ar-SA"/>
        </w:rPr>
        <w:t>（六）定标</w:t>
      </w:r>
      <w:bookmarkEnd w:id="130"/>
      <w:bookmarkEnd w:id="131"/>
      <w:bookmarkEnd w:id="132"/>
      <w:bookmarkEnd w:id="133"/>
      <w:bookmarkEnd w:id="134"/>
      <w:bookmarkEnd w:id="135"/>
      <w:bookmarkEnd w:id="136"/>
    </w:p>
    <w:p>
      <w:pPr>
        <w:snapToGrid w:val="0"/>
        <w:spacing w:line="360" w:lineRule="auto"/>
        <w:ind w:left="10" w:leftChars="0" w:hanging="1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确定中标人：</w:t>
      </w:r>
      <w:r>
        <w:rPr>
          <w:rFonts w:hint="eastAsia" w:ascii="宋体" w:hAnsi="宋体" w:eastAsia="宋体" w:cs="宋体"/>
          <w:color w:val="auto"/>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中标公告：</w:t>
      </w:r>
      <w:r>
        <w:rPr>
          <w:rFonts w:hint="eastAsia" w:ascii="宋体" w:hAnsi="宋体" w:eastAsia="宋体" w:cs="宋体"/>
          <w:color w:val="auto"/>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中标通知书：</w:t>
      </w:r>
      <w:r>
        <w:rPr>
          <w:rFonts w:hint="eastAsia" w:ascii="宋体" w:hAnsi="宋体" w:eastAsia="宋体" w:cs="宋体"/>
          <w:color w:val="auto"/>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项目废标处理：</w:t>
      </w:r>
      <w:r>
        <w:rPr>
          <w:rFonts w:hint="eastAsia" w:ascii="宋体" w:hAnsi="宋体" w:eastAsia="宋体" w:cs="宋体"/>
          <w:color w:val="auto"/>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color w:val="auto"/>
          <w:highlight w:val="none"/>
        </w:rPr>
      </w:pPr>
      <w:r>
        <w:rPr>
          <w:rFonts w:hint="eastAsia" w:ascii="宋体" w:hAnsi="宋体" w:eastAsia="宋体" w:cs="宋体"/>
          <w:b/>
          <w:bCs/>
          <w:color w:val="auto"/>
          <w:highlight w:val="none"/>
        </w:rPr>
        <w:t>终止公告：</w:t>
      </w:r>
      <w:r>
        <w:rPr>
          <w:rFonts w:hint="eastAsia" w:ascii="宋体" w:hAnsi="宋体" w:eastAsia="宋体" w:cs="宋体"/>
          <w:color w:val="auto"/>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137" w:name="_Toc15327"/>
      <w:bookmarkStart w:id="138" w:name="_Toc20063"/>
      <w:bookmarkStart w:id="139" w:name="_Toc503212222"/>
      <w:bookmarkStart w:id="140" w:name="_Toc11259"/>
      <w:bookmarkStart w:id="141" w:name="_Toc521014790"/>
    </w:p>
    <w:p>
      <w:pPr>
        <w:snapToGrid w:val="0"/>
        <w:spacing w:line="360" w:lineRule="auto"/>
        <w:ind w:firstLine="562" w:firstLineChars="200"/>
        <w:jc w:val="center"/>
        <w:outlineLvl w:val="1"/>
        <w:rPr>
          <w:rFonts w:hint="eastAsia" w:ascii="宋体" w:hAnsi="宋体" w:eastAsia="宋体" w:cs="宋体"/>
          <w:color w:val="auto"/>
          <w:highlight w:val="none"/>
        </w:rPr>
      </w:pPr>
      <w:bookmarkStart w:id="142" w:name="_Toc20117"/>
      <w:bookmarkStart w:id="143" w:name="_Toc20345"/>
      <w:r>
        <w:rPr>
          <w:rFonts w:hint="eastAsia" w:ascii="宋体" w:hAnsi="宋体" w:eastAsia="宋体" w:cs="宋体"/>
          <w:b/>
          <w:bCs/>
          <w:color w:val="auto"/>
          <w:kern w:val="2"/>
          <w:sz w:val="28"/>
          <w:szCs w:val="28"/>
          <w:highlight w:val="none"/>
          <w:lang w:val="en-US" w:eastAsia="zh-CN" w:bidi="ar-SA"/>
        </w:rPr>
        <w:t>（七）合同授予</w:t>
      </w:r>
      <w:bookmarkEnd w:id="137"/>
      <w:bookmarkEnd w:id="138"/>
      <w:bookmarkEnd w:id="139"/>
      <w:bookmarkEnd w:id="140"/>
      <w:bookmarkEnd w:id="141"/>
      <w:bookmarkEnd w:id="142"/>
      <w:bookmarkEnd w:id="143"/>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1.1采购人应当自《中标通知书》发出之日起</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bookmarkStart w:id="144" w:name="_Toc17664"/>
      <w:bookmarkStart w:id="145" w:name="_Toc115436070"/>
      <w:bookmarkStart w:id="146" w:name="_Toc18703"/>
      <w:bookmarkStart w:id="147" w:name="_Toc28496"/>
      <w:r>
        <w:rPr>
          <w:rFonts w:hint="eastAsia" w:ascii="宋体" w:hAnsi="宋体" w:eastAsia="宋体" w:cs="宋体"/>
          <w:b/>
          <w:bCs/>
          <w:color w:val="auto"/>
          <w:kern w:val="2"/>
          <w:sz w:val="28"/>
          <w:szCs w:val="28"/>
          <w:highlight w:val="none"/>
          <w:lang w:val="en-US" w:eastAsia="zh-CN" w:bidi="ar-SA"/>
        </w:rPr>
        <w:t>（八）法律责任</w:t>
      </w:r>
      <w:bookmarkEnd w:id="144"/>
      <w:bookmarkEnd w:id="145"/>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（一）提供虚假材料谋取中标的； </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（二）采取不正当手段诋毁、排挤其他投标人的；</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（三）与招标人、采购人、其他投标人恶意串通的； </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（四）向招标人、采购人行贿或者提供其他不正当利益的； </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4"/>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（六）拒绝有关部门监督检查或者提供虚假情况的。 </w:t>
      </w:r>
    </w:p>
    <w:p>
      <w:pPr>
        <w:pStyle w:val="44"/>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投标人有前款第（一）至（五）项情形之一的，中标无效。 </w:t>
      </w:r>
    </w:p>
    <w:p>
      <w:pPr>
        <w:pStyle w:val="44"/>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44"/>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（一）中标后无正当理由不与采购人签订合同的；</w:t>
      </w:r>
    </w:p>
    <w:p>
      <w:pPr>
        <w:pStyle w:val="44"/>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（二）将中标项目转让给他人，或者在投标文件中未说明，且未经招标人同意，将中标项目分包给他人的；</w:t>
      </w:r>
    </w:p>
    <w:p>
      <w:pPr>
        <w:pStyle w:val="44"/>
        <w:snapToGrid w:val="0"/>
        <w:spacing w:line="360" w:lineRule="auto"/>
        <w:ind w:left="210" w:leftChars="100" w:firstLine="315" w:firstLineChars="15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5688"/>
      <w:bookmarkStart w:id="149" w:name="_Toc115436071"/>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7、本招标文件是根据《中华人民共和国招标投标法》规定编制的，解释权属新新疆正昊建设工程项目管理有限公司。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115436073"/>
      <w:bookmarkStart w:id="153" w:name="_Toc26775"/>
      <w:bookmarkStart w:id="154" w:name="_Toc2805"/>
      <w:bookmarkStart w:id="155" w:name="_Toc13351"/>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 xml:space="preserve">  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 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 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16936"/>
      <w:bookmarkStart w:id="157" w:name="_Toc13588"/>
      <w:bookmarkStart w:id="158" w:name="_Toc4251"/>
      <w:bookmarkStart w:id="159" w:name="_Toc19742"/>
      <w:bookmarkStart w:id="160" w:name="_Toc25665"/>
      <w:bookmarkStart w:id="161" w:name="_Toc25094"/>
      <w:bookmarkStart w:id="162" w:name="_Toc31734"/>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21178"/>
      <w:bookmarkStart w:id="164" w:name="_Toc110010424"/>
      <w:bookmarkStart w:id="165" w:name="_Toc12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25739"/>
      <w:bookmarkStart w:id="167" w:name="_Toc1299"/>
      <w:bookmarkStart w:id="168" w:name="_Toc110010425"/>
      <w:bookmarkStart w:id="169" w:name="_Toc5896"/>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3585"/>
      <w:bookmarkStart w:id="171" w:name="_Toc1061"/>
      <w:bookmarkStart w:id="172" w:name="_Toc110010426"/>
      <w:bookmarkStart w:id="173" w:name="_Toc15098"/>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22496"/>
      <w:bookmarkStart w:id="175" w:name="_Toc32569"/>
      <w:bookmarkStart w:id="176" w:name="_Toc110010427"/>
      <w:bookmarkStart w:id="177" w:name="_Toc14686"/>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110010428"/>
      <w:bookmarkStart w:id="179" w:name="_Toc22150"/>
      <w:bookmarkStart w:id="180" w:name="_Toc23110"/>
      <w:bookmarkStart w:id="181" w:name="_Toc31259"/>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5746"/>
      <w:bookmarkStart w:id="183" w:name="_Toc21592"/>
      <w:bookmarkStart w:id="184" w:name="_Toc26371"/>
      <w:bookmarkStart w:id="185" w:name="_Toc110010429"/>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27620"/>
      <w:bookmarkStart w:id="187" w:name="_Toc110010430"/>
      <w:bookmarkStart w:id="188" w:name="_Toc25199"/>
      <w:bookmarkStart w:id="189" w:name="_Toc377"/>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auto"/>
          <w:kern w:val="0"/>
          <w:sz w:val="22"/>
          <w:szCs w:val="22"/>
          <w:highlight w:val="none"/>
          <w:shd w:val="clear" w:color="auto" w:fill="FFFFFF"/>
        </w:rPr>
      </w:pPr>
      <w:r>
        <w:rPr>
          <w:rFonts w:hint="eastAsia" w:ascii="宋体" w:hAnsi="宋体" w:eastAsia="宋体" w:cs="宋体"/>
          <w:color w:val="auto"/>
          <w:kern w:val="2"/>
          <w:sz w:val="21"/>
          <w:szCs w:val="24"/>
          <w:highlight w:val="none"/>
          <w:lang w:val="en-US" w:eastAsia="zh-CN" w:bidi="ar-SA"/>
        </w:rPr>
        <w:br w:type="page"/>
      </w:r>
    </w:p>
    <w:p>
      <w:pPr>
        <w:spacing w:line="360" w:lineRule="auto"/>
        <w:jc w:val="center"/>
        <w:outlineLvl w:val="0"/>
        <w:rPr>
          <w:rFonts w:hint="eastAsia" w:ascii="宋体" w:hAnsi="宋体" w:eastAsia="宋体" w:cs="宋体"/>
          <w:b/>
          <w:color w:val="auto"/>
          <w:sz w:val="36"/>
          <w:szCs w:val="36"/>
          <w:highlight w:val="none"/>
        </w:rPr>
      </w:pPr>
      <w:bookmarkStart w:id="190" w:name="_Toc99301421"/>
      <w:bookmarkStart w:id="191" w:name="_Toc4147"/>
      <w:bookmarkStart w:id="192" w:name="_Toc23028"/>
      <w:bookmarkStart w:id="193" w:name="_Toc115436075"/>
      <w:bookmarkStart w:id="194" w:name="_Toc20110"/>
      <w:bookmarkStart w:id="195" w:name="_Toc503212223"/>
      <w:bookmarkStart w:id="196" w:name="_Toc24395"/>
      <w:bookmarkStart w:id="197" w:name="_Toc1354"/>
      <w:bookmarkStart w:id="198" w:name="_Toc23291"/>
      <w:bookmarkStart w:id="199" w:name="_Toc521014791"/>
      <w:bookmarkStart w:id="200" w:name="_Toc115435536"/>
      <w:bookmarkStart w:id="201" w:name="_Toc17238"/>
      <w:bookmarkStart w:id="202" w:name="_Toc29710"/>
      <w:bookmarkStart w:id="203" w:name="_Toc6417"/>
      <w:bookmarkStart w:id="204" w:name="_Toc2362"/>
      <w:r>
        <w:rPr>
          <w:rFonts w:hint="eastAsia" w:ascii="宋体" w:hAnsi="宋体" w:eastAsia="宋体" w:cs="宋体"/>
          <w:b/>
          <w:color w:val="auto"/>
          <w:sz w:val="36"/>
          <w:szCs w:val="36"/>
          <w:highlight w:val="none"/>
        </w:rPr>
        <w:t>第三章   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206" w:name="_Toc99301422"/>
      <w:r>
        <w:rPr>
          <w:rFonts w:hint="eastAsia" w:ascii="宋体" w:hAnsi="宋体" w:eastAsia="宋体" w:cs="宋体"/>
          <w:b/>
          <w:color w:val="auto"/>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widowControl/>
        <w:jc w:val="left"/>
        <w:rPr>
          <w:rFonts w:hint="eastAsia" w:ascii="宋体" w:hAnsi="宋体" w:eastAsia="宋体" w:cs="宋体"/>
          <w:color w:val="auto"/>
          <w:sz w:val="24"/>
          <w:highlight w:val="none"/>
        </w:rPr>
      </w:pP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color w:val="auto"/>
                <w:sz w:val="24"/>
                <w:highlight w:val="none"/>
              </w:rPr>
            </w:pPr>
            <w:bookmarkStart w:id="207" w:name="_Hlt487972895"/>
            <w:bookmarkEnd w:id="207"/>
            <w:r>
              <w:rPr>
                <w:rFonts w:hint="eastAsia" w:ascii="宋体" w:hAnsi="宋体" w:eastAsia="宋体" w:cs="宋体"/>
                <w:b/>
                <w:color w:val="auto"/>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具体规定见第一章《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投标人是非企业机构的，应提供有效的“执业许可证”、“登记证书”等证明文件；</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color w:val="auto"/>
                <w:sz w:val="21"/>
                <w:szCs w:val="21"/>
                <w:highlight w:val="none"/>
              </w:rPr>
            </w:pP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提供《联合协议》原件的电子件</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p>
        </w:tc>
        <w:bookmarkStart w:id="208" w:name="_Hlt487900425"/>
        <w:bookmarkStart w:id="209" w:name="_Hlt522424701"/>
      </w:tr>
      <w:bookmarkEnd w:id="205"/>
      <w:bookmarkEnd w:id="208"/>
      <w:bookmarkEnd w:id="209"/>
    </w:tbl>
    <w:p>
      <w:pPr>
        <w:spacing w:line="360" w:lineRule="auto"/>
        <w:jc w:val="center"/>
        <w:outlineLvl w:val="0"/>
        <w:rPr>
          <w:rFonts w:hint="eastAsia" w:ascii="宋体" w:hAnsi="宋体" w:eastAsia="宋体" w:cs="宋体"/>
          <w:b/>
          <w:color w:val="auto"/>
          <w:sz w:val="36"/>
          <w:szCs w:val="36"/>
          <w:highlight w:val="none"/>
        </w:rPr>
      </w:pPr>
      <w:bookmarkStart w:id="210" w:name="_Toc99301423"/>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第四章   </w:t>
      </w:r>
      <w:bookmarkStart w:id="211" w:name="_Hlt164229061"/>
      <w:bookmarkEnd w:id="211"/>
      <w:r>
        <w:rPr>
          <w:rFonts w:hint="eastAsia" w:ascii="宋体" w:hAnsi="宋体" w:eastAsia="宋体" w:cs="宋体"/>
          <w:b/>
          <w:color w:val="auto"/>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color w:val="auto"/>
          <w:sz w:val="24"/>
          <w:highlight w:val="none"/>
        </w:rPr>
      </w:pPr>
      <w:bookmarkStart w:id="212" w:name="_Toc142311043"/>
      <w:bookmarkStart w:id="213" w:name="_Toc150774746"/>
      <w:bookmarkStart w:id="214" w:name="_Toc195842906"/>
      <w:bookmarkStart w:id="215" w:name="_Toc150774641"/>
      <w:bookmarkStart w:id="216" w:name="_Toc305158883"/>
      <w:bookmarkStart w:id="217" w:name="_Toc164608655"/>
      <w:bookmarkStart w:id="218" w:name="_Toc151193855"/>
      <w:bookmarkStart w:id="219" w:name="_Toc164351635"/>
      <w:bookmarkStart w:id="220" w:name="_Toc265228379"/>
      <w:bookmarkStart w:id="221" w:name="_Toc164229236"/>
      <w:bookmarkStart w:id="222" w:name="_Toc264969231"/>
      <w:bookmarkStart w:id="223" w:name="_Toc127151742"/>
      <w:bookmarkStart w:id="224" w:name="_Toc226309785"/>
      <w:bookmarkStart w:id="225" w:name="_Toc151193929"/>
      <w:bookmarkStart w:id="226" w:name="_Toc149720834"/>
      <w:bookmarkStart w:id="227" w:name="_Toc150480779"/>
      <w:bookmarkStart w:id="228" w:name="_Toc150509292"/>
      <w:bookmarkStart w:id="229" w:name="_Toc151190168"/>
      <w:bookmarkStart w:id="230" w:name="_Toc305158809"/>
      <w:bookmarkStart w:id="231" w:name="_Toc151193711"/>
      <w:bookmarkStart w:id="232" w:name="_Toc164608810"/>
      <w:bookmarkStart w:id="233" w:name="_Toc127161455"/>
      <w:bookmarkStart w:id="234" w:name="_Toc226965731"/>
      <w:bookmarkStart w:id="235" w:name="_Toc127151541"/>
      <w:bookmarkStart w:id="236" w:name="_Toc164229382"/>
      <w:bookmarkStart w:id="237" w:name="_Toc226965814"/>
      <w:bookmarkStart w:id="238" w:name="_Toc151193783"/>
      <w:bookmarkStart w:id="239" w:name="_Toc151193639"/>
      <w:bookmarkStart w:id="240" w:name="_Toc226337237"/>
      <w:bookmarkStart w:id="241" w:name="_Toc353873941"/>
      <w:bookmarkStart w:id="242" w:name="_Toc353825551"/>
      <w:r>
        <w:rPr>
          <w:rFonts w:hint="eastAsia" w:ascii="宋体" w:hAnsi="宋体" w:eastAsia="宋体" w:cs="宋体"/>
          <w:color w:val="auto"/>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975" w:type="pct"/>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3620" w:type="pct"/>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分包意向协议</w:t>
            </w:r>
          </w:p>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投标人、投标文件不存在不符合法律、法规和招标文件规定的其他无效情形。</w:t>
            </w:r>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0%以上的联合体或者大中型企业的报价给予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44" w:name="_Toc142311048"/>
      <w:bookmarkStart w:id="245" w:name="_Toc127151546"/>
      <w:bookmarkStart w:id="246" w:name="_Toc150774646"/>
      <w:bookmarkStart w:id="247" w:name="_Toc305158888"/>
      <w:bookmarkStart w:id="248" w:name="_Toc520356170"/>
      <w:bookmarkStart w:id="249" w:name="_Toc150480784"/>
      <w:bookmarkStart w:id="250" w:name="_Toc226965736"/>
      <w:bookmarkStart w:id="251" w:name="_Toc226309790"/>
      <w:bookmarkStart w:id="252" w:name="_Toc151193788"/>
      <w:bookmarkStart w:id="253" w:name="_Toc150509297"/>
      <w:bookmarkStart w:id="254" w:name="_Toc164608815"/>
      <w:bookmarkStart w:id="255" w:name="_Toc151193644"/>
      <w:bookmarkStart w:id="256" w:name="_Toc151193860"/>
      <w:bookmarkStart w:id="257" w:name="_Toc264969236"/>
      <w:bookmarkStart w:id="258" w:name="_Toc164351640"/>
      <w:bookmarkStart w:id="259" w:name="_Toc265228384"/>
      <w:bookmarkStart w:id="260" w:name="_Toc127151747"/>
      <w:bookmarkStart w:id="261" w:name="_Ref467307010"/>
      <w:bookmarkStart w:id="262" w:name="_Toc149720839"/>
      <w:bookmarkStart w:id="263" w:name="_Toc226965819"/>
      <w:bookmarkStart w:id="264" w:name="_Toc164229241"/>
      <w:bookmarkStart w:id="265" w:name="_Toc226337242"/>
      <w:bookmarkStart w:id="266" w:name="_Toc305158814"/>
      <w:bookmarkStart w:id="267" w:name="_Toc151193934"/>
      <w:bookmarkStart w:id="268" w:name="_Toc150774751"/>
      <w:bookmarkStart w:id="269" w:name="_Toc151190173"/>
      <w:bookmarkStart w:id="270" w:name="_Toc127161460"/>
      <w:bookmarkStart w:id="271" w:name="_Toc164608660"/>
      <w:bookmarkStart w:id="272" w:name="_Toc151193716"/>
      <w:bookmarkStart w:id="273" w:name="_Toc164229387"/>
      <w:bookmarkStart w:id="274" w:name="_Toc195842911"/>
      <w:r>
        <w:rPr>
          <w:rFonts w:hint="eastAsia" w:ascii="宋体" w:hAnsi="宋体" w:eastAsia="宋体" w:cs="宋体"/>
          <w:color w:val="auto"/>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评标委员会将根据各投标人的评标排序，依次推荐本项目（各采购包）的中标候选人，起草并签署评标报告。本项目（各采购包）评标委员会共（各）推荐___名中标候选人。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auto"/>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eastAsia" w:ascii="宋体" w:hAnsi="宋体" w:eastAsia="宋体" w:cs="宋体"/>
          <w:color w:val="auto"/>
          <w:sz w:val="24"/>
          <w:szCs w:val="24"/>
          <w:highlight w:val="none"/>
          <w:lang w:val="en-US" w:eastAsia="zh-CN"/>
        </w:rPr>
      </w:pPr>
      <w:bookmarkStart w:id="275" w:name="_Toc99301424"/>
      <w:r>
        <w:rPr>
          <w:rFonts w:hint="eastAsia" w:ascii="宋体" w:hAnsi="宋体" w:eastAsia="宋体" w:cs="宋体"/>
          <w:color w:val="auto"/>
          <w:sz w:val="24"/>
          <w:szCs w:val="24"/>
          <w:highlight w:val="none"/>
          <w:lang w:val="en-US" w:eastAsia="zh-CN"/>
        </w:rPr>
        <w:t>和田县自然资源局统一确权登记工作服务采购项目</w:t>
      </w:r>
    </w:p>
    <w:tbl>
      <w:tblPr>
        <w:tblStyle w:val="72"/>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599"/>
        <w:gridCol w:w="2419"/>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0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lang w:val="en-US" w:eastAsia="zh-CN"/>
              </w:rPr>
              <w:t>评分因素</w:t>
            </w:r>
          </w:p>
        </w:tc>
        <w:tc>
          <w:tcPr>
            <w:tcW w:w="24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lang w:val="en-US" w:eastAsia="zh-CN"/>
              </w:rPr>
              <w:t>评分点</w:t>
            </w:r>
          </w:p>
        </w:tc>
        <w:tc>
          <w:tcPr>
            <w:tcW w:w="816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kern w:val="0"/>
                <w:sz w:val="24"/>
                <w:szCs w:val="24"/>
                <w:lang w:val="en-US" w:eastAsia="zh-CN"/>
              </w:rPr>
              <w:t>详细评审</w:t>
            </w:r>
          </w:p>
        </w:tc>
        <w:tc>
          <w:tcPr>
            <w:tcW w:w="259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kern w:val="0"/>
                <w:sz w:val="24"/>
                <w:szCs w:val="24"/>
                <w:lang w:val="en-US" w:eastAsia="zh-CN"/>
              </w:rPr>
              <w:t>价格评审（</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0分）</w:t>
            </w:r>
          </w:p>
        </w:tc>
        <w:tc>
          <w:tcPr>
            <w:tcW w:w="24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0分）</w:t>
            </w:r>
          </w:p>
        </w:tc>
        <w:tc>
          <w:tcPr>
            <w:tcW w:w="8163"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bidi="zh-CN"/>
              </w:rPr>
            </w:pPr>
          </w:p>
        </w:tc>
        <w:tc>
          <w:tcPr>
            <w:tcW w:w="259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kern w:val="0"/>
                <w:sz w:val="24"/>
                <w:szCs w:val="24"/>
                <w:lang w:val="en-US" w:eastAsia="zh-CN"/>
              </w:rPr>
              <w:t>商务标评审（1</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w:t>
            </w: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8163"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供应商近三年（20</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年1月1日以来）具有</w:t>
            </w:r>
            <w:r>
              <w:rPr>
                <w:rFonts w:hint="eastAsia" w:ascii="宋体" w:hAnsi="宋体" w:eastAsia="宋体" w:cs="宋体"/>
                <w:color w:val="auto"/>
                <w:kern w:val="0"/>
                <w:sz w:val="24"/>
                <w:szCs w:val="24"/>
                <w:highlight w:val="none"/>
                <w:lang w:eastAsia="zh-CN"/>
              </w:rPr>
              <w:t>类似测绘</w:t>
            </w:r>
            <w:r>
              <w:rPr>
                <w:rFonts w:hint="eastAsia" w:ascii="宋体" w:hAnsi="宋体" w:eastAsia="宋体" w:cs="宋体"/>
                <w:color w:val="auto"/>
                <w:kern w:val="0"/>
                <w:sz w:val="24"/>
                <w:szCs w:val="24"/>
                <w:highlight w:val="none"/>
              </w:rPr>
              <w:t>相关业绩</w:t>
            </w:r>
            <w:r>
              <w:rPr>
                <w:rFonts w:hint="eastAsia" w:ascii="宋体" w:hAnsi="宋体" w:eastAsia="宋体" w:cs="宋体"/>
                <w:color w:val="auto"/>
                <w:kern w:val="0"/>
                <w:sz w:val="24"/>
                <w:szCs w:val="24"/>
              </w:rPr>
              <w:t>，每一项类似业绩得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分，满分</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分。（提供中标通知书</w:t>
            </w:r>
            <w:r>
              <w:rPr>
                <w:rFonts w:hint="eastAsia" w:ascii="宋体" w:hAnsi="宋体" w:eastAsia="宋体" w:cs="宋体"/>
                <w:color w:val="auto"/>
                <w:kern w:val="0"/>
                <w:sz w:val="24"/>
                <w:szCs w:val="24"/>
                <w:lang w:val="en-US" w:eastAsia="zh-CN"/>
              </w:rPr>
              <w:t>和</w:t>
            </w:r>
            <w:r>
              <w:rPr>
                <w:rFonts w:hint="eastAsia" w:ascii="宋体" w:hAnsi="宋体" w:eastAsia="宋体" w:cs="宋体"/>
                <w:color w:val="auto"/>
                <w:kern w:val="0"/>
                <w:sz w:val="24"/>
                <w:szCs w:val="24"/>
              </w:rPr>
              <w:t>合同；合同</w:t>
            </w:r>
            <w:r>
              <w:rPr>
                <w:rFonts w:hint="eastAsia" w:ascii="宋体" w:hAnsi="宋体" w:eastAsia="宋体" w:cs="宋体"/>
                <w:color w:val="auto"/>
                <w:kern w:val="0"/>
                <w:sz w:val="24"/>
                <w:szCs w:val="24"/>
                <w:lang w:val="en-US" w:eastAsia="zh-CN"/>
              </w:rPr>
              <w:t>需</w:t>
            </w:r>
            <w:r>
              <w:rPr>
                <w:rFonts w:hint="eastAsia" w:ascii="宋体" w:hAnsi="宋体" w:eastAsia="宋体" w:cs="宋体"/>
                <w:color w:val="auto"/>
                <w:kern w:val="0"/>
                <w:sz w:val="24"/>
                <w:szCs w:val="24"/>
              </w:rPr>
              <w:t>提供关键页扫描件，提供不全或不提供的不分）。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bidi="zh-CN"/>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zh-CN"/>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专业技术人员配备情况（</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rPr>
              <w:t>）</w:t>
            </w:r>
          </w:p>
        </w:tc>
        <w:tc>
          <w:tcPr>
            <w:tcW w:w="8163"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项目组专业技术人员结构合理，项目组人员具有测绘类相关专业职称</w:t>
            </w:r>
            <w:r>
              <w:rPr>
                <w:rFonts w:hint="eastAsia" w:ascii="宋体" w:hAnsi="宋体" w:eastAsia="宋体" w:cs="宋体"/>
                <w:color w:val="auto"/>
                <w:kern w:val="0"/>
                <w:sz w:val="24"/>
                <w:szCs w:val="24"/>
                <w:lang w:eastAsia="zh-CN"/>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项目负责人具有注册测绘师证书及工程测量类专业高级职称，得</w:t>
            </w:r>
            <w:r>
              <w:rPr>
                <w:rFonts w:hint="eastAsia" w:ascii="宋体" w:hAnsi="宋体" w:eastAsia="宋体" w:cs="宋体"/>
                <w:color w:val="auto"/>
                <w:kern w:val="0"/>
                <w:sz w:val="24"/>
                <w:szCs w:val="24"/>
                <w:lang w:val="en-US" w:eastAsia="zh-CN"/>
              </w:rPr>
              <w:t>5分</w:t>
            </w:r>
            <w:r>
              <w:rPr>
                <w:rFonts w:hint="eastAsia" w:ascii="宋体" w:hAnsi="宋体" w:eastAsia="宋体" w:cs="宋体"/>
                <w:color w:val="auto"/>
                <w:sz w:val="24"/>
                <w:szCs w:val="24"/>
              </w:rPr>
              <w:t>（需提供</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lang w:val="en-US" w:eastAsia="zh-CN"/>
              </w:rPr>
              <w:t>身份证、</w:t>
            </w:r>
            <w:r>
              <w:rPr>
                <w:rFonts w:hint="eastAsia" w:ascii="宋体" w:hAnsi="宋体" w:eastAsia="宋体" w:cs="宋体"/>
                <w:color w:val="auto"/>
                <w:sz w:val="24"/>
                <w:szCs w:val="24"/>
                <w:lang w:eastAsia="zh-CN"/>
              </w:rPr>
              <w:t>注册证件、</w:t>
            </w:r>
            <w:r>
              <w:rPr>
                <w:rFonts w:hint="eastAsia" w:ascii="宋体" w:hAnsi="宋体" w:eastAsia="宋体" w:cs="宋体"/>
                <w:color w:val="auto"/>
                <w:sz w:val="24"/>
                <w:szCs w:val="24"/>
              </w:rPr>
              <w:t>职称证</w:t>
            </w:r>
            <w:r>
              <w:rPr>
                <w:rFonts w:hint="eastAsia" w:ascii="宋体" w:hAnsi="宋体" w:eastAsia="宋体" w:cs="宋体"/>
                <w:color w:val="auto"/>
                <w:sz w:val="24"/>
                <w:szCs w:val="24"/>
                <w:lang w:eastAsia="zh-CN"/>
              </w:rPr>
              <w:t>等证明</w:t>
            </w:r>
            <w:r>
              <w:rPr>
                <w:rFonts w:hint="eastAsia" w:ascii="宋体" w:hAnsi="宋体" w:eastAsia="宋体" w:cs="宋体"/>
                <w:color w:val="auto"/>
                <w:sz w:val="24"/>
                <w:szCs w:val="24"/>
              </w:rPr>
              <w:t>材料）</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每增加</w:t>
            </w:r>
            <w:r>
              <w:rPr>
                <w:rFonts w:hint="eastAsia" w:ascii="宋体" w:hAnsi="宋体" w:eastAsia="宋体" w:cs="宋体"/>
                <w:color w:val="auto"/>
                <w:kern w:val="0"/>
                <w:sz w:val="24"/>
                <w:szCs w:val="24"/>
                <w:lang w:val="en-US" w:eastAsia="zh-CN"/>
              </w:rPr>
              <w:t>1名注册测绘师加3分，1名高级职称的加2分，可累计计算，</w:t>
            </w:r>
            <w:r>
              <w:rPr>
                <w:rFonts w:hint="eastAsia" w:ascii="宋体" w:hAnsi="宋体" w:eastAsia="宋体" w:cs="宋体"/>
                <w:color w:val="auto"/>
                <w:kern w:val="0"/>
                <w:sz w:val="24"/>
                <w:szCs w:val="24"/>
              </w:rPr>
              <w:t>最多得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r>
              <w:rPr>
                <w:rFonts w:hint="eastAsia" w:ascii="宋体" w:hAnsi="宋体" w:eastAsia="宋体" w:cs="宋体"/>
                <w:color w:val="auto"/>
                <w:sz w:val="24"/>
                <w:szCs w:val="24"/>
              </w:rPr>
              <w:t>（需提供</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lang w:val="en-US" w:eastAsia="zh-CN"/>
              </w:rPr>
              <w:t>身份证、</w:t>
            </w:r>
            <w:r>
              <w:rPr>
                <w:rFonts w:hint="eastAsia" w:ascii="宋体" w:hAnsi="宋体" w:eastAsia="宋体" w:cs="宋体"/>
                <w:color w:val="auto"/>
                <w:sz w:val="24"/>
                <w:szCs w:val="24"/>
                <w:lang w:eastAsia="zh-CN"/>
              </w:rPr>
              <w:t>注册证件、</w:t>
            </w:r>
            <w:r>
              <w:rPr>
                <w:rFonts w:hint="eastAsia" w:ascii="宋体" w:hAnsi="宋体" w:eastAsia="宋体" w:cs="宋体"/>
                <w:color w:val="auto"/>
                <w:sz w:val="24"/>
                <w:szCs w:val="24"/>
              </w:rPr>
              <w:t>职称证</w:t>
            </w:r>
            <w:r>
              <w:rPr>
                <w:rFonts w:hint="eastAsia" w:ascii="宋体" w:hAnsi="宋体" w:eastAsia="宋体" w:cs="宋体"/>
                <w:color w:val="auto"/>
                <w:sz w:val="24"/>
                <w:szCs w:val="24"/>
                <w:lang w:eastAsia="zh-CN"/>
              </w:rPr>
              <w:t>等证明</w:t>
            </w:r>
            <w:r>
              <w:rPr>
                <w:rFonts w:hint="eastAsia" w:ascii="宋体" w:hAnsi="宋体" w:eastAsia="宋体" w:cs="宋体"/>
                <w:color w:val="auto"/>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lang w:val="en-US" w:eastAsia="zh-CN" w:bidi="zh-CN"/>
              </w:rPr>
            </w:pPr>
          </w:p>
        </w:tc>
        <w:tc>
          <w:tcPr>
            <w:tcW w:w="259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75</w:t>
            </w:r>
            <w:r>
              <w:rPr>
                <w:rFonts w:hint="eastAsia" w:ascii="宋体" w:hAnsi="宋体" w:eastAsia="宋体" w:cs="宋体"/>
                <w:color w:val="auto"/>
                <w:kern w:val="0"/>
                <w:sz w:val="24"/>
                <w:szCs w:val="24"/>
                <w:lang w:val="en-US" w:eastAsia="zh-CN"/>
              </w:rPr>
              <w:t>分）</w:t>
            </w: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项目理解</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对本项目理解程度进行横向比较:</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1、供应商能够充分了解项目需求,对本项目实施重点、关键点分析详细准确的,得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2、供应商对本项目需求较为了解,对项目实施重点、关键点分析较为详细的,得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3、供应商对本项目理了解程度一般,项目实施重点、关键点分析程度一般的,得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4、供应商对本项目不能了解,项目实施重点、关键点分析判断不准确或未能提供说明的不得分。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zh-CN"/>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zh-CN"/>
              </w:rPr>
            </w:pPr>
          </w:p>
        </w:tc>
        <w:tc>
          <w:tcPr>
            <w:tcW w:w="24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实施方案</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（15分）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eastAsia="zh-CN"/>
              </w:rPr>
              <w:t>对供应商的</w:t>
            </w:r>
            <w:r>
              <w:rPr>
                <w:rFonts w:hint="eastAsia" w:ascii="宋体" w:hAnsi="宋体" w:eastAsia="宋体" w:cs="宋体"/>
                <w:color w:val="auto"/>
                <w:sz w:val="24"/>
                <w:szCs w:val="24"/>
                <w:highlight w:val="none"/>
              </w:rPr>
              <w:t>项目实施方案进行比较:</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方案中</w:t>
            </w:r>
            <w:r>
              <w:rPr>
                <w:rFonts w:hint="eastAsia" w:ascii="宋体" w:hAnsi="宋体" w:eastAsia="宋体" w:cs="宋体"/>
                <w:color w:val="auto"/>
                <w:sz w:val="24"/>
                <w:szCs w:val="24"/>
                <w:highlight w:val="none"/>
                <w:lang w:val="en-US" w:eastAsia="zh-CN"/>
              </w:rPr>
              <w:t>普查</w:t>
            </w:r>
            <w:r>
              <w:rPr>
                <w:rFonts w:hint="eastAsia" w:ascii="宋体" w:hAnsi="宋体" w:eastAsia="宋体" w:cs="宋体"/>
                <w:color w:val="auto"/>
                <w:sz w:val="24"/>
                <w:szCs w:val="24"/>
                <w:highlight w:val="none"/>
              </w:rPr>
              <w:t>方法科学合理、工作流程清晰、进度及人员安排完全满足总体计划要求,制定项目实施进度表具体、合理的,得15分;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2、项目实施方案中</w:t>
            </w:r>
            <w:r>
              <w:rPr>
                <w:rFonts w:hint="eastAsia" w:ascii="宋体" w:hAnsi="宋体" w:eastAsia="宋体" w:cs="宋体"/>
                <w:color w:val="auto"/>
                <w:sz w:val="24"/>
                <w:szCs w:val="24"/>
                <w:highlight w:val="none"/>
                <w:lang w:val="en-US" w:eastAsia="zh-CN"/>
              </w:rPr>
              <w:t>普查</w:t>
            </w:r>
            <w:r>
              <w:rPr>
                <w:rFonts w:hint="eastAsia" w:ascii="宋体" w:hAnsi="宋体" w:eastAsia="宋体" w:cs="宋体"/>
                <w:color w:val="auto"/>
                <w:sz w:val="24"/>
                <w:szCs w:val="24"/>
                <w:highlight w:val="none"/>
              </w:rPr>
              <w:t>方法较为合理、工作流程较为清晰、进度及人员安排较为满足总体计划要求,制定项目实施进度表较为具体、合理的,得10分;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3、项目实施方案中</w:t>
            </w:r>
            <w:r>
              <w:rPr>
                <w:rFonts w:hint="eastAsia" w:ascii="宋体" w:hAnsi="宋体" w:eastAsia="宋体" w:cs="宋体"/>
                <w:color w:val="auto"/>
                <w:sz w:val="24"/>
                <w:szCs w:val="24"/>
                <w:highlight w:val="none"/>
                <w:lang w:val="en-US" w:eastAsia="zh-CN"/>
              </w:rPr>
              <w:t>普查</w:t>
            </w:r>
            <w:r>
              <w:rPr>
                <w:rFonts w:hint="eastAsia" w:ascii="宋体" w:hAnsi="宋体" w:eastAsia="宋体" w:cs="宋体"/>
                <w:color w:val="auto"/>
                <w:sz w:val="24"/>
                <w:szCs w:val="24"/>
                <w:highlight w:val="none"/>
              </w:rPr>
              <w:t>方法一般、工作流程基本清晰、进度及人员按照基本满足总体计划要求,制定的项目实施进度表基本具体、合理的,得5分;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zh-CN"/>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技术路线方案</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磋商小组对供应商提供的项目技术路线和方法进行</w:t>
            </w:r>
            <w:r>
              <w:rPr>
                <w:rFonts w:hint="eastAsia" w:ascii="宋体" w:hAnsi="宋体" w:eastAsia="宋体" w:cs="宋体"/>
                <w:color w:val="auto"/>
                <w:sz w:val="24"/>
                <w:szCs w:val="24"/>
                <w:highlight w:val="none"/>
                <w:lang w:val="en-US" w:eastAsia="zh-CN"/>
              </w:rPr>
              <w:t>横向</w:t>
            </w:r>
            <w:r>
              <w:rPr>
                <w:rFonts w:hint="eastAsia" w:ascii="宋体" w:hAnsi="宋体" w:eastAsia="宋体" w:cs="宋体"/>
                <w:color w:val="auto"/>
                <w:sz w:val="24"/>
                <w:szCs w:val="24"/>
                <w:highlight w:val="none"/>
              </w:rPr>
              <w:t>比较:</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1、技术路线和方法设计、具体步骤及解决关键性问题的研究途经详细,每个步骤的关键点阐述清晰并具有可操作</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,技术参数清晰准确的,得10分;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2、技术路线和方法设计、具体步骤及解决关键</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问题的研究途径较为详细,每个步骤的关键点阐述较为清晰并具有可操作性,技术参数较为清晰准确的,得5分;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3、技术路线和方法设计、具体步骤及解决关键性问题的研究途经一般,每个步骤的关键点阐述一投清晰并基本上具有可操作行,技术参数基本明确的,得4分;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质量保障措施方案</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磋商小组对项目质量保障措施方进行横向比较:</w:t>
            </w:r>
          </w:p>
          <w:p>
            <w:pPr>
              <w:keepNext w:val="0"/>
              <w:keepLines w:val="0"/>
              <w:pageBreakBefore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方案细致全面、合理,完全响应需求的,得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keepNext w:val="0"/>
              <w:keepLines w:val="0"/>
              <w:pageBreakBefore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方案较为完整,合理,基本响应需求的,得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3、方案不完整、响应程度低、技术可行性差不得分。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进度保障措施方案</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磋商小组对项目质量保障措施方案进行横向比较:</w:t>
            </w:r>
          </w:p>
          <w:p>
            <w:pPr>
              <w:keepNext w:val="0"/>
              <w:keepLines w:val="0"/>
              <w:pageBreakBefore w:val="0"/>
              <w:numPr>
                <w:ilvl w:val="0"/>
                <w:numId w:val="8"/>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方案细致全面、合理,完全响应需求的,得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pPr>
              <w:keepNext w:val="0"/>
              <w:keepLines w:val="0"/>
              <w:pageBreakBefore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方桑较为完整、合理,基本响应需求的,得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3、方案不完整、响应程度低、技术可行性差不得分。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保密保障措施方案</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磋商小组对项目质量保障措施方案进行横向比较:</w:t>
            </w:r>
          </w:p>
          <w:p>
            <w:pPr>
              <w:keepNext w:val="0"/>
              <w:keepLines w:val="0"/>
              <w:pageBreakBefore w:val="0"/>
              <w:numPr>
                <w:ilvl w:val="0"/>
                <w:numId w:val="9"/>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方案细致全面、合理,完全响应需求的,得</w:t>
            </w:r>
            <w:r>
              <w:rPr>
                <w:rFonts w:hint="eastAsia" w:ascii="宋体" w:hAnsi="宋体" w:cs="宋体"/>
                <w:color w:val="auto"/>
                <w:sz w:val="24"/>
                <w:szCs w:val="24"/>
                <w:lang w:val="en-US" w:bidi="zh-CN"/>
              </w:rPr>
              <w:t>10</w:t>
            </w:r>
            <w:r>
              <w:rPr>
                <w:rFonts w:hint="eastAsia" w:ascii="宋体" w:hAnsi="宋体" w:eastAsia="宋体" w:cs="宋体"/>
                <w:color w:val="auto"/>
                <w:sz w:val="24"/>
                <w:szCs w:val="24"/>
                <w:lang w:val="en-US" w:bidi="zh-CN"/>
              </w:rPr>
              <w:t>分;</w:t>
            </w:r>
          </w:p>
          <w:p>
            <w:pPr>
              <w:keepNext w:val="0"/>
              <w:keepLines w:val="0"/>
              <w:pageBreakBefore w:val="0"/>
              <w:numPr>
                <w:ilvl w:val="0"/>
                <w:numId w:val="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方案较为完整、合理,基本响应需求的,得</w:t>
            </w:r>
            <w:r>
              <w:rPr>
                <w:rFonts w:hint="eastAsia" w:ascii="宋体" w:hAnsi="宋体" w:cs="宋体"/>
                <w:color w:val="auto"/>
                <w:sz w:val="24"/>
                <w:szCs w:val="24"/>
                <w:lang w:val="en-US" w:bidi="zh-CN"/>
              </w:rPr>
              <w:t>5</w:t>
            </w:r>
            <w:r>
              <w:rPr>
                <w:rFonts w:hint="eastAsia" w:ascii="宋体" w:hAnsi="宋体" w:eastAsia="宋体" w:cs="宋体"/>
                <w:color w:val="auto"/>
                <w:sz w:val="24"/>
                <w:szCs w:val="24"/>
                <w:lang w:val="en-US" w:bidi="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3、方案不亮整、响应程度低、技术可行性差不得分。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rPr>
            </w:pPr>
          </w:p>
        </w:tc>
        <w:tc>
          <w:tcPr>
            <w:tcW w:w="25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4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8163" w:type="dxa"/>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磋商小组对项目质量保障措施方案进行横向比较:</w:t>
            </w:r>
          </w:p>
          <w:p>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方案细致全面、合理,完全响应需求的,得</w:t>
            </w:r>
            <w:r>
              <w:rPr>
                <w:rFonts w:hint="eastAsia" w:ascii="宋体" w:hAnsi="宋体" w:cs="宋体"/>
                <w:color w:val="auto"/>
                <w:sz w:val="24"/>
                <w:szCs w:val="24"/>
                <w:lang w:val="en-US" w:bidi="zh-CN"/>
              </w:rPr>
              <w:t>10</w:t>
            </w:r>
            <w:r>
              <w:rPr>
                <w:rFonts w:hint="eastAsia" w:ascii="宋体" w:hAnsi="宋体" w:eastAsia="宋体" w:cs="宋体"/>
                <w:color w:val="auto"/>
                <w:sz w:val="24"/>
                <w:szCs w:val="24"/>
                <w:lang w:val="en-US" w:bidi="zh-CN"/>
              </w:rPr>
              <w:t>分;</w:t>
            </w:r>
          </w:p>
          <w:p>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方案较为完整、合理,基本响应需求的,得</w:t>
            </w:r>
            <w:r>
              <w:rPr>
                <w:rFonts w:hint="eastAsia" w:ascii="宋体" w:hAnsi="宋体" w:cs="宋体"/>
                <w:color w:val="auto"/>
                <w:sz w:val="24"/>
                <w:szCs w:val="24"/>
                <w:lang w:val="en-US" w:bidi="zh-CN"/>
              </w:rPr>
              <w:t>5</w:t>
            </w:r>
            <w:r>
              <w:rPr>
                <w:rFonts w:hint="eastAsia" w:ascii="宋体" w:hAnsi="宋体" w:eastAsia="宋体" w:cs="宋体"/>
                <w:color w:val="auto"/>
                <w:sz w:val="24"/>
                <w:szCs w:val="24"/>
                <w:lang w:val="en-US" w:bidi="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4"/>
                <w:szCs w:val="24"/>
                <w:lang w:val="en-US" w:bidi="zh-CN"/>
              </w:rPr>
            </w:pPr>
            <w:r>
              <w:rPr>
                <w:rFonts w:hint="eastAsia" w:ascii="宋体" w:hAnsi="宋体" w:eastAsia="宋体" w:cs="宋体"/>
                <w:color w:val="auto"/>
                <w:sz w:val="24"/>
                <w:szCs w:val="24"/>
                <w:lang w:val="en-US" w:bidi="zh-CN"/>
              </w:rPr>
              <w:t>3、方案不完整、响应程度低、技术可行性差不得分。</w:t>
            </w:r>
          </w:p>
        </w:tc>
      </w:tr>
    </w:tbl>
    <w:p>
      <w:pPr>
        <w:shd w:val="clear" w:color="auto" w:fill="auto"/>
        <w:rPr>
          <w:rFonts w:hint="eastAsia" w:ascii="宋体" w:hAnsi="宋体" w:eastAsia="宋体" w:cs="宋体"/>
          <w:color w:val="auto"/>
          <w:sz w:val="24"/>
          <w:szCs w:val="24"/>
          <w:highlight w:val="none"/>
        </w:rPr>
      </w:pP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价格分采用低价优先法计算，即满足招标文件要求和招标人采购产品</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主要技术参数要求且投标价格最低的投标报价为评标基准价</w:t>
      </w:r>
      <w:r>
        <w:rPr>
          <w:rFonts w:hint="eastAsia" w:ascii="宋体" w:hAnsi="宋体" w:eastAsia="宋体" w:cs="宋体"/>
          <w:color w:val="auto"/>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auto"/>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auto"/>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采购需求</w:t>
      </w:r>
      <w:bookmarkEnd w:id="275"/>
    </w:p>
    <w:p>
      <w:pPr>
        <w:widowControl/>
        <w:spacing w:line="560" w:lineRule="exact"/>
        <w:ind w:firstLine="482" w:firstLineChars="200"/>
        <w:jc w:val="left"/>
        <w:outlineLvl w:val="1"/>
        <w:rPr>
          <w:rStyle w:val="185"/>
          <w:rFonts w:hint="eastAsia" w:ascii="宋体" w:hAnsi="宋体" w:eastAsia="宋体" w:cs="宋体"/>
          <w:b/>
          <w:bCs/>
          <w:color w:val="auto"/>
          <w:sz w:val="24"/>
          <w:szCs w:val="24"/>
          <w:highlight w:val="none"/>
        </w:rPr>
      </w:pPr>
      <w:bookmarkStart w:id="276" w:name="_Toc22584"/>
      <w:bookmarkStart w:id="277" w:name="_Toc129468949"/>
      <w:bookmarkStart w:id="278" w:name="_Toc29127"/>
      <w:bookmarkStart w:id="279" w:name="_Toc29160"/>
      <w:bookmarkStart w:id="280" w:name="_Toc20116"/>
      <w:bookmarkStart w:id="281" w:name="_Toc28416"/>
      <w:r>
        <w:rPr>
          <w:rStyle w:val="185"/>
          <w:rFonts w:hint="eastAsia" w:ascii="宋体" w:hAnsi="宋体" w:eastAsia="宋体" w:cs="宋体"/>
          <w:b/>
          <w:bCs/>
          <w:color w:val="auto"/>
          <w:sz w:val="24"/>
          <w:szCs w:val="24"/>
          <w:highlight w:val="none"/>
        </w:rPr>
        <w:t>一、项目名称、编号和经费</w:t>
      </w:r>
      <w:bookmarkEnd w:id="276"/>
      <w:bookmarkEnd w:id="277"/>
      <w:bookmarkEnd w:id="278"/>
      <w:bookmarkEnd w:id="279"/>
      <w:bookmarkEnd w:id="280"/>
      <w:bookmarkEnd w:id="281"/>
    </w:p>
    <w:p>
      <w:pPr>
        <w:spacing w:line="560" w:lineRule="exact"/>
        <w:ind w:firstLine="480" w:firstLineChars="200"/>
        <w:rPr>
          <w:rFonts w:hint="eastAsia" w:ascii="宋体" w:hAnsi="宋体" w:eastAsia="宋体" w:cs="宋体"/>
          <w:color w:val="auto"/>
          <w:sz w:val="24"/>
          <w:szCs w:val="24"/>
          <w:highlight w:val="none"/>
          <w:lang w:eastAsia="zh-CN"/>
        </w:rPr>
      </w:pPr>
      <w:r>
        <w:rPr>
          <w:rStyle w:val="185"/>
          <w:rFonts w:hint="eastAsia" w:ascii="宋体" w:hAnsi="宋体" w:eastAsia="宋体" w:cs="宋体"/>
          <w:color w:val="auto"/>
          <w:sz w:val="24"/>
          <w:szCs w:val="24"/>
          <w:highlight w:val="none"/>
        </w:rPr>
        <w:t>项目名称</w:t>
      </w:r>
      <w:r>
        <w:rPr>
          <w:rStyle w:val="185"/>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和田县自然资源局统一确权登记工作服务采购项目</w:t>
      </w:r>
    </w:p>
    <w:p>
      <w:pPr>
        <w:spacing w:line="560" w:lineRule="exact"/>
        <w:ind w:firstLine="480" w:firstLineChars="200"/>
        <w:rPr>
          <w:rFonts w:hint="eastAsia" w:ascii="宋体" w:hAnsi="宋体" w:eastAsia="宋体" w:cs="宋体"/>
          <w:color w:val="auto"/>
          <w:sz w:val="24"/>
          <w:highlight w:val="none"/>
          <w:lang w:eastAsia="zh-CN"/>
        </w:rPr>
      </w:pPr>
      <w:r>
        <w:rPr>
          <w:rStyle w:val="185"/>
          <w:rFonts w:hint="eastAsia" w:ascii="宋体" w:hAnsi="宋体" w:eastAsia="宋体" w:cs="宋体"/>
          <w:color w:val="auto"/>
          <w:sz w:val="24"/>
          <w:szCs w:val="24"/>
          <w:highlight w:val="none"/>
        </w:rPr>
        <w:t>项目编号：</w:t>
      </w:r>
      <w:r>
        <w:rPr>
          <w:rFonts w:hint="eastAsia" w:ascii="宋体" w:hAnsi="宋体" w:eastAsia="宋体" w:cs="宋体"/>
          <w:color w:val="auto"/>
          <w:sz w:val="24"/>
          <w:highlight w:val="none"/>
          <w:lang w:eastAsia="zh-CN"/>
        </w:rPr>
        <w:t>HTXZFCG(2023FS)68 号</w:t>
      </w:r>
    </w:p>
    <w:p>
      <w:pPr>
        <w:spacing w:line="560" w:lineRule="exact"/>
        <w:ind w:firstLine="480" w:firstLineChars="200"/>
        <w:rPr>
          <w:rFonts w:hint="eastAsia" w:ascii="宋体" w:hAnsi="宋体" w:eastAsia="宋体" w:cs="宋体"/>
          <w:color w:val="auto"/>
          <w:sz w:val="24"/>
          <w:highlight w:val="none"/>
          <w:lang w:eastAsia="zh-CN"/>
        </w:rPr>
      </w:pPr>
      <w:r>
        <w:rPr>
          <w:rStyle w:val="185"/>
          <w:rFonts w:hint="eastAsia" w:ascii="宋体" w:hAnsi="宋体" w:eastAsia="宋体" w:cs="宋体"/>
          <w:color w:val="auto"/>
          <w:sz w:val="24"/>
          <w:szCs w:val="24"/>
          <w:highlight w:val="none"/>
        </w:rPr>
        <w:t>项目费用人民币：</w:t>
      </w:r>
      <w:r>
        <w:rPr>
          <w:rStyle w:val="185"/>
          <w:rFonts w:hint="eastAsia" w:ascii="宋体" w:hAnsi="宋体" w:eastAsia="宋体" w:cs="宋体"/>
          <w:color w:val="auto"/>
          <w:sz w:val="24"/>
          <w:szCs w:val="24"/>
          <w:highlight w:val="none"/>
          <w:lang w:eastAsia="zh-CN"/>
        </w:rPr>
        <w:t>285</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贰佰捌拾伍万元</w:t>
      </w:r>
      <w:r>
        <w:rPr>
          <w:rFonts w:hint="eastAsia" w:ascii="宋体" w:hAnsi="宋体" w:eastAsia="宋体" w:cs="宋体"/>
          <w:color w:val="auto"/>
          <w:sz w:val="24"/>
          <w:highlight w:val="none"/>
          <w:lang w:eastAsia="zh-CN"/>
        </w:rPr>
        <w:t>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工作目标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以不动产登记为基础，充分利用</w:t>
      </w:r>
      <w:r>
        <w:rPr>
          <w:rFonts w:hint="eastAsia" w:ascii="宋体" w:hAnsi="宋体" w:eastAsia="宋体" w:cs="宋体"/>
          <w:color w:val="auto"/>
          <w:sz w:val="24"/>
          <w:szCs w:val="24"/>
          <w:highlight w:val="none"/>
          <w:lang w:eastAsia="zh-CN"/>
        </w:rPr>
        <w:t>国土</w:t>
      </w:r>
      <w:r>
        <w:rPr>
          <w:rFonts w:hint="eastAsia" w:ascii="宋体" w:hAnsi="宋体" w:eastAsia="宋体" w:cs="宋体"/>
          <w:color w:val="auto"/>
          <w:sz w:val="24"/>
          <w:szCs w:val="24"/>
          <w:highlight w:val="none"/>
        </w:rPr>
        <w:t>调查、自然资源专项调查等自然资源调查成果，分阶段、分区域、分类型对自然保护区、自然公园等其他自然保护地探明储量的矿产资源、荒地及生态功能重要的水流、湖泊湿地、草原、森林等具有完整生态功能的自然生态空间和全民所有单项自然资源开展统一确权登记，逐步实现对和田县国土空间内的全部自然资源登记全覆盖。通过自然资源统一确权登记，清晰界定和田县国土空间内各类自然资源资产的产权主体，划清全民所有和集体所有者之间的边界，划清全民所有、不同层级政府行使所有权的边界，划清不同集体所有权的边界，划清不同类型自然资源之间的边界，推进确权登记法治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主要任务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做好自然资源确权登记工作。由县自然资源局牵头，县生态环境局、水利局、林草局及自然资源所在乡(镇)人民政府配合，对辖区内国家委托自治区人民政府及自治区人民政府委托和田地区行署直接行使所有权的国家公园、自然保护区、自然公园等自然保护地以及大河大湖、生态功能重要的湿地和草原、重点国有林区和石油天然气、贵重稀有矿产资源等自然资源和生态空间开展确权登记工作，配合收集整理国土空间规划明确的用途、划定的生态保护红线等管制要求及其他特殊保护规定或者政策性文件、完成自然资源登记单元界线核实、自然资源自然状况和权属状况核实以及其他工作任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 开展自然保护区、自然公园等各类自然保护地确权登记。县自然资源局负责指导全县自然保护区、自然公园等自然保护地确权登记工作。县级直接管理的自然保护区森林公园由县自然资源局负责确权登记，会同县林草局和自然保护地所在乡(镇)人民政府召开联席会议，协商解决重大问题。依据县林草局提供的自然保护区、自然公园等自然保护地设立、审批等资料划定登记单元界线，收集整理</w:t>
      </w:r>
      <w:r>
        <w:rPr>
          <w:rFonts w:hint="eastAsia" w:ascii="宋体" w:hAnsi="宋体" w:eastAsia="宋体" w:cs="宋体"/>
          <w:color w:val="auto"/>
          <w:sz w:val="24"/>
          <w:szCs w:val="24"/>
          <w:highlight w:val="none"/>
          <w:lang w:eastAsia="zh-CN"/>
        </w:rPr>
        <w:t>国土</w:t>
      </w:r>
      <w:r>
        <w:rPr>
          <w:rFonts w:hint="eastAsia" w:ascii="宋体" w:hAnsi="宋体" w:eastAsia="宋体" w:cs="宋体"/>
          <w:color w:val="auto"/>
          <w:sz w:val="24"/>
          <w:szCs w:val="24"/>
          <w:highlight w:val="none"/>
        </w:rPr>
        <w:t>空间规划明确的用途、划定的生态保护红线等管制要求，及其他特殊保护规定或政策性文件，利用国土调查及自然资源专项调查成果确定资源类型、分布，划清自然资源类型边界开展登记单元内各类自然资源的权籍调查。通过确权登记，明确自然保护区、自然公园等自然保护地范围内各类自然资源的数量、质量、种类、分布等自然状况，所有权主体、所有权代表行使主体、所有权代理行使主体以及权利内容等权属状况,并关联公共管制要求,可以依据登记结果颁发自然资源所有权证书,并向社会公开。各乡(镇) 人民政府要配合县自然资源局和林草局开展本辖区内自然保护区、自然公园等自然保护地权属争议调外工作，依据《方案》及自然资源厅开展自然保护区、自然公园、自然保护地等自然资源确权登记工作流程和要求，对辖区内除自然资源厅和地区直接开展确权登记之外的自然保护区、自然公园等自然保护地进行确权登记，可以颁发自然资源所有权证书，并向社会公开。跨行政区域的自然保护地确权登记由县自然资源局负责与地区自然资源局对接办理。自然保护区、自然公园等自然保护地范围内的森林、湿地、草原、滩涂等，不单独划分登记单元，作为自然保护地登记单元内的资源类型予以调查、记载。同一区域内存在多个自然保护区、自然公园等自然保护地时，以自然保护地的最大范围划分登记单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展河流湖泊等水流自然资源确权登记。县自然资源局负责指导全县河流湖泊等水流自然资源确权登记工作。县级直接管理的河流由县自然资源局负责确权登记，会同县水利局、流域管理部门共同调查，协商解决具体问题。依据全国国土调查和水资源专项调查结果划定登记单元界线，收集整理国土空间规划明确的用途、划定的生态保护红线等管制要求及其他特殊保护规定或政策性文件，对承载水资源的土地开展权籍调查。探索建立水流自然资源三维登记模式,通过确权登记明确水流的范围、面积等自然状况,所有权主体、所有权代表行使主体、所有权代理行使主体及权利内容等权属状况,并关联公共管制要求,可以依据登记结果颁发自然资源所有权证书，并向社会公开。各乡(镇)人民政府要配合自然资源局、水利局开展本辖区内河流湖泊等水流自然资源权属争议调处工作、依据《方案》对辖区内除自然资源厅和地区直接开展确权登记之外的水流进行确权登记，可以颁发自然资源所有权证书，并向社会公开。跨行政区域的水流自然资源确权登记由县自然资源局负责与地区自然资源局对接办理。自然保护区、自然公园等自然保护地登记单元内的水流自然资源不再单独划分登记单元。其他自然保护地登记单元内的水流自然资源,除水流源头外，应尽量保持主要河流的生态完整性,可单独划定水流登记单元。湖泊由县水利局协助自然资源局负责确权登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(四)开展湿地、草原自然资源确权登记。各乡 (镇)人民政府要配合县自然资源局、生态环境局、林草局、水利局等单位对本辖区内湿地、草原开展权属调查、争议调处工作，依据《方案》及地区自然资源局开展湿地、草原自然资源确权登记的工作流程和要求，依据国土调查登记由县自然资源局负责与地区自然资源局对接办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展探明储量的矿产资源确权登记。县自然资源局负责指导全县探明储量的矿产资源确权登记工作，对县级直接管理的探明储量的矿产资源，由县自然资源局会同矿产资源所在乡(镇)人民政府联合制定印发实施方案，组织技术力量依据矿产资源储量登记库，结合矿业权审批登记数据库成果划定登记单元界线，调查反映各类矿产资源的探明储量状况，收集整理国土空间规划明确的用途、划定的生态保护红线等管制要求及其他特殊保护规定或者政策性文件。对矿产资源的确权登记，探索采用三维登记模式，通过确权登记，明确矿产资源的数量、质量、范围、种类、面积等自然状况，所有权主体、所有权代表行使主体、所有权代理行使主体及权利内容等权属状况，并关联勘查、采矿许可证号等相关信息和公共管制要求，可以依据登记结果颁发自然资源所有权证书，并向社会公开。和湿地、草原资源专项调查结果划定登记单元界线，收集整理国土空间规划明确的用途、划定的生态保护红线等管制要求及其他特殊保护规定或政策性文件，并开展权藉调查。通过确权登记，明确湿地、草原自然资源的范围、面积等自然状况，所有权主体、所有权代表行使主体、所有权代理行使主体以及权利内容等权属状况，并关联公共管制要求，可以颁发自然资源所有权证书,并向社会公开。县自然资源局负责指导湿地、草原自然资源确权登记工作。跨行政区域的湿地、草原确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乡(镇)人民政府要配合县自然资源等相关单位开展本辖区内探明储量的矿产资源权属争议调处工作，依据《方案》及地区自然资源局开展矿产资源确权登记的工作流程和要求，对辖区内除自然资源厅和地区直接开展确权登记之外的探明储量的矿产资源进行确权登记，可以颁发自然资源所有权证书，向社会公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展森林自然资源确权登记。各乡(镇)人民政府要配合县自然资源局、林草局开展本辖区内森林自然资源权属争议调处工作,对已登记发证的森林做好林权权属证书与自然资源确权登记的衔接,进一步核实相关权属界线;对本辖区内尚未颁发林权权属证书的森林资源，依据《方案》以所有权权属为界线单独划分登记单元，进行所有权确权登记，可以颁发自然资源所有权证书，并向社会公开。县自然资源局负责指导全县森林自然资源确权登记工作。跨行政区域的森林确权登记由县自然资源局负责与地区自然资源局对接办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自然资源确权登记信息化建设。由县自然资源局统一使用全国自然资源登记信息系统，按照统一的标准开展自然资源确权登记工作，实现自然资源登记信息的统一管理和实时共享，与不动产登记信息、国土调查、专项调查信息实时关联。统筹建设本级自然资源确权登记信息数据库，加强自然资源确权登记成果的信息化管理，开展与生态环境、水利、林草等相关部门的信息共享，服务自然资源确权登记和有效监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时间安排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从2020年起，利用5年时间基本完成和田县重点区域自然资源统一确权登记工作，2024 年以后，通过补充完善的方式逐步实现和田县全部国土空间内的各类自然资源登记全覆盖。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(一)2020年期间。制定印发《和田县自然资源统一确权登记实施方案》，并开展制定编写年度工作计划以及确权登记工作经费预算编制工作。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2021年-2023年期间。配合地区自然资源局开。展由自治区人民政府委托和田地区行署直接行使所有权饮重要自然生态空间和单项自然资源统一确权登记工作。做好与地区自然资源确权登记信息系统衔接，完成和田县自然资源确权登记信息数据库建设。按照《方案》，由县自然资源局会同县林草局对和田县直接管理的自然保护区、森林公园分批开展统一确权登记:会同县水利局对和田县直接管理的河流分批开展统一确权登记;对和田县直接管理探明储量的矿产资源分批开展统一确权登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(三)2024年及以后。在基本完成全县重点区域的自然资源统一确权登记工作的基础上，适时开展非重点地区域自然资源确权登记工作，最终实现对和田县全部国土空间内的各类自然资源确权登记全覆盖。</w:t>
      </w: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pageBreakBefore w:val="0"/>
        <w:numPr>
          <w:ilvl w:val="0"/>
          <w:numId w:val="11"/>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8"/>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（三）管理要求</w:t>
      </w:r>
    </w:p>
    <w:p>
      <w:pPr>
        <w:pStyle w:val="5"/>
        <w:pageBreakBefore w:val="0"/>
        <w:numPr>
          <w:ilvl w:val="0"/>
          <w:numId w:val="12"/>
        </w:numPr>
        <w:tabs>
          <w:tab w:val="clear" w:pos="425"/>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★成交供应商必须切实做好安全工作，加强作业时的安全保障，在任何情况下都要注意安全。一切安全事故均由成交供应商自行负责。（响应时须提供承诺函，格式自定）</w:t>
      </w:r>
    </w:p>
    <w:p>
      <w:pPr>
        <w:pStyle w:val="5"/>
        <w:pageBreakBefore w:val="0"/>
        <w:numPr>
          <w:ilvl w:val="0"/>
          <w:numId w:val="12"/>
        </w:numPr>
        <w:tabs>
          <w:tab w:val="clear" w:pos="425"/>
        </w:tabs>
        <w:kinsoku/>
        <w:wordWrap/>
        <w:overflowPunct/>
        <w:topLinePunct w:val="0"/>
        <w:autoSpaceDE/>
        <w:autoSpaceDN/>
        <w:bidi w:val="0"/>
        <w:spacing w:before="0" w:after="0" w:line="360" w:lineRule="auto"/>
        <w:ind w:left="0" w:leftChars="0" w:right="0" w:righ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★成交供应商不得将本项目的全部或任何部分分包和转包给他人，如在项目实施过程中，经采购人发现有此情况，采购人有权终止合同，由此造成的责任由成交供应商负责。（响应时须提供承诺函 ，格式自定）</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（四）付款方式</w:t>
      </w:r>
    </w:p>
    <w:p>
      <w:pPr>
        <w:pStyle w:val="16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中标人凭以下有效文件与采购人结算：</w:t>
      </w:r>
    </w:p>
    <w:p>
      <w:pPr>
        <w:pStyle w:val="16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合同；</w:t>
      </w:r>
    </w:p>
    <w:p>
      <w:pPr>
        <w:pStyle w:val="16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中标人开具的正式发票；</w:t>
      </w:r>
    </w:p>
    <w:p>
      <w:pPr>
        <w:pStyle w:val="16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中标通知书。</w:t>
      </w:r>
    </w:p>
    <w:p>
      <w:pPr>
        <w:pStyle w:val="16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2、交纳方式：以支票、汇票、本票、银行转账等非现金形式提交；采用支票、汇票、本票提交履约保证金的，有效期必须在供货期内保持有效；</w:t>
      </w:r>
    </w:p>
    <w:p>
      <w:pPr>
        <w:pStyle w:val="8"/>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（六）其他</w:t>
      </w:r>
    </w:p>
    <w:p>
      <w:pPr>
        <w:pStyle w:val="165"/>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中标人负责其派出现场施工人员人身意外保险。（提供承诺函，格式自拟）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282" w:name="五、违约责任"/>
      <w:bookmarkEnd w:id="282"/>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中标人提供的</w:t>
      </w:r>
      <w:r>
        <w:rPr>
          <w:rFonts w:hint="eastAsia" w:ascii="宋体" w:hAnsi="宋体" w:eastAsia="宋体" w:cs="宋体"/>
          <w:color w:val="auto"/>
          <w:sz w:val="24"/>
          <w:szCs w:val="24"/>
          <w:highlight w:val="none"/>
          <w:lang w:val="en-US" w:eastAsia="zh-CN"/>
        </w:rPr>
        <w:t>法务</w:t>
      </w:r>
      <w:r>
        <w:rPr>
          <w:rFonts w:hint="eastAsia" w:ascii="宋体" w:hAnsi="宋体" w:eastAsia="宋体" w:cs="宋体"/>
          <w:color w:val="auto"/>
          <w:sz w:val="24"/>
          <w:szCs w:val="24"/>
          <w:highlight w:val="none"/>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中标人出现上述情形的，采购人有权要求中标人按合同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其它违约责任按《中华人民共和国合同法》处理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★（九）</w:t>
      </w:r>
      <w:r>
        <w:rPr>
          <w:rFonts w:hint="eastAsia" w:ascii="宋体" w:hAnsi="宋体" w:eastAsia="宋体" w:cs="宋体"/>
          <w:color w:val="auto"/>
          <w:sz w:val="24"/>
          <w:szCs w:val="24"/>
          <w:highlight w:val="none"/>
        </w:rPr>
        <w:t>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诚信履约要求：</w:t>
      </w:r>
      <w:r>
        <w:rPr>
          <w:rFonts w:hint="eastAsia" w:ascii="宋体" w:hAnsi="宋体" w:eastAsia="宋体" w:cs="宋体"/>
          <w:color w:val="auto"/>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四、替补候选人的设定与使用</w:t>
      </w:r>
    </w:p>
    <w:p>
      <w:pPr>
        <w:pStyle w:val="192"/>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8"/>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2.★如果所有中标候选人均无法签订合同，采购人将依法重新招标或更改采购形式，对受影响的响应供应商不承担任何责任。</w:t>
      </w:r>
    </w:p>
    <w:p>
      <w:pPr>
        <w:rPr>
          <w:rFonts w:hint="eastAsia" w:ascii="宋体" w:hAnsi="宋体" w:eastAsia="宋体" w:cs="宋体"/>
          <w:color w:val="auto"/>
          <w:highlight w:val="none"/>
        </w:rPr>
      </w:pPr>
    </w:p>
    <w:p>
      <w:pPr>
        <w:autoSpaceDE w:val="0"/>
        <w:autoSpaceDN w:val="0"/>
        <w:adjustRightInd w:val="0"/>
        <w:spacing w:line="400" w:lineRule="exact"/>
        <w:jc w:val="left"/>
        <w:rPr>
          <w:rFonts w:hint="eastAsia" w:ascii="宋体" w:hAnsi="宋体" w:eastAsia="宋体" w:cs="宋体"/>
          <w:b/>
          <w:bCs/>
          <w:color w:val="auto"/>
          <w:kern w:val="0"/>
          <w:sz w:val="28"/>
          <w:szCs w:val="28"/>
          <w:highlight w:val="none"/>
        </w:rPr>
      </w:pPr>
      <w:r>
        <w:rPr>
          <w:rFonts w:hint="eastAsia" w:ascii="宋体" w:hAnsi="宋体" w:eastAsia="宋体" w:cs="宋体"/>
          <w:b/>
          <w:color w:val="auto"/>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83" w:name="_Toc20987"/>
    </w:p>
    <w:bookmarkEnd w:id="283"/>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bookmarkStart w:id="284" w:name="_Toc2874"/>
      <w:r>
        <w:rPr>
          <w:rFonts w:hint="eastAsia" w:ascii="宋体" w:hAnsi="宋体" w:eastAsia="宋体" w:cs="宋体"/>
          <w:b/>
          <w:color w:val="auto"/>
          <w:kern w:val="2"/>
          <w:sz w:val="28"/>
          <w:szCs w:val="28"/>
          <w:highlight w:val="none"/>
          <w:lang w:val="en-US" w:eastAsia="zh-CN" w:bidi="ar-SA"/>
        </w:rPr>
        <w:t xml:space="preserve">第六章  </w:t>
      </w:r>
      <w:bookmarkEnd w:id="284"/>
      <w:r>
        <w:rPr>
          <w:rFonts w:hint="eastAsia" w:ascii="宋体" w:hAnsi="宋体" w:eastAsia="宋体" w:cs="宋体"/>
          <w:b/>
          <w:color w:val="auto"/>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pPr>
        <w:snapToGrid w:val="0"/>
        <w:spacing w:line="360" w:lineRule="auto"/>
        <w:ind w:left="0" w:leftChars="0" w:firstLine="0" w:firstLineChars="0"/>
        <w:jc w:val="center"/>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 xml:space="preserve">部分 </w:t>
      </w:r>
      <w:r>
        <w:rPr>
          <w:rFonts w:hint="eastAsia" w:ascii="宋体" w:hAnsi="宋体" w:eastAsia="宋体" w:cs="宋体"/>
          <w:b/>
          <w:color w:val="auto"/>
          <w:sz w:val="24"/>
          <w:szCs w:val="24"/>
          <w:highlight w:val="none"/>
          <w:lang w:val="en-US" w:eastAsia="zh-CN"/>
        </w:rPr>
        <w:t>合同</w:t>
      </w:r>
      <w:r>
        <w:rPr>
          <w:rFonts w:hint="eastAsia" w:ascii="宋体" w:hAnsi="宋体" w:eastAsia="宋体" w:cs="宋体"/>
          <w:b/>
          <w:bCs/>
          <w:color w:val="auto"/>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color w:val="auto"/>
          <w:kern w:val="2"/>
          <w:sz w:val="21"/>
          <w:szCs w:val="24"/>
          <w:highlight w:val="none"/>
          <w:u w:val="single"/>
          <w:lang w:val="en-US" w:eastAsia="zh-CN" w:bidi="ar-SA"/>
        </w:rPr>
      </w:pPr>
      <w:bookmarkStart w:id="285" w:name="_Toc331685783"/>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 xml:space="preserve">                                                 </w:t>
      </w:r>
    </w:p>
    <w:bookmarkEnd w:id="285"/>
    <w:p>
      <w:pPr>
        <w:pStyle w:val="170"/>
        <w:ind w:firstLine="0"/>
        <w:rPr>
          <w:rFonts w:hint="eastAsia" w:ascii="宋体" w:hAnsi="宋体" w:eastAsia="宋体" w:cs="宋体"/>
          <w:color w:val="auto"/>
          <w:sz w:val="28"/>
          <w:szCs w:val="28"/>
          <w:highlight w:val="none"/>
        </w:rPr>
      </w:pPr>
      <w:bookmarkStart w:id="286" w:name="_Toc9510643"/>
      <w:bookmarkStart w:id="287" w:name="_Toc25342"/>
      <w:bookmarkStart w:id="288" w:name="_Toc6125"/>
      <w:bookmarkStart w:id="289" w:name="_Toc19415"/>
      <w:bookmarkStart w:id="290" w:name="_Toc11035"/>
    </w:p>
    <w:p>
      <w:pPr>
        <w:pStyle w:val="170"/>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合同书</w:t>
      </w:r>
    </w:p>
    <w:p>
      <w:pPr>
        <w:pStyle w:val="170"/>
        <w:ind w:firstLine="0"/>
        <w:rPr>
          <w:rFonts w:hint="eastAsia" w:ascii="宋体" w:hAnsi="宋体" w:eastAsia="宋体" w:cs="宋体"/>
          <w:color w:val="auto"/>
          <w:sz w:val="28"/>
          <w:szCs w:val="28"/>
          <w:highlight w:val="none"/>
        </w:rPr>
      </w:pPr>
    </w:p>
    <w:p>
      <w:pPr>
        <w:pStyle w:val="170"/>
        <w:ind w:firstLine="0"/>
        <w:rPr>
          <w:rFonts w:hint="eastAsia" w:ascii="宋体" w:hAnsi="宋体" w:eastAsia="宋体" w:cs="宋体"/>
          <w:color w:val="auto"/>
          <w:sz w:val="28"/>
          <w:szCs w:val="28"/>
          <w:highlight w:val="none"/>
        </w:rPr>
      </w:pPr>
    </w:p>
    <w:p>
      <w:pPr>
        <w:spacing w:before="120" w:line="22" w:lineRule="atLeast"/>
        <w:rPr>
          <w:rFonts w:hint="eastAsia" w:ascii="宋体" w:hAnsi="宋体" w:eastAsia="宋体" w:cs="宋体"/>
          <w:color w:val="auto"/>
          <w:sz w:val="28"/>
          <w:szCs w:val="28"/>
          <w:highlight w:val="none"/>
        </w:rPr>
      </w:pPr>
    </w:p>
    <w:p>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186"/>
        <w:spacing w:before="120" w:line="22" w:lineRule="atLeast"/>
        <w:rPr>
          <w:rFonts w:hint="eastAsia" w:ascii="宋体" w:hAnsi="宋体" w:eastAsia="宋体" w:cs="宋体"/>
          <w:color w:val="auto"/>
          <w:szCs w:val="24"/>
          <w:highlight w:val="none"/>
        </w:rPr>
      </w:pPr>
    </w:p>
    <w:p>
      <w:pPr>
        <w:pStyle w:val="186"/>
        <w:spacing w:before="120" w:line="22" w:lineRule="atLeast"/>
        <w:rPr>
          <w:rFonts w:hint="eastAsia" w:ascii="宋体" w:hAnsi="宋体" w:eastAsia="宋体" w:cs="宋体"/>
          <w:color w:val="auto"/>
          <w:szCs w:val="24"/>
          <w:highlight w:val="none"/>
        </w:rPr>
      </w:pPr>
    </w:p>
    <w:p>
      <w:pPr>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和田县自然资源局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公开招标方式</w:t>
      </w:r>
      <w:r>
        <w:rPr>
          <w:rFonts w:hint="eastAsia" w:ascii="宋体" w:hAnsi="宋体" w:eastAsia="宋体" w:cs="宋体"/>
          <w:color w:val="auto"/>
          <w:sz w:val="24"/>
          <w:highlight w:val="none"/>
        </w:rPr>
        <w:t>对</w:t>
      </w:r>
    </w:p>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（相关评定主体名称）</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560" w:lineRule="exact"/>
        <w:ind w:firstLine="482" w:firstLineChars="200"/>
        <w:outlineLvl w:val="0"/>
        <w:rPr>
          <w:rFonts w:hint="eastAsia" w:ascii="宋体" w:hAnsi="宋体" w:eastAsia="宋体" w:cs="宋体"/>
          <w:color w:val="auto"/>
          <w:sz w:val="24"/>
          <w:highlight w:val="none"/>
        </w:rPr>
      </w:pPr>
      <w:bookmarkStart w:id="291" w:name="_Toc15367"/>
      <w:bookmarkStart w:id="292" w:name="_Toc28855"/>
      <w:bookmarkStart w:id="293" w:name="_Toc20421"/>
      <w:bookmarkStart w:id="294" w:name="_Toc22967"/>
      <w:bookmarkStart w:id="295" w:name="_Toc19273"/>
      <w:r>
        <w:rPr>
          <w:rFonts w:hint="eastAsia" w:ascii="宋体" w:hAnsi="宋体" w:eastAsia="宋体" w:cs="宋体"/>
          <w:b/>
          <w:bCs/>
          <w:color w:val="auto"/>
          <w:sz w:val="24"/>
          <w:highlight w:val="none"/>
        </w:rPr>
        <w:t>1.1 合同组成部分</w:t>
      </w:r>
      <w:bookmarkEnd w:id="291"/>
      <w:bookmarkEnd w:id="292"/>
      <w:bookmarkEnd w:id="293"/>
      <w:bookmarkEnd w:id="294"/>
      <w:bookmarkEnd w:id="29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560" w:lineRule="exact"/>
        <w:ind w:firstLine="482" w:firstLineChars="200"/>
        <w:outlineLvl w:val="0"/>
        <w:rPr>
          <w:rFonts w:hint="eastAsia" w:ascii="宋体" w:hAnsi="宋体" w:eastAsia="宋体" w:cs="宋体"/>
          <w:b/>
          <w:bCs/>
          <w:color w:val="auto"/>
          <w:sz w:val="24"/>
          <w:highlight w:val="none"/>
        </w:rPr>
      </w:pPr>
      <w:bookmarkStart w:id="296" w:name="_Toc22185"/>
      <w:bookmarkStart w:id="297" w:name="_Toc6773"/>
      <w:bookmarkStart w:id="298" w:name="_Toc2918"/>
      <w:bookmarkStart w:id="299" w:name="_Toc18585"/>
      <w:bookmarkStart w:id="300" w:name="_Toc6311"/>
      <w:r>
        <w:rPr>
          <w:rFonts w:hint="eastAsia" w:ascii="宋体" w:hAnsi="宋体" w:eastAsia="宋体" w:cs="宋体"/>
          <w:b/>
          <w:bCs/>
          <w:color w:val="auto"/>
          <w:sz w:val="24"/>
          <w:highlight w:val="none"/>
        </w:rPr>
        <w:t>1.2 标的</w:t>
      </w:r>
      <w:bookmarkEnd w:id="296"/>
      <w:bookmarkEnd w:id="297"/>
      <w:bookmarkEnd w:id="298"/>
      <w:bookmarkEnd w:id="299"/>
      <w:bookmarkEnd w:id="300"/>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（详见清单）</w:t>
      </w:r>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按招标文件要求（详见清单）</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color w:val="auto"/>
          <w:sz w:val="24"/>
          <w:highlight w:val="none"/>
        </w:rPr>
      </w:pPr>
      <w:bookmarkStart w:id="301" w:name="_Toc21124"/>
      <w:bookmarkStart w:id="302" w:name="_Toc5635"/>
      <w:bookmarkStart w:id="303" w:name="_Toc4929"/>
      <w:bookmarkStart w:id="304" w:name="_Toc13918"/>
      <w:bookmarkStart w:id="305" w:name="_Toc1386"/>
      <w:r>
        <w:rPr>
          <w:rFonts w:hint="eastAsia" w:ascii="宋体" w:hAnsi="宋体" w:eastAsia="宋体" w:cs="宋体"/>
          <w:b/>
          <w:bCs/>
          <w:color w:val="auto"/>
          <w:sz w:val="24"/>
          <w:highlight w:val="none"/>
        </w:rPr>
        <w:t>1.3 价款</w:t>
      </w:r>
      <w:bookmarkEnd w:id="301"/>
      <w:bookmarkEnd w:id="302"/>
      <w:bookmarkEnd w:id="303"/>
      <w:bookmarkEnd w:id="304"/>
      <w:bookmarkEnd w:id="30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auto"/>
                <w:kern w:val="2"/>
                <w:sz w:val="24"/>
                <w:szCs w:val="24"/>
                <w:highlight w:val="none"/>
              </w:rPr>
            </w:pPr>
          </w:p>
        </w:tc>
      </w:tr>
    </w:tbl>
    <w:p>
      <w:pPr>
        <w:spacing w:line="560" w:lineRule="exact"/>
        <w:ind w:firstLine="482" w:firstLineChars="200"/>
        <w:outlineLvl w:val="0"/>
        <w:rPr>
          <w:rFonts w:hint="eastAsia" w:ascii="宋体" w:hAnsi="宋体" w:eastAsia="宋体" w:cs="宋体"/>
          <w:b/>
          <w:bCs/>
          <w:color w:val="auto"/>
          <w:sz w:val="24"/>
          <w:highlight w:val="none"/>
        </w:rPr>
      </w:pPr>
      <w:bookmarkStart w:id="306" w:name="_Toc26916"/>
      <w:bookmarkStart w:id="307" w:name="_Toc3654"/>
      <w:bookmarkStart w:id="308" w:name="_Toc30158"/>
      <w:bookmarkStart w:id="309" w:name="_Toc14993"/>
      <w:bookmarkStart w:id="310" w:name="_Toc30506"/>
      <w:r>
        <w:rPr>
          <w:rFonts w:hint="eastAsia" w:ascii="宋体" w:hAnsi="宋体" w:eastAsia="宋体" w:cs="宋体"/>
          <w:b/>
          <w:bCs/>
          <w:color w:val="auto"/>
          <w:sz w:val="24"/>
          <w:highlight w:val="none"/>
        </w:rPr>
        <w:t>1.4 付款方式和发票开具方式</w:t>
      </w:r>
      <w:bookmarkEnd w:id="306"/>
      <w:bookmarkEnd w:id="307"/>
      <w:bookmarkEnd w:id="308"/>
      <w:bookmarkEnd w:id="309"/>
      <w:bookmarkEnd w:id="310"/>
    </w:p>
    <w:p>
      <w:pPr>
        <w:pStyle w:val="4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1.4.1付款方式：详见招标文件要求。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发票开具方式：乙方提供发票</w:t>
      </w:r>
    </w:p>
    <w:p>
      <w:pPr>
        <w:spacing w:line="560" w:lineRule="exact"/>
        <w:ind w:firstLine="482" w:firstLineChars="200"/>
        <w:outlineLvl w:val="0"/>
        <w:rPr>
          <w:rFonts w:hint="eastAsia" w:ascii="宋体" w:hAnsi="宋体" w:eastAsia="宋体" w:cs="宋体"/>
          <w:b/>
          <w:bCs/>
          <w:color w:val="auto"/>
          <w:sz w:val="24"/>
          <w:highlight w:val="none"/>
        </w:rPr>
      </w:pPr>
      <w:bookmarkStart w:id="311" w:name="_Toc31421"/>
      <w:bookmarkStart w:id="312" w:name="_Toc4760"/>
      <w:bookmarkStart w:id="313" w:name="_Toc8772"/>
      <w:bookmarkStart w:id="314" w:name="_Toc3625"/>
      <w:bookmarkStart w:id="315" w:name="_Toc11108"/>
      <w:r>
        <w:rPr>
          <w:rFonts w:hint="eastAsia" w:ascii="宋体" w:hAnsi="宋体" w:eastAsia="宋体" w:cs="宋体"/>
          <w:b/>
          <w:bCs/>
          <w:color w:val="auto"/>
          <w:sz w:val="24"/>
          <w:highlight w:val="none"/>
        </w:rPr>
        <w:t>1.5 履行期限、地点和方式</w:t>
      </w:r>
      <w:bookmarkEnd w:id="311"/>
      <w:bookmarkEnd w:id="312"/>
      <w:bookmarkEnd w:id="313"/>
      <w:bookmarkEnd w:id="314"/>
      <w:bookmarkEnd w:id="315"/>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按投标文件要求      </w:t>
      </w:r>
    </w:p>
    <w:p>
      <w:pPr>
        <w:spacing w:line="5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1.5.2 </w:t>
      </w:r>
      <w:r>
        <w:rPr>
          <w:rFonts w:hint="eastAsia" w:ascii="宋体" w:hAnsi="宋体" w:eastAsia="宋体" w:cs="宋体"/>
          <w:b/>
          <w:bCs/>
          <w:color w:val="auto"/>
          <w:sz w:val="24"/>
          <w:highlight w:val="none"/>
        </w:rPr>
        <w:t>履行地点：采购人指定地点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履行方式：现场验收。</w:t>
      </w:r>
    </w:p>
    <w:p>
      <w:pPr>
        <w:spacing w:line="560" w:lineRule="exact"/>
        <w:ind w:firstLine="482" w:firstLineChars="200"/>
        <w:outlineLvl w:val="0"/>
        <w:rPr>
          <w:rFonts w:hint="eastAsia" w:ascii="宋体" w:hAnsi="宋体" w:eastAsia="宋体" w:cs="宋体"/>
          <w:color w:val="auto"/>
          <w:sz w:val="24"/>
          <w:highlight w:val="none"/>
          <w:u w:val="single"/>
        </w:rPr>
      </w:pPr>
      <w:bookmarkStart w:id="316" w:name="_Toc3079"/>
      <w:bookmarkStart w:id="317" w:name="_Toc5698"/>
      <w:bookmarkStart w:id="318" w:name="_Toc2375"/>
      <w:bookmarkStart w:id="319" w:name="_Toc24662"/>
      <w:bookmarkStart w:id="320" w:name="_Toc8586"/>
      <w:r>
        <w:rPr>
          <w:rFonts w:hint="eastAsia" w:ascii="宋体" w:hAnsi="宋体" w:eastAsia="宋体" w:cs="宋体"/>
          <w:b/>
          <w:bCs/>
          <w:color w:val="auto"/>
          <w:sz w:val="24"/>
          <w:highlight w:val="none"/>
        </w:rPr>
        <w:t>1.6 违约责任</w:t>
      </w:r>
      <w:bookmarkEnd w:id="316"/>
      <w:bookmarkEnd w:id="317"/>
      <w:bookmarkEnd w:id="318"/>
      <w:bookmarkEnd w:id="319"/>
      <w:bookmarkEnd w:id="32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color w:val="auto"/>
          <w:sz w:val="24"/>
          <w:highlight w:val="none"/>
        </w:rPr>
      </w:pPr>
      <w:bookmarkStart w:id="321" w:name="_Toc9497"/>
      <w:bookmarkStart w:id="322" w:name="_Toc32454"/>
      <w:bookmarkStart w:id="323" w:name="_Toc26807"/>
      <w:bookmarkStart w:id="324" w:name="_Toc30329"/>
      <w:bookmarkStart w:id="325" w:name="_Toc18683"/>
      <w:r>
        <w:rPr>
          <w:rFonts w:hint="eastAsia" w:ascii="宋体" w:hAnsi="宋体" w:eastAsia="宋体" w:cs="宋体"/>
          <w:b/>
          <w:bCs/>
          <w:color w:val="auto"/>
          <w:sz w:val="24"/>
          <w:highlight w:val="none"/>
        </w:rPr>
        <w:t>1.7 合同争议的解决</w:t>
      </w:r>
      <w:bookmarkEnd w:id="321"/>
      <w:bookmarkEnd w:id="322"/>
      <w:bookmarkEnd w:id="323"/>
      <w:bookmarkEnd w:id="324"/>
      <w:bookmarkEnd w:id="32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种方式解决：</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lang w:val="en-US" w:eastAsia="zh-CN"/>
        </w:rPr>
        <w:t>和田县</w:t>
      </w:r>
      <w:r>
        <w:rPr>
          <w:rFonts w:hint="eastAsia" w:ascii="宋体" w:hAnsi="宋体" w:eastAsia="宋体" w:cs="宋体"/>
          <w:color w:val="auto"/>
          <w:sz w:val="24"/>
          <w:highlight w:val="none"/>
        </w:rPr>
        <w:t>人民法院起诉。</w:t>
      </w:r>
    </w:p>
    <w:p>
      <w:pPr>
        <w:spacing w:line="560" w:lineRule="exact"/>
        <w:ind w:firstLine="482" w:firstLineChars="200"/>
        <w:outlineLvl w:val="0"/>
        <w:rPr>
          <w:rFonts w:hint="eastAsia" w:ascii="宋体" w:hAnsi="宋体" w:eastAsia="宋体" w:cs="宋体"/>
          <w:b/>
          <w:bCs/>
          <w:color w:val="auto"/>
          <w:sz w:val="24"/>
          <w:highlight w:val="none"/>
        </w:rPr>
      </w:pPr>
      <w:bookmarkStart w:id="326" w:name="_Toc12273"/>
      <w:bookmarkStart w:id="327" w:name="_Toc16417"/>
      <w:bookmarkStart w:id="328" w:name="_Toc23784"/>
      <w:bookmarkStart w:id="329" w:name="_Toc26227"/>
      <w:bookmarkStart w:id="330" w:name="_Toc15827"/>
      <w:r>
        <w:rPr>
          <w:rFonts w:hint="eastAsia" w:ascii="宋体" w:hAnsi="宋体" w:eastAsia="宋体" w:cs="宋体"/>
          <w:b/>
          <w:bCs/>
          <w:color w:val="auto"/>
          <w:sz w:val="24"/>
          <w:highlight w:val="none"/>
        </w:rPr>
        <w:t>1.8 合同生效</w:t>
      </w:r>
      <w:bookmarkEnd w:id="326"/>
      <w:bookmarkEnd w:id="327"/>
      <w:bookmarkEnd w:id="328"/>
      <w:bookmarkEnd w:id="329"/>
      <w:bookmarkEnd w:id="330"/>
    </w:p>
    <w:p>
      <w:pPr>
        <w:spacing w:line="5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560" w:lineRule="exact"/>
        <w:jc w:val="left"/>
        <w:rPr>
          <w:rFonts w:hint="eastAsia" w:ascii="宋体" w:hAnsi="宋体" w:eastAsia="宋体" w:cs="宋体"/>
          <w:b/>
          <w:bCs/>
          <w:color w:val="auto"/>
          <w:sz w:val="24"/>
          <w:highlight w:val="none"/>
        </w:rPr>
      </w:pPr>
    </w:p>
    <w:p>
      <w:pPr>
        <w:widowControl/>
        <w:spacing w:line="560" w:lineRule="exact"/>
        <w:jc w:val="left"/>
        <w:rPr>
          <w:rFonts w:hint="eastAsia" w:ascii="宋体" w:hAnsi="宋体" w:eastAsia="宋体" w:cs="宋体"/>
          <w:b/>
          <w:bCs/>
          <w:color w:val="auto"/>
          <w:kern w:val="0"/>
          <w:sz w:val="24"/>
          <w:highlight w:val="none"/>
        </w:rPr>
      </w:pPr>
    </w:p>
    <w:p>
      <w:pPr>
        <w:pStyle w:val="170"/>
        <w:spacing w:line="560" w:lineRule="exact"/>
        <w:ind w:firstLine="200"/>
        <w:jc w:val="center"/>
        <w:rPr>
          <w:rFonts w:hint="eastAsia" w:ascii="宋体" w:hAnsi="宋体" w:eastAsia="宋体" w:cs="宋体"/>
          <w:b/>
          <w:bCs/>
          <w:color w:val="auto"/>
          <w:szCs w:val="24"/>
          <w:highlight w:val="none"/>
        </w:rPr>
      </w:pPr>
    </w:p>
    <w:p>
      <w:pPr>
        <w:pStyle w:val="170"/>
        <w:spacing w:line="560" w:lineRule="exact"/>
        <w:ind w:firstLine="200"/>
        <w:jc w:val="center"/>
        <w:rPr>
          <w:rFonts w:hint="eastAsia" w:ascii="宋体" w:hAnsi="宋体" w:eastAsia="宋体" w:cs="宋体"/>
          <w:b/>
          <w:bCs/>
          <w:color w:val="auto"/>
          <w:szCs w:val="24"/>
          <w:highlight w:val="none"/>
        </w:rPr>
      </w:pPr>
    </w:p>
    <w:p>
      <w:pPr>
        <w:pStyle w:val="170"/>
        <w:spacing w:line="560" w:lineRule="exact"/>
        <w:ind w:firstLine="200"/>
        <w:jc w:val="center"/>
        <w:rPr>
          <w:rFonts w:hint="eastAsia" w:ascii="宋体" w:hAnsi="宋体" w:eastAsia="宋体" w:cs="宋体"/>
          <w:b/>
          <w:bCs/>
          <w:color w:val="auto"/>
          <w:szCs w:val="24"/>
          <w:highlight w:val="none"/>
        </w:rPr>
      </w:pPr>
    </w:p>
    <w:p>
      <w:pPr>
        <w:pStyle w:val="170"/>
        <w:spacing w:line="560" w:lineRule="exact"/>
        <w:ind w:firstLine="200"/>
        <w:jc w:val="center"/>
        <w:rPr>
          <w:rFonts w:hint="eastAsia" w:ascii="宋体" w:hAnsi="宋体" w:eastAsia="宋体" w:cs="宋体"/>
          <w:b/>
          <w:bCs/>
          <w:color w:val="auto"/>
          <w:szCs w:val="24"/>
          <w:highlight w:val="none"/>
        </w:rPr>
      </w:pPr>
    </w:p>
    <w:p>
      <w:pPr>
        <w:pStyle w:val="170"/>
        <w:spacing w:line="560" w:lineRule="exact"/>
        <w:ind w:firstLine="20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第二部分 合同一般条款</w:t>
      </w:r>
    </w:p>
    <w:p>
      <w:pPr>
        <w:spacing w:line="560" w:lineRule="exact"/>
        <w:ind w:firstLine="482" w:firstLineChars="200"/>
        <w:outlineLvl w:val="0"/>
        <w:rPr>
          <w:rFonts w:hint="eastAsia" w:ascii="宋体" w:hAnsi="宋体" w:eastAsia="宋体" w:cs="宋体"/>
          <w:b/>
          <w:bCs/>
          <w:color w:val="auto"/>
          <w:sz w:val="24"/>
          <w:highlight w:val="none"/>
        </w:rPr>
      </w:pPr>
      <w:bookmarkStart w:id="331" w:name="_Toc5228"/>
      <w:bookmarkStart w:id="332" w:name="_Toc25079"/>
      <w:bookmarkStart w:id="333" w:name="_Toc31297"/>
      <w:bookmarkStart w:id="334" w:name="_Toc19680"/>
      <w:bookmarkStart w:id="335" w:name="_Toc14021"/>
      <w:r>
        <w:rPr>
          <w:rFonts w:hint="eastAsia" w:ascii="宋体" w:hAnsi="宋体" w:eastAsia="宋体" w:cs="宋体"/>
          <w:b/>
          <w:bCs/>
          <w:color w:val="auto"/>
          <w:sz w:val="24"/>
          <w:highlight w:val="none"/>
        </w:rPr>
        <w:t>2.1 定义</w:t>
      </w:r>
      <w:bookmarkEnd w:id="331"/>
      <w:bookmarkEnd w:id="332"/>
      <w:bookmarkEnd w:id="333"/>
      <w:bookmarkEnd w:id="334"/>
      <w:bookmarkEnd w:id="33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pPr>
        <w:spacing w:line="560" w:lineRule="exact"/>
        <w:ind w:firstLine="482" w:firstLineChars="200"/>
        <w:outlineLvl w:val="0"/>
        <w:rPr>
          <w:rFonts w:hint="eastAsia" w:ascii="宋体" w:hAnsi="宋体" w:eastAsia="宋体" w:cs="宋体"/>
          <w:b/>
          <w:bCs/>
          <w:color w:val="auto"/>
          <w:sz w:val="24"/>
          <w:highlight w:val="none"/>
        </w:rPr>
      </w:pPr>
      <w:bookmarkStart w:id="336" w:name="_Toc31402"/>
      <w:bookmarkStart w:id="337" w:name="_Toc19539"/>
      <w:bookmarkStart w:id="338" w:name="_Toc16752"/>
      <w:bookmarkStart w:id="339" w:name="_Toc3769"/>
      <w:bookmarkStart w:id="340" w:name="_Toc23289"/>
      <w:r>
        <w:rPr>
          <w:rFonts w:hint="eastAsia" w:ascii="宋体" w:hAnsi="宋体" w:eastAsia="宋体" w:cs="宋体"/>
          <w:b/>
          <w:bCs/>
          <w:color w:val="auto"/>
          <w:sz w:val="24"/>
          <w:highlight w:val="none"/>
        </w:rPr>
        <w:t>2.2 技术规范</w:t>
      </w:r>
      <w:bookmarkEnd w:id="336"/>
      <w:bookmarkEnd w:id="337"/>
      <w:bookmarkEnd w:id="338"/>
      <w:bookmarkEnd w:id="339"/>
      <w:bookmarkEnd w:id="34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color w:val="auto"/>
          <w:sz w:val="24"/>
          <w:highlight w:val="none"/>
        </w:rPr>
      </w:pPr>
      <w:bookmarkStart w:id="341" w:name="_Toc4133"/>
      <w:bookmarkStart w:id="342" w:name="_Toc13673"/>
      <w:bookmarkStart w:id="343" w:name="_Toc12412"/>
      <w:bookmarkStart w:id="344" w:name="_Toc9161"/>
      <w:bookmarkStart w:id="345" w:name="_Toc27945"/>
      <w:r>
        <w:rPr>
          <w:rFonts w:hint="eastAsia" w:ascii="宋体" w:hAnsi="宋体" w:eastAsia="宋体" w:cs="宋体"/>
          <w:b/>
          <w:bCs/>
          <w:color w:val="auto"/>
          <w:sz w:val="24"/>
          <w:highlight w:val="none"/>
        </w:rPr>
        <w:t>2.3 知识产权</w:t>
      </w:r>
      <w:bookmarkEnd w:id="341"/>
      <w:bookmarkEnd w:id="342"/>
      <w:bookmarkEnd w:id="343"/>
      <w:bookmarkEnd w:id="344"/>
      <w:bookmarkEnd w:id="34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履约检查和问题反馈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color w:val="auto"/>
          <w:sz w:val="24"/>
          <w:highlight w:val="none"/>
        </w:rPr>
      </w:pPr>
      <w:bookmarkStart w:id="346" w:name="_Toc18990"/>
      <w:bookmarkStart w:id="347" w:name="_Toc13154"/>
      <w:bookmarkStart w:id="348" w:name="_Toc13467"/>
      <w:bookmarkStart w:id="349" w:name="_Toc16163"/>
      <w:bookmarkStart w:id="350" w:name="_Toc30507"/>
      <w:r>
        <w:rPr>
          <w:rFonts w:hint="eastAsia" w:ascii="宋体" w:hAnsi="宋体" w:eastAsia="宋体" w:cs="宋体"/>
          <w:b/>
          <w:bCs/>
          <w:color w:val="auto"/>
          <w:sz w:val="24"/>
          <w:highlight w:val="none"/>
        </w:rPr>
        <w:t>2.5 技术资料和保密义务</w:t>
      </w:r>
      <w:bookmarkEnd w:id="346"/>
      <w:bookmarkEnd w:id="347"/>
      <w:bookmarkEnd w:id="348"/>
      <w:bookmarkEnd w:id="349"/>
      <w:bookmarkEnd w:id="35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乙方有义务妥善保管和保护由甲方提供的前款信息和资料等；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color w:val="auto"/>
          <w:sz w:val="24"/>
          <w:highlight w:val="none"/>
        </w:rPr>
      </w:pPr>
      <w:bookmarkStart w:id="351" w:name="_Toc19069"/>
      <w:r>
        <w:rPr>
          <w:rFonts w:hint="eastAsia" w:ascii="宋体" w:hAnsi="宋体" w:eastAsia="宋体" w:cs="宋体"/>
          <w:b/>
          <w:bCs/>
          <w:color w:val="auto"/>
          <w:sz w:val="24"/>
          <w:highlight w:val="none"/>
        </w:rPr>
        <w:t>2.6 质量保证</w:t>
      </w:r>
      <w:bookmarkEnd w:id="35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color w:val="auto"/>
          <w:sz w:val="24"/>
          <w:highlight w:val="none"/>
        </w:rPr>
      </w:pPr>
      <w:bookmarkStart w:id="352" w:name="_Toc22267"/>
      <w:r>
        <w:rPr>
          <w:rFonts w:hint="eastAsia" w:ascii="宋体" w:hAnsi="宋体" w:eastAsia="宋体" w:cs="宋体"/>
          <w:b/>
          <w:bCs/>
          <w:color w:val="auto"/>
          <w:sz w:val="24"/>
          <w:highlight w:val="none"/>
        </w:rPr>
        <w:t>2.7 延迟履行</w:t>
      </w:r>
      <w:bookmarkEnd w:id="352"/>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color w:val="auto"/>
          <w:sz w:val="24"/>
          <w:highlight w:val="none"/>
        </w:rPr>
      </w:pPr>
      <w:bookmarkStart w:id="353" w:name="_Toc10611"/>
      <w:r>
        <w:rPr>
          <w:rFonts w:hint="eastAsia" w:ascii="宋体" w:hAnsi="宋体" w:eastAsia="宋体" w:cs="宋体"/>
          <w:b/>
          <w:bCs/>
          <w:color w:val="auto"/>
          <w:sz w:val="24"/>
          <w:highlight w:val="none"/>
        </w:rPr>
        <w:t>2.8 合同变更</w:t>
      </w:r>
      <w:bookmarkEnd w:id="35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color w:val="auto"/>
          <w:sz w:val="24"/>
          <w:highlight w:val="none"/>
        </w:rPr>
      </w:pPr>
      <w:bookmarkStart w:id="354" w:name="_Toc23368"/>
      <w:bookmarkStart w:id="355" w:name="_Toc26689"/>
      <w:bookmarkStart w:id="356" w:name="_Toc42"/>
      <w:bookmarkStart w:id="357" w:name="_Toc10663"/>
      <w:bookmarkStart w:id="358" w:name="_Toc21830"/>
      <w:r>
        <w:rPr>
          <w:rFonts w:hint="eastAsia" w:ascii="宋体" w:hAnsi="宋体" w:eastAsia="宋体" w:cs="宋体"/>
          <w:b/>
          <w:bCs/>
          <w:color w:val="auto"/>
          <w:sz w:val="24"/>
          <w:highlight w:val="none"/>
        </w:rPr>
        <w:t>2.9 合同转让和分包</w:t>
      </w:r>
      <w:bookmarkEnd w:id="354"/>
      <w:bookmarkEnd w:id="355"/>
      <w:bookmarkEnd w:id="356"/>
      <w:bookmarkEnd w:id="357"/>
      <w:bookmarkEnd w:id="35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color w:val="auto"/>
          <w:sz w:val="24"/>
          <w:highlight w:val="none"/>
        </w:rPr>
      </w:pPr>
      <w:bookmarkStart w:id="359" w:name="_Toc25571"/>
      <w:bookmarkStart w:id="360" w:name="_Toc4720"/>
      <w:bookmarkStart w:id="361" w:name="_Toc32494"/>
      <w:bookmarkStart w:id="362" w:name="_Toc26633"/>
      <w:bookmarkStart w:id="363" w:name="_Toc14371"/>
      <w:r>
        <w:rPr>
          <w:rFonts w:hint="eastAsia" w:ascii="宋体" w:hAnsi="宋体" w:eastAsia="宋体" w:cs="宋体"/>
          <w:b/>
          <w:bCs/>
          <w:color w:val="auto"/>
          <w:sz w:val="24"/>
          <w:highlight w:val="none"/>
        </w:rPr>
        <w:t>2.10 不可抗力</w:t>
      </w:r>
      <w:bookmarkEnd w:id="359"/>
      <w:bookmarkEnd w:id="360"/>
      <w:bookmarkEnd w:id="361"/>
      <w:bookmarkEnd w:id="362"/>
      <w:bookmarkEnd w:id="36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2.10.2 因不可抗力致使不能实现合同目的的，当事人可以解除合同；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2.10.3 因不可抗力致使合同有变更必要的，双方当事人应在</w:t>
      </w:r>
      <w:r>
        <w:rPr>
          <w:rFonts w:hint="eastAsia" w:ascii="宋体" w:hAnsi="宋体" w:eastAsia="宋体" w:cs="宋体"/>
          <w:b/>
          <w:bCs/>
          <w:i/>
          <w:iCs/>
          <w:color w:val="auto"/>
          <w:sz w:val="24"/>
          <w:highlight w:val="none"/>
          <w:u w:val="single"/>
        </w:rPr>
        <w:t>5个工作日</w:t>
      </w:r>
      <w:r>
        <w:rPr>
          <w:rFonts w:hint="eastAsia" w:ascii="宋体" w:hAnsi="宋体" w:eastAsia="宋体" w:cs="宋体"/>
          <w:color w:val="auto"/>
          <w:sz w:val="24"/>
          <w:highlight w:val="none"/>
        </w:rPr>
        <w:t>内以书面形式变更合同；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2.10.4受不可抗力影响的一方在不可抗力发生后，应在</w:t>
      </w:r>
      <w:r>
        <w:rPr>
          <w:rFonts w:hint="eastAsia" w:ascii="宋体" w:hAnsi="宋体" w:eastAsia="宋体" w:cs="宋体"/>
          <w:b/>
          <w:bCs/>
          <w:i/>
          <w:iCs/>
          <w:color w:val="auto"/>
          <w:sz w:val="24"/>
          <w:highlight w:val="none"/>
          <w:u w:val="single"/>
        </w:rPr>
        <w:t>3个工作日</w:t>
      </w:r>
      <w:r>
        <w:rPr>
          <w:rFonts w:hint="eastAsia" w:ascii="宋体" w:hAnsi="宋体" w:eastAsia="宋体" w:cs="宋体"/>
          <w:color w:val="auto"/>
          <w:sz w:val="24"/>
          <w:highlight w:val="none"/>
        </w:rPr>
        <w:t>内以书面形式通知对方当事人，并在</w:t>
      </w:r>
      <w:r>
        <w:rPr>
          <w:rFonts w:hint="eastAsia" w:ascii="宋体" w:hAnsi="宋体" w:eastAsia="宋体" w:cs="宋体"/>
          <w:b/>
          <w:bCs/>
          <w:i/>
          <w:iCs/>
          <w:color w:val="auto"/>
          <w:sz w:val="24"/>
          <w:highlight w:val="none"/>
          <w:u w:val="single"/>
        </w:rPr>
        <w:t>5个工作日</w:t>
      </w:r>
      <w:r>
        <w:rPr>
          <w:rFonts w:hint="eastAsia" w:ascii="宋体" w:hAnsi="宋体" w:eastAsia="宋体" w:cs="宋体"/>
          <w:color w:val="auto"/>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color w:val="auto"/>
          <w:sz w:val="24"/>
          <w:highlight w:val="none"/>
        </w:rPr>
      </w:pPr>
      <w:bookmarkStart w:id="364" w:name="_Toc3638"/>
      <w:bookmarkStart w:id="365" w:name="_Toc14115"/>
      <w:bookmarkStart w:id="366" w:name="_Toc23854"/>
      <w:bookmarkStart w:id="367" w:name="_Toc25783"/>
      <w:bookmarkStart w:id="368" w:name="_Toc24465"/>
      <w:r>
        <w:rPr>
          <w:rFonts w:hint="eastAsia" w:ascii="宋体" w:hAnsi="宋体" w:eastAsia="宋体" w:cs="宋体"/>
          <w:b/>
          <w:bCs/>
          <w:color w:val="auto"/>
          <w:sz w:val="24"/>
          <w:highlight w:val="none"/>
        </w:rPr>
        <w:t>2.11 税费</w:t>
      </w:r>
      <w:bookmarkEnd w:id="364"/>
      <w:bookmarkEnd w:id="365"/>
      <w:bookmarkEnd w:id="366"/>
      <w:bookmarkEnd w:id="367"/>
      <w:bookmarkEnd w:id="36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color w:val="auto"/>
          <w:sz w:val="24"/>
          <w:highlight w:val="none"/>
        </w:rPr>
      </w:pPr>
      <w:bookmarkStart w:id="369" w:name="_Toc14814"/>
      <w:bookmarkStart w:id="370" w:name="_Toc7315"/>
      <w:bookmarkStart w:id="371" w:name="_Toc26883"/>
      <w:bookmarkStart w:id="372" w:name="_Toc25525"/>
      <w:bookmarkStart w:id="373" w:name="_Toc30105"/>
      <w:r>
        <w:rPr>
          <w:rFonts w:hint="eastAsia" w:ascii="宋体" w:hAnsi="宋体" w:eastAsia="宋体" w:cs="宋体"/>
          <w:b/>
          <w:bCs/>
          <w:color w:val="auto"/>
          <w:sz w:val="24"/>
          <w:highlight w:val="none"/>
        </w:rPr>
        <w:t>2.12 乙方破产</w:t>
      </w:r>
      <w:bookmarkEnd w:id="369"/>
      <w:bookmarkEnd w:id="370"/>
      <w:bookmarkEnd w:id="371"/>
      <w:bookmarkEnd w:id="372"/>
      <w:bookmarkEnd w:id="37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color w:val="auto"/>
          <w:sz w:val="24"/>
          <w:highlight w:val="none"/>
        </w:rPr>
      </w:pPr>
      <w:bookmarkStart w:id="374" w:name="_Toc2016"/>
      <w:bookmarkStart w:id="375" w:name="_Toc1123"/>
      <w:bookmarkStart w:id="376" w:name="_Toc23323"/>
      <w:r>
        <w:rPr>
          <w:rFonts w:hint="eastAsia" w:ascii="宋体" w:hAnsi="宋体" w:eastAsia="宋体" w:cs="宋体"/>
          <w:b/>
          <w:bCs/>
          <w:color w:val="auto"/>
          <w:sz w:val="24"/>
          <w:highlight w:val="none"/>
        </w:rPr>
        <w:t>2.13 合同中止、终止</w:t>
      </w:r>
      <w:bookmarkEnd w:id="374"/>
      <w:bookmarkEnd w:id="375"/>
      <w:bookmarkEnd w:id="376"/>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 双方当事人不得擅自中止或者终止合同；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color w:val="auto"/>
          <w:sz w:val="24"/>
          <w:highlight w:val="none"/>
        </w:rPr>
      </w:pPr>
      <w:bookmarkStart w:id="377" w:name="_Toc1969"/>
      <w:bookmarkStart w:id="378" w:name="_Toc17363"/>
      <w:bookmarkStart w:id="379" w:name="_Toc14525"/>
      <w:r>
        <w:rPr>
          <w:rFonts w:hint="eastAsia" w:ascii="宋体" w:hAnsi="宋体" w:eastAsia="宋体" w:cs="宋体"/>
          <w:b/>
          <w:bCs/>
          <w:color w:val="auto"/>
          <w:sz w:val="24"/>
          <w:highlight w:val="none"/>
        </w:rPr>
        <w:t>2.14 检验和验收</w:t>
      </w:r>
      <w:bookmarkEnd w:id="377"/>
      <w:bookmarkEnd w:id="378"/>
      <w:bookmarkEnd w:id="379"/>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 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color w:val="auto"/>
          <w:sz w:val="24"/>
          <w:highlight w:val="none"/>
        </w:rPr>
      </w:pPr>
      <w:bookmarkStart w:id="380" w:name="_Toc9808"/>
      <w:bookmarkStart w:id="381" w:name="_Toc31892"/>
      <w:bookmarkStart w:id="382" w:name="_Toc2308"/>
      <w:bookmarkStart w:id="383" w:name="_Toc12666"/>
      <w:bookmarkStart w:id="384" w:name="_Toc25198"/>
      <w:r>
        <w:rPr>
          <w:rFonts w:hint="eastAsia" w:ascii="宋体" w:hAnsi="宋体" w:eastAsia="宋体" w:cs="宋体"/>
          <w:b/>
          <w:bCs/>
          <w:color w:val="auto"/>
          <w:sz w:val="24"/>
          <w:highlight w:val="none"/>
        </w:rPr>
        <w:t>2.15 通知和送达</w:t>
      </w:r>
      <w:bookmarkEnd w:id="380"/>
      <w:bookmarkEnd w:id="381"/>
      <w:bookmarkEnd w:id="382"/>
      <w:bookmarkEnd w:id="383"/>
      <w:bookmarkEnd w:id="384"/>
    </w:p>
    <w:p>
      <w:pPr>
        <w:spacing w:line="560" w:lineRule="exact"/>
        <w:ind w:firstLine="480" w:firstLineChars="200"/>
        <w:rPr>
          <w:rFonts w:hint="eastAsia" w:ascii="宋体" w:hAnsi="宋体" w:eastAsia="宋体" w:cs="宋体"/>
          <w:color w:val="auto"/>
          <w:sz w:val="24"/>
          <w:highlight w:val="none"/>
        </w:rPr>
      </w:pPr>
      <w:bookmarkStart w:id="385" w:name="_Toc29220"/>
      <w:bookmarkStart w:id="386" w:name="_Toc7073"/>
      <w:r>
        <w:rPr>
          <w:rFonts w:hint="eastAsia" w:ascii="宋体" w:hAnsi="宋体" w:eastAsia="宋体" w:cs="宋体"/>
          <w:color w:val="auto"/>
          <w:sz w:val="24"/>
          <w:highlight w:val="none"/>
        </w:rPr>
        <w:t>2.15.1 任何一方因履行合同而以合同第一部分尾部所列明的所有通知、文件、材料，均视为已向对方当事人送达；任何一方变更上述送达方式或者地址的，应于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385"/>
      <w:bookmarkEnd w:id="386"/>
    </w:p>
    <w:p>
      <w:pPr>
        <w:spacing w:line="560" w:lineRule="exact"/>
        <w:ind w:firstLine="480" w:firstLineChars="200"/>
        <w:rPr>
          <w:rFonts w:hint="eastAsia" w:ascii="宋体" w:hAnsi="宋体" w:eastAsia="宋体" w:cs="宋体"/>
          <w:color w:val="auto"/>
          <w:sz w:val="24"/>
          <w:highlight w:val="none"/>
        </w:rPr>
      </w:pPr>
      <w:bookmarkStart w:id="387" w:name="_Toc18401"/>
      <w:bookmarkStart w:id="388" w:name="_Toc27674"/>
      <w:r>
        <w:rPr>
          <w:rFonts w:hint="eastAsia" w:ascii="宋体" w:hAnsi="宋体" w:eastAsia="宋体" w:cs="宋体"/>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7"/>
      <w:bookmarkEnd w:id="388"/>
    </w:p>
    <w:p>
      <w:pPr>
        <w:spacing w:line="560" w:lineRule="exact"/>
        <w:ind w:firstLine="482" w:firstLineChars="200"/>
        <w:outlineLvl w:val="0"/>
        <w:rPr>
          <w:rFonts w:hint="eastAsia" w:ascii="宋体" w:hAnsi="宋体" w:eastAsia="宋体" w:cs="宋体"/>
          <w:b/>
          <w:bCs/>
          <w:color w:val="auto"/>
          <w:sz w:val="24"/>
          <w:highlight w:val="none"/>
        </w:rPr>
      </w:pPr>
      <w:bookmarkStart w:id="389" w:name="_Toc5063"/>
      <w:bookmarkStart w:id="390" w:name="_Toc27644"/>
      <w:bookmarkStart w:id="391" w:name="_Toc12254"/>
      <w:bookmarkStart w:id="392" w:name="_Toc20808"/>
      <w:bookmarkStart w:id="393" w:name="_Toc28906"/>
      <w:r>
        <w:rPr>
          <w:rFonts w:hint="eastAsia" w:ascii="宋体" w:hAnsi="宋体" w:eastAsia="宋体" w:cs="宋体"/>
          <w:b/>
          <w:bCs/>
          <w:color w:val="auto"/>
          <w:sz w:val="24"/>
          <w:highlight w:val="none"/>
        </w:rPr>
        <w:t>2.16 合同使用的文字和适用的法律</w:t>
      </w:r>
      <w:bookmarkEnd w:id="389"/>
      <w:bookmarkEnd w:id="390"/>
      <w:bookmarkEnd w:id="391"/>
      <w:bookmarkEnd w:id="392"/>
      <w:bookmarkEnd w:id="39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合同使用汉语书就、变更和解释；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 合同适用中华人民共和国法律。</w:t>
      </w:r>
    </w:p>
    <w:p>
      <w:pPr>
        <w:spacing w:line="560" w:lineRule="exact"/>
        <w:ind w:firstLine="482" w:firstLineChars="200"/>
        <w:outlineLvl w:val="0"/>
        <w:rPr>
          <w:rFonts w:hint="eastAsia" w:ascii="宋体" w:hAnsi="宋体" w:eastAsia="宋体" w:cs="宋体"/>
          <w:b/>
          <w:bCs/>
          <w:color w:val="auto"/>
          <w:sz w:val="24"/>
          <w:highlight w:val="none"/>
        </w:rPr>
      </w:pPr>
      <w:bookmarkStart w:id="394" w:name="_Toc1492"/>
      <w:bookmarkStart w:id="395" w:name="_Toc30096"/>
      <w:bookmarkStart w:id="396" w:name="_Toc27127"/>
      <w:bookmarkStart w:id="397" w:name="_Toc27403"/>
      <w:bookmarkStart w:id="398" w:name="_Toc22266"/>
      <w:r>
        <w:rPr>
          <w:rFonts w:hint="eastAsia" w:ascii="宋体" w:hAnsi="宋体" w:eastAsia="宋体" w:cs="宋体"/>
          <w:b/>
          <w:bCs/>
          <w:color w:val="auto"/>
          <w:sz w:val="24"/>
          <w:highlight w:val="none"/>
        </w:rPr>
        <w:t>2.17 履约保证金</w:t>
      </w:r>
      <w:bookmarkEnd w:id="394"/>
      <w:bookmarkEnd w:id="395"/>
      <w:bookmarkEnd w:id="396"/>
      <w:bookmarkEnd w:id="397"/>
      <w:bookmarkEnd w:id="39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采购文件要求乙方提交履约保证金的，乙方应按合同金额的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2.18 合同份数</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合同一式四份，甲乙双方各持2份，每份均具有同等法律效力。</w:t>
      </w:r>
    </w:p>
    <w:p>
      <w:pPr>
        <w:pStyle w:val="20"/>
        <w:rPr>
          <w:rFonts w:hint="eastAsia" w:ascii="宋体" w:hAnsi="宋体" w:eastAsia="宋体" w:cs="宋体"/>
          <w:color w:val="auto"/>
          <w:sz w:val="28"/>
          <w:szCs w:val="21"/>
          <w:highlight w:val="none"/>
        </w:rPr>
      </w:pPr>
    </w:p>
    <w:p>
      <w:pPr>
        <w:pStyle w:val="20"/>
        <w:rPr>
          <w:rFonts w:hint="eastAsia" w:ascii="宋体" w:hAnsi="宋体" w:eastAsia="宋体" w:cs="宋体"/>
          <w:color w:val="auto"/>
          <w:kern w:val="44"/>
          <w:sz w:val="28"/>
          <w:szCs w:val="28"/>
          <w:highlight w:val="none"/>
        </w:rPr>
      </w:pPr>
      <w:r>
        <w:rPr>
          <w:rFonts w:hint="eastAsia" w:ascii="宋体" w:hAnsi="宋体" w:eastAsia="宋体" w:cs="宋体"/>
          <w:b/>
          <w:bCs/>
          <w:color w:val="auto"/>
          <w:kern w:val="2"/>
          <w:sz w:val="32"/>
          <w:szCs w:val="32"/>
          <w:highlight w:val="none"/>
        </w:rPr>
        <w:t>（本合同仅供参考）</w:t>
      </w:r>
    </w:p>
    <w:p>
      <w:pPr>
        <w:pStyle w:val="71"/>
        <w:ind w:firstLine="560"/>
        <w:rPr>
          <w:rFonts w:hint="eastAsia" w:ascii="宋体" w:hAnsi="宋体" w:eastAsia="宋体" w:cs="宋体"/>
          <w:color w:val="auto"/>
          <w:kern w:val="44"/>
          <w:sz w:val="28"/>
          <w:szCs w:val="28"/>
          <w:highlight w:val="none"/>
        </w:rPr>
      </w:pPr>
    </w:p>
    <w:p>
      <w:pPr>
        <w:pStyle w:val="70"/>
        <w:tabs>
          <w:tab w:val="left" w:pos="567"/>
        </w:tabs>
        <w:ind w:firstLine="560"/>
        <w:rPr>
          <w:rFonts w:hint="eastAsia" w:ascii="宋体" w:hAnsi="宋体" w:eastAsia="宋体" w:cs="宋体"/>
          <w:color w:val="auto"/>
          <w:kern w:val="44"/>
          <w:sz w:val="28"/>
          <w:szCs w:val="28"/>
          <w:highlight w:val="none"/>
        </w:rPr>
      </w:pPr>
    </w:p>
    <w:p>
      <w:pPr>
        <w:pStyle w:val="71"/>
        <w:ind w:firstLine="560"/>
        <w:rPr>
          <w:rFonts w:hint="eastAsia" w:ascii="宋体" w:hAnsi="宋体" w:eastAsia="宋体" w:cs="宋体"/>
          <w:color w:val="auto"/>
          <w:kern w:val="44"/>
          <w:sz w:val="28"/>
          <w:szCs w:val="28"/>
          <w:highlight w:val="none"/>
        </w:rPr>
      </w:pPr>
    </w:p>
    <w:p>
      <w:pPr>
        <w:spacing w:line="360" w:lineRule="auto"/>
        <w:ind w:firstLine="56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kern w:val="2"/>
          <w:sz w:val="28"/>
          <w:szCs w:val="28"/>
          <w:highlight w:val="none"/>
          <w:lang w:val="en-US" w:eastAsia="zh-CN" w:bidi="ar-SA"/>
        </w:rPr>
        <w:t>第六章　投标文件格式</w:t>
      </w:r>
      <w:bookmarkEnd w:id="286"/>
      <w:bookmarkEnd w:id="287"/>
      <w:bookmarkEnd w:id="288"/>
      <w:bookmarkEnd w:id="289"/>
      <w:bookmarkEnd w:id="290"/>
    </w:p>
    <w:p>
      <w:pPr>
        <w:adjustRightInd w:val="0"/>
        <w:spacing w:line="360" w:lineRule="auto"/>
        <w:rPr>
          <w:rFonts w:hint="eastAsia" w:ascii="宋体" w:hAnsi="宋体" w:eastAsia="宋体" w:cs="宋体"/>
          <w:color w:val="auto"/>
          <w:szCs w:val="24"/>
          <w:highlight w:val="none"/>
        </w:rPr>
      </w:pPr>
    </w:p>
    <w:p>
      <w:pPr>
        <w:spacing w:line="560" w:lineRule="exact"/>
        <w:ind w:firstLine="420" w:firstLineChars="200"/>
        <w:outlineLvl w:val="1"/>
        <w:rPr>
          <w:rFonts w:hint="eastAsia" w:ascii="宋体" w:hAnsi="宋体" w:eastAsia="宋体" w:cs="宋体"/>
          <w:color w:val="auto"/>
          <w:kern w:val="2"/>
          <w:sz w:val="21"/>
          <w:szCs w:val="24"/>
          <w:highlight w:val="none"/>
          <w:lang w:val="en-US" w:eastAsia="zh-CN" w:bidi="ar-SA"/>
        </w:rPr>
      </w:pPr>
      <w:bookmarkStart w:id="399" w:name="_Toc23594"/>
      <w:r>
        <w:rPr>
          <w:rFonts w:hint="eastAsia" w:ascii="宋体" w:hAnsi="宋体" w:eastAsia="宋体" w:cs="宋体"/>
          <w:color w:val="auto"/>
          <w:kern w:val="2"/>
          <w:sz w:val="21"/>
          <w:szCs w:val="24"/>
          <w:highlight w:val="none"/>
          <w:lang w:val="en-US" w:eastAsia="zh-CN" w:bidi="ar-SA"/>
        </w:rPr>
        <w:t>一、投标人提交投标文件须知：</w:t>
      </w:r>
      <w:bookmarkEnd w:id="399"/>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bookmarkStart w:id="400" w:name="_Toc23205"/>
      <w:r>
        <w:rPr>
          <w:rFonts w:hint="eastAsia" w:ascii="宋体" w:hAnsi="宋体" w:eastAsia="宋体" w:cs="宋体"/>
          <w:color w:val="auto"/>
          <w:kern w:val="2"/>
          <w:sz w:val="21"/>
          <w:szCs w:val="24"/>
          <w:highlight w:val="none"/>
          <w:lang w:val="en-US" w:eastAsia="zh-CN" w:bidi="ar-SA"/>
        </w:rPr>
        <w:t>2、所附表格中要求回答的全部问题和/或信息都必须正面回答。</w:t>
      </w:r>
      <w:bookmarkEnd w:id="400"/>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bookmarkStart w:id="401" w:name="_Toc8067"/>
      <w:r>
        <w:rPr>
          <w:rFonts w:hint="eastAsia" w:ascii="宋体" w:hAnsi="宋体" w:eastAsia="宋体" w:cs="宋体"/>
          <w:color w:val="auto"/>
          <w:kern w:val="2"/>
          <w:sz w:val="21"/>
          <w:szCs w:val="24"/>
          <w:highlight w:val="none"/>
          <w:lang w:val="en-US" w:eastAsia="zh-CN" w:bidi="ar-SA"/>
        </w:rPr>
        <w:t>5、投标人提交的材料将在一定期限内被保密保存，但不退还。</w:t>
      </w:r>
      <w:bookmarkEnd w:id="401"/>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bookmarkStart w:id="402" w:name="_Toc2253"/>
    </w:p>
    <w:p>
      <w:pPr>
        <w:spacing w:line="360" w:lineRule="auto"/>
        <w:jc w:val="center"/>
        <w:outlineLvl w:val="1"/>
        <w:rPr>
          <w:rFonts w:hint="eastAsia" w:ascii="宋体" w:hAnsi="宋体" w:eastAsia="宋体" w:cs="宋体"/>
          <w:color w:val="auto"/>
          <w:sz w:val="48"/>
          <w:szCs w:val="48"/>
          <w:highlight w:val="none"/>
        </w:rPr>
      </w:pPr>
      <w:bookmarkStart w:id="403" w:name="_Toc17130"/>
      <w:bookmarkStart w:id="404" w:name="_Toc23960"/>
      <w:r>
        <w:rPr>
          <w:rFonts w:hint="eastAsia" w:ascii="宋体" w:hAnsi="宋体" w:eastAsia="宋体" w:cs="宋体"/>
          <w:color w:val="auto"/>
          <w:sz w:val="48"/>
          <w:szCs w:val="48"/>
          <w:highlight w:val="none"/>
        </w:rPr>
        <w:t>(项目</w:t>
      </w:r>
      <w:r>
        <w:rPr>
          <w:rFonts w:hint="eastAsia" w:ascii="宋体" w:hAnsi="宋体" w:eastAsia="宋体" w:cs="宋体"/>
          <w:color w:val="auto"/>
          <w:sz w:val="48"/>
          <w:szCs w:val="48"/>
          <w:highlight w:val="none"/>
          <w:lang w:eastAsia="zh-CN"/>
        </w:rPr>
        <w:t>、标段</w:t>
      </w:r>
      <w:r>
        <w:rPr>
          <w:rFonts w:hint="eastAsia" w:ascii="宋体" w:hAnsi="宋体" w:eastAsia="宋体" w:cs="宋体"/>
          <w:color w:val="auto"/>
          <w:sz w:val="48"/>
          <w:szCs w:val="48"/>
          <w:highlight w:val="none"/>
        </w:rPr>
        <w:t>名称)项目</w:t>
      </w:r>
      <w:bookmarkEnd w:id="402"/>
      <w:bookmarkEnd w:id="403"/>
      <w:bookmarkEnd w:id="404"/>
    </w:p>
    <w:p>
      <w:pPr>
        <w:spacing w:line="360" w:lineRule="auto"/>
        <w:jc w:val="center"/>
        <w:outlineLvl w:val="9"/>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bookmarkStart w:id="405" w:name="_Toc24951"/>
      <w:r>
        <w:rPr>
          <w:rFonts w:hint="eastAsia" w:ascii="宋体" w:hAnsi="宋体" w:eastAsia="宋体" w:cs="宋体"/>
          <w:color w:val="auto"/>
          <w:sz w:val="32"/>
          <w:highlight w:val="none"/>
        </w:rPr>
        <w:t>项目编号：</w:t>
      </w:r>
      <w:bookmarkEnd w:id="405"/>
    </w:p>
    <w:p>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bookmarkStart w:id="406" w:name="_Toc1683"/>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年</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月</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日</w:t>
      </w:r>
      <w:bookmarkEnd w:id="406"/>
    </w:p>
    <w:p>
      <w:pPr>
        <w:adjustRightInd w:val="0"/>
        <w:snapToGrid w:val="0"/>
        <w:jc w:val="center"/>
        <w:outlineLvl w:val="9"/>
        <w:rPr>
          <w:rFonts w:hint="eastAsia" w:ascii="宋体" w:hAnsi="宋体" w:eastAsia="宋体" w:cs="宋体"/>
          <w:b/>
          <w:color w:val="auto"/>
          <w:sz w:val="44"/>
          <w:szCs w:val="44"/>
          <w:highlight w:val="none"/>
        </w:rPr>
      </w:pPr>
    </w:p>
    <w:p>
      <w:pPr>
        <w:widowControl/>
        <w:spacing w:line="24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44"/>
          <w:szCs w:val="44"/>
          <w:highlight w:val="none"/>
        </w:rPr>
        <w:br w:type="page"/>
      </w:r>
    </w:p>
    <w:p>
      <w:pPr>
        <w:jc w:val="center"/>
        <w:rPr>
          <w:rFonts w:hint="eastAsia" w:ascii="宋体" w:hAnsi="宋体" w:eastAsia="宋体" w:cs="宋体"/>
          <w:b/>
          <w:bCs/>
          <w:color w:val="auto"/>
          <w:sz w:val="32"/>
          <w:szCs w:val="44"/>
          <w:highlight w:val="none"/>
          <w:lang w:val="en-US" w:eastAsia="zh-CN"/>
        </w:rPr>
      </w:pPr>
      <w:r>
        <w:rPr>
          <w:rFonts w:hint="eastAsia" w:ascii="宋体" w:hAnsi="宋体" w:eastAsia="宋体" w:cs="宋体"/>
          <w:b/>
          <w:bCs/>
          <w:color w:val="auto"/>
          <w:sz w:val="32"/>
          <w:szCs w:val="44"/>
          <w:highlight w:val="none"/>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spacing w:line="30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9、拟派驻的技术/服务人员的社保证明扫描件（社保缴纳个人明细）；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尚在处罚期内的)、经营异常名录的，将拒绝其参与本次政府釆购活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color w:val="auto"/>
          <w:highlight w:val="none"/>
          <w:lang w:val="en-US" w:eastAsia="zh-CN"/>
        </w:rPr>
      </w:pPr>
      <w:bookmarkStart w:id="407" w:name="_Toc16907"/>
      <w:r>
        <w:rPr>
          <w:rFonts w:hint="eastAsia" w:ascii="宋体" w:hAnsi="宋体" w:eastAsia="宋体" w:cs="宋体"/>
          <w:color w:val="auto"/>
          <w:highlight w:val="none"/>
          <w:lang w:val="en-US" w:eastAsia="zh-CN"/>
        </w:rPr>
        <w:t>12、投标保证金打款凭证；</w:t>
      </w:r>
      <w:bookmarkEnd w:id="407"/>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16、中小企业声明函</w:t>
      </w:r>
      <w:r>
        <w:rPr>
          <w:rFonts w:hint="eastAsia" w:ascii="宋体" w:hAnsi="宋体" w:eastAsia="宋体" w:cs="宋体"/>
          <w:color w:val="auto"/>
          <w:highlight w:val="none"/>
        </w:rPr>
        <w:t>；</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对本次</w:t>
      </w:r>
      <w:r>
        <w:rPr>
          <w:rFonts w:hint="eastAsia" w:ascii="宋体" w:hAnsi="宋体" w:eastAsia="宋体" w:cs="宋体"/>
          <w:color w:val="auto"/>
          <w:highlight w:val="none"/>
          <w:lang w:val="en-US" w:eastAsia="zh-CN"/>
        </w:rPr>
        <w:t>投标项目的技术方案</w:t>
      </w:r>
      <w:r>
        <w:rPr>
          <w:rFonts w:hint="eastAsia" w:ascii="宋体" w:hAnsi="宋体" w:eastAsia="宋体" w:cs="宋体"/>
          <w:color w:val="auto"/>
          <w:highlight w:val="none"/>
        </w:rPr>
        <w:t>(投标人视需要自行编写)；</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19、服务承诺书</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其他有利于投标人的资料（如有）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注：1、投标文件必须制作有目录和页码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bookmarkStart w:id="408" w:name="_Toc26933"/>
      <w:r>
        <w:rPr>
          <w:rFonts w:hint="eastAsia" w:ascii="宋体" w:hAnsi="宋体" w:eastAsia="宋体" w:cs="宋体"/>
          <w:color w:val="auto"/>
          <w:highlight w:val="none"/>
          <w:lang w:val="en-US" w:eastAsia="zh-CN"/>
        </w:rPr>
        <w:t>2、只接受A4纸张大小的投标文件</w:t>
      </w:r>
      <w:bookmarkEnd w:id="408"/>
    </w:p>
    <w:p>
      <w:pPr>
        <w:spacing w:line="300" w:lineRule="auto"/>
        <w:rPr>
          <w:rFonts w:hint="eastAsia" w:ascii="宋体" w:hAnsi="宋体" w:eastAsia="宋体" w:cs="宋体"/>
          <w:color w:val="auto"/>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highlight w:val="none"/>
          <w:lang w:val="en-US" w:eastAsia="zh-CN"/>
        </w:rPr>
        <w:t xml:space="preserve">投标文件严格按要求制作   </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7"/>
        <w:rPr>
          <w:rFonts w:hint="eastAsia" w:ascii="宋体" w:hAnsi="宋体" w:eastAsia="宋体" w:cs="宋体"/>
          <w:color w:val="auto"/>
          <w:highlight w:val="none"/>
          <w:lang w:val="en-US" w:eastAsia="zh-CN"/>
        </w:rPr>
      </w:pPr>
    </w:p>
    <w:p>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pPr>
        <w:pStyle w:val="173"/>
        <w:numPr>
          <w:ilvl w:val="0"/>
          <w:numId w:val="0"/>
        </w:numPr>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招标人：</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我们收到你们的</w:t>
      </w:r>
      <w:r>
        <w:rPr>
          <w:rFonts w:hint="eastAsia" w:ascii="宋体" w:hAnsi="宋体" w:eastAsia="宋体" w:cs="宋体"/>
          <w:color w:val="auto"/>
          <w:sz w:val="21"/>
          <w:szCs w:val="22"/>
          <w:highlight w:val="none"/>
          <w:u w:val="single"/>
        </w:rPr>
        <w:t xml:space="preserve">     （项目名称）     （项目编号：  号）</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文件，经认真研究，我们决定参加本次</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活动。</w:t>
      </w:r>
    </w:p>
    <w:p>
      <w:pPr>
        <w:numPr>
          <w:ilvl w:val="0"/>
          <w:numId w:val="13"/>
        </w:numPr>
        <w:adjustRightInd w:val="0"/>
        <w:snapToGrid w:val="0"/>
        <w:spacing w:line="360" w:lineRule="auto"/>
        <w:ind w:firstLine="420" w:firstLineChars="200"/>
        <w:outlineLvl w:val="2"/>
        <w:rPr>
          <w:rFonts w:hint="eastAsia" w:ascii="宋体" w:hAnsi="宋体" w:eastAsia="宋体" w:cs="宋体"/>
          <w:color w:val="auto"/>
          <w:sz w:val="21"/>
          <w:szCs w:val="22"/>
          <w:highlight w:val="none"/>
        </w:rPr>
      </w:pPr>
      <w:bookmarkStart w:id="409" w:name="_Toc15514"/>
      <w:r>
        <w:rPr>
          <w:rFonts w:hint="eastAsia" w:ascii="宋体" w:hAnsi="宋体" w:eastAsia="宋体" w:cs="宋体"/>
          <w:color w:val="auto"/>
          <w:sz w:val="21"/>
          <w:szCs w:val="22"/>
          <w:highlight w:val="none"/>
        </w:rPr>
        <w:t>按照</w:t>
      </w:r>
      <w:r>
        <w:rPr>
          <w:rFonts w:hint="eastAsia" w:ascii="宋体" w:hAnsi="宋体" w:eastAsia="宋体" w:cs="宋体"/>
          <w:color w:val="auto"/>
          <w:sz w:val="21"/>
          <w:szCs w:val="22"/>
          <w:highlight w:val="none"/>
          <w:lang w:eastAsia="zh-CN"/>
        </w:rPr>
        <w:t>招标文件</w:t>
      </w:r>
      <w:r>
        <w:rPr>
          <w:rFonts w:hint="eastAsia" w:ascii="宋体" w:hAnsi="宋体" w:eastAsia="宋体" w:cs="宋体"/>
          <w:color w:val="auto"/>
          <w:sz w:val="21"/>
          <w:szCs w:val="22"/>
          <w:highlight w:val="none"/>
        </w:rPr>
        <w:t>中的一切要求，提供招标的相关服务。</w:t>
      </w:r>
      <w:bookmarkEnd w:id="409"/>
    </w:p>
    <w:p>
      <w:pPr>
        <w:numPr>
          <w:ilvl w:val="0"/>
          <w:numId w:val="0"/>
        </w:numPr>
        <w:adjustRightInd w:val="0"/>
        <w:snapToGrid w:val="0"/>
        <w:spacing w:line="360" w:lineRule="auto"/>
        <w:rPr>
          <w:rFonts w:hint="eastAsia" w:ascii="宋体" w:hAnsi="宋体" w:eastAsia="宋体" w:cs="宋体"/>
          <w:b/>
          <w:bCs/>
          <w:color w:val="auto"/>
          <w:sz w:val="21"/>
          <w:szCs w:val="22"/>
          <w:highlight w:val="none"/>
        </w:rPr>
      </w:pPr>
      <w:r>
        <w:rPr>
          <w:rFonts w:hint="eastAsia" w:ascii="宋体" w:hAnsi="宋体" w:eastAsia="宋体" w:cs="宋体"/>
          <w:b/>
          <w:bCs/>
          <w:color w:val="auto"/>
          <w:sz w:val="21"/>
          <w:szCs w:val="22"/>
          <w:highlight w:val="none"/>
          <w:lang w:val="en-US" w:eastAsia="zh-CN"/>
        </w:rPr>
        <w:t>小写：</w:t>
      </w:r>
      <w:r>
        <w:rPr>
          <w:rFonts w:hint="eastAsia" w:ascii="宋体" w:hAnsi="宋体" w:eastAsia="宋体" w:cs="宋体"/>
          <w:b/>
          <w:bCs/>
          <w:color w:val="auto"/>
          <w:sz w:val="21"/>
          <w:szCs w:val="22"/>
          <w:highlight w:val="none"/>
          <w:u w:val="single"/>
        </w:rPr>
        <w:t xml:space="preserve">        </w:t>
      </w:r>
      <w:r>
        <w:rPr>
          <w:rFonts w:hint="eastAsia" w:ascii="宋体" w:hAnsi="宋体" w:eastAsia="宋体" w:cs="宋体"/>
          <w:b/>
          <w:bCs/>
          <w:color w:val="auto"/>
          <w:sz w:val="21"/>
          <w:szCs w:val="22"/>
          <w:highlight w:val="none"/>
          <w:u w:val="single"/>
          <w:lang w:val="en-US" w:eastAsia="zh-CN"/>
        </w:rPr>
        <w:t xml:space="preserve">         </w:t>
      </w:r>
      <w:r>
        <w:rPr>
          <w:rFonts w:hint="eastAsia" w:ascii="宋体" w:hAnsi="宋体" w:eastAsia="宋体" w:cs="宋体"/>
          <w:b/>
          <w:bCs/>
          <w:color w:val="auto"/>
          <w:sz w:val="21"/>
          <w:szCs w:val="22"/>
          <w:highlight w:val="none"/>
          <w:u w:val="single"/>
        </w:rPr>
        <w:t xml:space="preserve">    </w:t>
      </w:r>
      <w:r>
        <w:rPr>
          <w:rFonts w:hint="eastAsia" w:ascii="宋体" w:hAnsi="宋体" w:eastAsia="宋体" w:cs="宋体"/>
          <w:b/>
          <w:bCs/>
          <w:color w:val="auto"/>
          <w:sz w:val="21"/>
          <w:szCs w:val="22"/>
          <w:highlight w:val="none"/>
        </w:rPr>
        <w:t>元</w:t>
      </w:r>
    </w:p>
    <w:p>
      <w:pPr>
        <w:adjustRightInd w:val="0"/>
        <w:snapToGrid w:val="0"/>
        <w:spacing w:line="360" w:lineRule="auto"/>
        <w:rPr>
          <w:rFonts w:hint="eastAsia" w:ascii="宋体" w:hAnsi="宋体" w:eastAsia="宋体" w:cs="宋体"/>
          <w:b/>
          <w:bCs/>
          <w:color w:val="auto"/>
          <w:sz w:val="21"/>
          <w:szCs w:val="22"/>
          <w:highlight w:val="none"/>
        </w:rPr>
      </w:pPr>
      <w:r>
        <w:rPr>
          <w:rFonts w:hint="eastAsia" w:ascii="宋体" w:hAnsi="宋体" w:eastAsia="宋体" w:cs="宋体"/>
          <w:b/>
          <w:bCs/>
          <w:color w:val="auto"/>
          <w:sz w:val="21"/>
          <w:szCs w:val="22"/>
          <w:highlight w:val="none"/>
        </w:rPr>
        <w:t>大写：</w:t>
      </w:r>
      <w:r>
        <w:rPr>
          <w:rFonts w:hint="eastAsia" w:ascii="宋体" w:hAnsi="宋体" w:eastAsia="宋体" w:cs="宋体"/>
          <w:b/>
          <w:bCs/>
          <w:color w:val="auto"/>
          <w:sz w:val="21"/>
          <w:szCs w:val="22"/>
          <w:highlight w:val="none"/>
          <w:u w:val="single"/>
        </w:rPr>
        <w:t xml:space="preserve">                </w:t>
      </w:r>
      <w:r>
        <w:rPr>
          <w:rFonts w:hint="eastAsia" w:ascii="宋体" w:hAnsi="宋体" w:eastAsia="宋体" w:cs="宋体"/>
          <w:b/>
          <w:bCs/>
          <w:color w:val="auto"/>
          <w:sz w:val="21"/>
          <w:szCs w:val="22"/>
          <w:highlight w:val="none"/>
          <w:u w:val="single"/>
          <w:lang w:val="en-US" w:eastAsia="zh-CN"/>
        </w:rPr>
        <w:t xml:space="preserve">  </w:t>
      </w:r>
      <w:r>
        <w:rPr>
          <w:rFonts w:hint="eastAsia" w:ascii="宋体" w:hAnsi="宋体" w:eastAsia="宋体" w:cs="宋体"/>
          <w:b/>
          <w:bCs/>
          <w:color w:val="auto"/>
          <w:sz w:val="21"/>
          <w:szCs w:val="22"/>
          <w:highlight w:val="none"/>
          <w:u w:val="single"/>
        </w:rPr>
        <w:t xml:space="preserve">   </w:t>
      </w:r>
      <w:r>
        <w:rPr>
          <w:rFonts w:hint="eastAsia" w:ascii="宋体" w:hAnsi="宋体" w:eastAsia="宋体" w:cs="宋体"/>
          <w:b/>
          <w:bCs/>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2、如果我们的投标文件被接受，我们将履行</w:t>
      </w:r>
      <w:r>
        <w:rPr>
          <w:rFonts w:hint="eastAsia" w:ascii="宋体" w:hAnsi="宋体" w:eastAsia="宋体" w:cs="宋体"/>
          <w:color w:val="auto"/>
          <w:sz w:val="21"/>
          <w:szCs w:val="22"/>
          <w:highlight w:val="none"/>
          <w:lang w:eastAsia="zh-CN"/>
        </w:rPr>
        <w:t>招标文件</w:t>
      </w:r>
      <w:r>
        <w:rPr>
          <w:rFonts w:hint="eastAsia" w:ascii="宋体" w:hAnsi="宋体" w:eastAsia="宋体" w:cs="宋体"/>
          <w:color w:val="auto"/>
          <w:sz w:val="21"/>
          <w:szCs w:val="22"/>
          <w:highlight w:val="none"/>
        </w:rPr>
        <w:t>中规定的每一项义务和要求，按期、按质、按量完成</w:t>
      </w:r>
      <w:r>
        <w:rPr>
          <w:rFonts w:hint="eastAsia" w:ascii="宋体" w:hAnsi="宋体" w:eastAsia="宋体" w:cs="宋体"/>
          <w:color w:val="auto"/>
          <w:sz w:val="21"/>
          <w:szCs w:val="22"/>
          <w:highlight w:val="none"/>
          <w:lang w:val="en-US" w:eastAsia="zh-CN"/>
        </w:rPr>
        <w:t>本次服务</w:t>
      </w:r>
      <w:r>
        <w:rPr>
          <w:rFonts w:hint="eastAsia" w:ascii="宋体" w:hAnsi="宋体" w:eastAsia="宋体" w:cs="宋体"/>
          <w:color w:val="auto"/>
          <w:sz w:val="21"/>
          <w:szCs w:val="22"/>
          <w:highlight w:val="none"/>
        </w:rPr>
        <w:t>。</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3、我们同意按</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文件的规定，本投标文件的有效期为开标后</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天。</w:t>
      </w:r>
    </w:p>
    <w:p>
      <w:pPr>
        <w:adjustRightInd w:val="0"/>
        <w:snapToGrid w:val="0"/>
        <w:spacing w:line="360" w:lineRule="auto"/>
        <w:ind w:firstLine="420" w:firstLineChars="200"/>
        <w:outlineLvl w:val="2"/>
        <w:rPr>
          <w:rFonts w:hint="eastAsia" w:ascii="宋体" w:hAnsi="宋体" w:eastAsia="宋体" w:cs="宋体"/>
          <w:color w:val="auto"/>
          <w:sz w:val="21"/>
          <w:szCs w:val="22"/>
          <w:highlight w:val="none"/>
        </w:rPr>
      </w:pPr>
      <w:bookmarkStart w:id="410" w:name="_Toc29996"/>
      <w:r>
        <w:rPr>
          <w:rFonts w:hint="eastAsia" w:ascii="宋体" w:hAnsi="宋体" w:eastAsia="宋体" w:cs="宋体"/>
          <w:color w:val="auto"/>
          <w:sz w:val="21"/>
          <w:szCs w:val="22"/>
          <w:highlight w:val="none"/>
        </w:rPr>
        <w:t>4、我们愿意提供招标人在</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文件中要求的所有资料。</w:t>
      </w:r>
      <w:bookmarkEnd w:id="410"/>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5、我们认为你们有选择或拒绝任何投标者中标的权力。我们理解，最低报价不是中标的唯一条件。</w:t>
      </w:r>
    </w:p>
    <w:p>
      <w:pPr>
        <w:adjustRightInd w:val="0"/>
        <w:snapToGrid w:val="0"/>
        <w:spacing w:line="360" w:lineRule="auto"/>
        <w:ind w:firstLine="420" w:firstLineChars="200"/>
        <w:outlineLvl w:val="2"/>
        <w:rPr>
          <w:rFonts w:hint="eastAsia" w:ascii="宋体" w:hAnsi="宋体" w:eastAsia="宋体" w:cs="宋体"/>
          <w:color w:val="auto"/>
          <w:sz w:val="21"/>
          <w:szCs w:val="22"/>
          <w:highlight w:val="none"/>
        </w:rPr>
      </w:pPr>
      <w:bookmarkStart w:id="411" w:name="_Toc19169"/>
      <w:r>
        <w:rPr>
          <w:rFonts w:hint="eastAsia" w:ascii="宋体" w:hAnsi="宋体" w:eastAsia="宋体" w:cs="宋体"/>
          <w:color w:val="auto"/>
          <w:sz w:val="21"/>
          <w:szCs w:val="22"/>
          <w:highlight w:val="none"/>
        </w:rPr>
        <w:t>6、我们愿按合同法履行自己的全部责任。</w:t>
      </w:r>
      <w:bookmarkEnd w:id="411"/>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7、我们愿意遵守国家有关规定和</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文件中规定的收费标准，承付中标服务费。</w:t>
      </w:r>
    </w:p>
    <w:p>
      <w:pPr>
        <w:adjustRightInd w:val="0"/>
        <w:snapToGrid w:val="0"/>
        <w:spacing w:line="360" w:lineRule="auto"/>
        <w:ind w:firstLine="420" w:firstLineChars="200"/>
        <w:outlineLvl w:val="2"/>
        <w:rPr>
          <w:rFonts w:hint="eastAsia" w:ascii="宋体" w:hAnsi="宋体" w:eastAsia="宋体" w:cs="宋体"/>
          <w:color w:val="auto"/>
          <w:sz w:val="21"/>
          <w:szCs w:val="22"/>
          <w:highlight w:val="none"/>
        </w:rPr>
      </w:pPr>
      <w:bookmarkStart w:id="412" w:name="_Toc17525"/>
      <w:r>
        <w:rPr>
          <w:rFonts w:hint="eastAsia" w:ascii="宋体" w:hAnsi="宋体" w:eastAsia="宋体" w:cs="宋体"/>
          <w:color w:val="auto"/>
          <w:sz w:val="21"/>
          <w:szCs w:val="22"/>
          <w:highlight w:val="none"/>
        </w:rPr>
        <w:t>8、该项投标在开标后的全过程中保持有效，不作任何更改和变动。</w:t>
      </w:r>
      <w:bookmarkEnd w:id="412"/>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9、我们同意按</w:t>
      </w:r>
      <w:r>
        <w:rPr>
          <w:rFonts w:hint="eastAsia" w:ascii="宋体" w:hAnsi="宋体" w:eastAsia="宋体" w:cs="宋体"/>
          <w:color w:val="auto"/>
          <w:sz w:val="21"/>
          <w:szCs w:val="22"/>
          <w:highlight w:val="none"/>
          <w:lang w:eastAsia="zh-CN"/>
        </w:rPr>
        <w:t>招标</w:t>
      </w:r>
      <w:r>
        <w:rPr>
          <w:rFonts w:hint="eastAsia" w:ascii="宋体" w:hAnsi="宋体" w:eastAsia="宋体" w:cs="宋体"/>
          <w:color w:val="auto"/>
          <w:sz w:val="21"/>
          <w:szCs w:val="22"/>
          <w:highlight w:val="none"/>
        </w:rPr>
        <w:t>文件规定，交纳</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元的投标保证金。</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10、其它说明。</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11、所有有关本标书的函电，请按下列地址联系：</w:t>
      </w:r>
    </w:p>
    <w:p>
      <w:pPr>
        <w:adjustRightInd w:val="0"/>
        <w:snapToGrid w:val="0"/>
        <w:spacing w:line="360" w:lineRule="auto"/>
        <w:ind w:firstLine="420" w:firstLineChars="2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投标单位：</w:t>
      </w:r>
      <w:r>
        <w:rPr>
          <w:rFonts w:hint="eastAsia" w:ascii="宋体" w:hAnsi="宋体" w:eastAsia="宋体" w:cs="宋体"/>
          <w:color w:val="auto"/>
          <w:sz w:val="21"/>
          <w:szCs w:val="22"/>
          <w:highlight w:val="none"/>
          <w:u w:val="none"/>
        </w:rPr>
        <w:t>（</w:t>
      </w:r>
      <w:r>
        <w:rPr>
          <w:rFonts w:hint="eastAsia" w:ascii="宋体" w:hAnsi="宋体" w:eastAsia="宋体" w:cs="宋体"/>
          <w:color w:val="auto"/>
          <w:sz w:val="21"/>
          <w:szCs w:val="22"/>
          <w:highlight w:val="none"/>
          <w:u w:val="none"/>
          <w:lang w:eastAsia="zh-CN"/>
        </w:rPr>
        <w:t>盖章</w:t>
      </w:r>
      <w:r>
        <w:rPr>
          <w:rFonts w:hint="eastAsia" w:ascii="宋体" w:hAnsi="宋体" w:eastAsia="宋体" w:cs="宋体"/>
          <w:color w:val="auto"/>
          <w:sz w:val="21"/>
          <w:szCs w:val="22"/>
          <w:highlight w:val="none"/>
          <w:u w:val="non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法定代表人（签字</w:t>
      </w:r>
      <w:r>
        <w:rPr>
          <w:rFonts w:hint="eastAsia" w:ascii="宋体" w:hAnsi="宋体" w:eastAsia="宋体" w:cs="宋体"/>
          <w:color w:val="auto"/>
          <w:sz w:val="21"/>
          <w:szCs w:val="22"/>
          <w:highlight w:val="none"/>
          <w:lang w:val="en-US" w:eastAsia="zh-CN"/>
        </w:rPr>
        <w:t>或</w:t>
      </w:r>
      <w:r>
        <w:rPr>
          <w:rFonts w:hint="eastAsia" w:ascii="宋体" w:hAnsi="宋体" w:eastAsia="宋体" w:cs="宋体"/>
          <w:color w:val="auto"/>
          <w:sz w:val="21"/>
          <w:szCs w:val="22"/>
          <w:highlight w:val="none"/>
        </w:rPr>
        <w:t>盖章）：</w:t>
      </w:r>
      <w:r>
        <w:rPr>
          <w:rFonts w:hint="eastAsia" w:ascii="宋体" w:hAnsi="宋体" w:eastAsia="宋体" w:cs="宋体"/>
          <w:color w:val="auto"/>
          <w:sz w:val="21"/>
          <w:szCs w:val="22"/>
          <w:highlight w:val="none"/>
          <w:u w:val="single"/>
          <w:lang w:val="en-US" w:eastAsia="zh-CN"/>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地址：</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auto"/>
          <w:sz w:val="18"/>
          <w:szCs w:val="21"/>
          <w:highlight w:val="none"/>
        </w:rPr>
      </w:pPr>
      <w:r>
        <w:rPr>
          <w:rFonts w:hint="eastAsia" w:ascii="宋体" w:hAnsi="宋体" w:eastAsia="宋体" w:cs="宋体"/>
          <w:color w:val="auto"/>
          <w:sz w:val="21"/>
          <w:szCs w:val="22"/>
          <w:highlight w:val="none"/>
        </w:rPr>
        <w:t>联系人：</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auto"/>
          <w:sz w:val="21"/>
          <w:szCs w:val="22"/>
          <w:highlight w:val="none"/>
        </w:rPr>
      </w:pPr>
      <w:r>
        <w:rPr>
          <w:rFonts w:hint="eastAsia" w:ascii="宋体" w:hAnsi="宋体" w:eastAsia="宋体" w:cs="宋体"/>
          <w:color w:val="auto"/>
          <w:sz w:val="21"/>
          <w:szCs w:val="22"/>
          <w:highlight w:val="none"/>
        </w:rPr>
        <w:t>电话：</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传真：</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rPr>
        <w:t>邮政编码：</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jc w:val="righ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日期：</w:t>
      </w:r>
      <w:r>
        <w:rPr>
          <w:rFonts w:hint="eastAsia" w:ascii="宋体" w:hAnsi="宋体" w:eastAsia="宋体" w:cs="宋体"/>
          <w:color w:val="auto"/>
          <w:sz w:val="21"/>
          <w:szCs w:val="22"/>
          <w:highlight w:val="none"/>
        </w:rPr>
        <w:t xml:space="preserve"> </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日</w:t>
      </w:r>
    </w:p>
    <w:p>
      <w:pPr>
        <w:pStyle w:val="20"/>
        <w:overflowPunct w:val="0"/>
        <w:snapToGrid w:val="0"/>
        <w:spacing w:line="360" w:lineRule="auto"/>
        <w:ind w:firstLine="0"/>
        <w:rPr>
          <w:rFonts w:hint="eastAsia" w:ascii="宋体" w:hAnsi="宋体" w:eastAsia="宋体" w:cs="宋体"/>
          <w:color w:val="auto"/>
          <w:sz w:val="21"/>
          <w:szCs w:val="21"/>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开标一览表</w:t>
      </w:r>
    </w:p>
    <w:p>
      <w:pPr>
        <w:pStyle w:val="90"/>
        <w:rPr>
          <w:rFonts w:hint="eastAsia" w:ascii="宋体" w:hAnsi="宋体" w:eastAsia="宋体" w:cs="宋体"/>
          <w:color w:val="auto"/>
          <w:highlight w:val="none"/>
        </w:rPr>
      </w:pPr>
    </w:p>
    <w:p>
      <w:pPr>
        <w:pStyle w:val="90"/>
        <w:rPr>
          <w:rFonts w:hint="eastAsia" w:ascii="宋体" w:hAnsi="宋体" w:eastAsia="宋体" w:cs="宋体"/>
          <w:color w:val="auto"/>
          <w:highlight w:val="none"/>
        </w:rPr>
      </w:pPr>
    </w:p>
    <w:p>
      <w:pPr>
        <w:spacing w:line="370" w:lineRule="auto"/>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val="en-US" w:eastAsia="zh-CN"/>
        </w:rPr>
        <w:t>项目名称：</w:t>
      </w:r>
      <w:r>
        <w:rPr>
          <w:rFonts w:hint="eastAsia" w:ascii="宋体" w:hAnsi="宋体" w:eastAsia="宋体" w:cs="宋体"/>
          <w:color w:val="auto"/>
          <w:sz w:val="21"/>
          <w:highlight w:val="none"/>
          <w:u w:val="single"/>
          <w:lang w:val="en-US" w:eastAsia="zh-CN"/>
        </w:rPr>
        <w:t xml:space="preserve">                                               </w:t>
      </w:r>
    </w:p>
    <w:p>
      <w:pPr>
        <w:spacing w:before="227" w:line="185" w:lineRule="auto"/>
        <w:ind w:firstLine="617"/>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z w:val="21"/>
          <w:szCs w:val="22"/>
          <w:highlight w:val="none"/>
        </w:rPr>
        <w:t>项目编号：</w:t>
      </w:r>
      <w:r>
        <w:rPr>
          <w:rFonts w:hint="eastAsia" w:ascii="宋体" w:hAnsi="宋体" w:eastAsia="宋体" w:cs="宋体"/>
          <w:color w:val="auto"/>
          <w:spacing w:val="1"/>
          <w:sz w:val="24"/>
          <w:szCs w:val="24"/>
          <w:highlight w:val="none"/>
          <w:u w:val="single" w:color="auto"/>
        </w:rPr>
        <w:t xml:space="preserve">                                          </w:t>
      </w:r>
    </w:p>
    <w:p>
      <w:pPr>
        <w:pStyle w:val="20"/>
        <w:rPr>
          <w:rFonts w:hint="eastAsia" w:ascii="宋体" w:hAnsi="宋体" w:eastAsia="宋体" w:cs="宋体"/>
          <w:color w:val="auto"/>
          <w:highlight w:val="none"/>
        </w:rPr>
      </w:pPr>
    </w:p>
    <w:tbl>
      <w:tblPr>
        <w:tblStyle w:val="72"/>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color w:val="auto"/>
                <w:sz w:val="24"/>
                <w:highlight w:val="none"/>
              </w:rPr>
            </w:pPr>
          </w:p>
        </w:tc>
      </w:tr>
    </w:tbl>
    <w:p>
      <w:pPr>
        <w:pStyle w:val="20"/>
        <w:rPr>
          <w:rFonts w:hint="eastAsia" w:ascii="宋体" w:hAnsi="宋体" w:eastAsia="宋体" w:cs="宋体"/>
          <w:color w:val="auto"/>
          <w:highlight w:val="none"/>
        </w:rPr>
      </w:pPr>
    </w:p>
    <w:p>
      <w:pPr>
        <w:spacing w:line="100" w:lineRule="exact"/>
        <w:rPr>
          <w:rFonts w:hint="eastAsia" w:ascii="宋体" w:hAnsi="宋体" w:eastAsia="宋体" w:cs="宋体"/>
          <w:color w:val="auto"/>
          <w:highlight w:val="none"/>
        </w:rPr>
      </w:pPr>
    </w:p>
    <w:p>
      <w:pPr>
        <w:adjustRightInd w:val="0"/>
        <w:snapToGrid w:val="0"/>
        <w:spacing w:line="360" w:lineRule="auto"/>
        <w:ind w:firstLine="420" w:firstLineChars="200"/>
        <w:rPr>
          <w:rFonts w:hint="eastAsia" w:ascii="宋体" w:hAnsi="宋体" w:eastAsia="宋体" w:cs="宋体"/>
          <w:color w:val="auto"/>
          <w:sz w:val="21"/>
          <w:szCs w:val="22"/>
          <w:highlight w:val="none"/>
        </w:rPr>
      </w:pPr>
    </w:p>
    <w:p>
      <w:pPr>
        <w:adjustRightInd w:val="0"/>
        <w:snapToGrid w:val="0"/>
        <w:spacing w:line="360" w:lineRule="auto"/>
        <w:ind w:firstLine="420" w:firstLineChars="200"/>
        <w:rPr>
          <w:rFonts w:hint="eastAsia" w:ascii="宋体" w:hAnsi="宋体" w:eastAsia="宋体" w:cs="宋体"/>
          <w:color w:val="auto"/>
          <w:sz w:val="21"/>
          <w:szCs w:val="22"/>
          <w:highlight w:val="none"/>
        </w:rPr>
      </w:pP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投标人名称（</w:t>
      </w:r>
      <w:r>
        <w:rPr>
          <w:rFonts w:hint="eastAsia" w:ascii="宋体" w:hAnsi="宋体" w:eastAsia="宋体" w:cs="宋体"/>
          <w:color w:val="auto"/>
          <w:sz w:val="21"/>
          <w:szCs w:val="22"/>
          <w:highlight w:val="none"/>
          <w:lang w:eastAsia="zh-CN"/>
        </w:rPr>
        <w:t>盖章</w:t>
      </w:r>
      <w:r>
        <w:rPr>
          <w:rFonts w:hint="eastAsia" w:ascii="宋体" w:hAnsi="宋体" w:eastAsia="宋体" w:cs="宋体"/>
          <w:color w:val="auto"/>
          <w:sz w:val="21"/>
          <w:szCs w:val="22"/>
          <w:highlight w:val="non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法定代表人（</w:t>
      </w:r>
      <w:r>
        <w:rPr>
          <w:rFonts w:hint="eastAsia" w:ascii="宋体" w:hAnsi="宋体" w:eastAsia="宋体" w:cs="宋体"/>
          <w:color w:val="auto"/>
          <w:sz w:val="21"/>
          <w:szCs w:val="22"/>
          <w:highlight w:val="none"/>
          <w:lang w:eastAsia="zh-CN"/>
        </w:rPr>
        <w:t>签字或盖章</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日期：   </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日</w:t>
      </w:r>
    </w:p>
    <w:p>
      <w:pPr>
        <w:adjustRightInd w:val="0"/>
        <w:snapToGrid w:val="0"/>
        <w:spacing w:line="360" w:lineRule="auto"/>
        <w:ind w:firstLine="420" w:firstLineChars="200"/>
        <w:rPr>
          <w:rFonts w:hint="eastAsia" w:ascii="宋体" w:hAnsi="宋体" w:eastAsia="宋体" w:cs="宋体"/>
          <w:color w:val="auto"/>
          <w:sz w:val="21"/>
          <w:szCs w:val="22"/>
          <w:highlight w:val="none"/>
        </w:rPr>
      </w:pPr>
    </w:p>
    <w:p>
      <w:pPr>
        <w:adjustRightInd w:val="0"/>
        <w:snapToGrid w:val="0"/>
        <w:spacing w:line="360" w:lineRule="auto"/>
        <w:ind w:firstLine="420" w:firstLineChars="200"/>
        <w:rPr>
          <w:rFonts w:hint="eastAsia" w:ascii="宋体" w:hAnsi="宋体" w:eastAsia="宋体" w:cs="宋体"/>
          <w:color w:val="auto"/>
          <w:sz w:val="21"/>
          <w:szCs w:val="22"/>
          <w:highlight w:val="none"/>
        </w:rPr>
      </w:pPr>
    </w:p>
    <w:p>
      <w:pPr>
        <w:adjustRightInd w:val="0"/>
        <w:snapToGrid w:val="0"/>
        <w:spacing w:line="360" w:lineRule="auto"/>
        <w:ind w:firstLine="420" w:firstLineChars="200"/>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rPr>
        <w:t xml:space="preserve">注： </w:t>
      </w:r>
      <w:r>
        <w:rPr>
          <w:rFonts w:hint="eastAsia" w:ascii="宋体" w:hAnsi="宋体" w:eastAsia="宋体" w:cs="宋体"/>
          <w:color w:val="auto"/>
          <w:sz w:val="21"/>
          <w:szCs w:val="22"/>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2</w:t>
      </w:r>
      <w:r>
        <w:rPr>
          <w:rFonts w:hint="eastAsia" w:ascii="宋体" w:hAnsi="宋体" w:eastAsia="宋体" w:cs="宋体"/>
          <w:color w:val="auto"/>
          <w:sz w:val="21"/>
          <w:szCs w:val="22"/>
          <w:highlight w:val="none"/>
        </w:rPr>
        <w:t>、任何有选择或有条件的投标总价或表中某一包填写多个报价，均将导致投标被拒绝；</w:t>
      </w:r>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3</w:t>
      </w:r>
      <w:r>
        <w:rPr>
          <w:rFonts w:hint="eastAsia" w:ascii="宋体" w:hAnsi="宋体" w:eastAsia="宋体" w:cs="宋体"/>
          <w:color w:val="auto"/>
          <w:sz w:val="21"/>
          <w:szCs w:val="22"/>
          <w:highlight w:val="none"/>
        </w:rPr>
        <w:t>、投标报价包含完成服务成果的一切费用、售后维护费用、税费等</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、报价为含税金额，税票为增值税专用发票。</w:t>
      </w:r>
    </w:p>
    <w:p>
      <w:pPr>
        <w:spacing w:line="360" w:lineRule="auto"/>
        <w:ind w:left="210" w:leftChars="100" w:firstLine="315" w:firstLineChars="150"/>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、大写标注：壹、贰、叁、肆、伍、陆、柒、捌、玖、拾、佰、仟、万、亿。</w:t>
      </w:r>
    </w:p>
    <w:p>
      <w:pPr>
        <w:pStyle w:val="90"/>
        <w:rPr>
          <w:rFonts w:hint="eastAsia" w:ascii="宋体" w:hAnsi="宋体" w:eastAsia="宋体" w:cs="宋体"/>
          <w:color w:val="auto"/>
          <w:highlight w:val="none"/>
          <w:lang w:eastAsia="zh-CN"/>
        </w:rPr>
        <w:sectPr>
          <w:footerReference r:id="rId14" w:type="default"/>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left"/>
        <w:rPr>
          <w:rFonts w:hint="eastAsia" w:ascii="宋体" w:hAnsi="宋体" w:eastAsia="宋体" w:cs="宋体"/>
          <w:b/>
          <w:color w:val="auto"/>
          <w:sz w:val="28"/>
          <w:szCs w:val="24"/>
          <w:highlight w:val="none"/>
          <w:lang w:val="en-US" w:eastAsia="zh-CN"/>
        </w:rPr>
      </w:pPr>
    </w:p>
    <w:p>
      <w:pPr>
        <w:numPr>
          <w:ilvl w:val="0"/>
          <w:numId w:val="0"/>
        </w:numPr>
        <w:spacing w:line="440" w:lineRule="exact"/>
        <w:jc w:val="left"/>
        <w:rPr>
          <w:rFonts w:hint="eastAsia" w:ascii="宋体" w:hAnsi="宋体" w:eastAsia="宋体" w:cs="宋体"/>
          <w:b/>
          <w:color w:val="auto"/>
          <w:sz w:val="28"/>
          <w:szCs w:val="24"/>
          <w:highlight w:val="none"/>
          <w:lang w:val="en-US" w:eastAsia="zh-CN"/>
        </w:rPr>
      </w:pPr>
    </w:p>
    <w:p>
      <w:pPr>
        <w:numPr>
          <w:ilvl w:val="0"/>
          <w:numId w:val="0"/>
        </w:numPr>
        <w:spacing w:line="440" w:lineRule="exact"/>
        <w:jc w:val="left"/>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lang w:val="en-US" w:eastAsia="zh-CN"/>
        </w:rPr>
        <w:t>投标报价明细表</w:t>
      </w:r>
    </w:p>
    <w:p>
      <w:pPr>
        <w:spacing w:line="370" w:lineRule="auto"/>
        <w:jc w:val="center"/>
        <w:rPr>
          <w:rFonts w:hint="eastAsia" w:ascii="宋体" w:hAnsi="宋体" w:eastAsia="宋体" w:cs="宋体"/>
          <w:color w:val="auto"/>
          <w:sz w:val="21"/>
          <w:highlight w:val="none"/>
          <w:lang w:val="en-US" w:eastAsia="zh-CN"/>
        </w:rPr>
      </w:pPr>
    </w:p>
    <w:p>
      <w:pPr>
        <w:spacing w:line="370" w:lineRule="auto"/>
        <w:jc w:val="left"/>
        <w:rPr>
          <w:rFonts w:hint="eastAsia" w:ascii="宋体" w:hAnsi="宋体" w:eastAsia="宋体" w:cs="宋体"/>
          <w:color w:val="auto"/>
          <w:spacing w:val="-2"/>
          <w:sz w:val="21"/>
          <w:szCs w:val="21"/>
          <w:highlight w:val="none"/>
          <w:u w:val="single"/>
          <w:lang w:val="en-US"/>
        </w:rPr>
      </w:pPr>
      <w:r>
        <w:rPr>
          <w:rFonts w:hint="eastAsia" w:ascii="宋体" w:hAnsi="宋体" w:eastAsia="宋体" w:cs="宋体"/>
          <w:color w:val="auto"/>
          <w:sz w:val="21"/>
          <w:highlight w:val="none"/>
          <w:lang w:val="en-US" w:eastAsia="zh-CN"/>
        </w:rPr>
        <w:t>项目名称：</w:t>
      </w:r>
      <w:r>
        <w:rPr>
          <w:rFonts w:hint="eastAsia" w:ascii="宋体" w:hAnsi="宋体" w:eastAsia="宋体" w:cs="宋体"/>
          <w:color w:val="auto"/>
          <w:sz w:val="21"/>
          <w:highlight w:val="none"/>
          <w:u w:val="single"/>
          <w:lang w:val="en-US" w:eastAsia="zh-CN"/>
        </w:rPr>
        <w:t xml:space="preserve">                          </w:t>
      </w:r>
    </w:p>
    <w:p>
      <w:pPr>
        <w:spacing w:before="150" w:line="185" w:lineRule="auto"/>
        <w:ind w:firstLine="605"/>
        <w:jc w:val="left"/>
        <w:rPr>
          <w:rFonts w:hint="eastAsia" w:ascii="宋体" w:hAnsi="宋体" w:eastAsia="宋体" w:cs="宋体"/>
          <w:color w:val="auto"/>
          <w:spacing w:val="2"/>
          <w:sz w:val="24"/>
          <w:szCs w:val="24"/>
          <w:highlight w:val="none"/>
          <w:u w:val="single" w:color="auto"/>
        </w:rPr>
      </w:pPr>
      <w:r>
        <w:rPr>
          <w:rFonts w:hint="eastAsia" w:ascii="宋体" w:hAnsi="宋体" w:eastAsia="宋体" w:cs="宋体"/>
          <w:color w:val="auto"/>
          <w:spacing w:val="-2"/>
          <w:sz w:val="21"/>
          <w:szCs w:val="21"/>
          <w:highlight w:val="none"/>
        </w:rPr>
        <w:t>项目编号：</w:t>
      </w:r>
      <w:r>
        <w:rPr>
          <w:rFonts w:hint="eastAsia" w:ascii="宋体" w:hAnsi="宋体" w:eastAsia="宋体" w:cs="宋体"/>
          <w:color w:val="auto"/>
          <w:sz w:val="21"/>
          <w:highlight w:val="none"/>
          <w:u w:val="single"/>
          <w:lang w:val="en-US" w:eastAsia="zh-CN"/>
        </w:rPr>
        <w:t xml:space="preserve">                          </w:t>
      </w:r>
    </w:p>
    <w:p>
      <w:pPr>
        <w:spacing w:line="234" w:lineRule="exact"/>
        <w:jc w:val="left"/>
        <w:rPr>
          <w:rFonts w:hint="eastAsia" w:ascii="宋体" w:hAnsi="宋体" w:eastAsia="宋体" w:cs="宋体"/>
          <w:color w:val="auto"/>
          <w:highlight w:val="none"/>
        </w:rPr>
      </w:pPr>
    </w:p>
    <w:tbl>
      <w:tblPr>
        <w:tblStyle w:val="174"/>
        <w:tblW w:w="9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51"/>
        <w:gridCol w:w="1069"/>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972"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品类</w:t>
            </w:r>
          </w:p>
        </w:tc>
        <w:tc>
          <w:tcPr>
            <w:tcW w:w="1755"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规格/服务要求</w:t>
            </w:r>
          </w:p>
        </w:tc>
        <w:tc>
          <w:tcPr>
            <w:tcW w:w="886"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886"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928"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051"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总价（元）</w:t>
            </w:r>
          </w:p>
        </w:tc>
        <w:tc>
          <w:tcPr>
            <w:tcW w:w="1069"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服务商/制造商</w:t>
            </w:r>
          </w:p>
        </w:tc>
        <w:tc>
          <w:tcPr>
            <w:tcW w:w="1069" w:type="dxa"/>
            <w:noWrap w:val="0"/>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1742" w:type="dxa"/>
            <w:gridSpan w:val="2"/>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投标总价</w:t>
            </w:r>
          </w:p>
        </w:tc>
        <w:tc>
          <w:tcPr>
            <w:tcW w:w="7644" w:type="dxa"/>
            <w:gridSpan w:val="7"/>
            <w:noWrap w:val="0"/>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元</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386" w:type="dxa"/>
            <w:gridSpan w:val="9"/>
            <w:noWrap w:val="0"/>
            <w:vAlign w:val="top"/>
          </w:tcPr>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bl>
    <w:p>
      <w:pPr>
        <w:spacing w:line="245" w:lineRule="auto"/>
        <w:jc w:val="left"/>
        <w:rPr>
          <w:rFonts w:hint="eastAsia" w:ascii="宋体" w:hAnsi="宋体" w:eastAsia="宋体" w:cs="宋体"/>
          <w:color w:val="auto"/>
          <w:sz w:val="21"/>
          <w:highlight w:val="none"/>
        </w:rPr>
      </w:pPr>
    </w:p>
    <w:p>
      <w:pPr>
        <w:spacing w:line="245" w:lineRule="auto"/>
        <w:jc w:val="left"/>
        <w:rPr>
          <w:rFonts w:hint="eastAsia" w:ascii="宋体" w:hAnsi="宋体" w:eastAsia="宋体" w:cs="宋体"/>
          <w:color w:val="auto"/>
          <w:sz w:val="21"/>
          <w:highlight w:val="none"/>
        </w:rPr>
      </w:pPr>
    </w:p>
    <w:p>
      <w:pPr>
        <w:spacing w:before="78" w:line="468" w:lineRule="exact"/>
        <w:ind w:left="195" w:leftChars="93" w:firstLine="276"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pacing w:val="-13"/>
          <w:position w:val="16"/>
          <w:sz w:val="21"/>
          <w:szCs w:val="21"/>
          <w:highlight w:val="none"/>
        </w:rPr>
        <w:t>投标人名称（</w:t>
      </w:r>
      <w:r>
        <w:rPr>
          <w:rFonts w:hint="eastAsia" w:ascii="宋体" w:hAnsi="宋体" w:eastAsia="宋体" w:cs="宋体"/>
          <w:color w:val="auto"/>
          <w:spacing w:val="-13"/>
          <w:position w:val="16"/>
          <w:sz w:val="21"/>
          <w:szCs w:val="21"/>
          <w:highlight w:val="none"/>
          <w:lang w:eastAsia="zh-CN"/>
        </w:rPr>
        <w:t>盖章</w:t>
      </w:r>
      <w:r>
        <w:rPr>
          <w:rFonts w:hint="eastAsia" w:ascii="宋体" w:hAnsi="宋体" w:eastAsia="宋体" w:cs="宋体"/>
          <w:color w:val="auto"/>
          <w:spacing w:val="-84"/>
          <w:position w:val="16"/>
          <w:sz w:val="21"/>
          <w:szCs w:val="21"/>
          <w:highlight w:val="none"/>
        </w:rPr>
        <w:t>）：</w:t>
      </w:r>
    </w:p>
    <w:p>
      <w:pPr>
        <w:spacing w:before="1" w:line="204" w:lineRule="auto"/>
        <w:ind w:left="195" w:leftChars="93" w:firstLine="276"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法定代表人（</w:t>
      </w:r>
      <w:r>
        <w:rPr>
          <w:rFonts w:hint="eastAsia" w:ascii="宋体" w:hAnsi="宋体" w:eastAsia="宋体" w:cs="宋体"/>
          <w:color w:val="auto"/>
          <w:spacing w:val="-13"/>
          <w:sz w:val="21"/>
          <w:szCs w:val="21"/>
          <w:highlight w:val="none"/>
          <w:lang w:eastAsia="zh-CN"/>
        </w:rPr>
        <w:t>签字或盖章</w:t>
      </w:r>
      <w:r>
        <w:rPr>
          <w:rFonts w:hint="eastAsia" w:ascii="宋体" w:hAnsi="宋体" w:eastAsia="宋体" w:cs="宋体"/>
          <w:color w:val="auto"/>
          <w:spacing w:val="-84"/>
          <w:sz w:val="21"/>
          <w:szCs w:val="21"/>
          <w:highlight w:val="none"/>
        </w:rPr>
        <w:t>）：</w:t>
      </w:r>
    </w:p>
    <w:p>
      <w:pPr>
        <w:adjustRightInd w:val="0"/>
        <w:snapToGrid w:val="0"/>
        <w:spacing w:line="360" w:lineRule="auto"/>
        <w:ind w:left="210" w:leftChars="100" w:firstLine="315" w:firstLineChars="15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日期：   </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日</w:t>
      </w:r>
    </w:p>
    <w:p>
      <w:pPr>
        <w:spacing w:before="79" w:line="185" w:lineRule="auto"/>
        <w:ind w:left="1075" w:leftChars="114" w:hanging="836" w:hangingChars="44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注：</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、投标人必须填写报价明细表</w:t>
      </w:r>
      <w:r>
        <w:rPr>
          <w:rFonts w:hint="eastAsia" w:ascii="宋体" w:hAnsi="宋体" w:eastAsia="宋体" w:cs="宋体"/>
          <w:color w:val="auto"/>
          <w:spacing w:val="-10"/>
          <w:sz w:val="21"/>
          <w:szCs w:val="21"/>
          <w:highlight w:val="none"/>
          <w:lang w:eastAsia="zh-CN"/>
        </w:rPr>
        <w:t>且</w:t>
      </w:r>
      <w:r>
        <w:rPr>
          <w:rFonts w:hint="eastAsia" w:ascii="宋体" w:hAnsi="宋体" w:eastAsia="宋体" w:cs="宋体"/>
          <w:color w:val="auto"/>
          <w:spacing w:val="-10"/>
          <w:sz w:val="21"/>
          <w:szCs w:val="21"/>
          <w:highlight w:val="none"/>
          <w:lang w:val="en-US" w:eastAsia="zh-CN"/>
        </w:rPr>
        <w:t>明细表中需包含服务需求表中所有内容，</w:t>
      </w:r>
      <w:r>
        <w:rPr>
          <w:rFonts w:hint="eastAsia" w:ascii="宋体" w:hAnsi="宋体" w:eastAsia="宋体" w:cs="宋体"/>
          <w:color w:val="auto"/>
          <w:spacing w:val="-10"/>
          <w:sz w:val="21"/>
          <w:szCs w:val="21"/>
          <w:highlight w:val="none"/>
        </w:rPr>
        <w:t>否则将导致投标被拒绝。</w:t>
      </w:r>
    </w:p>
    <w:p>
      <w:pPr>
        <w:spacing w:before="228" w:line="185" w:lineRule="auto"/>
        <w:ind w:firstLine="564"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2、报价分析表中的“投标总价”应等于“开标一览表”中的“投标总价”。</w:t>
      </w:r>
    </w:p>
    <w:p>
      <w:pPr>
        <w:spacing w:before="227" w:line="185" w:lineRule="auto"/>
        <w:ind w:firstLine="612" w:firstLineChars="300"/>
        <w:jc w:val="left"/>
        <w:outlineLvl w:val="2"/>
        <w:rPr>
          <w:rFonts w:hint="eastAsia" w:ascii="宋体" w:hAnsi="宋体" w:eastAsia="宋体" w:cs="宋体"/>
          <w:color w:val="auto"/>
          <w:sz w:val="21"/>
          <w:szCs w:val="21"/>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bookmarkStart w:id="413" w:name="_Toc15566"/>
      <w:r>
        <w:rPr>
          <w:rFonts w:hint="eastAsia" w:ascii="宋体" w:hAnsi="宋体" w:eastAsia="宋体" w:cs="宋体"/>
          <w:color w:val="auto"/>
          <w:spacing w:val="-3"/>
          <w:sz w:val="21"/>
          <w:szCs w:val="21"/>
          <w:highlight w:val="none"/>
        </w:rPr>
        <w:t>3、报价项目填报不下的，可自行扩</w:t>
      </w:r>
      <w:r>
        <w:rPr>
          <w:rFonts w:hint="eastAsia" w:ascii="宋体" w:hAnsi="宋体" w:eastAsia="宋体" w:cs="宋体"/>
          <w:color w:val="auto"/>
          <w:spacing w:val="-3"/>
          <w:sz w:val="21"/>
          <w:szCs w:val="21"/>
          <w:highlight w:val="none"/>
          <w:lang w:val="en-US" w:eastAsia="zh-CN"/>
        </w:rPr>
        <w:t>展</w:t>
      </w:r>
      <w:bookmarkEnd w:id="413"/>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bookmarkStart w:id="414" w:name="_Toc23314"/>
      <w:bookmarkStart w:id="415" w:name="_Toc8739"/>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w:t>
      </w:r>
      <w:bookmarkEnd w:id="414"/>
      <w:bookmarkEnd w:id="415"/>
      <w:r>
        <w:rPr>
          <w:rFonts w:hint="eastAsia" w:ascii="宋体" w:hAnsi="宋体" w:eastAsia="宋体" w:cs="宋体"/>
          <w:b/>
          <w:color w:val="auto"/>
          <w:sz w:val="28"/>
          <w:szCs w:val="24"/>
          <w:highlight w:val="none"/>
          <w:lang w:val="en-US" w:eastAsia="zh-CN"/>
        </w:rPr>
        <w:t>四</w:t>
      </w:r>
    </w:p>
    <w:p>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pPr>
        <w:ind w:firstLine="482" w:firstLineChars="200"/>
        <w:rPr>
          <w:rFonts w:hint="eastAsia" w:ascii="宋体" w:hAnsi="宋体" w:eastAsia="宋体" w:cs="宋体"/>
          <w:b/>
          <w:color w:val="auto"/>
          <w:sz w:val="24"/>
          <w:szCs w:val="24"/>
          <w:highlight w:val="none"/>
        </w:rPr>
      </w:pPr>
    </w:p>
    <w:p>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现附上由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（签发机关名称）签发的我方法人营业执照复印件，该执照已经年检，真实有效。</w:t>
      </w: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jc w:val="righ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4"/>
          <w:szCs w:val="24"/>
          <w:highlight w:val="none"/>
          <w:lang w:eastAsia="zh-CN"/>
        </w:rPr>
      </w:pPr>
    </w:p>
    <w:p>
      <w:pPr>
        <w:pStyle w:val="2"/>
        <w:outlineLvl w:val="9"/>
        <w:rPr>
          <w:rFonts w:hint="eastAsia" w:ascii="宋体" w:hAnsi="宋体" w:eastAsia="宋体" w:cs="宋体"/>
          <w:color w:val="auto"/>
          <w:sz w:val="24"/>
          <w:szCs w:val="24"/>
          <w:highlight w:val="none"/>
          <w:lang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附件六</w:t>
      </w:r>
    </w:p>
    <w:p>
      <w:pPr>
        <w:jc w:val="center"/>
        <w:rPr>
          <w:rFonts w:hint="eastAsia" w:ascii="宋体" w:hAnsi="宋体" w:eastAsia="宋体" w:cs="宋体"/>
          <w:color w:val="auto"/>
          <w:sz w:val="28"/>
          <w:highlight w:val="none"/>
        </w:rPr>
      </w:pPr>
    </w:p>
    <w:p>
      <w:pPr>
        <w:jc w:val="center"/>
        <w:outlineLvl w:val="2"/>
        <w:rPr>
          <w:rFonts w:hint="eastAsia" w:ascii="宋体" w:hAnsi="宋体" w:eastAsia="宋体" w:cs="宋体"/>
          <w:b/>
          <w:color w:val="auto"/>
          <w:sz w:val="32"/>
          <w:szCs w:val="32"/>
          <w:highlight w:val="none"/>
          <w:lang w:eastAsia="zh-CN"/>
        </w:rPr>
      </w:pPr>
      <w:bookmarkStart w:id="416" w:name="_Toc25844"/>
      <w:bookmarkStart w:id="417" w:name="_Toc1239"/>
      <w:r>
        <w:rPr>
          <w:rFonts w:hint="eastAsia" w:ascii="宋体" w:hAnsi="宋体" w:eastAsia="宋体" w:cs="宋体"/>
          <w:b/>
          <w:color w:val="auto"/>
          <w:sz w:val="32"/>
          <w:szCs w:val="32"/>
          <w:highlight w:val="none"/>
        </w:rPr>
        <w:t>联合体协议书</w:t>
      </w:r>
      <w:bookmarkEnd w:id="416"/>
      <w:bookmarkEnd w:id="417"/>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pPr>
        <w:jc w:val="center"/>
        <w:rPr>
          <w:rFonts w:hint="eastAsia" w:ascii="宋体" w:hAnsi="宋体" w:eastAsia="宋体" w:cs="宋体"/>
          <w:color w:val="auto"/>
          <w:sz w:val="30"/>
          <w:szCs w:val="30"/>
          <w:highlight w:val="none"/>
        </w:rPr>
      </w:pPr>
    </w:p>
    <w:p>
      <w:pPr>
        <w:topLinePunct/>
        <w:spacing w:line="440" w:lineRule="exact"/>
        <w:ind w:left="210" w:leftChars="10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（某成员单位名称）为牵头人。</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outlineLvl w:val="2"/>
        <w:rPr>
          <w:rFonts w:hint="eastAsia" w:ascii="宋体" w:hAnsi="宋体" w:eastAsia="宋体" w:cs="宋体"/>
          <w:color w:val="auto"/>
          <w:szCs w:val="21"/>
          <w:highlight w:val="none"/>
        </w:rPr>
      </w:pPr>
      <w:bookmarkStart w:id="418" w:name="_Toc14243"/>
      <w:r>
        <w:rPr>
          <w:rFonts w:hint="eastAsia" w:ascii="宋体" w:hAnsi="宋体" w:eastAsia="宋体" w:cs="宋体"/>
          <w:color w:val="auto"/>
          <w:szCs w:val="21"/>
          <w:highlight w:val="none"/>
        </w:rPr>
        <w:t>5、本协议书自签署之日起生效，合同履行完毕后自动失效。</w:t>
      </w:r>
      <w:bookmarkEnd w:id="418"/>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jc w:val="left"/>
        <w:rPr>
          <w:rFonts w:hint="eastAsia" w:ascii="宋体" w:hAnsi="宋体" w:eastAsia="宋体" w:cs="宋体"/>
          <w:b/>
          <w:color w:val="auto"/>
          <w:sz w:val="28"/>
          <w:szCs w:val="24"/>
          <w:highlight w:val="none"/>
          <w:lang w:val="en-US" w:eastAsia="zh-CN"/>
        </w:rPr>
      </w:pPr>
      <w:r>
        <w:rPr>
          <w:rFonts w:hint="eastAsia" w:ascii="宋体" w:hAnsi="宋体" w:eastAsia="宋体" w:cs="宋体"/>
          <w:color w:val="auto"/>
          <w:sz w:val="24"/>
          <w:szCs w:val="18"/>
          <w:highlight w:val="none"/>
        </w:rPr>
        <w:br w:type="page"/>
      </w:r>
    </w:p>
    <w:p>
      <w:pPr>
        <w:rPr>
          <w:rFonts w:hint="eastAsia" w:ascii="宋体" w:hAnsi="宋体" w:eastAsia="宋体" w:cs="宋体"/>
          <w:color w:val="auto"/>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auto"/>
          <w:sz w:val="28"/>
          <w:szCs w:val="24"/>
          <w:highlight w:val="none"/>
          <w:lang w:val="en-US" w:eastAsia="zh-CN"/>
        </w:rPr>
      </w:pPr>
      <w:bookmarkStart w:id="419" w:name="_Toc1542"/>
      <w:r>
        <w:rPr>
          <w:rFonts w:hint="eastAsia" w:ascii="宋体" w:hAnsi="宋体" w:eastAsia="宋体" w:cs="宋体"/>
          <w:b/>
          <w:color w:val="auto"/>
          <w:sz w:val="28"/>
          <w:szCs w:val="24"/>
          <w:highlight w:val="none"/>
          <w:lang w:val="en-US" w:eastAsia="zh-CN"/>
        </w:rPr>
        <w:t>附件</w:t>
      </w:r>
      <w:bookmarkEnd w:id="419"/>
      <w:r>
        <w:rPr>
          <w:rFonts w:hint="eastAsia" w:ascii="宋体" w:hAnsi="宋体" w:eastAsia="宋体" w:cs="宋体"/>
          <w:b/>
          <w:color w:val="auto"/>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pPr>
        <w:autoSpaceDE w:val="0"/>
        <w:autoSpaceDN w:val="0"/>
        <w:adjustRightInd w:val="0"/>
        <w:ind w:left="120" w:hanging="120"/>
        <w:rPr>
          <w:rFonts w:hint="eastAsia" w:ascii="宋体" w:hAnsi="宋体" w:eastAsia="宋体" w:cs="宋体"/>
          <w:color w:val="auto"/>
          <w:sz w:val="24"/>
          <w:highlight w:val="none"/>
          <w:lang w:val="zh-CN"/>
        </w:rPr>
      </w:pPr>
    </w:p>
    <w:p>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spacing w:line="460" w:lineRule="exact"/>
        <w:ind w:left="120" w:hanging="120"/>
        <w:rPr>
          <w:rFonts w:hint="eastAsia" w:ascii="宋体" w:hAnsi="宋体" w:eastAsia="宋体" w:cs="宋体"/>
          <w:color w:val="auto"/>
          <w:sz w:val="24"/>
          <w:highlight w:val="none"/>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pStyle w:val="4"/>
        <w:outlineLvl w:val="9"/>
        <w:rPr>
          <w:rFonts w:hint="eastAsia" w:ascii="宋体" w:hAnsi="宋体" w:eastAsia="宋体" w:cs="宋体"/>
          <w:color w:val="auto"/>
          <w:sz w:val="24"/>
          <w:highlight w:val="none"/>
          <w:lang w:val="zh-CN"/>
        </w:rPr>
      </w:pPr>
    </w:p>
    <w:p>
      <w:pPr>
        <w:rPr>
          <w:rFonts w:hint="eastAsia" w:ascii="宋体" w:hAnsi="宋体" w:eastAsia="宋体" w:cs="宋体"/>
          <w:color w:val="auto"/>
          <w:highlight w:val="none"/>
          <w:lang w:val="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pStyle w:val="90"/>
        <w:rPr>
          <w:rFonts w:hint="eastAsia" w:ascii="宋体" w:hAnsi="宋体" w:eastAsia="宋体" w:cs="宋体"/>
          <w:color w:val="auto"/>
          <w:highlight w:val="none"/>
        </w:rPr>
      </w:pPr>
    </w:p>
    <w:p>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bookmarkStart w:id="420" w:name="_Toc7513"/>
      <w:bookmarkStart w:id="421" w:name="_Toc18606"/>
      <w:bookmarkStart w:id="422" w:name="_Toc9354"/>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bookmarkEnd w:id="420"/>
      <w:bookmarkEnd w:id="421"/>
      <w:bookmarkEnd w:id="422"/>
    </w:p>
    <w:p>
      <w:pPr>
        <w:pStyle w:val="20"/>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auto"/>
          <w:sz w:val="24"/>
          <w:szCs w:val="24"/>
          <w:highlight w:val="none"/>
        </w:rPr>
      </w:pPr>
    </w:p>
    <w:p>
      <w:pPr>
        <w:pStyle w:val="4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rPr>
          <w:rFonts w:hint="eastAsia" w:ascii="宋体" w:hAnsi="宋体" w:eastAsia="宋体" w:cs="宋体"/>
          <w:color w:val="auto"/>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我公司</w:t>
      </w:r>
      <w:r>
        <w:rPr>
          <w:rFonts w:hint="eastAsia" w:ascii="宋体" w:hAnsi="宋体" w:eastAsia="宋体" w:cs="宋体"/>
          <w:b w:val="0"/>
          <w:bCs/>
          <w:color w:val="auto"/>
          <w:sz w:val="24"/>
          <w:szCs w:val="24"/>
          <w:highlight w:val="none"/>
          <w:u w:val="single"/>
          <w:lang w:val="en-US" w:eastAsia="zh-CN"/>
        </w:rPr>
        <w:t xml:space="preserve"> （供应商全称） </w:t>
      </w:r>
      <w:r>
        <w:rPr>
          <w:rFonts w:hint="eastAsia" w:ascii="宋体" w:hAnsi="宋体" w:eastAsia="宋体" w:cs="宋体"/>
          <w:b w:val="0"/>
          <w:bCs/>
          <w:color w:val="auto"/>
          <w:sz w:val="24"/>
          <w:szCs w:val="24"/>
          <w:highlight w:val="none"/>
          <w:lang w:val="en-US" w:eastAsia="zh-CN"/>
        </w:rPr>
        <w:t>收到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1、具有独立承担民事责任的能力；</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2、具有良好的商业信誉和健全的财务会计制度；</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3、具有履行合同所必需的货物和专业技术能力；</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4、有依法缴纳税收和社会保障资金的良好记录；</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5、参加政府采购活动前三年内，在经营活动中没有重大违法记录；</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6、法律、行政法规规定的其他条件；</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7、具备承担和实施本次采购内容相关的经营许可或相关代理授权。</w:t>
      </w:r>
    </w:p>
    <w:p>
      <w:pPr>
        <w:topLinePunct/>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信用中国（www.creditchina.gov.cn）查询结果</w:t>
      </w:r>
    </w:p>
    <w:p>
      <w:pPr>
        <w:jc w:val="center"/>
        <w:rPr>
          <w:rFonts w:hint="eastAsia" w:ascii="宋体" w:hAnsi="宋体" w:eastAsia="宋体" w:cs="宋体"/>
          <w:b w:val="0"/>
          <w:bCs/>
          <w:color w:val="auto"/>
          <w:kern w:val="2"/>
          <w:sz w:val="21"/>
          <w:szCs w:val="20"/>
          <w:highlight w:val="none"/>
          <w:lang w:val="en-US" w:eastAsia="zh-CN" w:bidi="ar-SA"/>
        </w:rPr>
      </w:pPr>
    </w:p>
    <w:p>
      <w:pPr>
        <w:pStyle w:val="4"/>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投标单位的依法缴纳税收和社会保障资金的良好记录；具有良好的商业信誉和健全的财务会计制度（需提</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2022财务审计报告；2023年成立的公司不提供；）</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auto"/>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color w:val="auto"/>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pPr>
              <w:spacing w:line="360" w:lineRule="auto"/>
              <w:jc w:val="center"/>
              <w:rPr>
                <w:rFonts w:hint="eastAsia" w:ascii="宋体" w:hAnsi="宋体" w:eastAsia="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bl>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pPr>
        <w:pStyle w:val="165"/>
        <w:numPr>
          <w:ilvl w:val="0"/>
          <w:numId w:val="14"/>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投标人必须对应招标文件条款逐条应答并按要求填写下表。</w:t>
      </w:r>
    </w:p>
    <w:p>
      <w:pPr>
        <w:pStyle w:val="165"/>
        <w:numPr>
          <w:ilvl w:val="0"/>
          <w:numId w:val="14"/>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4"/>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4"/>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bookmarkStart w:id="423" w:name="_Toc5383"/>
      <w:r>
        <w:rPr>
          <w:rFonts w:hint="eastAsia" w:ascii="宋体" w:hAnsi="宋体" w:eastAsia="宋体" w:cs="宋体"/>
          <w:color w:val="auto"/>
          <w:sz w:val="24"/>
          <w:szCs w:val="28"/>
          <w:highlight w:val="none"/>
        </w:rPr>
        <w:t>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bookmarkEnd w:id="423"/>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20"/>
        <w:numPr>
          <w:ilvl w:val="0"/>
          <w:numId w:val="15"/>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color w:val="auto"/>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我公司承诺在</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auto"/>
          <w:sz w:val="21"/>
          <w:szCs w:val="21"/>
          <w:highlight w:val="none"/>
          <w:lang w:val="zh-CN"/>
        </w:rPr>
      </w:pPr>
      <w:r>
        <w:rPr>
          <w:rFonts w:hint="eastAsia" w:ascii="宋体" w:hAnsi="宋体" w:eastAsia="宋体" w:cs="宋体"/>
          <w:color w:val="auto"/>
          <w:kern w:val="0"/>
          <w:sz w:val="21"/>
          <w:szCs w:val="21"/>
          <w:highlight w:val="none"/>
          <w:lang w:val="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投标单位：</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盖章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firstLine="210" w:firstLineChars="100"/>
        <w:rPr>
          <w:rFonts w:hint="eastAsia" w:ascii="宋体" w:hAnsi="宋体" w:eastAsia="宋体" w:cs="宋体"/>
          <w:color w:val="auto"/>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before="100" w:beforeAutospacing="1" w:after="100" w:afterAutospacing="1" w:line="360" w:lineRule="auto"/>
        <w:jc w:val="right"/>
        <w:rPr>
          <w:rFonts w:hint="eastAsia" w:ascii="宋体" w:hAnsi="宋体" w:eastAsia="宋体" w:cs="宋体"/>
          <w:color w:val="auto"/>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color w:val="auto"/>
          <w:sz w:val="24"/>
          <w:szCs w:val="24"/>
          <w:highlight w:val="none"/>
        </w:rPr>
      </w:pP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本人作为</w:t>
      </w:r>
      <w:r>
        <w:rPr>
          <w:rFonts w:hint="eastAsia" w:ascii="宋体" w:hAnsi="宋体" w:eastAsia="宋体" w:cs="宋体"/>
          <w:color w:val="auto"/>
          <w:sz w:val="21"/>
          <w:szCs w:val="21"/>
          <w:highlight w:val="none"/>
          <w:u w:val="single"/>
        </w:rPr>
        <w:t xml:space="preserve">（单位名称）                    </w:t>
      </w:r>
      <w:r>
        <w:rPr>
          <w:rFonts w:hint="eastAsia" w:ascii="宋体" w:hAnsi="宋体" w:eastAsia="宋体" w:cs="宋体"/>
          <w:color w:val="auto"/>
          <w:sz w:val="21"/>
          <w:szCs w:val="21"/>
          <w:highlight w:val="none"/>
        </w:rPr>
        <w:t>的法人，清楚知晓我公司本项目投标活动，对以下事项作出承诺：</w:t>
      </w: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color w:val="auto"/>
          <w:sz w:val="21"/>
          <w:szCs w:val="21"/>
          <w:highlight w:val="none"/>
        </w:rPr>
      </w:pPr>
      <w:bookmarkStart w:id="424" w:name="_Toc3592"/>
      <w:r>
        <w:rPr>
          <w:rFonts w:hint="eastAsia" w:ascii="宋体" w:hAnsi="宋体" w:eastAsia="宋体" w:cs="宋体"/>
          <w:color w:val="auto"/>
          <w:sz w:val="21"/>
          <w:szCs w:val="21"/>
          <w:highlight w:val="none"/>
        </w:rPr>
        <w:t>二、我单位在本项目招标投标活动中，未参与围标串标。</w:t>
      </w:r>
      <w:bookmarkEnd w:id="424"/>
    </w:p>
    <w:p>
      <w:pPr>
        <w:spacing w:line="6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定代表</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p>
    <w:p>
      <w:pPr>
        <w:spacing w:line="640" w:lineRule="exact"/>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中小企业声明函（货物）格式</w:t>
      </w:r>
    </w:p>
    <w:p>
      <w:pPr>
        <w:spacing w:line="360" w:lineRule="auto"/>
        <w:ind w:left="244" w:leftChars="116"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color w:val="auto"/>
          <w:sz w:val="24"/>
          <w:highlight w:val="none"/>
        </w:rPr>
      </w:pPr>
    </w:p>
    <w:p>
      <w:pPr>
        <w:pStyle w:val="17"/>
        <w:rPr>
          <w:rFonts w:hint="eastAsia" w:ascii="宋体" w:hAnsi="宋体" w:eastAsia="宋体" w:cs="宋体"/>
          <w:color w:val="auto"/>
          <w:highlight w:val="none"/>
        </w:rPr>
      </w:pP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中小企业声明函（工程、服务）格式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auto"/>
          <w:sz w:val="24"/>
          <w:highlight w:val="none"/>
        </w:rPr>
      </w:pPr>
    </w:p>
    <w:p>
      <w:pPr>
        <w:pStyle w:val="70"/>
        <w:tabs>
          <w:tab w:val="left" w:pos="9214"/>
        </w:tabs>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color w:val="auto"/>
          <w:sz w:val="21"/>
          <w:szCs w:val="21"/>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color w:val="auto"/>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color w:val="auto"/>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pStyle w:val="8"/>
        <w:rPr>
          <w:rFonts w:hint="eastAsia" w:ascii="宋体" w:hAnsi="宋体" w:eastAsia="宋体" w:cs="宋体"/>
          <w:color w:val="auto"/>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23406"/>
      <w:bookmarkStart w:id="427" w:name="_Toc15028"/>
      <w:bookmarkStart w:id="428" w:name="_Toc312"/>
      <w:bookmarkStart w:id="429" w:name="_Toc115436122"/>
      <w:bookmarkStart w:id="430" w:name="_Toc114589529"/>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520356224"/>
      <w:bookmarkStart w:id="432" w:name="_Toc480942355"/>
      <w:bookmarkStart w:id="433" w:name="_Ref467988543"/>
      <w:bookmarkStart w:id="434" w:name="_Toc216582819"/>
      <w:bookmarkStart w:id="435" w:name="_Toc114589541"/>
      <w:bookmarkStart w:id="436" w:name="_Toc20238"/>
      <w:bookmarkStart w:id="437" w:name="_Toc9592"/>
      <w:bookmarkStart w:id="438" w:name="_Toc507399535"/>
      <w:bookmarkStart w:id="439" w:name="_Toc115436133"/>
      <w:bookmarkStart w:id="440" w:name="_Toc32489"/>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  关于对本投标文件中资料真实性的承诺</w:t>
      </w:r>
      <w:bookmarkEnd w:id="431"/>
      <w:bookmarkEnd w:id="432"/>
      <w:bookmarkEnd w:id="433"/>
      <w:bookmarkEnd w:id="434"/>
      <w:bookmarkStart w:id="441" w:name="_Hlt520273973"/>
      <w:bookmarkEnd w:id="441"/>
      <w:bookmarkStart w:id="442" w:name="_Hlt520343392"/>
      <w:bookmarkEnd w:id="442"/>
      <w:bookmarkStart w:id="443" w:name="_Hlt520274407"/>
      <w:bookmarkEnd w:id="443"/>
      <w:bookmarkStart w:id="444" w:name="_Hlt520271212"/>
      <w:bookmarkEnd w:id="444"/>
      <w:bookmarkStart w:id="445" w:name="_Hlt520274065"/>
      <w:bookmarkEnd w:id="445"/>
      <w:bookmarkStart w:id="446" w:name="_Hlt520273711"/>
      <w:bookmarkEnd w:id="446"/>
      <w:bookmarkStart w:id="447" w:name="_Hlt520350918"/>
      <w:bookmarkEnd w:id="447"/>
      <w:bookmarkStart w:id="448" w:name="_Hlt520274911"/>
      <w:bookmarkEnd w:id="448"/>
      <w:bookmarkStart w:id="449" w:name="_Hlt520350957"/>
      <w:bookmarkEnd w:id="449"/>
      <w:bookmarkStart w:id="450" w:name="_Hlt520274393"/>
      <w:bookmarkEnd w:id="450"/>
      <w:bookmarkStart w:id="451" w:name="_Hlt520343000"/>
      <w:bookmarkEnd w:id="451"/>
      <w:bookmarkStart w:id="452" w:name="_Toc216513801"/>
      <w:bookmarkStart w:id="453" w:name="_Toc21658282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color w:val="auto"/>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auto"/>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20" w:firstLineChars="200"/>
        <w:outlineLvl w:val="2"/>
        <w:rPr>
          <w:rFonts w:hint="eastAsia" w:ascii="宋体" w:hAnsi="宋体" w:eastAsia="宋体" w:cs="宋体"/>
          <w:color w:val="auto"/>
          <w:sz w:val="21"/>
          <w:szCs w:val="21"/>
          <w:highlight w:val="none"/>
        </w:rPr>
      </w:pPr>
      <w:bookmarkStart w:id="454" w:name="_Toc6353"/>
      <w:r>
        <w:rPr>
          <w:rFonts w:hint="eastAsia" w:ascii="宋体" w:hAnsi="宋体" w:eastAsia="宋体" w:cs="宋体"/>
          <w:color w:val="auto"/>
          <w:sz w:val="21"/>
          <w:szCs w:val="21"/>
          <w:highlight w:val="none"/>
        </w:rPr>
        <w:t>1、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bookmarkEnd w:id="454"/>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）项目实施和安排计划（格式自拟）</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）拟投入的人员及主要人员的简历，可附表说明；</w:t>
      </w:r>
    </w:p>
    <w:p>
      <w:pPr>
        <w:spacing w:line="440" w:lineRule="exact"/>
        <w:ind w:firstLine="420" w:firstLineChars="200"/>
        <w:rPr>
          <w:rFonts w:hint="eastAsia" w:ascii="宋体" w:hAnsi="宋体" w:eastAsia="宋体" w:cs="宋体"/>
          <w:color w:val="auto"/>
          <w:sz w:val="21"/>
          <w:szCs w:val="21"/>
          <w:highlight w:val="none"/>
        </w:rPr>
      </w:pPr>
    </w:p>
    <w:p>
      <w:pPr>
        <w:numPr>
          <w:ilvl w:val="0"/>
          <w:numId w:val="0"/>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）其他证明文件复印件。</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上述内容仅供参考，如有不足，请自行补充提供。</w:t>
      </w:r>
    </w:p>
    <w:p>
      <w:pPr>
        <w:pStyle w:val="71"/>
        <w:rPr>
          <w:rFonts w:hint="eastAsia" w:ascii="宋体" w:hAnsi="宋体" w:eastAsia="宋体" w:cs="宋体"/>
          <w:b/>
          <w:bCs w:val="0"/>
          <w:color w:val="auto"/>
          <w:kern w:val="2"/>
          <w:sz w:val="24"/>
          <w:szCs w:val="22"/>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8677"/>
      <w:bookmarkStart w:id="457" w:name="_Toc5601"/>
      <w:bookmarkStart w:id="458" w:name="_Toc1675"/>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color w:val="auto"/>
          <w:sz w:val="30"/>
          <w:szCs w:val="30"/>
          <w:highlight w:val="none"/>
        </w:rPr>
      </w:pPr>
    </w:p>
    <w:p>
      <w:pPr>
        <w:jc w:val="center"/>
        <w:outlineLvl w:val="0"/>
        <w:rPr>
          <w:rFonts w:hint="eastAsia" w:ascii="宋体" w:hAnsi="宋体" w:eastAsia="宋体" w:cs="宋体"/>
          <w:b/>
          <w:color w:val="auto"/>
          <w:sz w:val="30"/>
          <w:szCs w:val="30"/>
          <w:highlight w:val="none"/>
        </w:rPr>
      </w:pPr>
      <w:bookmarkStart w:id="459" w:name="_Toc29685"/>
      <w:bookmarkStart w:id="460" w:name="_Toc29985"/>
      <w:bookmarkStart w:id="461" w:name="_Toc2648"/>
      <w:r>
        <w:rPr>
          <w:rFonts w:hint="eastAsia" w:ascii="宋体" w:hAnsi="宋体" w:eastAsia="宋体" w:cs="宋体"/>
          <w:b/>
          <w:color w:val="auto"/>
          <w:sz w:val="30"/>
          <w:szCs w:val="30"/>
          <w:highlight w:val="none"/>
        </w:rPr>
        <w:t>其他有利于投标人的资料（如有）</w:t>
      </w:r>
      <w:bookmarkEnd w:id="459"/>
      <w:bookmarkEnd w:id="460"/>
      <w:bookmarkEnd w:id="461"/>
    </w:p>
    <w:p>
      <w:pPr>
        <w:rPr>
          <w:rFonts w:hint="eastAsia" w:ascii="宋体" w:hAnsi="宋体" w:eastAsia="宋体" w:cs="宋体"/>
          <w:b/>
          <w:color w:val="auto"/>
          <w:sz w:val="28"/>
          <w:szCs w:val="28"/>
          <w:highlight w:val="none"/>
        </w:rPr>
      </w:pPr>
    </w:p>
    <w:p>
      <w:pPr>
        <w:spacing w:line="400" w:lineRule="exact"/>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            </w:t>
      </w:r>
    </w:p>
    <w:p>
      <w:pPr>
        <w:rPr>
          <w:rFonts w:hint="eastAsia" w:ascii="宋体" w:hAnsi="宋体" w:eastAsia="宋体" w:cs="宋体"/>
          <w:color w:val="auto"/>
          <w:sz w:val="28"/>
          <w:szCs w:val="28"/>
          <w:highlight w:val="none"/>
        </w:rPr>
      </w:pPr>
      <w:bookmarkStart w:id="462" w:name="_Toc23573"/>
      <w:bookmarkStart w:id="463" w:name="_Toc294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4"/>
      <w:bookmarkStart w:id="46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6" w:type="default"/>
          <w:headerReference r:id="rId17" w:type="even"/>
          <w:footerReference r:id="rId18"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auto"/>
          <w:highlight w:val="none"/>
          <w:lang w:val="en-US" w:eastAsia="zh-CN"/>
        </w:rPr>
      </w:pPr>
    </w:p>
    <w:sectPr>
      <w:headerReference r:id="rId19" w:type="default"/>
      <w:footerReference r:id="rId20"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B8549A69"/>
    <w:multiLevelType w:val="singleLevel"/>
    <w:tmpl w:val="B8549A69"/>
    <w:lvl w:ilvl="0" w:tentative="0">
      <w:start w:val="1"/>
      <w:numFmt w:val="decimal"/>
      <w:suff w:val="nothing"/>
      <w:lvlText w:val="%1、"/>
      <w:lvlJc w:val="left"/>
    </w:lvl>
  </w:abstractNum>
  <w:abstractNum w:abstractNumId="3">
    <w:nsid w:val="FD756BF6"/>
    <w:multiLevelType w:val="singleLevel"/>
    <w:tmpl w:val="FD756BF6"/>
    <w:lvl w:ilvl="0" w:tentative="0">
      <w:start w:val="2"/>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A1BE58"/>
    <w:multiLevelType w:val="singleLevel"/>
    <w:tmpl w:val="14A1BE58"/>
    <w:lvl w:ilvl="0" w:tentative="0">
      <w:start w:val="1"/>
      <w:numFmt w:val="decimal"/>
      <w:suff w:val="nothing"/>
      <w:lvlText w:val="%1、"/>
      <w:lvlJc w:val="left"/>
    </w:lvl>
  </w:abstractNum>
  <w:abstractNum w:abstractNumId="8">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C6D580D"/>
    <w:multiLevelType w:val="singleLevel"/>
    <w:tmpl w:val="4C6D580D"/>
    <w:lvl w:ilvl="0" w:tentative="0">
      <w:start w:val="1"/>
      <w:numFmt w:val="decimal"/>
      <w:suff w:val="nothing"/>
      <w:lvlText w:val="%1、"/>
      <w:lvlJc w:val="left"/>
    </w:lvl>
  </w:abstractNum>
  <w:abstractNum w:abstractNumId="14">
    <w:nsid w:val="575C1AB7"/>
    <w:multiLevelType w:val="singleLevel"/>
    <w:tmpl w:val="575C1AB7"/>
    <w:lvl w:ilvl="0" w:tentative="0">
      <w:start w:val="1"/>
      <w:numFmt w:val="decimal"/>
      <w:suff w:val="nothing"/>
      <w:lvlText w:val="%1、"/>
      <w:lvlJc w:val="left"/>
    </w:lvl>
  </w:abstractNum>
  <w:num w:numId="1">
    <w:abstractNumId w:val="11"/>
  </w:num>
  <w:num w:numId="2">
    <w:abstractNumId w:val="10"/>
  </w:num>
  <w:num w:numId="3">
    <w:abstractNumId w:val="6"/>
  </w:num>
  <w:num w:numId="4">
    <w:abstractNumId w:val="3"/>
  </w:num>
  <w:num w:numId="5">
    <w:abstractNumId w:val="12"/>
  </w:num>
  <w:num w:numId="6">
    <w:abstractNumId w:val="9"/>
  </w:num>
  <w:num w:numId="7">
    <w:abstractNumId w:val="14"/>
  </w:num>
  <w:num w:numId="8">
    <w:abstractNumId w:val="2"/>
  </w:num>
  <w:num w:numId="9">
    <w:abstractNumId w:val="13"/>
  </w:num>
  <w:num w:numId="10">
    <w:abstractNumId w:val="7"/>
  </w:num>
  <w:num w:numId="11">
    <w:abstractNumId w:val="5"/>
  </w:num>
  <w:num w:numId="12">
    <w:abstractNumId w:val="4"/>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DIyZjY2NWNkZmYyZTI4MmM3OWJiZTA2OTY0Mzk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7B122A"/>
    <w:rsid w:val="07AE5867"/>
    <w:rsid w:val="07CA6A37"/>
    <w:rsid w:val="07FA45B7"/>
    <w:rsid w:val="086E55FF"/>
    <w:rsid w:val="08724C55"/>
    <w:rsid w:val="08730E67"/>
    <w:rsid w:val="0880043F"/>
    <w:rsid w:val="08B123F7"/>
    <w:rsid w:val="08C23B9D"/>
    <w:rsid w:val="093A7BD7"/>
    <w:rsid w:val="09931095"/>
    <w:rsid w:val="09CE6E57"/>
    <w:rsid w:val="09FC6A4A"/>
    <w:rsid w:val="0A3C350E"/>
    <w:rsid w:val="0A3F353B"/>
    <w:rsid w:val="0AB67731"/>
    <w:rsid w:val="0AB74171"/>
    <w:rsid w:val="0AC72D79"/>
    <w:rsid w:val="0AEB73DB"/>
    <w:rsid w:val="0B162392"/>
    <w:rsid w:val="0B4E4A5D"/>
    <w:rsid w:val="0B7D1AED"/>
    <w:rsid w:val="0B9C2483"/>
    <w:rsid w:val="0BB440E1"/>
    <w:rsid w:val="0C0B13B7"/>
    <w:rsid w:val="0C3E4E01"/>
    <w:rsid w:val="0C835496"/>
    <w:rsid w:val="0CE770D5"/>
    <w:rsid w:val="0CFB26C2"/>
    <w:rsid w:val="0D0F2499"/>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C338B9"/>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8E561B"/>
    <w:rsid w:val="2C932C69"/>
    <w:rsid w:val="2C9F2A67"/>
    <w:rsid w:val="2D1A5BEB"/>
    <w:rsid w:val="2D227DC7"/>
    <w:rsid w:val="2D2845BC"/>
    <w:rsid w:val="2D2E73A1"/>
    <w:rsid w:val="2D825525"/>
    <w:rsid w:val="2D956272"/>
    <w:rsid w:val="2D9C188C"/>
    <w:rsid w:val="2D9D410D"/>
    <w:rsid w:val="2DC34A81"/>
    <w:rsid w:val="2DCF4D6D"/>
    <w:rsid w:val="2DD125B6"/>
    <w:rsid w:val="2DDF2977"/>
    <w:rsid w:val="2E244107"/>
    <w:rsid w:val="2E510491"/>
    <w:rsid w:val="2E5A73E1"/>
    <w:rsid w:val="2E665884"/>
    <w:rsid w:val="2E974B67"/>
    <w:rsid w:val="2ED70F52"/>
    <w:rsid w:val="2EDD3BF4"/>
    <w:rsid w:val="2EFC1307"/>
    <w:rsid w:val="2F1645B9"/>
    <w:rsid w:val="2F1F789F"/>
    <w:rsid w:val="2F544FF2"/>
    <w:rsid w:val="2F6B678F"/>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6D751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29098B"/>
    <w:rsid w:val="58EA3588"/>
    <w:rsid w:val="58FA668E"/>
    <w:rsid w:val="59015042"/>
    <w:rsid w:val="594B0611"/>
    <w:rsid w:val="596E412E"/>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76A3"/>
    <w:rsid w:val="60D34072"/>
    <w:rsid w:val="60EC6207"/>
    <w:rsid w:val="613627E5"/>
    <w:rsid w:val="6162474A"/>
    <w:rsid w:val="61722B2B"/>
    <w:rsid w:val="61D70C94"/>
    <w:rsid w:val="62171D6B"/>
    <w:rsid w:val="62594DDD"/>
    <w:rsid w:val="626002DF"/>
    <w:rsid w:val="6271555C"/>
    <w:rsid w:val="628932D3"/>
    <w:rsid w:val="62AA58E1"/>
    <w:rsid w:val="62AB1EEE"/>
    <w:rsid w:val="63293329"/>
    <w:rsid w:val="632A47AA"/>
    <w:rsid w:val="63366193"/>
    <w:rsid w:val="63466990"/>
    <w:rsid w:val="635772F5"/>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CC55E2"/>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5E1C63"/>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792684"/>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8B0BFC"/>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52731</Words>
  <Characters>55198</Characters>
  <Lines>167</Lines>
  <Paragraphs>47</Paragraphs>
  <TotalTime>58</TotalTime>
  <ScaleCrop>false</ScaleCrop>
  <LinksUpToDate>false</LinksUpToDate>
  <CharactersWithSpaces>60434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2023-07-18T15:28:17Z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F93253318B02451698DE55D1B654B5D3_13</vt:lpwstr>
  </property>
</Properties>
</file>