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left="0" w:leftChars="0" w:firstLine="0" w:firstLineChars="0"/>
        <w:rPr>
          <w:rFonts w:ascii="黑体" w:hAnsi="黑体" w:eastAsia="黑体"/>
          <w:b/>
          <w:color w:val="auto"/>
          <w:sz w:val="32"/>
          <w:szCs w:val="32"/>
        </w:rPr>
      </w:pPr>
    </w:p>
    <w:p>
      <w:pPr>
        <w:adjustRightInd w:val="0"/>
        <w:snapToGrid w:val="0"/>
        <w:spacing w:line="700" w:lineRule="exact"/>
        <w:ind w:firstLine="2570" w:firstLineChars="800"/>
        <w:jc w:val="both"/>
        <w:textAlignment w:val="bottom"/>
        <w:rPr>
          <w:rFonts w:hint="eastAsia" w:ascii="楷体" w:hAnsi="楷体" w:eastAsia="楷体" w:cs="楷体"/>
          <w:b/>
          <w:bCs/>
          <w:color w:val="auto"/>
          <w:kern w:val="0"/>
          <w:sz w:val="32"/>
          <w:szCs w:val="32"/>
          <w:u w:val="single"/>
          <w:lang w:eastAsia="zh-CN" w:bidi="ar"/>
        </w:rPr>
      </w:pPr>
      <w:r>
        <w:rPr>
          <w:rFonts w:hint="eastAsia" w:ascii="楷体" w:hAnsi="楷体" w:eastAsia="楷体" w:cs="楷体"/>
          <w:b/>
          <w:bCs/>
          <w:color w:val="auto"/>
          <w:kern w:val="0"/>
          <w:sz w:val="32"/>
          <w:szCs w:val="32"/>
          <w:u w:val="single"/>
          <w:lang w:eastAsia="zh-CN" w:bidi="ar"/>
        </w:rPr>
        <w:t>新疆玖泰鑫工程项目管理有限公司</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5"/>
        <w:jc w:val="center"/>
        <w:rPr>
          <w:rFonts w:hint="eastAsia"/>
          <w:color w:val="auto"/>
          <w:lang w:eastAsia="zh-CN"/>
        </w:rPr>
      </w:pPr>
      <w:r>
        <w:rPr>
          <w:rFonts w:hint="eastAsia"/>
          <w:color w:val="auto"/>
          <w:sz w:val="52"/>
          <w:szCs w:val="52"/>
          <w:lang w:val="en-US" w:eastAsia="zh-CN"/>
        </w:rPr>
        <w:t>2023年沙雅县创建文明城市氛围提升项目</w:t>
      </w:r>
    </w:p>
    <w:p>
      <w:pPr>
        <w:spacing w:line="290" w:lineRule="atLeast"/>
        <w:jc w:val="center"/>
        <w:rPr>
          <w:rFonts w:ascii="方正大标宋简体" w:hAnsi="方正大标宋简体" w:eastAsia="方正大标宋简体" w:cs="方正大标宋简体"/>
          <w:color w:val="auto"/>
          <w:spacing w:val="25"/>
          <w:sz w:val="96"/>
          <w:szCs w:val="96"/>
        </w:rPr>
      </w:pPr>
      <w:r>
        <w:rPr>
          <w:rFonts w:hint="eastAsia" w:ascii="方正大标宋简体" w:hAnsi="方正大标宋简体" w:eastAsia="方正大标宋简体" w:cs="方正大标宋简体"/>
          <w:color w:val="auto"/>
          <w:spacing w:val="25"/>
          <w:sz w:val="96"/>
          <w:szCs w:val="96"/>
        </w:rPr>
        <w:t>招</w:t>
      </w:r>
    </w:p>
    <w:p>
      <w:pPr>
        <w:spacing w:line="290" w:lineRule="atLeast"/>
        <w:jc w:val="center"/>
        <w:rPr>
          <w:rFonts w:ascii="方正大标宋简体" w:hAnsi="方正大标宋简体" w:eastAsia="方正大标宋简体" w:cs="方正大标宋简体"/>
          <w:color w:val="auto"/>
          <w:spacing w:val="25"/>
          <w:sz w:val="96"/>
          <w:szCs w:val="96"/>
        </w:rPr>
      </w:pPr>
      <w:r>
        <w:rPr>
          <w:rFonts w:hint="eastAsia" w:ascii="方正大标宋简体" w:hAnsi="方正大标宋简体" w:eastAsia="方正大标宋简体" w:cs="方正大标宋简体"/>
          <w:color w:val="auto"/>
          <w:spacing w:val="25"/>
          <w:sz w:val="96"/>
          <w:szCs w:val="96"/>
        </w:rPr>
        <w:t>标</w:t>
      </w:r>
    </w:p>
    <w:p>
      <w:pPr>
        <w:spacing w:line="290" w:lineRule="atLeast"/>
        <w:jc w:val="center"/>
        <w:rPr>
          <w:rFonts w:ascii="方正大标宋简体" w:hAnsi="方正大标宋简体" w:eastAsia="方正大标宋简体" w:cs="方正大标宋简体"/>
          <w:color w:val="auto"/>
          <w:spacing w:val="25"/>
          <w:sz w:val="96"/>
          <w:szCs w:val="96"/>
        </w:rPr>
      </w:pPr>
      <w:r>
        <w:rPr>
          <w:rFonts w:hint="eastAsia" w:ascii="方正大标宋简体" w:hAnsi="方正大标宋简体" w:eastAsia="方正大标宋简体" w:cs="方正大标宋简体"/>
          <w:color w:val="auto"/>
          <w:spacing w:val="25"/>
          <w:sz w:val="96"/>
          <w:szCs w:val="96"/>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96"/>
          <w:szCs w:val="96"/>
        </w:rPr>
        <w:t>件</w:t>
      </w:r>
    </w:p>
    <w:p>
      <w:pPr>
        <w:spacing w:line="290" w:lineRule="atLeast"/>
        <w:jc w:val="center"/>
        <w:rPr>
          <w:rFonts w:ascii="方正大标宋简体" w:hAnsi="方正大标宋简体" w:eastAsia="方正大标宋简体" w:cs="方正大标宋简体"/>
          <w:color w:val="auto"/>
          <w:spacing w:val="3"/>
          <w:sz w:val="16"/>
        </w:rPr>
      </w:pPr>
    </w:p>
    <w:p>
      <w:pPr>
        <w:pStyle w:val="5"/>
      </w:pPr>
      <w:r>
        <w:rPr>
          <w:color w:val="auto"/>
          <w:szCs w:val="21"/>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339725</wp:posOffset>
                </wp:positionV>
                <wp:extent cx="6179185" cy="7620"/>
                <wp:effectExtent l="0" t="0" r="0" b="0"/>
                <wp:wrapNone/>
                <wp:docPr id="3" name="直接连接符 1"/>
                <wp:cNvGraphicFramePr/>
                <a:graphic xmlns:a="http://schemas.openxmlformats.org/drawingml/2006/main">
                  <a:graphicData uri="http://schemas.microsoft.com/office/word/2010/wordprocessingShape">
                    <wps:wsp>
                      <wps:cNvCnPr/>
                      <wps:spPr>
                        <a:xfrm>
                          <a:off x="0" y="0"/>
                          <a:ext cx="6179185" cy="76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35pt;margin-top:26.75pt;height:0.6pt;width:486.55pt;z-index:251661312;mso-width-relative:page;mso-height-relative:page;" filled="f" stroked="t" coordsize="21600,21600" o:gfxdata="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v5eZtUAAAAGAQAADwAAAAAAAAABACAAAAAiAAAAZHJzL2Rvd25yZXYueG1sUEsBAhQA&#10;FAAAAAgAh07iQJpSzgr1AQAA6QMAAA4AAAAAAAAAAQAgAAAAJAEAAGRycy9lMm9Eb2MueG1sUEsF&#10;BgAAAAAGAAYAWQEAAIsFAAAAAA==&#10;">
                <v:fill on="f" focussize="0,0"/>
                <v:stroke color="#000000" joinstyle="round"/>
                <v:imagedata o:title=""/>
                <o:lock v:ext="edit" aspectratio="f"/>
              </v:line>
            </w:pict>
          </mc:Fallback>
        </mc:AlternateContent>
      </w:r>
    </w:p>
    <w:p>
      <w:pPr>
        <w:spacing w:line="500" w:lineRule="exact"/>
        <w:jc w:val="left"/>
        <w:rPr>
          <w:rFonts w:hint="eastAsia" w:eastAsia="宋体"/>
          <w:color w:val="auto"/>
          <w:sz w:val="28"/>
          <w:szCs w:val="44"/>
          <w:lang w:eastAsia="zh-CN"/>
        </w:rPr>
      </w:pPr>
      <w:r>
        <w:rPr>
          <w:rFonts w:hint="eastAsia"/>
          <w:color w:val="auto"/>
          <w:sz w:val="28"/>
        </w:rPr>
        <w:t xml:space="preserve">编  制 </w:t>
      </w:r>
      <w:r>
        <w:rPr>
          <w:rFonts w:hint="eastAsia"/>
          <w:color w:val="auto"/>
          <w:sz w:val="28"/>
          <w:szCs w:val="44"/>
        </w:rPr>
        <w:t>单 位：</w:t>
      </w:r>
      <w:r>
        <w:rPr>
          <w:rFonts w:hint="eastAsia"/>
          <w:color w:val="auto"/>
          <w:sz w:val="28"/>
          <w:szCs w:val="44"/>
          <w:lang w:eastAsia="zh-CN"/>
        </w:rPr>
        <w:t>新疆玖泰鑫工程项目管理有限公司</w:t>
      </w:r>
    </w:p>
    <w:p>
      <w:pPr>
        <w:widowControl/>
        <w:jc w:val="left"/>
        <w:rPr>
          <w:color w:val="auto"/>
          <w:sz w:val="32"/>
          <w:szCs w:val="32"/>
        </w:rPr>
      </w:pPr>
      <w:r>
        <w:rPr>
          <w:rFonts w:hint="eastAsia"/>
          <w:color w:val="auto"/>
          <w:sz w:val="28"/>
          <w:szCs w:val="44"/>
        </w:rPr>
        <w:t>地        址：</w:t>
      </w:r>
      <w:r>
        <w:rPr>
          <w:rFonts w:hint="eastAsia"/>
          <w:color w:val="auto"/>
          <w:sz w:val="28"/>
          <w:szCs w:val="44"/>
          <w:lang w:val="en-US" w:eastAsia="zh-CN"/>
        </w:rPr>
        <w:t xml:space="preserve">阿克苏地区库车市东城街道幸福路65号企业公馆A座401-3室 </w:t>
      </w:r>
    </w:p>
    <w:p>
      <w:pPr>
        <w:spacing w:line="500" w:lineRule="exact"/>
        <w:jc w:val="left"/>
        <w:rPr>
          <w:color w:val="auto"/>
          <w:sz w:val="28"/>
          <w:szCs w:val="44"/>
        </w:rPr>
      </w:pPr>
      <w:r>
        <w:rPr>
          <w:rFonts w:hint="eastAsia"/>
          <w:color w:val="auto"/>
          <w:sz w:val="28"/>
          <w:szCs w:val="44"/>
        </w:rPr>
        <w:t>联 系 方 式：</w:t>
      </w:r>
      <w:r>
        <w:rPr>
          <w:rFonts w:hint="eastAsia"/>
          <w:color w:val="auto"/>
          <w:sz w:val="28"/>
          <w:szCs w:val="44"/>
          <w:lang w:val="en-US" w:eastAsia="zh-CN"/>
        </w:rPr>
        <w:t>15003021126</w:t>
      </w:r>
      <w:r>
        <w:rPr>
          <w:rFonts w:hint="eastAsia"/>
          <w:color w:val="auto"/>
          <w:sz w:val="28"/>
          <w:szCs w:val="44"/>
        </w:rPr>
        <w:t xml:space="preserve">  </w:t>
      </w:r>
      <w:r>
        <w:rPr>
          <w:color w:val="auto"/>
        </w:rPr>
        <w:fldChar w:fldCharType="begin"/>
      </w:r>
      <w:r>
        <w:rPr>
          <w:color w:val="auto"/>
        </w:rPr>
        <w:instrText xml:space="preserve"> HYPERLINK "mailto:3583910363@qq.com" </w:instrText>
      </w:r>
      <w:r>
        <w:rPr>
          <w:color w:val="auto"/>
        </w:rPr>
        <w:fldChar w:fldCharType="separate"/>
      </w:r>
      <w:r>
        <w:rPr>
          <w:rStyle w:val="26"/>
          <w:rFonts w:hint="eastAsia"/>
          <w:color w:val="auto"/>
          <w:sz w:val="28"/>
          <w:szCs w:val="44"/>
          <w:highlight w:val="none"/>
          <w:u w:val="none"/>
          <w:lang w:val="en-US" w:eastAsia="zh-CN"/>
        </w:rPr>
        <w:t>85089020</w:t>
      </w:r>
      <w:r>
        <w:rPr>
          <w:rStyle w:val="26"/>
          <w:rFonts w:hint="eastAsia"/>
          <w:color w:val="auto"/>
          <w:sz w:val="28"/>
          <w:szCs w:val="44"/>
          <w:u w:val="none"/>
        </w:rPr>
        <w:t>@qq.com</w:t>
      </w:r>
      <w:r>
        <w:rPr>
          <w:rStyle w:val="26"/>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jc w:val="both"/>
        <w:rPr>
          <w:rFonts w:ascii="宋体" w:hAnsi="宋体"/>
          <w:b/>
          <w:bCs/>
          <w:color w:val="auto"/>
          <w:sz w:val="44"/>
        </w:rPr>
        <w:sectPr>
          <w:headerReference r:id="rId3" w:type="default"/>
          <w:footerReference r:id="rId4" w:type="even"/>
          <w:pgSz w:w="11906" w:h="16838"/>
          <w:pgMar w:top="1134" w:right="881" w:bottom="1134" w:left="1134" w:header="851" w:footer="567" w:gutter="0"/>
          <w:pgNumType w:fmt="decimal" w:start="0"/>
          <w:cols w:space="720" w:num="1"/>
          <w:titlePg/>
          <w:docGrid w:type="lines" w:linePitch="312" w:charSpace="0"/>
        </w:sect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tabs>
          <w:tab w:val="center" w:pos="4945"/>
        </w:tabs>
        <w:spacing w:line="600" w:lineRule="exact"/>
        <w:rPr>
          <w:rFonts w:hint="default" w:ascii="宋体" w:hAnsi="宋体"/>
          <w:b/>
          <w:color w:val="auto"/>
          <w:sz w:val="30"/>
          <w:szCs w:val="30"/>
          <w:highlight w:val="yellow"/>
          <w:lang w:val="en-US" w:eastAsia="zh-CN"/>
        </w:rPr>
      </w:pPr>
      <w:r>
        <w:rPr>
          <w:rFonts w:hint="eastAsia" w:ascii="宋体" w:hAnsi="宋体"/>
          <w:b/>
          <w:color w:val="auto"/>
          <w:sz w:val="30"/>
          <w:szCs w:val="30"/>
          <w:highlight w:val="none"/>
        </w:rPr>
        <w:t>采购名称：2023年沙雅县创建文明城市氛围提升项目</w:t>
      </w:r>
    </w:p>
    <w:p>
      <w:pPr>
        <w:spacing w:line="600" w:lineRule="exact"/>
        <w:rPr>
          <w:rFonts w:ascii="Verdana" w:hAnsi="Verdana" w:cs="宋体"/>
          <w:b/>
          <w:color w:val="auto"/>
          <w:kern w:val="0"/>
          <w:sz w:val="30"/>
          <w:szCs w:val="30"/>
          <w:highlight w:val="yellow"/>
        </w:rPr>
      </w:pPr>
      <w:r>
        <w:rPr>
          <w:rFonts w:hint="eastAsia" w:ascii="宋体" w:hAnsi="宋体"/>
          <w:b/>
          <w:color w:val="auto"/>
          <w:sz w:val="30"/>
          <w:szCs w:val="30"/>
          <w:highlight w:val="none"/>
        </w:rPr>
        <w:t>招 标 人：</w:t>
      </w:r>
      <w:r>
        <w:rPr>
          <w:rFonts w:hint="eastAsia" w:ascii="宋体" w:hAnsi="宋体"/>
          <w:b/>
          <w:color w:val="auto"/>
          <w:sz w:val="30"/>
          <w:szCs w:val="30"/>
          <w:highlight w:val="none"/>
          <w:lang w:val="en-US" w:eastAsia="zh-CN"/>
        </w:rPr>
        <w:t>中共沙雅县委员会宣传部</w:t>
      </w:r>
    </w:p>
    <w:p>
      <w:pPr>
        <w:spacing w:line="600" w:lineRule="exact"/>
        <w:rPr>
          <w:rFonts w:ascii="宋体" w:hAnsi="宋体"/>
          <w:b/>
          <w:color w:val="auto"/>
          <w:sz w:val="30"/>
          <w:szCs w:val="30"/>
          <w:highlight w:val="yellow"/>
        </w:rPr>
      </w:pPr>
      <w:r>
        <w:rPr>
          <w:rFonts w:hint="eastAsia" w:ascii="宋体" w:hAnsi="宋体"/>
          <w:b/>
          <w:color w:val="auto"/>
          <w:sz w:val="30"/>
          <w:szCs w:val="30"/>
          <w:highlight w:val="none"/>
        </w:rPr>
        <w:t>法定代表人或授权委托人（签章）：</w:t>
      </w:r>
    </w:p>
    <w:p>
      <w:pPr>
        <w:widowControl/>
        <w:spacing w:line="700" w:lineRule="exact"/>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联 系 人：</w:t>
      </w:r>
      <w:r>
        <w:rPr>
          <w:rFonts w:hint="eastAsia" w:ascii="宋体" w:hAnsi="宋体"/>
          <w:b/>
          <w:color w:val="auto"/>
          <w:sz w:val="30"/>
          <w:szCs w:val="30"/>
          <w:highlight w:val="none"/>
          <w:lang w:eastAsia="zh-CN"/>
        </w:rPr>
        <w:t>王</w:t>
      </w:r>
      <w:r>
        <w:rPr>
          <w:rFonts w:hint="eastAsia" w:ascii="宋体" w:hAnsi="宋体"/>
          <w:b/>
          <w:color w:val="auto"/>
          <w:sz w:val="30"/>
          <w:szCs w:val="30"/>
          <w:highlight w:val="none"/>
          <w:lang w:val="en-US" w:eastAsia="zh-CN"/>
        </w:rPr>
        <w:t>婧</w:t>
      </w:r>
    </w:p>
    <w:p>
      <w:pPr>
        <w:widowControl/>
        <w:spacing w:line="700" w:lineRule="exact"/>
        <w:rPr>
          <w:rFonts w:hint="default" w:ascii="宋体" w:hAnsi="宋体"/>
          <w:b/>
          <w:color w:val="auto"/>
          <w:sz w:val="30"/>
          <w:szCs w:val="30"/>
          <w:highlight w:val="yellow"/>
          <w:lang w:val="en-US"/>
        </w:rPr>
      </w:pPr>
      <w:r>
        <w:rPr>
          <w:rFonts w:hint="eastAsia" w:ascii="宋体" w:hAnsi="宋体"/>
          <w:b/>
          <w:color w:val="auto"/>
          <w:sz w:val="30"/>
          <w:szCs w:val="30"/>
          <w:highlight w:val="none"/>
        </w:rPr>
        <w:t>联系电话：</w:t>
      </w:r>
      <w:r>
        <w:rPr>
          <w:rFonts w:hint="eastAsia" w:ascii="宋体" w:hAnsi="宋体"/>
          <w:b/>
          <w:color w:val="auto"/>
          <w:sz w:val="30"/>
          <w:szCs w:val="30"/>
          <w:highlight w:val="none"/>
          <w:lang w:val="en-US" w:eastAsia="zh-CN"/>
        </w:rPr>
        <w:t>15292361215</w:t>
      </w:r>
    </w:p>
    <w:p>
      <w:pPr>
        <w:spacing w:line="480" w:lineRule="exact"/>
        <w:rPr>
          <w:rFonts w:ascii="宋体" w:hAnsi="宋体"/>
          <w:b/>
          <w:color w:val="auto"/>
          <w:sz w:val="30"/>
          <w:szCs w:val="30"/>
        </w:rPr>
      </w:pPr>
    </w:p>
    <w:p>
      <w:pPr>
        <w:pStyle w:val="5"/>
        <w:rPr>
          <w:color w:val="auto"/>
        </w:rPr>
      </w:pP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招标代理机构：</w:t>
      </w:r>
      <w:r>
        <w:rPr>
          <w:rFonts w:hint="eastAsia" w:ascii="宋体" w:hAnsi="宋体"/>
          <w:b/>
          <w:color w:val="auto"/>
          <w:sz w:val="30"/>
          <w:szCs w:val="30"/>
          <w:lang w:eastAsia="zh-CN"/>
        </w:rPr>
        <w:t>新疆玖泰鑫工程项目管理有限公司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张潇潇</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15003021126</w:t>
      </w:r>
    </w:p>
    <w:p>
      <w:pPr>
        <w:spacing w:line="480" w:lineRule="exact"/>
        <w:rPr>
          <w:rFonts w:hint="eastAsia" w:ascii="宋体" w:hAnsi="宋体" w:eastAsia="宋体"/>
          <w:b/>
          <w:color w:val="auto"/>
          <w:sz w:val="30"/>
          <w:szCs w:val="30"/>
          <w:lang w:eastAsia="zh-CN"/>
        </w:rPr>
      </w:pPr>
      <w:r>
        <w:rPr>
          <w:rFonts w:hint="eastAsia" w:ascii="宋体" w:hAnsi="宋体"/>
          <w:b/>
          <w:color w:val="auto"/>
          <w:sz w:val="30"/>
          <w:szCs w:val="30"/>
        </w:rPr>
        <w:t>联系地址：</w:t>
      </w:r>
      <w:r>
        <w:rPr>
          <w:rFonts w:hint="eastAsia" w:ascii="宋体" w:hAnsi="宋体"/>
          <w:b/>
          <w:color w:val="auto"/>
          <w:sz w:val="30"/>
          <w:szCs w:val="30"/>
          <w:lang w:eastAsia="zh-CN"/>
        </w:rPr>
        <w:t>阿克苏地区库车市东城街道幸福路65号企业公馆A座401-3室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8"/>
        <w:rPr>
          <w:color w:val="auto"/>
        </w:rPr>
      </w:pPr>
    </w:p>
    <w:p>
      <w:pPr>
        <w:spacing w:line="360" w:lineRule="auto"/>
        <w:ind w:firstLine="3313" w:firstLineChars="1100"/>
        <w:rPr>
          <w:rFonts w:hint="eastAsia" w:ascii="宋体" w:hAnsi="宋体"/>
          <w:b/>
          <w:bCs/>
          <w:color w:val="auto"/>
          <w:sz w:val="44"/>
        </w:rPr>
        <w:sectPr>
          <w:pgSz w:w="11906" w:h="16838"/>
          <w:pgMar w:top="1134" w:right="881" w:bottom="1134" w:left="1134" w:header="851" w:footer="567" w:gutter="0"/>
          <w:pgNumType w:fmt="decimal" w:start="0"/>
          <w:cols w:space="720" w:num="1"/>
          <w:titlePg/>
          <w:docGrid w:type="lines" w:linePitch="312" w:charSpace="0"/>
        </w:sectPr>
      </w:pPr>
      <w:r>
        <w:rPr>
          <w:rFonts w:hint="eastAsia" w:ascii="宋体" w:hAnsi="宋体"/>
          <w:b/>
          <w:color w:val="auto"/>
          <w:sz w:val="30"/>
          <w:szCs w:val="30"/>
          <w:highlight w:val="none"/>
        </w:rPr>
        <w:t>二〇二</w:t>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月</w:t>
      </w: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w:t>
      </w:r>
      <w:r>
        <w:rPr>
          <w:rFonts w:hint="eastAsia" w:ascii="宋体" w:hAnsi="宋体"/>
          <w:bCs/>
          <w:caps/>
          <w:color w:val="auto"/>
          <w:kern w:val="1"/>
          <w:sz w:val="28"/>
          <w:szCs w:val="28"/>
          <w:lang w:val="en-US" w:eastAsia="zh-CN"/>
        </w:rPr>
        <w:t xml:space="preserve"> 4</w:t>
      </w:r>
      <w:r>
        <w:rPr>
          <w:rFonts w:hint="eastAsia" w:ascii="宋体" w:hAnsi="宋体"/>
          <w:bCs/>
          <w:caps/>
          <w:color w:val="auto"/>
          <w:kern w:val="1"/>
          <w:sz w:val="28"/>
          <w:szCs w:val="28"/>
        </w:rPr>
        <w:t xml:space="preserve">  </w:t>
      </w:r>
    </w:p>
    <w:p>
      <w:pPr>
        <w:ind w:firstLine="560" w:firstLineChars="200"/>
        <w:rPr>
          <w:rFonts w:hint="default" w:ascii="宋体" w:hAnsi="宋体" w:eastAsia="宋体"/>
          <w:bCs/>
          <w:caps/>
          <w:color w:val="auto"/>
          <w:kern w:val="1"/>
          <w:sz w:val="28"/>
          <w:szCs w:val="28"/>
          <w:lang w:val="en-US" w:eastAsia="zh-CN"/>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w:t>
      </w:r>
      <w:r>
        <w:rPr>
          <w:rFonts w:hint="eastAsia" w:ascii="宋体" w:hAnsi="宋体"/>
          <w:bCs/>
          <w:caps/>
          <w:color w:val="auto"/>
          <w:kern w:val="1"/>
          <w:sz w:val="28"/>
          <w:szCs w:val="28"/>
          <w:lang w:val="en-US" w:eastAsia="zh-CN"/>
        </w:rPr>
        <w:t>12</w:t>
      </w:r>
    </w:p>
    <w:p>
      <w:pPr>
        <w:ind w:firstLine="560" w:firstLineChars="200"/>
        <w:rPr>
          <w:rFonts w:hint="default" w:ascii="宋体" w:hAnsi="宋体" w:eastAsia="宋体"/>
          <w:bCs/>
          <w:caps/>
          <w:color w:val="auto"/>
          <w:kern w:val="1"/>
          <w:sz w:val="28"/>
          <w:szCs w:val="28"/>
          <w:lang w:val="en-US" w:eastAsia="zh-CN"/>
        </w:rPr>
      </w:pPr>
      <w:r>
        <w:rPr>
          <w:rFonts w:hint="eastAsia" w:ascii="宋体" w:hAnsi="宋体"/>
          <w:bCs/>
          <w:caps/>
          <w:color w:val="auto"/>
          <w:kern w:val="1"/>
          <w:sz w:val="28"/>
          <w:szCs w:val="28"/>
        </w:rPr>
        <w:t>第四章  用户需求书………………………………………………………</w:t>
      </w:r>
      <w:r>
        <w:rPr>
          <w:rFonts w:hint="eastAsia" w:ascii="宋体" w:hAnsi="宋体"/>
          <w:bCs/>
          <w:caps/>
          <w:color w:val="auto"/>
          <w:kern w:val="1"/>
          <w:sz w:val="28"/>
          <w:szCs w:val="28"/>
          <w:lang w:val="en-US" w:eastAsia="zh-CN"/>
        </w:rPr>
        <w:t>26</w:t>
      </w:r>
    </w:p>
    <w:p>
      <w:pPr>
        <w:ind w:firstLine="560" w:firstLineChars="200"/>
        <w:rPr>
          <w:rFonts w:hint="default" w:ascii="宋体" w:hAnsi="宋体" w:eastAsia="宋体"/>
          <w:bCs/>
          <w:caps/>
          <w:color w:val="auto"/>
          <w:kern w:val="1"/>
          <w:sz w:val="28"/>
          <w:szCs w:val="28"/>
          <w:lang w:val="en-US" w:eastAsia="zh-CN"/>
        </w:rPr>
      </w:pPr>
      <w:r>
        <w:rPr>
          <w:rFonts w:hint="eastAsia" w:ascii="宋体" w:hAnsi="宋体"/>
          <w:bCs/>
          <w:caps/>
          <w:color w:val="auto"/>
          <w:kern w:val="1"/>
          <w:sz w:val="28"/>
          <w:szCs w:val="28"/>
        </w:rPr>
        <w:t>第五章  通用合同条款及前附表…………………………………………</w:t>
      </w:r>
      <w:r>
        <w:rPr>
          <w:rFonts w:hint="eastAsia" w:ascii="宋体" w:hAnsi="宋体"/>
          <w:bCs/>
          <w:caps/>
          <w:color w:val="auto"/>
          <w:kern w:val="1"/>
          <w:sz w:val="28"/>
          <w:szCs w:val="28"/>
          <w:lang w:val="en-US" w:eastAsia="zh-CN"/>
        </w:rPr>
        <w:t>37</w:t>
      </w:r>
    </w:p>
    <w:p>
      <w:pPr>
        <w:ind w:firstLine="560" w:firstLineChars="200"/>
        <w:rPr>
          <w:rFonts w:hint="default" w:ascii="宋体" w:hAnsi="宋体" w:eastAsia="宋体"/>
          <w:bCs/>
          <w:caps/>
          <w:color w:val="auto"/>
          <w:kern w:val="1"/>
          <w:sz w:val="28"/>
          <w:szCs w:val="28"/>
          <w:lang w:val="en-US" w:eastAsia="zh-CN"/>
        </w:rPr>
      </w:pPr>
      <w:r>
        <w:rPr>
          <w:rFonts w:hint="eastAsia" w:ascii="宋体" w:hAnsi="宋体"/>
          <w:bCs/>
          <w:caps/>
          <w:color w:val="auto"/>
          <w:kern w:val="1"/>
          <w:sz w:val="28"/>
          <w:szCs w:val="28"/>
        </w:rPr>
        <w:t>第六章  投标文件组成及参考格式………………………………………</w:t>
      </w:r>
      <w:r>
        <w:rPr>
          <w:rFonts w:hint="eastAsia" w:ascii="宋体" w:hAnsi="宋体"/>
          <w:bCs/>
          <w:caps/>
          <w:color w:val="auto"/>
          <w:kern w:val="1"/>
          <w:sz w:val="28"/>
          <w:szCs w:val="28"/>
          <w:lang w:val="en-US" w:eastAsia="zh-CN"/>
        </w:rPr>
        <w:t>45</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3"/>
        <w:ind w:firstLine="2409" w:firstLineChars="500"/>
        <w:rPr>
          <w:color w:val="auto"/>
          <w:sz w:val="48"/>
          <w:szCs w:val="48"/>
        </w:rPr>
        <w:sectPr>
          <w:pgSz w:w="11906" w:h="16838"/>
          <w:pgMar w:top="1134" w:right="881" w:bottom="1134" w:left="1134" w:header="851" w:footer="567" w:gutter="0"/>
          <w:pgNumType w:fmt="decimal" w:start="0"/>
          <w:cols w:space="720" w:num="1"/>
          <w:titlePg/>
          <w:docGrid w:type="lines" w:linePitch="312" w:charSpace="0"/>
        </w:sectPr>
      </w:pPr>
    </w:p>
    <w:p>
      <w:pPr>
        <w:pStyle w:val="3"/>
        <w:ind w:firstLine="2409" w:firstLineChars="500"/>
        <w:rPr>
          <w:color w:val="auto"/>
          <w:sz w:val="48"/>
          <w:szCs w:val="48"/>
        </w:rPr>
      </w:pPr>
      <w:bookmarkStart w:id="0" w:name="_Toc35393789"/>
      <w:bookmarkStart w:id="1" w:name="_Toc28359001"/>
      <w:r>
        <w:rPr>
          <w:rFonts w:hint="eastAsia"/>
          <w:color w:val="auto"/>
          <w:sz w:val="48"/>
          <w:szCs w:val="48"/>
        </w:rPr>
        <w:t>第一章  招标公告</w:t>
      </w:r>
      <w:bookmarkEnd w:id="0"/>
      <w:bookmarkEnd w:id="1"/>
      <w:bookmarkStart w:id="2" w:name="_Toc251236081"/>
      <w:bookmarkStart w:id="3" w:name="_Toc50691020"/>
      <w:bookmarkStart w:id="4" w:name="_Toc50737287"/>
      <w:bookmarkStart w:id="5" w:name="_Toc50737319"/>
      <w:bookmarkStart w:id="6" w:name="_Toc50736467"/>
      <w:bookmarkStart w:id="7" w:name="_Toc23927923"/>
    </w:p>
    <w:p>
      <w:pPr>
        <w:jc w:val="center"/>
        <w:rPr>
          <w:rFonts w:hint="eastAsia" w:ascii="Times New Roman" w:hAnsi="Times New Roman" w:eastAsia="华文中宋" w:cs="Times New Roman"/>
          <w:b/>
          <w:bCs w:val="0"/>
          <w:kern w:val="44"/>
          <w:sz w:val="36"/>
          <w:szCs w:val="36"/>
          <w:highlight w:val="none"/>
          <w:lang w:val="en-US" w:eastAsia="zh-CN" w:bidi="ar"/>
        </w:rPr>
      </w:pPr>
      <w:r>
        <w:rPr>
          <w:rFonts w:hint="eastAsia" w:eastAsia="华文中宋" w:cs="Times New Roman"/>
          <w:b/>
          <w:bCs w:val="0"/>
          <w:kern w:val="44"/>
          <w:sz w:val="36"/>
          <w:szCs w:val="36"/>
          <w:highlight w:val="none"/>
          <w:lang w:val="en-US" w:eastAsia="zh-CN" w:bidi="ar"/>
        </w:rPr>
        <w:t>2023年沙雅县创建文明城市氛围提升项目</w:t>
      </w:r>
      <w:r>
        <w:rPr>
          <w:rFonts w:hint="eastAsia" w:ascii="Times New Roman" w:hAnsi="Times New Roman" w:eastAsia="华文中宋" w:cs="Times New Roman"/>
          <w:b/>
          <w:bCs w:val="0"/>
          <w:kern w:val="44"/>
          <w:sz w:val="36"/>
          <w:szCs w:val="36"/>
          <w:highlight w:val="none"/>
          <w:lang w:val="en-US" w:eastAsia="zh-CN" w:bidi="ar"/>
        </w:rPr>
        <w:t>的公开</w:t>
      </w:r>
    </w:p>
    <w:p>
      <w:pPr>
        <w:jc w:val="center"/>
        <w:rPr>
          <w:rFonts w:hint="eastAsia" w:ascii="Times New Roman" w:hAnsi="Times New Roman" w:eastAsia="华文中宋" w:cs="Times New Roman"/>
          <w:b/>
          <w:bCs w:val="0"/>
          <w:kern w:val="44"/>
          <w:sz w:val="36"/>
          <w:szCs w:val="36"/>
          <w:highlight w:val="none"/>
          <w:lang w:val="en-US" w:eastAsia="zh-CN" w:bidi="ar"/>
        </w:rPr>
      </w:pPr>
      <w:r>
        <w:rPr>
          <w:rFonts w:hint="eastAsia" w:ascii="Times New Roman" w:hAnsi="Times New Roman" w:eastAsia="华文中宋" w:cs="Times New Roman"/>
          <w:b/>
          <w:bCs w:val="0"/>
          <w:kern w:val="44"/>
          <w:sz w:val="36"/>
          <w:szCs w:val="36"/>
          <w:highlight w:val="none"/>
          <w:lang w:val="en-US" w:eastAsia="zh-CN" w:bidi="ar"/>
        </w:rPr>
        <w:t>招标公告</w:t>
      </w:r>
    </w:p>
    <w:p>
      <w:pPr>
        <w:pStyle w:val="9"/>
        <w:rPr>
          <w:rFonts w:hint="eastAsia" w:ascii="Times New Roman" w:hAnsi="Times New Roman" w:eastAsia="华文中宋" w:cs="Times New Roman"/>
          <w:b/>
          <w:bCs w:val="0"/>
          <w:kern w:val="44"/>
          <w:sz w:val="36"/>
          <w:szCs w:val="36"/>
          <w:highlight w:val="none"/>
          <w:lang w:val="en-US" w:eastAsia="zh-CN" w:bidi="ar"/>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sz w:val="28"/>
          <w:szCs w:val="28"/>
          <w:lang w:val="en-US" w:eastAsia="zh-CN"/>
        </w:rPr>
        <w:t>2023年沙雅县创建文明城市氛围提升项目</w:t>
      </w:r>
      <w:r>
        <w:rPr>
          <w:rFonts w:hint="eastAsia" w:ascii="仿宋" w:hAnsi="仿宋" w:eastAsia="仿宋"/>
          <w:sz w:val="28"/>
          <w:szCs w:val="28"/>
        </w:rPr>
        <w:t>的潜在投标人应在</w:t>
      </w:r>
      <w:r>
        <w:rPr>
          <w:rFonts w:hint="eastAsia" w:ascii="仿宋" w:hAnsi="仿宋" w:eastAsia="仿宋"/>
          <w:sz w:val="28"/>
          <w:szCs w:val="28"/>
          <w:u w:val="single"/>
        </w:rPr>
        <w:t>新疆政府采购网上</w:t>
      </w:r>
      <w:r>
        <w:rPr>
          <w:rFonts w:hint="eastAsia" w:ascii="仿宋" w:hAnsi="仿宋" w:eastAsia="仿宋"/>
          <w:sz w:val="28"/>
          <w:szCs w:val="28"/>
        </w:rPr>
        <w:t>获取采购文件，</w:t>
      </w:r>
      <w:r>
        <w:rPr>
          <w:rFonts w:hint="eastAsia" w:ascii="仿宋" w:hAnsi="仿宋" w:eastAsia="仿宋" w:cs="Times New Roman"/>
          <w:sz w:val="28"/>
          <w:szCs w:val="28"/>
        </w:rPr>
        <w:t>并于</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08</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09</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u w:val="single"/>
          <w:lang w:val="en-US" w:eastAsia="zh-CN"/>
        </w:rPr>
        <w:t>上午</w:t>
      </w:r>
      <w:r>
        <w:rPr>
          <w:rFonts w:hint="eastAsia" w:ascii="仿宋" w:hAnsi="仿宋" w:eastAsia="仿宋" w:cs="Times New Roman"/>
          <w:color w:val="auto"/>
          <w:sz w:val="28"/>
          <w:szCs w:val="28"/>
          <w:highlight w:val="none"/>
          <w:u w:val="single"/>
        </w:rPr>
        <w:t>1</w:t>
      </w:r>
      <w:r>
        <w:rPr>
          <w:rFonts w:hint="eastAsia" w:ascii="仿宋" w:hAnsi="仿宋" w:eastAsia="仿宋" w:cs="Times New Roman"/>
          <w:color w:val="auto"/>
          <w:sz w:val="28"/>
          <w:szCs w:val="28"/>
          <w:highlight w:val="none"/>
          <w:u w:val="single"/>
          <w:lang w:val="en-US" w:eastAsia="zh-CN"/>
        </w:rPr>
        <w:t>1</w:t>
      </w:r>
      <w:r>
        <w:rPr>
          <w:rFonts w:hint="eastAsia" w:ascii="仿宋" w:hAnsi="仿宋" w:eastAsia="仿宋" w:cs="Times New Roman"/>
          <w:color w:val="auto"/>
          <w:sz w:val="28"/>
          <w:szCs w:val="28"/>
          <w:highlight w:val="none"/>
          <w:u w:val="single"/>
        </w:rPr>
        <w:t>:</w:t>
      </w:r>
      <w:r>
        <w:rPr>
          <w:rFonts w:hint="eastAsia" w:ascii="仿宋" w:hAnsi="仿宋" w:eastAsia="仿宋" w:cs="Times New Roman"/>
          <w:color w:val="auto"/>
          <w:sz w:val="28"/>
          <w:szCs w:val="28"/>
          <w:highlight w:val="none"/>
          <w:u w:val="single"/>
          <w:lang w:val="en-US" w:eastAsia="zh-CN"/>
        </w:rPr>
        <w:t>00</w:t>
      </w:r>
      <w:r>
        <w:rPr>
          <w:rFonts w:hint="eastAsia" w:ascii="仿宋" w:hAnsi="仿宋" w:eastAsia="仿宋" w:cs="Times New Roman"/>
          <w:color w:val="auto"/>
          <w:sz w:val="28"/>
          <w:szCs w:val="28"/>
        </w:rPr>
        <w:t>（北京时间）前递交投标文件</w:t>
      </w:r>
      <w:r>
        <w:rPr>
          <w:rFonts w:hint="eastAsia" w:ascii="仿宋" w:hAnsi="仿宋" w:eastAsia="仿宋"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sz w:val="28"/>
          <w:szCs w:val="28"/>
          <w:highlight w:val="none"/>
        </w:rPr>
        <w:t>项目编号</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XJJTX-2023-CG001</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yellow"/>
          <w:lang w:val="en-US" w:eastAsia="zh-CN"/>
        </w:rPr>
      </w:pPr>
      <w:r>
        <w:rPr>
          <w:rFonts w:hint="eastAsia" w:ascii="仿宋" w:hAnsi="仿宋" w:eastAsia="仿宋" w:cs="Times New Roman"/>
          <w:sz w:val="28"/>
          <w:szCs w:val="28"/>
          <w:highlight w:val="none"/>
        </w:rPr>
        <w:t>项目名称：</w:t>
      </w:r>
      <w:r>
        <w:rPr>
          <w:rFonts w:hint="eastAsia" w:ascii="仿宋" w:hAnsi="仿宋" w:eastAsia="仿宋" w:cs="Times New Roman"/>
          <w:sz w:val="28"/>
          <w:szCs w:val="28"/>
          <w:highlight w:val="none"/>
          <w:lang w:val="en-US" w:eastAsia="zh-CN"/>
        </w:rPr>
        <w:t>2023年沙雅县创建文明城市氛围提升项目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预算金额（元）：</w:t>
      </w:r>
      <w:r>
        <w:rPr>
          <w:rFonts w:hint="eastAsia" w:ascii="仿宋" w:hAnsi="仿宋" w:eastAsia="仿宋" w:cs="Times New Roman"/>
          <w:sz w:val="28"/>
          <w:szCs w:val="28"/>
          <w:highlight w:val="none"/>
          <w:lang w:val="en-US" w:eastAsia="zh-CN"/>
        </w:rPr>
        <w:t>2845100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yellow"/>
          <w:lang w:val="en-US" w:eastAsia="zh-CN"/>
        </w:rPr>
      </w:pPr>
      <w:r>
        <w:rPr>
          <w:rFonts w:hint="eastAsia" w:ascii="仿宋" w:hAnsi="仿宋" w:eastAsia="仿宋" w:cs="Times New Roman"/>
          <w:sz w:val="28"/>
          <w:szCs w:val="28"/>
          <w:highlight w:val="none"/>
        </w:rPr>
        <w:t>最高限价（元）：</w:t>
      </w:r>
      <w:r>
        <w:rPr>
          <w:rFonts w:hint="eastAsia" w:ascii="仿宋" w:hAnsi="仿宋" w:eastAsia="仿宋" w:cs="Times New Roman"/>
          <w:sz w:val="28"/>
          <w:szCs w:val="28"/>
          <w:highlight w:val="none"/>
          <w:lang w:val="en-US" w:eastAsia="zh-CN"/>
        </w:rPr>
        <w:t>2845100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highlight w:val="none"/>
          <w:lang w:val="en-US" w:eastAsia="zh-CN"/>
        </w:rPr>
        <w:t>采购安装创城山墙画面标语造型雕刻喷绘、创城景观绿雕、创城围挡栅栏宣传等。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合同履行期限：</w:t>
      </w:r>
      <w:r>
        <w:rPr>
          <w:rFonts w:hint="eastAsia" w:ascii="仿宋" w:hAnsi="仿宋" w:eastAsia="仿宋" w:cs="Times New Roman"/>
          <w:sz w:val="28"/>
          <w:szCs w:val="28"/>
          <w:highlight w:val="none"/>
          <w:lang w:val="en-US" w:eastAsia="zh-CN"/>
        </w:rPr>
        <w:t>60日历天。</w:t>
      </w:r>
    </w:p>
    <w:p>
      <w:pPr>
        <w:pStyle w:val="9"/>
        <w:keepNext w:val="0"/>
        <w:keepLines w:val="0"/>
        <w:pageBreakBefore w:val="0"/>
        <w:widowControl w:val="0"/>
        <w:kinsoku/>
        <w:wordWrap/>
        <w:overflowPunct/>
        <w:topLinePunct w:val="0"/>
        <w:bidi w:val="0"/>
        <w:snapToGrid/>
        <w:spacing w:line="480" w:lineRule="exact"/>
        <w:ind w:left="0" w:leftChars="0" w:firstLine="560" w:firstLineChars="200"/>
        <w:rPr>
          <w:rFonts w:hint="eastAsia"/>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pPr>
      <w:r>
        <w:rPr>
          <w:rFonts w:hint="eastAsia" w:ascii="黑体" w:hAnsi="黑体" w:eastAsia="黑体" w:cs="黑体"/>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 xml:space="preserve">（5）参加政府采购活动前三年内，在经营活动中没有重大违法记录；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（6）法律、行政法规规定的其他条件。</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 2.落实政府采购政策需满足的资格要求：标项1：供应商为中小企业,（1）财政部、国家发展改革委、生态环境部、市场监管总局《关于调整优化节能产品、环境标志产品政府采购执行机制的通知》（财库[2019]9号文）；</w:t>
      </w:r>
      <w:r>
        <w:rPr>
          <w:rFonts w:hint="eastAsia" w:ascii="仿宋" w:hAnsi="仿宋" w:eastAsia="仿宋" w:cs="Times New Roman"/>
          <w:sz w:val="28"/>
          <w:szCs w:val="28"/>
        </w:rPr>
        <w:br w:type="textWrapping"/>
      </w:r>
      <w:r>
        <w:rPr>
          <w:rFonts w:hint="eastAsia" w:ascii="仿宋" w:hAnsi="仿宋" w:eastAsia="仿宋" w:cs="Times New Roman"/>
          <w:sz w:val="28"/>
          <w:szCs w:val="28"/>
        </w:rPr>
        <w:t>（2）财政部、生态环境部《关于印发环境标志产品政府采购品目清单的通知》（财库[2019]18号文）；</w:t>
      </w:r>
      <w:r>
        <w:rPr>
          <w:rFonts w:hint="eastAsia" w:ascii="仿宋" w:hAnsi="仿宋" w:eastAsia="仿宋" w:cs="Times New Roman"/>
          <w:sz w:val="28"/>
          <w:szCs w:val="28"/>
        </w:rPr>
        <w:br w:type="textWrapping"/>
      </w:r>
      <w:r>
        <w:rPr>
          <w:rFonts w:hint="eastAsia" w:ascii="仿宋" w:hAnsi="仿宋" w:eastAsia="仿宋" w:cs="Times New Roman"/>
          <w:sz w:val="28"/>
          <w:szCs w:val="28"/>
        </w:rPr>
        <w:t>（3）财政部、发展改革委《关于印发节能产品政府采购品目清单的通知》（财库[2019]19号文）；</w:t>
      </w:r>
      <w:r>
        <w:rPr>
          <w:rFonts w:hint="eastAsia" w:ascii="仿宋" w:hAnsi="仿宋" w:eastAsia="仿宋" w:cs="Times New Roman"/>
          <w:sz w:val="28"/>
          <w:szCs w:val="28"/>
        </w:rPr>
        <w:br w:type="textWrapping"/>
      </w:r>
      <w:r>
        <w:rPr>
          <w:rFonts w:hint="eastAsia" w:ascii="仿宋" w:hAnsi="仿宋" w:eastAsia="仿宋" w:cs="Times New Roman"/>
          <w:sz w:val="28"/>
          <w:szCs w:val="28"/>
        </w:rPr>
        <w:t>（4）市场监管总局《市场监管总局关于发布参与实施政府采购节能产品、环境标志产品认证机构名录的公告》（2019年第16号）；</w:t>
      </w:r>
      <w:r>
        <w:rPr>
          <w:rFonts w:hint="eastAsia" w:ascii="仿宋" w:hAnsi="仿宋" w:eastAsia="仿宋" w:cs="Times New Roman"/>
          <w:sz w:val="28"/>
          <w:szCs w:val="28"/>
        </w:rPr>
        <w:br w:type="textWrapping"/>
      </w:r>
      <w:r>
        <w:rPr>
          <w:rFonts w:hint="eastAsia" w:ascii="仿宋" w:hAnsi="仿宋" w:eastAsia="仿宋" w:cs="Times New Roman"/>
          <w:sz w:val="28"/>
          <w:szCs w:val="28"/>
        </w:rPr>
        <w:t>（5）财政部、工业和信息化部《关于印发《政府采购促进中小企业发展管理办法》的通知》（财库[2020]46号文）；</w:t>
      </w:r>
      <w:r>
        <w:rPr>
          <w:rFonts w:hint="eastAsia" w:ascii="仿宋" w:hAnsi="仿宋" w:eastAsia="仿宋" w:cs="Times New Roman"/>
          <w:sz w:val="28"/>
          <w:szCs w:val="28"/>
        </w:rPr>
        <w:br w:type="textWrapping"/>
      </w:r>
      <w:r>
        <w:rPr>
          <w:rFonts w:hint="eastAsia" w:ascii="仿宋" w:hAnsi="仿宋" w:eastAsia="仿宋" w:cs="Times New Roman"/>
          <w:sz w:val="28"/>
          <w:szCs w:val="28"/>
        </w:rPr>
        <w:t>（6）财政部、民政部、中国残疾人联合会《关于促进残疾人就业政府采购政策的通知》（财库[2017]141号）。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三、获取采购文件</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，上午</w:t>
      </w:r>
      <w:r>
        <w:rPr>
          <w:rFonts w:hint="eastAsia" w:ascii="仿宋" w:hAnsi="仿宋" w:eastAsia="仿宋" w:cs="宋体"/>
          <w:color w:val="auto"/>
          <w:sz w:val="28"/>
          <w:szCs w:val="28"/>
          <w:highlight w:val="none"/>
          <w:u w:val="single"/>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1</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w:t>
      </w:r>
      <w:r>
        <w:rPr>
          <w:rFonts w:hint="eastAsia" w:ascii="仿宋" w:hAnsi="仿宋" w:eastAsia="仿宋" w:cs="宋体"/>
          <w:color w:val="auto"/>
          <w:sz w:val="28"/>
          <w:szCs w:val="28"/>
          <w:highlight w:val="none"/>
          <w:u w:val="single"/>
          <w:lang w:val="en-US" w:eastAsia="zh-CN"/>
        </w:rPr>
        <w:t>0</w:t>
      </w:r>
      <w:r>
        <w:rPr>
          <w:rFonts w:hint="eastAsia" w:ascii="仿宋" w:hAnsi="仿宋" w:eastAsia="仿宋" w:cs="宋体"/>
          <w:color w:val="auto"/>
          <w:sz w:val="28"/>
          <w:szCs w:val="28"/>
          <w:highlight w:val="none"/>
          <w:u w:val="single"/>
        </w:rPr>
        <w:t>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w:t>
      </w:r>
      <w:r>
        <w:rPr>
          <w:rFonts w:hint="eastAsia" w:ascii="仿宋" w:hAnsi="仿宋" w:eastAsia="仿宋" w:cs="宋体"/>
          <w:color w:val="auto"/>
          <w:sz w:val="28"/>
          <w:szCs w:val="28"/>
          <w:highlight w:val="none"/>
          <w:u w:val="single"/>
        </w:rPr>
        <w:t>:</w:t>
      </w:r>
      <w:r>
        <w:rPr>
          <w:rFonts w:hint="eastAsia" w:ascii="仿宋" w:hAnsi="仿宋" w:eastAsia="仿宋" w:cs="宋体"/>
          <w:color w:val="auto"/>
          <w:sz w:val="28"/>
          <w:szCs w:val="28"/>
          <w:highlight w:val="none"/>
          <w:u w:val="single"/>
          <w:lang w:val="en-US" w:eastAsia="zh-CN"/>
        </w:rPr>
        <w:t>00</w:t>
      </w:r>
      <w:r>
        <w:rPr>
          <w:rFonts w:hint="eastAsia" w:ascii="仿宋" w:hAnsi="仿宋" w:eastAsia="仿宋" w:cs="宋体"/>
          <w:color w:val="auto"/>
          <w:sz w:val="28"/>
          <w:szCs w:val="28"/>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地点：政采云平台</w:t>
      </w:r>
    </w:p>
    <w:p>
      <w:pPr>
        <w:keepNext w:val="0"/>
        <w:keepLines w:val="0"/>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方式：政采云平台下载</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bCs/>
          <w:sz w:val="28"/>
          <w:szCs w:val="28"/>
          <w:highlight w:val="yellow"/>
        </w:rPr>
      </w:pPr>
      <w:r>
        <w:rPr>
          <w:rFonts w:hint="eastAsia" w:ascii="仿宋" w:hAnsi="仿宋" w:eastAsia="仿宋"/>
          <w:bCs/>
          <w:color w:val="auto"/>
          <w:sz w:val="28"/>
          <w:szCs w:val="28"/>
          <w:highlight w:val="none"/>
          <w:u w:val="single"/>
          <w:lang w:val="en-US" w:eastAsia="zh-CN"/>
        </w:rPr>
        <w:t>开标时间：2023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09</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上午11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w:t>
      </w:r>
      <w:r>
        <w:rPr>
          <w:rFonts w:hint="eastAsia" w:ascii="仿宋" w:hAnsi="仿宋" w:eastAsia="仿宋"/>
          <w:bCs/>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Times New Roman"/>
          <w:sz w:val="28"/>
          <w:szCs w:val="28"/>
          <w:highlight w:val="none"/>
          <w:lang w:val="en-US"/>
        </w:rPr>
      </w:pPr>
      <w:r>
        <w:rPr>
          <w:rFonts w:hint="eastAsia" w:ascii="仿宋" w:hAnsi="仿宋" w:eastAsia="仿宋"/>
          <w:sz w:val="28"/>
          <w:szCs w:val="28"/>
          <w:highlight w:val="none"/>
          <w:u w:val="single"/>
          <w:lang w:val="en-US" w:eastAsia="zh-CN"/>
        </w:rPr>
        <w:t>开标</w:t>
      </w:r>
      <w:r>
        <w:rPr>
          <w:rFonts w:hint="eastAsia" w:ascii="仿宋" w:hAnsi="仿宋" w:eastAsia="仿宋"/>
          <w:sz w:val="28"/>
          <w:szCs w:val="28"/>
          <w:highlight w:val="none"/>
          <w:u w:val="single"/>
        </w:rPr>
        <w:t>地点</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政采云不见面开标系统</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五、公告期限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自本公告发布之日起</w:t>
      </w: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highlight w:val="none"/>
        </w:rPr>
        <w:t>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28"/>
          <w:szCs w:val="28"/>
        </w:rPr>
      </w:pPr>
      <w:r>
        <w:rPr>
          <w:rFonts w:hint="eastAsia" w:ascii="黑体" w:hAnsi="黑体" w:eastAsia="黑体" w:cs="黑体"/>
          <w:sz w:val="28"/>
          <w:szCs w:val="28"/>
        </w:rPr>
        <w:t>六、其他补充事宜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1.本公告同时在新疆政府采购网和阿克苏政府网上发布；</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2.请投标单位随时关注本项目的澄清、答疑、变更事项；</w:t>
      </w:r>
    </w:p>
    <w:p>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本次采购项目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Times New Roman"/>
          <w:kern w:val="2"/>
          <w:sz w:val="28"/>
          <w:szCs w:val="28"/>
          <w:lang w:val="en-US" w:eastAsia="zh-CN" w:bidi="ar-SA"/>
        </w:rPr>
        <w:br w:type="textWrapping"/>
      </w:r>
      <w:r>
        <w:rPr>
          <w:rFonts w:hint="eastAsia" w:ascii="仿宋" w:hAnsi="仿宋" w:eastAsia="仿宋" w:cs="Times New Roman"/>
          <w:kern w:val="2"/>
          <w:sz w:val="28"/>
          <w:szCs w:val="28"/>
          <w:lang w:val="en-US" w:eastAsia="zh-CN" w:bidi="ar-SA"/>
        </w:rPr>
        <w:t xml:space="preserve">   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5.投标供应商应当在投标截止时间前，将生成的“电子加密响应文件”上传递交至“政府采购云平台”，投标截止时间以后上传递交的响应文件将被“政府采购云平台”拒收。</w:t>
      </w:r>
    </w:p>
    <w:p>
      <w:pPr>
        <w:pStyle w:val="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Times New Roman"/>
          <w:kern w:val="2"/>
          <w:sz w:val="28"/>
          <w:szCs w:val="28"/>
          <w:lang w:val="en-US" w:eastAsia="zh-CN" w:bidi="ar-SA"/>
        </w:rPr>
      </w:pPr>
    </w:p>
    <w:p>
      <w:pPr>
        <w:pStyle w:val="17"/>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none"/>
          <w:u w:val="single"/>
          <w:lang w:val="en-US"/>
        </w:rPr>
      </w:pPr>
      <w:r>
        <w:rPr>
          <w:rFonts w:hint="eastAsia" w:ascii="仿宋" w:hAnsi="仿宋" w:eastAsia="仿宋" w:cs="Times New Roman"/>
          <w:sz w:val="28"/>
          <w:szCs w:val="28"/>
          <w:highlight w:val="none"/>
        </w:rPr>
        <w:t>名</w:t>
      </w:r>
      <w:r>
        <w:rPr>
          <w:rFonts w:hint="eastAsia" w:ascii="仿宋" w:hAnsi="仿宋" w:eastAsia="仿宋" w:cs="Times New Roman"/>
          <w:sz w:val="28"/>
          <w:szCs w:val="28"/>
          <w:highlight w:val="none"/>
          <w:lang w:val="en-US" w:eastAsia="zh-CN"/>
        </w:rPr>
        <w:t xml:space="preserve">  </w:t>
      </w:r>
      <w:r>
        <w:rPr>
          <w:rFonts w:hint="eastAsia" w:ascii="仿宋" w:hAnsi="仿宋" w:eastAsia="仿宋" w:cs="Times New Roman"/>
          <w:sz w:val="28"/>
          <w:szCs w:val="28"/>
          <w:highlight w:val="none"/>
        </w:rPr>
        <w:t>称：</w:t>
      </w:r>
      <w:r>
        <w:rPr>
          <w:rFonts w:hint="eastAsia" w:ascii="仿宋" w:hAnsi="仿宋" w:eastAsia="仿宋" w:cs="Times New Roman"/>
          <w:sz w:val="28"/>
          <w:szCs w:val="28"/>
          <w:highlight w:val="none"/>
          <w:u w:val="single"/>
          <w:lang w:val="en-US" w:eastAsia="zh-CN"/>
        </w:rPr>
        <w:t>中共沙雅县委员会宣传部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rPr>
        <w:t>地</w:t>
      </w:r>
      <w:r>
        <w:rPr>
          <w:rFonts w:hint="eastAsia" w:ascii="仿宋" w:hAnsi="仿宋" w:eastAsia="仿宋" w:cs="Times New Roman"/>
          <w:sz w:val="28"/>
          <w:szCs w:val="28"/>
          <w:highlight w:val="none"/>
          <w:lang w:val="en-US" w:eastAsia="zh-CN"/>
        </w:rPr>
        <w:t xml:space="preserve">  </w:t>
      </w:r>
      <w:r>
        <w:rPr>
          <w:rFonts w:hint="eastAsia" w:ascii="仿宋" w:hAnsi="仿宋" w:eastAsia="仿宋" w:cs="Times New Roman"/>
          <w:sz w:val="28"/>
          <w:szCs w:val="28"/>
          <w:highlight w:val="none"/>
        </w:rPr>
        <w:t>址：</w:t>
      </w:r>
      <w:r>
        <w:rPr>
          <w:rFonts w:hint="eastAsia" w:ascii="仿宋" w:hAnsi="仿宋" w:eastAsia="仿宋" w:cs="Times New Roman"/>
          <w:sz w:val="28"/>
          <w:szCs w:val="28"/>
          <w:highlight w:val="none"/>
          <w:u w:val="single"/>
        </w:rPr>
        <w:t>新疆维吾尔自治区阿克苏地区沙雅县北京南路2号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rPr>
        <w:t>联系方式：</w:t>
      </w:r>
      <w:r>
        <w:rPr>
          <w:rFonts w:hint="eastAsia" w:ascii="仿宋" w:hAnsi="仿宋" w:eastAsia="仿宋" w:cs="Times New Roman"/>
          <w:sz w:val="28"/>
          <w:szCs w:val="28"/>
          <w:highlight w:val="none"/>
          <w:u w:val="single"/>
          <w:lang w:val="en-US" w:eastAsia="zh-CN"/>
        </w:rPr>
        <w:t>15292361215</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rPr>
      </w:pPr>
      <w:r>
        <w:rPr>
          <w:rFonts w:hint="eastAsia" w:ascii="仿宋" w:hAnsi="仿宋" w:eastAsia="仿宋" w:cs="Times New Roman"/>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rPr>
        <w:t>名</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称：</w:t>
      </w:r>
      <w:r>
        <w:rPr>
          <w:rFonts w:hint="eastAsia" w:ascii="仿宋" w:hAnsi="仿宋" w:eastAsia="仿宋" w:cs="Times New Roman"/>
          <w:sz w:val="28"/>
          <w:szCs w:val="28"/>
          <w:u w:val="single"/>
          <w:lang w:eastAsia="zh-CN"/>
        </w:rPr>
        <w:t>新疆玖泰鑫工程项目管理有限公司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rPr>
        <w:t>地</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址：</w:t>
      </w:r>
      <w:r>
        <w:rPr>
          <w:rFonts w:hint="eastAsia" w:ascii="仿宋" w:hAnsi="仿宋" w:eastAsia="仿宋" w:cs="Times New Roman"/>
          <w:sz w:val="28"/>
          <w:szCs w:val="28"/>
          <w:u w:val="single"/>
          <w:lang w:eastAsia="zh-CN"/>
        </w:rPr>
        <w:t>阿克苏地区库车市东城街道幸福路65号企业公馆A座401-3室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15003021126</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u w:val="single"/>
        </w:rPr>
      </w:pPr>
      <w:r>
        <w:rPr>
          <w:rFonts w:hint="eastAsia" w:ascii="仿宋" w:hAnsi="仿宋" w:eastAsia="仿宋" w:cs="Times New Roman"/>
          <w:sz w:val="28"/>
          <w:szCs w:val="28"/>
          <w:u w:val="none"/>
          <w:lang w:val="en-US" w:eastAsia="zh-CN"/>
        </w:rPr>
        <w:t>3.</w:t>
      </w:r>
      <w:r>
        <w:rPr>
          <w:rFonts w:hint="eastAsia" w:ascii="仿宋" w:hAnsi="仿宋" w:eastAsia="仿宋" w:cs="Times New Roman"/>
          <w:sz w:val="28"/>
          <w:szCs w:val="28"/>
          <w:u w:val="none"/>
        </w:rPr>
        <w:t> </w:t>
      </w:r>
      <w:r>
        <w:rPr>
          <w:rFonts w:hint="eastAsia" w:ascii="仿宋" w:hAnsi="仿宋" w:eastAsia="仿宋" w:cs="宋体"/>
          <w:sz w:val="28"/>
          <w:szCs w:val="28"/>
        </w:rPr>
        <w:t>项目</w:t>
      </w:r>
      <w:r>
        <w:rPr>
          <w:rFonts w:ascii="仿宋" w:hAnsi="仿宋" w:eastAsia="仿宋" w:cs="宋体"/>
          <w:sz w:val="28"/>
          <w:szCs w:val="28"/>
        </w:rPr>
        <w:t>联系方式</w:t>
      </w:r>
    </w:p>
    <w:p>
      <w:pPr>
        <w:pStyle w:val="12"/>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张潇潇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15003021126</w:t>
      </w:r>
    </w:p>
    <w:p>
      <w:pPr>
        <w:pStyle w:val="2"/>
        <w:rPr>
          <w:rFonts w:hint="eastAsia" w:ascii="仿宋" w:hAnsi="仿宋" w:eastAsia="仿宋"/>
          <w:sz w:val="28"/>
          <w:szCs w:val="28"/>
          <w:highlight w:val="none"/>
          <w:u w:val="single"/>
          <w:lang w:val="en-US" w:eastAsia="zh-CN"/>
        </w:rPr>
      </w:pPr>
    </w:p>
    <w:p>
      <w:pPr>
        <w:pStyle w:val="2"/>
        <w:rPr>
          <w:rFonts w:hint="eastAsia" w:ascii="仿宋" w:hAnsi="仿宋" w:eastAsia="仿宋"/>
          <w:sz w:val="28"/>
          <w:szCs w:val="28"/>
          <w:highlight w:val="none"/>
          <w:u w:val="single"/>
          <w:lang w:val="en-US" w:eastAsia="zh-CN"/>
        </w:rPr>
      </w:pPr>
    </w:p>
    <w:p>
      <w:pPr>
        <w:pStyle w:val="18"/>
        <w:ind w:left="0" w:leftChars="0" w:firstLine="0" w:firstLineChars="0"/>
        <w:rPr>
          <w:rFonts w:hint="default" w:ascii="仿宋" w:hAnsi="仿宋" w:eastAsia="仿宋"/>
          <w:b w:val="0"/>
          <w:bCs/>
          <w:sz w:val="28"/>
          <w:szCs w:val="28"/>
          <w:u w:val="single"/>
          <w:lang w:val="en-US" w:eastAsia="zh-CN"/>
        </w:rPr>
      </w:pPr>
      <w:r>
        <w:rPr>
          <w:rFonts w:ascii="宋体" w:hAnsi="宋体" w:eastAsia="宋体" w:cs="宋体"/>
          <w:sz w:val="24"/>
          <w:szCs w:val="24"/>
        </w:rPr>
        <w:br w:type="textWrapping"/>
      </w:r>
    </w:p>
    <w:p>
      <w:pPr>
        <w:pStyle w:val="3"/>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highlight w:val="yellow"/>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中共沙雅县委员会宣传部</w:t>
            </w:r>
            <w:r>
              <w:rPr>
                <w:rFonts w:hint="eastAsia" w:ascii="宋体" w:hAnsi="宋体" w:cs="宋体"/>
                <w:color w:val="auto"/>
                <w:sz w:val="24"/>
                <w:highlight w:val="none"/>
              </w:rPr>
              <w:t> </w:t>
            </w:r>
          </w:p>
          <w:p>
            <w:pPr>
              <w:pStyle w:val="8"/>
              <w:spacing w:line="300" w:lineRule="exact"/>
              <w:rPr>
                <w:rStyle w:val="23"/>
                <w:rFonts w:hint="eastAsia" w:ascii="宋体" w:hAnsi="宋体" w:eastAsia="宋体" w:cs="宋体"/>
                <w:b w:val="0"/>
                <w:color w:val="auto"/>
                <w:highlight w:val="yellow"/>
                <w:lang w:eastAsia="zh-CN"/>
              </w:rPr>
            </w:pPr>
            <w:r>
              <w:rPr>
                <w:rFonts w:hint="eastAsia" w:ascii="宋体" w:hAnsi="宋体" w:cs="宋体"/>
                <w:color w:val="auto"/>
                <w:highlight w:val="none"/>
              </w:rPr>
              <w:t>地   址：新疆维吾尔自治区阿克苏地区沙雅县北京南路2号</w:t>
            </w:r>
          </w:p>
          <w:p>
            <w:pPr>
              <w:pStyle w:val="8"/>
              <w:spacing w:line="300" w:lineRule="exact"/>
              <w:rPr>
                <w:rFonts w:ascii="宋体" w:hAnsi="宋体" w:cs="宋体"/>
                <w:color w:val="auto"/>
                <w:highlight w:val="none"/>
              </w:rPr>
            </w:pPr>
            <w:r>
              <w:rPr>
                <w:rFonts w:hint="eastAsia" w:ascii="宋体" w:hAnsi="宋体" w:cs="宋体"/>
                <w:color w:val="auto"/>
                <w:highlight w:val="none"/>
              </w:rPr>
              <w:t>联 系 人：王</w:t>
            </w:r>
            <w:r>
              <w:rPr>
                <w:rFonts w:hint="eastAsia" w:ascii="宋体" w:hAnsi="宋体" w:cs="宋体"/>
                <w:color w:val="auto"/>
                <w:highlight w:val="none"/>
                <w:lang w:val="en-US" w:eastAsia="zh-CN"/>
              </w:rPr>
              <w:t>婧</w:t>
            </w:r>
            <w:r>
              <w:rPr>
                <w:rFonts w:hint="eastAsia" w:ascii="宋体" w:hAnsi="宋体" w:cs="宋体"/>
                <w:color w:val="auto"/>
                <w:highlight w:val="none"/>
              </w:rPr>
              <w:t xml:space="preserve">          </w:t>
            </w:r>
          </w:p>
          <w:p>
            <w:pPr>
              <w:pStyle w:val="8"/>
              <w:spacing w:line="300" w:lineRule="exact"/>
              <w:rPr>
                <w:rFonts w:ascii="宋体" w:hAnsi="宋体" w:cs="宋体"/>
                <w:color w:val="auto"/>
              </w:rPr>
            </w:pPr>
            <w:r>
              <w:rPr>
                <w:rFonts w:hint="eastAsia" w:ascii="宋体" w:hAnsi="宋体" w:cs="宋体"/>
                <w:color w:val="auto"/>
                <w:highlight w:val="none"/>
              </w:rPr>
              <w:t>电   话：</w:t>
            </w:r>
            <w:r>
              <w:rPr>
                <w:rFonts w:hint="eastAsia" w:ascii="宋体" w:hAnsi="宋体" w:cs="宋体"/>
                <w:color w:val="auto"/>
                <w:highlight w:val="none"/>
                <w:lang w:val="en-US" w:eastAsia="zh-CN"/>
              </w:rPr>
              <w:t>15292361215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新疆玖泰鑫工程项目管理有限公司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地     址：</w:t>
            </w:r>
            <w:r>
              <w:rPr>
                <w:rFonts w:hint="eastAsia" w:ascii="宋体" w:hAnsi="宋体" w:cs="宋体"/>
                <w:snapToGrid w:val="0"/>
                <w:color w:val="auto"/>
                <w:spacing w:val="-8"/>
                <w:kern w:val="0"/>
                <w:sz w:val="24"/>
                <w:lang w:eastAsia="zh-CN"/>
              </w:rPr>
              <w:t>阿克苏地区库车市东城街道幸福路65号企业公馆A座401-3室</w:t>
            </w:r>
            <w:r>
              <w:rPr>
                <w:rFonts w:hint="eastAsia" w:ascii="宋体" w:hAnsi="宋体" w:cs="宋体"/>
                <w:snapToGrid w:val="0"/>
                <w:color w:val="auto"/>
                <w:spacing w:val="-8"/>
                <w:kern w:val="0"/>
                <w:sz w:val="24"/>
              </w:rPr>
              <w:t xml:space="preserve">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张潇潇</w:t>
            </w:r>
          </w:p>
          <w:p>
            <w:pPr>
              <w:tabs>
                <w:tab w:val="left" w:pos="1860"/>
              </w:tabs>
              <w:spacing w:line="420" w:lineRule="exact"/>
              <w:jc w:val="left"/>
              <w:rPr>
                <w:rFonts w:hint="default" w:ascii="宋体" w:hAnsi="宋体" w:eastAsia="宋体" w:cs="宋体"/>
                <w:snapToGrid w:val="0"/>
                <w:color w:val="auto"/>
                <w:kern w:val="0"/>
                <w:sz w:val="24"/>
                <w:lang w:val="en-US" w:eastAsia="zh-CN"/>
              </w:rPr>
            </w:pPr>
            <w:r>
              <w:rPr>
                <w:rFonts w:hint="eastAsia" w:ascii="宋体" w:hAnsi="宋体" w:cs="宋体"/>
                <w:snapToGrid w:val="0"/>
                <w:color w:val="auto"/>
                <w:kern w:val="0"/>
                <w:sz w:val="24"/>
              </w:rPr>
              <w:t>电    话：</w:t>
            </w:r>
            <w:r>
              <w:rPr>
                <w:rFonts w:hint="eastAsia" w:ascii="宋体" w:hAnsi="宋体" w:cs="宋体"/>
                <w:color w:val="auto"/>
                <w:sz w:val="24"/>
                <w:lang w:val="en-US" w:eastAsia="zh-CN"/>
              </w:rPr>
              <w:t>15003021126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2023年沙雅县创建文明城市氛围提升项目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项目编号</w:t>
            </w:r>
          </w:p>
        </w:tc>
        <w:tc>
          <w:tcPr>
            <w:tcW w:w="7585" w:type="dxa"/>
            <w:vAlign w:val="center"/>
          </w:tcPr>
          <w:p>
            <w:pPr>
              <w:spacing w:line="360" w:lineRule="exact"/>
              <w:rPr>
                <w:rFonts w:hint="default" w:ascii="宋体" w:hAnsi="宋体" w:cs="宋体"/>
                <w:color w:val="auto"/>
                <w:sz w:val="24"/>
                <w:lang w:val="en-US"/>
              </w:rPr>
            </w:pPr>
            <w:r>
              <w:rPr>
                <w:rFonts w:hint="default" w:ascii="宋体" w:hAnsi="宋体" w:cs="宋体"/>
                <w:color w:val="auto"/>
                <w:sz w:val="24"/>
                <w:lang w:val="en-US" w:eastAsia="zh-CN"/>
              </w:rPr>
              <w:t>XJJTX-2023-CG001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w:t>
            </w:r>
            <w:r>
              <w:rPr>
                <w:rFonts w:hint="eastAsia" w:ascii="宋体" w:hAnsi="宋体" w:cs="宋体"/>
                <w:color w:val="auto"/>
                <w:sz w:val="24"/>
                <w:lang w:val="en-US" w:eastAsia="zh-CN"/>
              </w:rPr>
              <w:t>60</w:t>
            </w:r>
            <w:r>
              <w:rPr>
                <w:rFonts w:hint="eastAsia" w:ascii="宋体" w:hAnsi="宋体" w:cs="宋体"/>
                <w:color w:val="auto"/>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发售地点：政采云自行下载</w:t>
            </w:r>
          </w:p>
          <w:p>
            <w:pPr>
              <w:spacing w:line="400" w:lineRule="exact"/>
              <w:ind w:left="1200" w:hanging="1200" w:hangingChars="500"/>
              <w:rPr>
                <w:rFonts w:ascii="宋体" w:hAnsi="宋体" w:cs="宋体"/>
                <w:color w:val="auto"/>
                <w:sz w:val="24"/>
                <w:highlight w:val="none"/>
              </w:rPr>
            </w:pPr>
            <w:r>
              <w:rPr>
                <w:rFonts w:hint="eastAsia" w:ascii="宋体" w:hAnsi="宋体" w:cs="宋体"/>
                <w:color w:val="auto"/>
                <w:sz w:val="24"/>
              </w:rPr>
              <w:t>发售时间：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lang w:eastAsia="zh-CN"/>
              </w:rPr>
              <w:t>日至202</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日</w:t>
            </w:r>
            <w:r>
              <w:rPr>
                <w:rFonts w:hint="eastAsia" w:ascii="宋体" w:hAnsi="宋体" w:cs="宋体"/>
                <w:color w:val="auto"/>
                <w:sz w:val="24"/>
                <w:highlight w:val="none"/>
              </w:rPr>
              <w:t>，上午10：00-14：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highlight w:val="none"/>
              </w:rPr>
              <w:t>00，下午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spacing w:line="420" w:lineRule="exact"/>
              <w:ind w:left="1200" w:hanging="1200" w:hangingChars="500"/>
              <w:rPr>
                <w:rFonts w:ascii="宋体" w:hAnsi="宋体" w:cs="宋体"/>
                <w:bCs/>
                <w:color w:val="auto"/>
                <w:sz w:val="24"/>
                <w:highlight w:val="none"/>
              </w:rPr>
            </w:pPr>
            <w:r>
              <w:rPr>
                <w:rFonts w:hint="eastAsia" w:ascii="宋体" w:hAnsi="宋体" w:cs="宋体"/>
                <w:bCs/>
                <w:color w:val="auto"/>
                <w:sz w:val="24"/>
              </w:rPr>
              <w:t>投标文件递交截止时间：</w:t>
            </w:r>
            <w:r>
              <w:rPr>
                <w:rFonts w:hint="eastAsia" w:ascii="宋体" w:hAnsi="宋体" w:cs="宋体"/>
                <w:bCs/>
                <w:color w:val="auto"/>
                <w:sz w:val="24"/>
                <w:highlight w:val="none"/>
                <w:lang w:eastAsia="zh-CN"/>
              </w:rPr>
              <w:t>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年</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lang w:eastAsia="zh-CN"/>
              </w:rPr>
              <w:t>日</w:t>
            </w:r>
            <w:r>
              <w:rPr>
                <w:rFonts w:hint="eastAsia" w:ascii="宋体" w:hAnsi="宋体" w:cs="宋体"/>
                <w:bCs/>
                <w:color w:val="auto"/>
                <w:sz w:val="24"/>
                <w:highlight w:val="none"/>
                <w:lang w:val="en-US" w:eastAsia="zh-CN"/>
              </w:rPr>
              <w:t>上</w:t>
            </w:r>
            <w:r>
              <w:rPr>
                <w:rFonts w:hint="eastAsia" w:ascii="宋体" w:hAnsi="宋体" w:cs="宋体"/>
                <w:bCs/>
                <w:color w:val="auto"/>
                <w:sz w:val="24"/>
                <w:highlight w:val="none"/>
                <w:lang w:eastAsia="zh-CN"/>
              </w:rPr>
              <w:t>午1</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lang w:eastAsia="zh-CN"/>
              </w:rPr>
              <w:t>0</w:t>
            </w:r>
            <w:r>
              <w:rPr>
                <w:rFonts w:hint="eastAsia" w:ascii="宋体" w:hAnsi="宋体" w:cs="宋体"/>
                <w:bCs/>
                <w:color w:val="auto"/>
                <w:sz w:val="24"/>
                <w:highlight w:val="none"/>
              </w:rPr>
              <w:t>（北京时间）</w:t>
            </w:r>
          </w:p>
          <w:p>
            <w:pPr>
              <w:spacing w:line="360" w:lineRule="exact"/>
              <w:rPr>
                <w:rFonts w:ascii="宋体" w:hAnsi="宋体" w:cs="宋体"/>
                <w:bCs/>
                <w:color w:val="auto"/>
                <w:sz w:val="24"/>
              </w:rPr>
            </w:pPr>
            <w:r>
              <w:rPr>
                <w:rFonts w:hint="eastAsia" w:ascii="宋体" w:hAnsi="宋体" w:cs="宋体"/>
                <w:bCs/>
                <w:color w:val="auto"/>
                <w:sz w:val="24"/>
                <w:highlight w:val="none"/>
              </w:rPr>
              <w:t>投递地址：</w:t>
            </w:r>
            <w:r>
              <w:rPr>
                <w:rFonts w:hint="eastAsia" w:ascii="宋体" w:hAnsi="宋体" w:cs="宋体"/>
                <w:bCs/>
                <w:color w:val="auto"/>
                <w:sz w:val="24"/>
                <w:highlight w:val="none"/>
                <w:lang w:val="en-US" w:eastAsia="zh-CN"/>
              </w:rPr>
              <w:t>政采云不见面开标系统</w:t>
            </w:r>
            <w:r>
              <w:rPr>
                <w:rFonts w:hint="eastAsia" w:ascii="宋体" w:hAnsi="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spacing w:line="360" w:lineRule="exact"/>
              <w:ind w:left="480" w:hanging="480" w:hangingChars="200"/>
              <w:rPr>
                <w:rFonts w:ascii="宋体" w:hAnsi="宋体" w:cs="宋体"/>
                <w:bCs/>
                <w:color w:val="auto"/>
                <w:sz w:val="24"/>
              </w:rPr>
            </w:pPr>
            <w:r>
              <w:rPr>
                <w:rFonts w:hint="eastAsia" w:ascii="宋体" w:hAnsi="宋体" w:cs="宋体"/>
                <w:bCs/>
                <w:color w:val="auto"/>
                <w:sz w:val="24"/>
                <w:highlight w:val="none"/>
                <w:lang w:val="en-US" w:eastAsia="zh-CN"/>
              </w:rPr>
              <w:t>2845100</w:t>
            </w:r>
            <w:r>
              <w:rPr>
                <w:rFonts w:hint="eastAsia" w:ascii="宋体" w:hAnsi="宋体" w:cs="宋体"/>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1"/>
              <w:spacing w:line="360" w:lineRule="exact"/>
              <w:rPr>
                <w:rFonts w:cs="宋体"/>
                <w:color w:val="auto"/>
                <w:sz w:val="24"/>
              </w:rPr>
            </w:pPr>
            <w:r>
              <w:rPr>
                <w:rFonts w:hint="eastAsia" w:cs="宋体"/>
                <w:color w:val="auto"/>
                <w:sz w:val="24"/>
              </w:rPr>
              <w:t>开  标  时  间</w:t>
            </w:r>
          </w:p>
          <w:p>
            <w:pPr>
              <w:pStyle w:val="71"/>
              <w:spacing w:line="360" w:lineRule="exact"/>
              <w:rPr>
                <w:rFonts w:cs="宋体"/>
                <w:color w:val="auto"/>
                <w:sz w:val="24"/>
              </w:rPr>
            </w:pPr>
            <w:r>
              <w:rPr>
                <w:rFonts w:hint="eastAsia" w:cs="宋体"/>
                <w:color w:val="auto"/>
                <w:sz w:val="24"/>
              </w:rPr>
              <w:t>和   地   点</w:t>
            </w:r>
          </w:p>
        </w:tc>
        <w:tc>
          <w:tcPr>
            <w:tcW w:w="7585" w:type="dxa"/>
            <w:vAlign w:val="center"/>
          </w:tcPr>
          <w:p>
            <w:pPr>
              <w:spacing w:line="360" w:lineRule="exact"/>
              <w:rPr>
                <w:rFonts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lang w:eastAsia="zh-CN"/>
              </w:rPr>
              <w:t>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年</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lang w:eastAsia="zh-CN"/>
              </w:rPr>
              <w:t>月</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lang w:eastAsia="zh-CN"/>
              </w:rPr>
              <w:t>日</w:t>
            </w:r>
            <w:r>
              <w:rPr>
                <w:rFonts w:hint="eastAsia" w:ascii="宋体" w:hAnsi="宋体" w:cs="宋体"/>
                <w:bCs/>
                <w:color w:val="auto"/>
                <w:sz w:val="24"/>
                <w:highlight w:val="none"/>
                <w:lang w:val="en-US" w:eastAsia="zh-CN"/>
              </w:rPr>
              <w:t>上</w:t>
            </w:r>
            <w:r>
              <w:rPr>
                <w:rFonts w:hint="eastAsia" w:ascii="宋体" w:hAnsi="宋体" w:cs="宋体"/>
                <w:bCs/>
                <w:color w:val="auto"/>
                <w:sz w:val="24"/>
                <w:highlight w:val="none"/>
                <w:lang w:eastAsia="zh-CN"/>
              </w:rPr>
              <w:t>午1</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lang w:eastAsia="zh-CN"/>
              </w:rPr>
              <w:t>0</w:t>
            </w:r>
            <w:r>
              <w:rPr>
                <w:rFonts w:hint="eastAsia" w:ascii="宋体" w:hAnsi="宋体" w:cs="宋体"/>
                <w:bCs/>
                <w:color w:val="auto"/>
                <w:sz w:val="24"/>
                <w:highlight w:val="none"/>
              </w:rPr>
              <w:t>（北京时间）</w:t>
            </w:r>
          </w:p>
          <w:p>
            <w:pPr>
              <w:spacing w:line="360" w:lineRule="exact"/>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政采云不见面开标系统</w:t>
            </w:r>
            <w:r>
              <w:rPr>
                <w:rFonts w:hint="eastAsia" w:ascii="宋体" w:hAnsi="宋体" w:cs="宋体"/>
                <w:bCs/>
                <w:color w:val="auto"/>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11</w:t>
            </w:r>
          </w:p>
        </w:tc>
        <w:tc>
          <w:tcPr>
            <w:tcW w:w="1980" w:type="dxa"/>
            <w:vAlign w:val="center"/>
          </w:tcPr>
          <w:p>
            <w:pPr>
              <w:pStyle w:val="71"/>
              <w:spacing w:line="360" w:lineRule="exact"/>
              <w:rPr>
                <w:rFonts w:cs="宋体"/>
                <w:color w:val="auto"/>
                <w:sz w:val="24"/>
              </w:rPr>
            </w:pPr>
            <w:r>
              <w:rPr>
                <w:rFonts w:hint="eastAsia" w:cs="宋体"/>
                <w:color w:val="auto"/>
                <w:sz w:val="24"/>
              </w:rPr>
              <w:t>供货期</w:t>
            </w:r>
          </w:p>
        </w:tc>
        <w:tc>
          <w:tcPr>
            <w:tcW w:w="7585" w:type="dxa"/>
            <w:vAlign w:val="center"/>
          </w:tcPr>
          <w:p>
            <w:pPr>
              <w:widowControl/>
              <w:spacing w:line="300" w:lineRule="exact"/>
              <w:rPr>
                <w:rFonts w:ascii="宋体" w:hAnsi="宋体" w:cs="宋体"/>
                <w:bCs/>
                <w:color w:val="auto"/>
                <w:sz w:val="24"/>
              </w:rPr>
            </w:pPr>
            <w:r>
              <w:rPr>
                <w:rFonts w:hint="eastAsia" w:ascii="宋体" w:hAnsi="宋体" w:cs="宋体"/>
                <w:bCs/>
                <w:color w:val="auto"/>
                <w:sz w:val="24"/>
                <w:highlight w:val="none"/>
              </w:rPr>
              <w:t>该项目供货时间为中标后</w:t>
            </w:r>
            <w:r>
              <w:rPr>
                <w:rFonts w:hint="eastAsia" w:ascii="宋体" w:hAnsi="宋体" w:cs="宋体"/>
                <w:bCs/>
                <w:color w:val="auto"/>
                <w:sz w:val="24"/>
                <w:highlight w:val="none"/>
                <w:lang w:val="en-US" w:eastAsia="zh-CN"/>
              </w:rPr>
              <w:t>60日历天</w:t>
            </w:r>
            <w:r>
              <w:rPr>
                <w:rFonts w:hint="eastAsia" w:ascii="宋体" w:hAnsi="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9"/>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w:t>
            </w:r>
            <w:r>
              <w:rPr>
                <w:rFonts w:hint="eastAsia" w:ascii="宋体" w:hAnsi="宋体" w:cs="宋体"/>
                <w:color w:val="auto"/>
                <w:lang w:val="en-US" w:eastAsia="zh-CN"/>
              </w:rPr>
              <w:t>70</w:t>
            </w:r>
            <w:r>
              <w:rPr>
                <w:rFonts w:hint="eastAsia" w:ascii="宋体" w:hAnsi="宋体" w:cs="宋体"/>
                <w:color w:val="auto"/>
              </w:rPr>
              <w:t>％</w:t>
            </w:r>
          </w:p>
          <w:p>
            <w:pPr>
              <w:pStyle w:val="9"/>
              <w:tabs>
                <w:tab w:val="left" w:pos="5940"/>
              </w:tabs>
              <w:spacing w:line="360" w:lineRule="exact"/>
              <w:rPr>
                <w:rFonts w:ascii="宋体" w:hAnsi="宋体" w:cs="宋体"/>
                <w:b/>
                <w:bCs/>
                <w:color w:val="auto"/>
              </w:rPr>
            </w:pPr>
            <w:r>
              <w:rPr>
                <w:rFonts w:hint="eastAsia" w:ascii="宋体" w:hAnsi="宋体" w:cs="宋体"/>
                <w:color w:val="auto"/>
              </w:rPr>
              <w:t>二、</w:t>
            </w:r>
            <w:r>
              <w:rPr>
                <w:rFonts w:hint="eastAsia" w:ascii="宋体" w:hAnsi="宋体" w:cs="宋体"/>
                <w:color w:val="auto"/>
                <w:lang w:val="en-US" w:eastAsia="zh-CN"/>
              </w:rPr>
              <w:t>报价</w:t>
            </w:r>
            <w:r>
              <w:rPr>
                <w:rFonts w:hint="eastAsia" w:ascii="宋体" w:hAnsi="宋体" w:cs="宋体"/>
                <w:color w:val="auto"/>
              </w:rPr>
              <w:t>得分</w:t>
            </w:r>
            <w:r>
              <w:rPr>
                <w:rFonts w:hint="eastAsia" w:ascii="宋体" w:hAnsi="宋体" w:cs="宋体"/>
                <w:color w:val="auto"/>
                <w:lang w:val="en-US" w:eastAsia="zh-CN"/>
              </w:rPr>
              <w:t>30</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highlight w:val="none"/>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14</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15</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lang w:val="en-US" w:eastAsia="zh-CN"/>
              </w:rPr>
              <w:t>甲方指定地点</w:t>
            </w:r>
            <w:r>
              <w:rPr>
                <w:rFonts w:ascii="宋体" w:hAnsi="宋体" w:cs="宋体"/>
                <w:bCs/>
                <w:color w:val="auto"/>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16</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17</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lang w:val="en-US" w:eastAsia="zh-CN"/>
              </w:rPr>
              <w:t>投标人</w:t>
            </w:r>
            <w:r>
              <w:rPr>
                <w:rFonts w:hint="eastAsia" w:ascii="宋体" w:hAnsi="宋体" w:cs="宋体"/>
                <w:bCs/>
                <w:color w:val="auto"/>
                <w:sz w:val="24"/>
              </w:rPr>
              <w:t>资格要求</w:t>
            </w:r>
          </w:p>
        </w:tc>
        <w:tc>
          <w:tcPr>
            <w:tcW w:w="7585" w:type="dxa"/>
            <w:vAlign w:val="center"/>
          </w:tcPr>
          <w:p>
            <w:pPr>
              <w:spacing w:line="360" w:lineRule="exact"/>
              <w:rPr>
                <w:rFonts w:ascii="宋体" w:hAnsi="宋体" w:cs="宋体"/>
                <w:bCs/>
                <w:color w:val="auto"/>
                <w:sz w:val="24"/>
              </w:rPr>
            </w:pPr>
            <w:r>
              <w:rPr>
                <w:rFonts w:ascii="宋体" w:hAnsi="宋体" w:cs="宋体"/>
                <w:bCs/>
                <w:color w:val="auto"/>
                <w:sz w:val="24"/>
              </w:rPr>
              <w:t>投标人资格条件、能力和信誉：</w:t>
            </w:r>
          </w:p>
          <w:p>
            <w:pPr>
              <w:spacing w:line="360" w:lineRule="exact"/>
              <w:rPr>
                <w:rFonts w:ascii="宋体" w:hAnsi="宋体" w:cs="宋体"/>
                <w:bCs/>
                <w:color w:val="auto"/>
                <w:sz w:val="24"/>
              </w:rPr>
            </w:pPr>
            <w:r>
              <w:rPr>
                <w:rFonts w:ascii="宋体" w:hAnsi="宋体" w:cs="宋体"/>
                <w:bCs/>
                <w:color w:val="auto"/>
                <w:sz w:val="24"/>
              </w:rPr>
              <w:t>资格条件：</w:t>
            </w:r>
          </w:p>
          <w:p>
            <w:pPr>
              <w:spacing w:line="360" w:lineRule="exact"/>
              <w:rPr>
                <w:rFonts w:ascii="宋体" w:hAnsi="宋体" w:cs="宋体"/>
                <w:bCs/>
                <w:color w:val="auto"/>
                <w:sz w:val="24"/>
              </w:rPr>
            </w:pPr>
            <w:r>
              <w:rPr>
                <w:rFonts w:ascii="宋体" w:hAnsi="宋体" w:cs="宋体"/>
                <w:bCs/>
                <w:color w:val="auto"/>
                <w:sz w:val="24"/>
              </w:rPr>
              <w:t>（一）符合《中华人民共和国政府采购法》第二十二条规定的条件， 具备相应资质的投标人：1.具有独立承担民事责任的能力；2.具有 良好的商业信誉和健全的财务会计制度；3.具有履行合同所必需的 设备和专业技术能力；4.有依法缴纳税收和社会保障资金的良好记 录；5.参加政府采购活动前三年内，在经营活动中没有重大违法记 录；6.法律、行政法规规定的其他条件。</w:t>
            </w:r>
          </w:p>
          <w:p>
            <w:pPr>
              <w:spacing w:line="360" w:lineRule="exact"/>
              <w:rPr>
                <w:rFonts w:ascii="宋体" w:hAnsi="宋体" w:cs="宋体"/>
                <w:bCs/>
                <w:color w:val="auto"/>
                <w:sz w:val="24"/>
              </w:rPr>
            </w:pPr>
            <w:r>
              <w:rPr>
                <w:rFonts w:ascii="宋体" w:hAnsi="宋体" w:cs="宋体"/>
                <w:bCs/>
                <w:color w:val="auto"/>
                <w:sz w:val="24"/>
              </w:rPr>
              <w:t>（二）具有有效的营业执照。</w:t>
            </w:r>
          </w:p>
          <w:p>
            <w:pPr>
              <w:spacing w:line="360" w:lineRule="exact"/>
              <w:rPr>
                <w:rFonts w:ascii="宋体" w:hAnsi="宋体" w:cs="宋体"/>
                <w:bCs/>
                <w:color w:val="auto"/>
                <w:sz w:val="24"/>
              </w:rPr>
            </w:pPr>
            <w:r>
              <w:rPr>
                <w:rFonts w:ascii="宋体" w:hAnsi="宋体" w:cs="宋体"/>
                <w:bCs/>
                <w:color w:val="auto"/>
                <w:sz w:val="24"/>
              </w:rPr>
              <w:t>（三）具有法定代表人资格证明和法定代表人授权委托书；</w:t>
            </w:r>
          </w:p>
          <w:p>
            <w:pPr>
              <w:spacing w:line="360" w:lineRule="exact"/>
              <w:rPr>
                <w:rFonts w:ascii="宋体" w:hAnsi="宋体" w:cs="宋体"/>
                <w:bCs/>
                <w:color w:val="auto"/>
                <w:sz w:val="24"/>
              </w:rPr>
            </w:pPr>
            <w:r>
              <w:rPr>
                <w:rFonts w:ascii="宋体" w:hAnsi="宋体" w:cs="宋体"/>
                <w:bCs/>
                <w:color w:val="auto"/>
                <w:sz w:val="24"/>
              </w:rPr>
              <w:t>（四）具有近六个月（连续）的社保证明（需有相关人员的社保缴 纳明细，退休人员需提供退休证明）和完税证明、近三年的财务审 计报告或财务报表（成立不足三年的提供成立至今的财务审计报告， 成立不足一年的提供成立至今的财务报表，包含资产负债表、现金 流量表、利润表）；</w:t>
            </w:r>
          </w:p>
          <w:p>
            <w:pPr>
              <w:spacing w:line="360" w:lineRule="exact"/>
              <w:rPr>
                <w:rFonts w:ascii="宋体" w:hAnsi="宋体" w:cs="宋体"/>
                <w:bCs/>
                <w:color w:val="auto"/>
                <w:sz w:val="24"/>
              </w:rPr>
            </w:pPr>
            <w:r>
              <w:rPr>
                <w:rFonts w:ascii="宋体" w:hAnsi="宋体" w:cs="宋体"/>
                <w:bCs/>
                <w:color w:val="auto"/>
                <w:sz w:val="24"/>
              </w:rPr>
              <w:t>（五）供应商未被列入“信用中国 ”网站信用信息报告和国家企业 信用信息公示报告、中国政府采购被列入严重违法失信行为记录名 单（尚在处罚期内的）；（在“信用中国 ”网站和“ 中国政府采购 网 ”网站查询结果为准，如相关失信记录已失效，供应商需提供相 关证明资料）</w:t>
            </w:r>
          </w:p>
          <w:p>
            <w:pPr>
              <w:spacing w:line="360" w:lineRule="exact"/>
              <w:rPr>
                <w:rFonts w:ascii="宋体" w:hAnsi="宋体" w:cs="宋体"/>
                <w:bCs/>
                <w:color w:val="auto"/>
                <w:sz w:val="24"/>
              </w:rPr>
            </w:pPr>
            <w:r>
              <w:rPr>
                <w:rFonts w:ascii="宋体" w:hAnsi="宋体" w:cs="宋体"/>
                <w:bCs/>
                <w:color w:val="auto"/>
                <w:sz w:val="24"/>
              </w:rPr>
              <w:t>（六）本项目不接受联合体投标。</w:t>
            </w:r>
          </w:p>
          <w:p>
            <w:pPr>
              <w:spacing w:line="360" w:lineRule="exact"/>
              <w:rPr>
                <w:rFonts w:ascii="宋体" w:hAnsi="宋体" w:cs="宋体"/>
                <w:bCs/>
                <w:color w:val="auto"/>
                <w:sz w:val="24"/>
              </w:rPr>
            </w:pPr>
            <w:r>
              <w:rPr>
                <w:rFonts w:ascii="宋体" w:hAnsi="宋体" w:cs="宋体"/>
                <w:bCs/>
                <w:color w:val="auto"/>
                <w:sz w:val="24"/>
              </w:rPr>
              <w:t>（七）符合招标文件中其他实质性要求。</w:t>
            </w:r>
          </w:p>
          <w:p>
            <w:pPr>
              <w:spacing w:line="360" w:lineRule="exact"/>
              <w:rPr>
                <w:rFonts w:ascii="宋体" w:hAnsi="宋体" w:cs="宋体"/>
                <w:bCs/>
                <w:color w:val="auto"/>
                <w:sz w:val="24"/>
              </w:rPr>
            </w:pPr>
            <w:r>
              <w:rPr>
                <w:rFonts w:ascii="宋体" w:hAnsi="宋体" w:cs="宋体"/>
                <w:bCs/>
                <w:color w:val="auto"/>
                <w:sz w:val="24"/>
              </w:rPr>
              <w:t>财务要求：财务状况良好。</w:t>
            </w:r>
          </w:p>
          <w:p>
            <w:pPr>
              <w:spacing w:line="360" w:lineRule="exact"/>
              <w:rPr>
                <w:rFonts w:ascii="宋体" w:hAnsi="宋体" w:cs="宋体"/>
                <w:bCs/>
                <w:color w:val="auto"/>
                <w:sz w:val="24"/>
              </w:rPr>
            </w:pPr>
            <w:r>
              <w:rPr>
                <w:rFonts w:ascii="宋体" w:hAnsi="宋体" w:cs="宋体"/>
                <w:bCs/>
                <w:color w:val="auto"/>
                <w:sz w:val="24"/>
              </w:rPr>
              <w:t>信誉要求： 良好，无不良行为记录。</w:t>
            </w:r>
          </w:p>
          <w:p>
            <w:pPr>
              <w:spacing w:line="360" w:lineRule="exact"/>
              <w:rPr>
                <w:rFonts w:ascii="宋体" w:hAnsi="宋体" w:cs="宋体"/>
                <w:bCs/>
                <w:color w:val="auto"/>
                <w:sz w:val="24"/>
              </w:rPr>
            </w:pPr>
            <w:r>
              <w:rPr>
                <w:rFonts w:ascii="宋体" w:hAnsi="宋体" w:cs="宋体"/>
                <w:bCs/>
                <w:color w:val="auto"/>
                <w:sz w:val="24"/>
              </w:rPr>
              <w:t>其他要求：符合国家相关规范标准。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18</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spacing w:line="360" w:lineRule="exact"/>
              <w:rPr>
                <w:rFonts w:ascii="宋体" w:hAnsi="宋体" w:cs="宋体"/>
                <w:bCs/>
                <w:color w:val="auto"/>
                <w:sz w:val="24"/>
                <w:highlight w:val="none"/>
              </w:rPr>
            </w:pPr>
            <w:r>
              <w:rPr>
                <w:rFonts w:hint="eastAsia" w:ascii="宋体" w:hAnsi="宋体" w:cs="宋体"/>
                <w:bCs/>
                <w:color w:val="auto"/>
                <w:sz w:val="24"/>
                <w:highlight w:val="none"/>
              </w:rPr>
              <w:t>投标保证金：</w:t>
            </w:r>
            <w:r>
              <w:rPr>
                <w:rFonts w:hint="eastAsia" w:ascii="宋体" w:hAnsi="宋体" w:cs="宋体"/>
                <w:bCs/>
                <w:color w:val="auto"/>
                <w:sz w:val="24"/>
                <w:highlight w:val="none"/>
                <w:lang w:val="en-US" w:eastAsia="zh-CN"/>
              </w:rPr>
              <w:t>50000</w:t>
            </w:r>
            <w:r>
              <w:rPr>
                <w:rFonts w:hint="eastAsia" w:ascii="宋体" w:hAnsi="宋体" w:cs="宋体"/>
                <w:bCs/>
                <w:color w:val="auto"/>
                <w:sz w:val="24"/>
                <w:highlight w:val="none"/>
              </w:rPr>
              <w:t>元（</w:t>
            </w:r>
            <w:r>
              <w:rPr>
                <w:rFonts w:hint="eastAsia" w:ascii="宋体" w:hAnsi="宋体" w:cs="宋体"/>
                <w:bCs/>
                <w:color w:val="auto"/>
                <w:sz w:val="24"/>
                <w:highlight w:val="none"/>
                <w:lang w:val="en-US" w:eastAsia="zh-CN"/>
              </w:rPr>
              <w:t>伍</w:t>
            </w:r>
            <w:r>
              <w:rPr>
                <w:rFonts w:hint="eastAsia" w:ascii="宋体" w:hAnsi="宋体" w:cs="宋体"/>
                <w:bCs/>
                <w:color w:val="auto"/>
                <w:sz w:val="24"/>
                <w:highlight w:val="none"/>
                <w:lang w:eastAsia="zh-CN"/>
              </w:rPr>
              <w:t>万元</w:t>
            </w:r>
            <w:r>
              <w:rPr>
                <w:rFonts w:hint="eastAsia" w:ascii="宋体" w:hAnsi="宋体" w:cs="宋体"/>
                <w:bCs/>
                <w:color w:val="auto"/>
                <w:sz w:val="24"/>
                <w:highlight w:val="none"/>
                <w:lang w:val="en-US" w:eastAsia="zh-CN"/>
              </w:rPr>
              <w:t>整</w:t>
            </w:r>
            <w:r>
              <w:rPr>
                <w:rFonts w:hint="eastAsia" w:ascii="宋体" w:hAnsi="宋体" w:cs="宋体"/>
                <w:bCs/>
                <w:color w:val="auto"/>
                <w:sz w:val="24"/>
                <w:highlight w:val="none"/>
              </w:rPr>
              <w:t>），截止为202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00</w:t>
            </w:r>
            <w:r>
              <w:rPr>
                <w:rFonts w:hint="eastAsia" w:ascii="宋体" w:hAnsi="宋体" w:cs="宋体"/>
                <w:bCs/>
                <w:color w:val="auto"/>
                <w:sz w:val="24"/>
                <w:highlight w:val="none"/>
              </w:rPr>
              <w:t>时前递交。</w:t>
            </w:r>
          </w:p>
          <w:p>
            <w:pPr>
              <w:spacing w:line="360" w:lineRule="exact"/>
              <w:rPr>
                <w:rFonts w:ascii="宋体" w:hAnsi="宋体" w:cs="宋体"/>
                <w:bCs/>
                <w:color w:val="auto"/>
                <w:sz w:val="24"/>
              </w:rPr>
            </w:pPr>
            <w:r>
              <w:rPr>
                <w:rFonts w:hint="eastAsia" w:ascii="宋体" w:hAnsi="宋体" w:cs="宋体"/>
                <w:bCs/>
                <w:color w:val="auto"/>
                <w:sz w:val="24"/>
              </w:rPr>
              <w:t>投标保证金的形式：从基本账户电汇或转账</w:t>
            </w:r>
          </w:p>
          <w:p>
            <w:pPr>
              <w:spacing w:line="360" w:lineRule="exact"/>
              <w:rPr>
                <w:color w:val="auto"/>
                <w:sz w:val="24"/>
              </w:rPr>
            </w:pPr>
            <w:r>
              <w:rPr>
                <w:rFonts w:hint="eastAsia"/>
                <w:color w:val="auto"/>
                <w:sz w:val="24"/>
              </w:rPr>
              <w:t>投标保证金应在开标前由投标人以支票、汇票、本票</w:t>
            </w:r>
            <w:r>
              <w:rPr>
                <w:rFonts w:hint="eastAsia"/>
                <w:color w:val="auto"/>
                <w:sz w:val="24"/>
                <w:lang w:eastAsia="zh-CN"/>
              </w:rPr>
              <w:t>、</w:t>
            </w:r>
            <w:r>
              <w:rPr>
                <w:rFonts w:hint="eastAsia"/>
                <w:color w:val="auto"/>
                <w:sz w:val="24"/>
                <w:lang w:val="en-US" w:eastAsia="zh-CN"/>
              </w:rPr>
              <w:t>转账、保函</w:t>
            </w:r>
            <w:r>
              <w:rPr>
                <w:rFonts w:hint="eastAsia"/>
                <w:color w:val="auto"/>
                <w:sz w:val="24"/>
              </w:rPr>
              <w:t>等非现金形式提交；基本账户以电汇、转账等形式汇入指定账户。（各供应商电汇时须注明项目名称</w:t>
            </w:r>
            <w:r>
              <w:rPr>
                <w:rFonts w:hint="eastAsia"/>
                <w:color w:val="auto"/>
                <w:sz w:val="24"/>
                <w:lang w:val="en-US" w:eastAsia="zh-CN"/>
              </w:rPr>
              <w:t>及项目编号</w:t>
            </w:r>
            <w:r>
              <w:rPr>
                <w:rFonts w:hint="eastAsia"/>
                <w:color w:val="auto"/>
                <w:sz w:val="24"/>
              </w:rPr>
              <w:t>，可简写）</w:t>
            </w:r>
          </w:p>
          <w:p>
            <w:pPr>
              <w:spacing w:line="360" w:lineRule="exact"/>
              <w:rPr>
                <w:rFonts w:ascii="宋体" w:hAnsi="宋体" w:cs="宋体"/>
                <w:bCs/>
                <w:color w:val="auto"/>
                <w:sz w:val="24"/>
                <w:highlight w:val="none"/>
              </w:rPr>
            </w:pPr>
            <w:r>
              <w:rPr>
                <w:rFonts w:hint="eastAsia" w:ascii="宋体" w:hAnsi="宋体" w:cs="宋体"/>
                <w:bCs/>
                <w:color w:val="auto"/>
                <w:sz w:val="24"/>
                <w:highlight w:val="none"/>
              </w:rPr>
              <w:t>开户银行：</w:t>
            </w:r>
            <w:r>
              <w:rPr>
                <w:rFonts w:hint="eastAsia" w:ascii="宋体" w:hAnsi="宋体" w:cs="宋体"/>
                <w:bCs/>
                <w:color w:val="auto"/>
                <w:sz w:val="24"/>
                <w:highlight w:val="none"/>
                <w:lang w:val="en-US" w:eastAsia="zh-CN"/>
              </w:rPr>
              <w:t>库车县农村信用合作联社天山东路信用社</w:t>
            </w:r>
          </w:p>
          <w:p>
            <w:pPr>
              <w:spacing w:line="360" w:lineRule="exact"/>
              <w:rPr>
                <w:rFonts w:hint="default" w:ascii="宋体" w:hAnsi="宋体" w:eastAsia="宋体" w:cs="宋体"/>
                <w:bCs/>
                <w:color w:val="auto"/>
                <w:sz w:val="24"/>
                <w:lang w:val="en-US" w:eastAsia="zh-CN"/>
              </w:rPr>
            </w:pPr>
            <w:r>
              <w:rPr>
                <w:rFonts w:hint="eastAsia" w:ascii="宋体" w:hAnsi="宋体" w:cs="宋体"/>
                <w:bCs/>
                <w:color w:val="auto"/>
                <w:sz w:val="24"/>
                <w:highlight w:val="none"/>
              </w:rPr>
              <w:t>开户行行号：</w:t>
            </w:r>
            <w:r>
              <w:rPr>
                <w:rFonts w:hint="eastAsia" w:ascii="宋体" w:hAnsi="宋体" w:cs="宋体"/>
                <w:bCs/>
                <w:color w:val="auto"/>
                <w:sz w:val="24"/>
                <w:highlight w:val="none"/>
                <w:lang w:val="en-US" w:eastAsia="zh-CN"/>
              </w:rPr>
              <w:t>J8913001565701</w:t>
            </w:r>
          </w:p>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rPr>
              <w:t>开户名称:</w:t>
            </w:r>
            <w:r>
              <w:rPr>
                <w:rFonts w:hint="eastAsia" w:ascii="宋体" w:hAnsi="宋体" w:cs="宋体"/>
                <w:bCs/>
                <w:color w:val="auto"/>
                <w:sz w:val="24"/>
                <w:lang w:eastAsia="zh-CN"/>
              </w:rPr>
              <w:t>新疆玖泰鑫工程项目管理有限公司</w:t>
            </w:r>
          </w:p>
          <w:p>
            <w:pPr>
              <w:spacing w:line="360" w:lineRule="exact"/>
              <w:rPr>
                <w:rFonts w:hint="default" w:ascii="宋体" w:hAnsi="宋体" w:eastAsia="宋体" w:cs="宋体"/>
                <w:bCs/>
                <w:color w:val="auto"/>
                <w:sz w:val="24"/>
                <w:lang w:val="en-US" w:eastAsia="zh-CN"/>
              </w:rPr>
            </w:pPr>
            <w:r>
              <w:rPr>
                <w:rFonts w:hint="eastAsia" w:ascii="宋体" w:hAnsi="宋体" w:cs="宋体"/>
                <w:bCs/>
                <w:color w:val="auto"/>
                <w:sz w:val="24"/>
                <w:highlight w:val="none"/>
              </w:rPr>
              <w:t>帐    号：</w:t>
            </w:r>
            <w:r>
              <w:rPr>
                <w:rFonts w:hint="eastAsia" w:ascii="宋体" w:hAnsi="宋体" w:cs="宋体"/>
                <w:bCs/>
                <w:color w:val="auto"/>
                <w:sz w:val="24"/>
                <w:highlight w:val="none"/>
                <w:lang w:val="en-US" w:eastAsia="zh-CN"/>
              </w:rPr>
              <w:t>8530 3011 2010 1102 9878 0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eastAsia="宋体" w:asciiTheme="minorEastAsia" w:hAnsiTheme="minorEastAsia" w:cstheme="minorEastAsia"/>
                <w:b w:val="0"/>
                <w:bCs w:val="0"/>
                <w:i w:val="0"/>
                <w:iCs w:val="0"/>
                <w:color w:val="auto"/>
                <w:spacing w:val="0"/>
                <w:kern w:val="2"/>
                <w:sz w:val="21"/>
                <w:szCs w:val="21"/>
                <w:vertAlign w:val="baseline"/>
                <w:lang w:val="en-US" w:eastAsia="zh-CN" w:bidi="ar-SA"/>
              </w:rPr>
            </w:pPr>
            <w:r>
              <w:rPr>
                <w:rFonts w:hint="eastAsia" w:asciiTheme="minorEastAsia" w:hAnsiTheme="minorEastAsia" w:cstheme="minorEastAsia"/>
                <w:b w:val="0"/>
                <w:bCs w:val="0"/>
                <w:i w:val="0"/>
                <w:iCs w:val="0"/>
                <w:color w:val="auto"/>
                <w:spacing w:val="0"/>
                <w:kern w:val="2"/>
                <w:sz w:val="21"/>
                <w:szCs w:val="21"/>
                <w:vertAlign w:val="baseline"/>
                <w:lang w:val="en-US" w:eastAsia="zh-CN" w:bidi="ar-SA"/>
              </w:rPr>
              <w:t>19</w:t>
            </w:r>
          </w:p>
        </w:tc>
        <w:tc>
          <w:tcPr>
            <w:tcW w:w="19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eastAsia="宋体" w:asciiTheme="minorEastAsia" w:hAnsiTheme="minorEastAsia" w:cstheme="minorEastAsia"/>
                <w:b w:val="0"/>
                <w:bCs w:val="0"/>
                <w:i w:val="0"/>
                <w:iCs w:val="0"/>
                <w:color w:val="auto"/>
                <w:spacing w:val="0"/>
                <w:kern w:val="2"/>
                <w:sz w:val="21"/>
                <w:szCs w:val="21"/>
                <w:vertAlign w:val="baseline"/>
                <w:lang w:val="en-US" w:eastAsia="zh-CN" w:bidi="ar-SA"/>
              </w:rPr>
            </w:pPr>
            <w:r>
              <w:rPr>
                <w:rFonts w:hint="eastAsia" w:asciiTheme="minorEastAsia" w:hAnsiTheme="minorEastAsia" w:cstheme="minorEastAsia"/>
                <w:b w:val="0"/>
                <w:bCs w:val="0"/>
                <w:i w:val="0"/>
                <w:iCs w:val="0"/>
                <w:color w:val="auto"/>
                <w:spacing w:val="0"/>
                <w:sz w:val="21"/>
                <w:szCs w:val="21"/>
                <w:vertAlign w:val="baseline"/>
                <w:lang w:val="en-US" w:eastAsia="zh-CN"/>
              </w:rPr>
              <w:t>招标代理服务收费标准</w:t>
            </w:r>
          </w:p>
        </w:tc>
        <w:tc>
          <w:tcPr>
            <w:tcW w:w="75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中标金额</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100万以下</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100-500万</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500-1000万</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cstheme="minorEastAsia"/>
                      <w:b w:val="0"/>
                      <w:bCs w:val="0"/>
                      <w:i w:val="0"/>
                      <w:iCs w:val="0"/>
                      <w:color w:val="auto"/>
                      <w:spacing w:val="0"/>
                      <w:sz w:val="18"/>
                      <w:szCs w:val="18"/>
                      <w:vertAlign w:val="baseline"/>
                      <w:lang w:val="en-US" w:eastAsia="zh-CN"/>
                    </w:rPr>
                  </w:pPr>
                  <w:r>
                    <w:rPr>
                      <w:rFonts w:hint="eastAsia" w:asciiTheme="minorEastAsia" w:hAnsiTheme="minorEastAsia" w:cstheme="minorEastAsia"/>
                      <w:b w:val="0"/>
                      <w:bCs w:val="0"/>
                      <w:i w:val="0"/>
                      <w:iCs w:val="0"/>
                      <w:color w:val="auto"/>
                      <w:spacing w:val="0"/>
                      <w:sz w:val="18"/>
                      <w:szCs w:val="18"/>
                      <w:vertAlign w:val="baseline"/>
                      <w:lang w:val="en-US" w:eastAsia="zh-CN"/>
                    </w:rPr>
                    <w:t>0.8%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eastAsia="宋体" w:asciiTheme="minorEastAsia" w:hAnsiTheme="minorEastAsia" w:cstheme="minorEastAsia"/>
                <w:b w:val="0"/>
                <w:bCs w:val="0"/>
                <w:i w:val="0"/>
                <w:iCs w:val="0"/>
                <w:color w:val="auto"/>
                <w:spacing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20</w:t>
            </w:r>
          </w:p>
        </w:tc>
        <w:tc>
          <w:tcPr>
            <w:tcW w:w="0" w:type="auto"/>
            <w:vAlign w:val="top"/>
          </w:tcPr>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eastAsia"/>
                <w:sz w:val="24"/>
                <w:lang w:val="en-US" w:eastAsia="zh-CN"/>
              </w:rPr>
            </w:pPr>
          </w:p>
          <w:p>
            <w:pPr>
              <w:pStyle w:val="91"/>
              <w:ind w:left="117" w:leftChars="0" w:right="149" w:rightChars="0"/>
              <w:jc w:val="center"/>
              <w:rPr>
                <w:rFonts w:hint="default" w:eastAsia="宋体"/>
                <w:sz w:val="24"/>
                <w:lang w:val="en-US" w:eastAsia="zh-CN"/>
              </w:rPr>
            </w:pPr>
            <w:r>
              <w:rPr>
                <w:rFonts w:hint="eastAsia"/>
                <w:sz w:val="24"/>
                <w:lang w:val="en-US" w:eastAsia="zh-CN"/>
              </w:rPr>
              <w:t>其他要求</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u w:val="single"/>
              </w:rPr>
            </w:pPr>
            <w:r>
              <w:rPr>
                <w:rFonts w:hint="eastAsia" w:ascii="宋体" w:hAnsi="宋体" w:cs="宋体"/>
                <w:color w:val="auto"/>
                <w:sz w:val="24"/>
                <w:u w:val="single"/>
              </w:rPr>
              <w:t>低于成本价不正当竞争预防措施</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9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rFonts w:hint="eastAsia" w:ascii="宋体" w:hAnsi="宋体" w:cs="宋体"/>
                <w:bCs/>
                <w:color w:val="auto"/>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cs="宋体"/>
                <w:bCs/>
                <w:color w:val="auto"/>
                <w:sz w:val="24"/>
                <w:lang w:eastAsia="zh-CN"/>
              </w:rPr>
              <w:t>投标文件</w:t>
            </w:r>
            <w:r>
              <w:rPr>
                <w:rFonts w:hint="eastAsia" w:ascii="宋体" w:hAnsi="宋体" w:cs="宋体"/>
                <w:bCs/>
                <w:color w:val="auto"/>
                <w:sz w:val="24"/>
              </w:rPr>
              <w:t>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21</w:t>
            </w:r>
          </w:p>
        </w:tc>
        <w:tc>
          <w:tcPr>
            <w:tcW w:w="0" w:type="auto"/>
            <w:vAlign w:val="top"/>
          </w:tcPr>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spacing w:val="-1"/>
              </w:rPr>
            </w:pPr>
          </w:p>
          <w:p>
            <w:pPr>
              <w:pStyle w:val="91"/>
              <w:ind w:left="117" w:leftChars="0" w:right="149" w:rightChars="0"/>
              <w:jc w:val="center"/>
              <w:rPr>
                <w:rFonts w:hint="eastAsia"/>
                <w:sz w:val="24"/>
                <w:lang w:val="en-US" w:eastAsia="zh-CN"/>
              </w:rPr>
            </w:pPr>
            <w:r>
              <w:rPr>
                <w:spacing w:val="-1"/>
              </w:rPr>
              <w:t>投标文件的要求</w:t>
            </w:r>
          </w:p>
        </w:tc>
        <w:tc>
          <w:tcPr>
            <w:tcW w:w="0" w:type="auto"/>
            <w:vAlign w:val="top"/>
          </w:tcPr>
          <w:p>
            <w:pPr>
              <w:pStyle w:val="109"/>
              <w:spacing w:before="125" w:line="219" w:lineRule="auto"/>
              <w:ind w:left="115"/>
            </w:pPr>
            <w:r>
              <w:rPr>
                <w:spacing w:val="-1"/>
              </w:rPr>
              <w:t>投标文件的要求：</w:t>
            </w:r>
          </w:p>
          <w:p>
            <w:pPr>
              <w:pStyle w:val="109"/>
              <w:spacing w:before="195" w:line="369" w:lineRule="auto"/>
              <w:ind w:left="111" w:right="108" w:firstLine="18"/>
              <w:rPr>
                <w:rFonts w:ascii="宋体" w:hAnsi="宋体" w:eastAsia="宋体" w:cs="宋体"/>
                <w:spacing w:val="1"/>
              </w:rPr>
            </w:pPr>
            <w:r>
              <w:rPr>
                <w:rFonts w:ascii="宋体" w:hAnsi="宋体" w:eastAsia="宋体" w:cs="宋体"/>
                <w:spacing w:val="1"/>
              </w:rPr>
              <w:t>1、本项目实行电子招投标，供应商须登录政府采购云平台申请获取采购文件，并需要 使用 CA 锁，在新疆政府采购网--下载专区下载--供应商客户端制作投标文件，并生成 JMBS 格式加密文件，在投标截止前上传至政府采购云平台。若供应商参与投标, 自行承担与投标有关的一切费用。</w:t>
            </w:r>
          </w:p>
          <w:p>
            <w:pPr>
              <w:pStyle w:val="109"/>
              <w:spacing w:before="195" w:line="369" w:lineRule="auto"/>
              <w:ind w:left="111" w:right="108" w:firstLine="18"/>
              <w:rPr>
                <w:rFonts w:ascii="宋体" w:hAnsi="宋体" w:eastAsia="宋体" w:cs="宋体"/>
                <w:spacing w:val="1"/>
              </w:rPr>
            </w:pPr>
            <w:r>
              <w:rPr>
                <w:rFonts w:ascii="宋体" w:hAnsi="宋体" w:eastAsia="宋体" w:cs="宋体"/>
                <w:spacing w:val="1"/>
              </w:rPr>
              <w:t>2、各供应商应在开标前确保是新疆维吾尔自治区政府采购网正式注册入库的供应商， 并完成 CA 数字证书申领。因未注册入库、未办理 CA 数字证书等原因造成无法投标或投标失败等后果的由供应商自行承担。</w:t>
            </w:r>
          </w:p>
          <w:p>
            <w:pPr>
              <w:pStyle w:val="109"/>
              <w:spacing w:before="195" w:line="369" w:lineRule="auto"/>
              <w:ind w:left="111" w:right="108" w:firstLine="18"/>
              <w:rPr>
                <w:rFonts w:ascii="宋体" w:hAnsi="宋体" w:eastAsia="宋体" w:cs="宋体"/>
                <w:spacing w:val="1"/>
              </w:rPr>
            </w:pPr>
            <w:r>
              <w:rPr>
                <w:rFonts w:hint="eastAsia" w:ascii="宋体" w:hAnsi="宋体" w:eastAsia="宋体" w:cs="宋体"/>
                <w:spacing w:val="1"/>
                <w:lang w:val="en-US" w:eastAsia="zh-CN"/>
              </w:rPr>
              <w:t>3、</w:t>
            </w:r>
            <w:r>
              <w:rPr>
                <w:rFonts w:ascii="宋体" w:hAnsi="宋体" w:eastAsia="宋体" w:cs="宋体"/>
                <w:spacing w:val="1"/>
              </w:rPr>
              <w:t>供应商可前往新疆政府采购网（</w:t>
            </w:r>
            <w:r>
              <w:rPr>
                <w:rFonts w:ascii="宋体" w:hAnsi="宋体" w:eastAsia="宋体" w:cs="宋体"/>
                <w:spacing w:val="1"/>
              </w:rPr>
              <w:fldChar w:fldCharType="begin"/>
            </w:r>
            <w:r>
              <w:rPr>
                <w:rFonts w:ascii="宋体" w:hAnsi="宋体" w:eastAsia="宋体" w:cs="宋体"/>
                <w:spacing w:val="1"/>
              </w:rPr>
              <w:instrText xml:space="preserve"> HYPERLINK "http://www.ccgp-xinjiang.gov.cn/" </w:instrText>
            </w:r>
            <w:r>
              <w:rPr>
                <w:rFonts w:ascii="宋体" w:hAnsi="宋体" w:eastAsia="宋体" w:cs="宋体"/>
                <w:spacing w:val="1"/>
              </w:rPr>
              <w:fldChar w:fldCharType="separate"/>
            </w:r>
            <w:r>
              <w:rPr>
                <w:rFonts w:ascii="宋体" w:hAnsi="宋体" w:eastAsia="宋体" w:cs="宋体"/>
                <w:spacing w:val="1"/>
              </w:rPr>
              <w:t>http://www.ccgp-xinjiang.gov.cn/</w:t>
            </w:r>
            <w:r>
              <w:rPr>
                <w:rFonts w:ascii="宋体" w:hAnsi="宋体" w:eastAsia="宋体" w:cs="宋体"/>
                <w:spacing w:val="1"/>
              </w:rPr>
              <w:fldChar w:fldCharType="end"/>
            </w:r>
            <w:r>
              <w:rPr>
                <w:rFonts w:ascii="宋体" w:hAnsi="宋体" w:eastAsia="宋体" w:cs="宋体"/>
                <w:spacing w:val="1"/>
              </w:rPr>
              <w:t>）下载专区， 下载政府采购云平台电子投标客户端，安装完成后，可通过账号密码或 CA 登录客户端 进行投标文件制作。在使用政府采购云平台电子投标客户端时，建议使用 WIN7 及以上操作系统。如有问题可拨打政府采购云平台客户服务热线 97563 进行咨询。</w:t>
            </w:r>
          </w:p>
          <w:p>
            <w:pPr>
              <w:pStyle w:val="109"/>
              <w:spacing w:before="195" w:line="369" w:lineRule="auto"/>
              <w:ind w:left="111" w:right="108" w:firstLine="18"/>
              <w:rPr>
                <w:rFonts w:ascii="宋体" w:hAnsi="宋体" w:eastAsia="宋体" w:cs="宋体"/>
                <w:spacing w:val="1"/>
              </w:rPr>
            </w:pPr>
            <w:r>
              <w:rPr>
                <w:rFonts w:ascii="宋体" w:hAnsi="宋体" w:eastAsia="宋体" w:cs="宋体"/>
                <w:spacing w:val="1"/>
              </w:rPr>
              <w:t>4、供应商在开标时须携带制作加密电子投标文件所使用的 CA 锁，电脑须提前配置好浏览器（建议使用 360 浏览器或谷歌浏览器），以便开标时在线解密。</w:t>
            </w:r>
          </w:p>
          <w:p>
            <w:pPr>
              <w:pStyle w:val="109"/>
              <w:spacing w:before="195" w:line="369" w:lineRule="auto"/>
              <w:ind w:left="111" w:right="108" w:firstLine="18"/>
              <w:rPr>
                <w:rFonts w:ascii="宋体" w:hAnsi="宋体" w:eastAsia="宋体" w:cs="宋体"/>
                <w:spacing w:val="1"/>
              </w:rPr>
            </w:pPr>
            <w:r>
              <w:rPr>
                <w:rFonts w:ascii="宋体" w:hAnsi="宋体" w:eastAsia="宋体" w:cs="宋体"/>
                <w:spacing w:val="1"/>
              </w:rPr>
              <w:t>5、投标供应商应当在投标截止时间前，将生成的“JMBS 格式电子加密投标文件 ”上传 递交至“政府采购云平台 ”，投标截止时间以后上传递交的投标文件将被“政府采购云平台 ”拒收。</w:t>
            </w:r>
          </w:p>
          <w:p>
            <w:pPr>
              <w:pStyle w:val="109"/>
              <w:spacing w:before="195" w:line="369" w:lineRule="auto"/>
              <w:ind w:left="111" w:right="108" w:firstLine="18"/>
              <w:rPr>
                <w:spacing w:val="4"/>
                <w14:textOutline w14:w="4358" w14:cap="sq" w14:cmpd="sng">
                  <w14:solidFill>
                    <w14:srgbClr w14:val="000000"/>
                  </w14:solidFill>
                  <w14:prstDash w14:val="solid"/>
                  <w14:bevel/>
                </w14:textOutline>
              </w:rPr>
            </w:pPr>
            <w:r>
              <w:rPr>
                <w:rFonts w:ascii="宋体" w:hAnsi="宋体" w:eastAsia="宋体" w:cs="宋体"/>
                <w:spacing w:val="1"/>
              </w:rPr>
              <w:t>6、评标结束后，各投标单位须在一周内按招标文件要求将纸质版投标文件递交至招标 代理处（所产生的的费用投标单位自理）。纸质版投标文件可通过加密电子版投标文件 打印生成，应当与电子版投标文件一致。【1、份数要求：正本壹份、副本贰份，电子 标壹份（U 盘）。2、装订要求：投标文件商务技术部分装订成一册，投标文件的装订必须采用死页胶粘本。】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22</w:t>
            </w:r>
          </w:p>
        </w:tc>
        <w:tc>
          <w:tcPr>
            <w:tcW w:w="0" w:type="auto"/>
            <w:vAlign w:val="top"/>
          </w:tcPr>
          <w:p>
            <w:pPr>
              <w:pStyle w:val="91"/>
              <w:ind w:left="117" w:leftChars="0" w:right="149" w:rightChars="0"/>
              <w:jc w:val="center"/>
            </w:pPr>
          </w:p>
          <w:p>
            <w:pPr>
              <w:pStyle w:val="91"/>
              <w:ind w:left="117" w:leftChars="0" w:right="149" w:rightChars="0"/>
              <w:jc w:val="center"/>
              <w:rPr>
                <w:spacing w:val="-1"/>
              </w:rPr>
            </w:pPr>
            <w:r>
              <w:t>踏勘现场</w:t>
            </w:r>
          </w:p>
        </w:tc>
        <w:tc>
          <w:tcPr>
            <w:tcW w:w="0" w:type="auto"/>
            <w:vAlign w:val="top"/>
          </w:tcPr>
          <w:p>
            <w:pPr>
              <w:pStyle w:val="109"/>
              <w:spacing w:before="194" w:line="369" w:lineRule="auto"/>
              <w:ind w:left="117" w:right="108" w:hanging="2"/>
              <w:rPr>
                <w:spacing w:val="2"/>
              </w:rPr>
            </w:pPr>
            <w:r>
              <w:t>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23</w:t>
            </w:r>
          </w:p>
        </w:tc>
        <w:tc>
          <w:tcPr>
            <w:tcW w:w="0" w:type="auto"/>
            <w:vAlign w:val="top"/>
          </w:tcPr>
          <w:p>
            <w:pPr>
              <w:pStyle w:val="91"/>
              <w:ind w:left="117" w:leftChars="0" w:right="149" w:rightChars="0"/>
              <w:jc w:val="center"/>
            </w:pPr>
          </w:p>
          <w:p>
            <w:pPr>
              <w:pStyle w:val="91"/>
              <w:ind w:left="117" w:leftChars="0" w:right="149" w:rightChars="0"/>
              <w:jc w:val="center"/>
            </w:pPr>
          </w:p>
          <w:p>
            <w:pPr>
              <w:pStyle w:val="91"/>
              <w:ind w:left="117" w:leftChars="0" w:right="149" w:rightChars="0"/>
              <w:jc w:val="center"/>
            </w:pPr>
          </w:p>
          <w:p>
            <w:pPr>
              <w:pStyle w:val="91"/>
              <w:ind w:left="117" w:leftChars="0" w:right="149" w:rightChars="0"/>
              <w:jc w:val="center"/>
            </w:pPr>
            <w:r>
              <w:t>评标委员会的组建</w:t>
            </w:r>
          </w:p>
        </w:tc>
        <w:tc>
          <w:tcPr>
            <w:tcW w:w="0" w:type="auto"/>
            <w:vAlign w:val="top"/>
          </w:tcPr>
          <w:p>
            <w:pPr>
              <w:pStyle w:val="109"/>
              <w:spacing w:before="196" w:line="369" w:lineRule="auto"/>
              <w:ind w:left="111"/>
            </w:pPr>
            <w:r>
              <w:rPr>
                <w:spacing w:val="2"/>
              </w:rPr>
              <w:t xml:space="preserve">评标委员会由 </w:t>
            </w:r>
            <w:r>
              <w:rPr>
                <w:spacing w:val="2"/>
                <w:u w:val="single" w:color="auto"/>
              </w:rPr>
              <w:t xml:space="preserve"> </w:t>
            </w:r>
            <w:r>
              <w:rPr>
                <w:rFonts w:hint="eastAsia"/>
                <w:spacing w:val="2"/>
                <w:u w:val="single" w:color="auto"/>
                <w:lang w:val="en-US" w:eastAsia="zh-CN"/>
              </w:rPr>
              <w:t>5</w:t>
            </w:r>
            <w:r>
              <w:rPr>
                <w:spacing w:val="2"/>
                <w:u w:val="single" w:color="auto"/>
              </w:rPr>
              <w:t xml:space="preserve"> </w:t>
            </w:r>
            <w:r>
              <w:rPr>
                <w:spacing w:val="2"/>
              </w:rPr>
              <w:t>人构成其中招标人代表</w:t>
            </w:r>
            <w:r>
              <w:rPr>
                <w:spacing w:val="2"/>
                <w:u w:val="single" w:color="auto"/>
              </w:rPr>
              <w:t xml:space="preserve"> 0 </w:t>
            </w:r>
            <w:r>
              <w:rPr>
                <w:spacing w:val="2"/>
              </w:rPr>
              <w:t>人（应当具备评标专家相应</w:t>
            </w:r>
            <w:r>
              <w:rPr>
                <w:spacing w:val="1"/>
              </w:rPr>
              <w:t>的或者类似的</w:t>
            </w:r>
          </w:p>
          <w:p>
            <w:pPr>
              <w:pStyle w:val="109"/>
              <w:spacing w:line="219" w:lineRule="auto"/>
              <w:ind w:left="114"/>
            </w:pPr>
            <w:r>
              <w:rPr>
                <w:spacing w:val="-4"/>
              </w:rPr>
              <w:t>条件</w:t>
            </w:r>
            <w:r>
              <w:rPr>
                <w:spacing w:val="6"/>
              </w:rPr>
              <w:t>），</w:t>
            </w:r>
            <w:r>
              <w:rPr>
                <w:spacing w:val="-4"/>
              </w:rPr>
              <w:t>专家</w:t>
            </w:r>
            <w:r>
              <w:rPr>
                <w:spacing w:val="17"/>
                <w:u w:val="single" w:color="auto"/>
              </w:rPr>
              <w:t xml:space="preserve"> </w:t>
            </w:r>
            <w:r>
              <w:rPr>
                <w:rFonts w:hint="eastAsia"/>
                <w:spacing w:val="17"/>
                <w:u w:val="single" w:color="auto"/>
                <w:lang w:val="en-US" w:eastAsia="zh-CN"/>
              </w:rPr>
              <w:t>5</w:t>
            </w:r>
            <w:r>
              <w:rPr>
                <w:spacing w:val="-4"/>
                <w:u w:val="single" w:color="auto"/>
              </w:rPr>
              <w:t xml:space="preserve"> </w:t>
            </w:r>
            <w:r>
              <w:rPr>
                <w:spacing w:val="-4"/>
              </w:rPr>
              <w:t>人；</w:t>
            </w:r>
          </w:p>
          <w:p>
            <w:pPr>
              <w:pStyle w:val="109"/>
              <w:spacing w:before="194" w:line="369" w:lineRule="auto"/>
              <w:ind w:left="117" w:right="108" w:hanging="2"/>
            </w:pPr>
            <w: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24</w:t>
            </w:r>
          </w:p>
        </w:tc>
        <w:tc>
          <w:tcPr>
            <w:tcW w:w="0" w:type="auto"/>
            <w:vAlign w:val="top"/>
          </w:tcPr>
          <w:p>
            <w:pPr>
              <w:pStyle w:val="91"/>
              <w:ind w:right="149" w:rightChars="0"/>
              <w:jc w:val="center"/>
            </w:pPr>
            <w:r>
              <w:t>评标委员会推荐中标候选人的人数</w:t>
            </w:r>
          </w:p>
        </w:tc>
        <w:tc>
          <w:tcPr>
            <w:tcW w:w="0" w:type="auto"/>
            <w:vAlign w:val="top"/>
          </w:tcPr>
          <w:p>
            <w:pPr>
              <w:pStyle w:val="109"/>
              <w:spacing w:before="194" w:line="369" w:lineRule="auto"/>
              <w:ind w:left="117" w:right="108" w:hanging="2"/>
            </w:pPr>
            <w:r>
              <w:t>3</w:t>
            </w:r>
            <w:r>
              <w:rPr>
                <w:spacing w:val="-37"/>
              </w:rPr>
              <w:t xml:space="preserve"> </w:t>
            </w:r>
            <w: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25</w:t>
            </w:r>
          </w:p>
        </w:tc>
        <w:tc>
          <w:tcPr>
            <w:tcW w:w="0" w:type="auto"/>
            <w:vAlign w:val="top"/>
          </w:tcPr>
          <w:p>
            <w:pPr>
              <w:pStyle w:val="91"/>
              <w:ind w:right="149" w:rightChars="0"/>
              <w:jc w:val="center"/>
            </w:pPr>
            <w:r>
              <w:rPr>
                <w:spacing w:val="1"/>
              </w:rPr>
              <w:t>是否授权评标委员会确定中标人</w:t>
            </w:r>
          </w:p>
        </w:tc>
        <w:tc>
          <w:tcPr>
            <w:tcW w:w="0" w:type="auto"/>
            <w:vAlign w:val="top"/>
          </w:tcPr>
          <w:p>
            <w:pPr>
              <w:pStyle w:val="109"/>
              <w:spacing w:before="194" w:line="369" w:lineRule="auto"/>
              <w:ind w:left="117" w:right="108" w:hanging="2"/>
            </w:pPr>
            <w:r>
              <w:rPr>
                <w:spacing w:val="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26</w:t>
            </w:r>
          </w:p>
        </w:tc>
        <w:tc>
          <w:tcPr>
            <w:tcW w:w="0" w:type="auto"/>
            <w:vAlign w:val="top"/>
          </w:tcPr>
          <w:p>
            <w:pPr>
              <w:pStyle w:val="91"/>
              <w:ind w:right="149" w:rightChars="0"/>
              <w:jc w:val="center"/>
              <w:rPr>
                <w:spacing w:val="1"/>
              </w:rPr>
            </w:pPr>
            <w:r>
              <w:t>构成招标文件的其他资料</w:t>
            </w:r>
          </w:p>
        </w:tc>
        <w:tc>
          <w:tcPr>
            <w:tcW w:w="0" w:type="auto"/>
            <w:vAlign w:val="top"/>
          </w:tcPr>
          <w:p>
            <w:pPr>
              <w:pStyle w:val="109"/>
              <w:spacing w:before="194" w:line="369" w:lineRule="auto"/>
              <w:ind w:left="117" w:right="108" w:hanging="2"/>
              <w:rPr>
                <w:spacing w:val="1"/>
              </w:rPr>
            </w:pPr>
            <w:r>
              <w:t>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27</w:t>
            </w:r>
          </w:p>
        </w:tc>
        <w:tc>
          <w:tcPr>
            <w:tcW w:w="0" w:type="auto"/>
            <w:vAlign w:val="top"/>
          </w:tcPr>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r>
              <w:t>场地使用费</w:t>
            </w:r>
          </w:p>
        </w:tc>
        <w:tc>
          <w:tcPr>
            <w:tcW w:w="0" w:type="auto"/>
            <w:vAlign w:val="top"/>
          </w:tcPr>
          <w:p>
            <w:pPr>
              <w:pStyle w:val="109"/>
              <w:spacing w:before="195" w:line="369" w:lineRule="auto"/>
              <w:ind w:left="111" w:right="108" w:firstLine="18"/>
              <w:rPr>
                <w:rFonts w:ascii="宋体" w:hAnsi="宋体" w:eastAsia="宋体" w:cs="宋体"/>
                <w:spacing w:val="1"/>
              </w:rPr>
            </w:pPr>
            <w:r>
              <w:rPr>
                <w:rFonts w:ascii="宋体" w:hAnsi="宋体" w:eastAsia="宋体" w:cs="宋体"/>
                <w:spacing w:val="1"/>
              </w:rPr>
              <w:t>投标人在提交投标文件时，需按交易场所的规定缴纳场地使用费，未按相关规定缴纳场地使用费的，则视为无效投标。</w:t>
            </w:r>
          </w:p>
          <w:p>
            <w:pPr>
              <w:pStyle w:val="109"/>
              <w:spacing w:before="195" w:line="369" w:lineRule="auto"/>
              <w:ind w:left="111" w:right="108" w:firstLine="18"/>
            </w:pPr>
            <w:r>
              <w:rPr>
                <w:rFonts w:ascii="宋体" w:hAnsi="宋体" w:eastAsia="宋体" w:cs="宋体"/>
                <w:spacing w:val="1"/>
              </w:rPr>
              <w:t>场地使用费：投标单位&gt;6 家时，6000 元/家数， ≤6 家时，每家 1000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cstheme="minorEastAsia"/>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28</w:t>
            </w:r>
          </w:p>
        </w:tc>
        <w:tc>
          <w:tcPr>
            <w:tcW w:w="0" w:type="auto"/>
            <w:vAlign w:val="top"/>
          </w:tcPr>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p>
          <w:p>
            <w:pPr>
              <w:pStyle w:val="91"/>
              <w:ind w:right="149" w:rightChars="0"/>
              <w:jc w:val="center"/>
            </w:pPr>
            <w:r>
              <w:t>投标人信用信息查询</w:t>
            </w:r>
          </w:p>
        </w:tc>
        <w:tc>
          <w:tcPr>
            <w:tcW w:w="0" w:type="auto"/>
            <w:vAlign w:val="top"/>
          </w:tcPr>
          <w:p>
            <w:pPr>
              <w:pStyle w:val="109"/>
              <w:spacing w:before="180" w:line="219" w:lineRule="auto"/>
              <w:ind w:left="123"/>
            </w:pPr>
            <w:r>
              <w:rPr>
                <w:spacing w:val="-2"/>
              </w:rPr>
              <w:t>（1）查询渠道：</w:t>
            </w:r>
          </w:p>
          <w:p>
            <w:pPr>
              <w:pStyle w:val="109"/>
              <w:spacing w:before="182" w:line="214" w:lineRule="auto"/>
              <w:ind w:left="135"/>
            </w:pPr>
            <w:r>
              <w:t>国家企业信用信息公示系统（</w:t>
            </w:r>
            <w:r>
              <w:fldChar w:fldCharType="begin"/>
            </w:r>
            <w:r>
              <w:instrText xml:space="preserve"> HYPERLINK "http://www.gsxt.gov.cn/index.html" </w:instrText>
            </w:r>
            <w:r>
              <w:fldChar w:fldCharType="separate"/>
            </w:r>
            <w:r>
              <w:t>http://www.gsxt.gov.cn/index.html</w:t>
            </w:r>
            <w:r>
              <w:fldChar w:fldCharType="end"/>
            </w:r>
            <w:r>
              <w:t>）</w:t>
            </w:r>
          </w:p>
          <w:p>
            <w:pPr>
              <w:pStyle w:val="109"/>
              <w:spacing w:before="189" w:line="214" w:lineRule="auto"/>
              <w:ind w:left="112"/>
            </w:pPr>
            <w:r>
              <w:rPr>
                <w:spacing w:val="1"/>
              </w:rPr>
              <w:t>信用中国（</w:t>
            </w:r>
            <w:r>
              <w:t>www</w:t>
            </w:r>
            <w:r>
              <w:rPr>
                <w:spacing w:val="1"/>
              </w:rPr>
              <w:t>.</w:t>
            </w:r>
            <w:r>
              <w:t>creditchina</w:t>
            </w:r>
            <w:r>
              <w:rPr>
                <w:spacing w:val="1"/>
              </w:rPr>
              <w:t>.</w:t>
            </w:r>
            <w:r>
              <w:t>gov</w:t>
            </w:r>
            <w:r>
              <w:rPr>
                <w:spacing w:val="1"/>
              </w:rPr>
              <w:t>.</w:t>
            </w:r>
            <w:r>
              <w:t>cn</w:t>
            </w:r>
            <w:r>
              <w:rPr>
                <w:spacing w:val="1"/>
              </w:rPr>
              <w:t>）</w:t>
            </w:r>
          </w:p>
          <w:p>
            <w:pPr>
              <w:pStyle w:val="109"/>
              <w:spacing w:before="189" w:line="214" w:lineRule="auto"/>
              <w:ind w:left="116"/>
            </w:pPr>
            <w:r>
              <w:t>天眼查（</w:t>
            </w:r>
            <w:r>
              <w:fldChar w:fldCharType="begin"/>
            </w:r>
            <w:r>
              <w:instrText xml:space="preserve"> HYPERLINK "https://www.tianyancha.com/" </w:instrText>
            </w:r>
            <w:r>
              <w:fldChar w:fldCharType="separate"/>
            </w:r>
            <w:r>
              <w:t>https://www.tianyancha.com/</w:t>
            </w:r>
            <w:r>
              <w:fldChar w:fldCharType="end"/>
            </w:r>
            <w:r>
              <w:t>）</w:t>
            </w:r>
          </w:p>
          <w:p>
            <w:pPr>
              <w:pStyle w:val="109"/>
              <w:spacing w:before="188" w:line="214" w:lineRule="auto"/>
              <w:ind w:left="134"/>
            </w:pPr>
            <w:r>
              <w:t>中国政府采购网（</w:t>
            </w:r>
            <w:r>
              <w:fldChar w:fldCharType="begin"/>
            </w:r>
            <w:r>
              <w:instrText xml:space="preserve"> HYPERLINK "http://www.ccgp.gov.cn/" </w:instrText>
            </w:r>
            <w:r>
              <w:fldChar w:fldCharType="separate"/>
            </w:r>
            <w:r>
              <w:t>http://www.ccgp</w:t>
            </w:r>
            <w:r>
              <w:rPr>
                <w:spacing w:val="-1"/>
              </w:rPr>
              <w:t>.gov.cn/</w:t>
            </w:r>
            <w:r>
              <w:rPr>
                <w:spacing w:val="-1"/>
              </w:rPr>
              <w:fldChar w:fldCharType="end"/>
            </w:r>
            <w:r>
              <w:rPr>
                <w:spacing w:val="-1"/>
              </w:rPr>
              <w:t>）</w:t>
            </w:r>
          </w:p>
          <w:p>
            <w:pPr>
              <w:pStyle w:val="109"/>
              <w:spacing w:before="189" w:line="219" w:lineRule="auto"/>
              <w:ind w:left="123"/>
            </w:pPr>
            <w:r>
              <w:t>（2）信用信息查询记录和证据留存的方式：网页截图</w:t>
            </w:r>
          </w:p>
          <w:p>
            <w:pPr>
              <w:pStyle w:val="109"/>
              <w:spacing w:before="182" w:line="359" w:lineRule="auto"/>
              <w:ind w:left="115" w:right="47" w:firstLine="8"/>
              <w:rPr>
                <w:rFonts w:ascii="宋体" w:hAnsi="宋体" w:eastAsia="宋体" w:cs="宋体"/>
                <w:spacing w:val="1"/>
              </w:rPr>
            </w:pPr>
            <w:r>
              <w:rPr>
                <w:spacing w:val="2"/>
              </w:rPr>
              <w:t>（3）信用信息的使用规则：经核查投标企业被列入失信被</w:t>
            </w:r>
            <w:r>
              <w:rPr>
                <w:spacing w:val="1"/>
              </w:rPr>
              <w:t>执行人、重大税收违法案件</w:t>
            </w:r>
            <w:r>
              <w:t xml:space="preserve"> </w:t>
            </w:r>
            <w:r>
              <w:rPr>
                <w:spacing w:val="-1"/>
              </w:rPr>
              <w:t>当事人名单、政府采购严重违法失信行为记录名单、经营异常名录</w:t>
            </w:r>
            <w:r>
              <w:rPr>
                <w:spacing w:val="-2"/>
              </w:rPr>
              <w:t>等黑名单的将拒绝其</w:t>
            </w:r>
            <w:r>
              <w:t xml:space="preserve"> </w:t>
            </w:r>
            <w:r>
              <w:rPr>
                <w:spacing w:val="-6"/>
              </w:rPr>
              <w:t>投标。（以供应商在投标截止日期前的信用信息查询结果为准，如相关失信记录已失效，</w:t>
            </w:r>
            <w:r>
              <w:t>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29</w:t>
            </w:r>
          </w:p>
        </w:tc>
        <w:tc>
          <w:tcPr>
            <w:tcW w:w="0" w:type="auto"/>
            <w:vAlign w:val="center"/>
          </w:tcPr>
          <w:p>
            <w:pPr>
              <w:pStyle w:val="91"/>
              <w:ind w:right="149" w:rightChars="0"/>
              <w:jc w:val="center"/>
            </w:pPr>
            <w:r>
              <w:rPr>
                <w:spacing w:val="-1"/>
              </w:rPr>
              <w:t>特别提示</w:t>
            </w:r>
          </w:p>
        </w:tc>
        <w:tc>
          <w:tcPr>
            <w:tcW w:w="0" w:type="auto"/>
            <w:vAlign w:val="top"/>
          </w:tcPr>
          <w:p>
            <w:pPr>
              <w:pStyle w:val="109"/>
              <w:spacing w:line="218" w:lineRule="auto"/>
              <w:ind w:left="116"/>
              <w:rPr>
                <w:rFonts w:ascii="宋体" w:hAnsi="宋体" w:eastAsia="宋体" w:cs="宋体"/>
                <w:spacing w:val="1"/>
              </w:rPr>
            </w:pPr>
            <w:r>
              <w:rPr>
                <w:rFonts w:ascii="宋体" w:hAnsi="宋体" w:eastAsia="宋体" w:cs="宋体"/>
                <w:spacing w:val="1"/>
              </w:rPr>
              <w:t>1、采购限额标准以上，200 万元以下的货物和服务采购项目、400 万元以下的工程采购项目，适宜由中小企业提供的，采购人应当专门面向中小企业采购。</w:t>
            </w:r>
          </w:p>
          <w:p>
            <w:pPr>
              <w:pStyle w:val="109"/>
              <w:spacing w:line="218" w:lineRule="auto"/>
              <w:ind w:left="116"/>
              <w:rPr>
                <w:rFonts w:ascii="宋体" w:hAnsi="宋体" w:eastAsia="宋体" w:cs="宋体"/>
                <w:spacing w:val="1"/>
              </w:rPr>
            </w:pPr>
            <w:r>
              <w:rPr>
                <w:rFonts w:ascii="宋体" w:hAnsi="宋体" w:eastAsia="宋体" w:cs="宋体"/>
                <w:spacing w:val="1"/>
              </w:rPr>
              <w:t>2、超过 200 万元的货物和服务采购项目、超过 400 万元的工程采购项目中适宜由中小企业提供的，预留该部分采购项目预算总额的 30%以上专门面向中小企业采购，其中预留给小微企业的比例不低于 60%。</w:t>
            </w:r>
          </w:p>
          <w:p>
            <w:pPr>
              <w:pStyle w:val="109"/>
              <w:spacing w:line="218" w:lineRule="auto"/>
              <w:ind w:left="116"/>
              <w:rPr>
                <w:rFonts w:ascii="宋体" w:hAnsi="宋体" w:eastAsia="宋体" w:cs="宋体"/>
                <w:spacing w:val="1"/>
              </w:rPr>
            </w:pPr>
            <w:r>
              <w:rPr>
                <w:rFonts w:ascii="宋体" w:hAnsi="宋体" w:eastAsia="宋体" w:cs="宋体"/>
                <w:spacing w:val="1"/>
              </w:rPr>
              <w:t>3、对于未预留份额专门面向中小企业的采购项目，以及预留份额项目中的非预留部分 采购包，采购人、采购代理机构应当对符合规定的小微企业报价给予 10%~20%（工程项 目为 3%~5%）的扣除，用扣除后的价格参加评审。适用招标投标法的政府采购工程建设 项目，采用综合评估法但未采用低价优先法计算价格分的，评标时应当在采用原报价进行评分的基础上增加其价格得分的 3%~5%作为其价格分。</w:t>
            </w:r>
          </w:p>
          <w:p>
            <w:pPr>
              <w:pStyle w:val="109"/>
              <w:spacing w:line="218" w:lineRule="auto"/>
              <w:ind w:left="116"/>
              <w:rPr>
                <w:spacing w:val="2"/>
              </w:rPr>
            </w:pPr>
            <w:r>
              <w:rPr>
                <w:rFonts w:ascii="宋体" w:hAnsi="宋体" w:eastAsia="宋体" w:cs="宋体"/>
                <w:spacing w:val="1"/>
              </w:rPr>
              <w:t>4、接受大中型企业与小微企业组成联合体或者允许大中型企业向一家或者多家小微企 业分包的采购项目，对于联合协议或者分包意向协议约定小微企业的合同份额占到合同 总金额 30%以上的，采购人、采购代理机构应当对联合体或者大中型企业的报价给予 4%~6%（工程项目为 1%~2%）的扣除，用扣除后的价格参加评审。适用招标投标法的政 府采购工程建设项目，采用综合评估法但未采用低价优先法计算价格分的，评标时应当在采用原报价进行评分的基础上增加其价格得分的 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30</w:t>
            </w:r>
          </w:p>
        </w:tc>
        <w:tc>
          <w:tcPr>
            <w:tcW w:w="0" w:type="auto"/>
            <w:vAlign w:val="top"/>
          </w:tcPr>
          <w:p>
            <w:pPr>
              <w:pStyle w:val="91"/>
              <w:ind w:right="149" w:rightChars="0"/>
              <w:jc w:val="center"/>
              <w:rPr>
                <w:spacing w:val="-1"/>
              </w:rPr>
            </w:pPr>
            <w:r>
              <w:rPr>
                <w:spacing w:val="1"/>
              </w:rPr>
              <w:t>政府采购支持中小企业融资</w:t>
            </w:r>
          </w:p>
        </w:tc>
        <w:tc>
          <w:tcPr>
            <w:tcW w:w="0" w:type="auto"/>
            <w:vAlign w:val="center"/>
          </w:tcPr>
          <w:p>
            <w:pPr>
              <w:pStyle w:val="109"/>
              <w:spacing w:line="218" w:lineRule="auto"/>
              <w:jc w:val="both"/>
              <w:rPr>
                <w:rFonts w:ascii="宋体" w:hAnsi="宋体" w:eastAsia="宋体" w:cs="宋体"/>
                <w:spacing w:val="1"/>
              </w:rPr>
            </w:pPr>
            <w:r>
              <w:rPr>
                <w:spacing w:val="1"/>
              </w:rPr>
              <w:t>有融资需求的，可查询相</w:t>
            </w:r>
            <w:r>
              <w:t>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31</w:t>
            </w:r>
          </w:p>
        </w:tc>
        <w:tc>
          <w:tcPr>
            <w:tcW w:w="0" w:type="auto"/>
            <w:vAlign w:val="top"/>
          </w:tcPr>
          <w:p>
            <w:pPr>
              <w:pStyle w:val="91"/>
              <w:ind w:right="149" w:rightChars="0"/>
              <w:jc w:val="center"/>
              <w:rPr>
                <w:spacing w:val="1"/>
              </w:rPr>
            </w:pPr>
            <w:r>
              <w:rPr>
                <w:spacing w:val="1"/>
              </w:rPr>
              <w:t>政府采购信用担保</w:t>
            </w:r>
          </w:p>
        </w:tc>
        <w:tc>
          <w:tcPr>
            <w:tcW w:w="0" w:type="auto"/>
            <w:vAlign w:val="center"/>
          </w:tcPr>
          <w:p>
            <w:pPr>
              <w:pStyle w:val="109"/>
              <w:spacing w:line="218" w:lineRule="auto"/>
              <w:jc w:val="both"/>
              <w:rPr>
                <w:spacing w:val="1"/>
              </w:rPr>
            </w:pPr>
            <w:r>
              <w:rPr>
                <w:spacing w:val="1"/>
              </w:rPr>
              <w:t>有担保需求的，可查询</w:t>
            </w:r>
            <w:r>
              <w:t>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Theme="minorEastAsia" w:hAnsiTheme="minorEastAsia" w:cstheme="minorEastAsia"/>
                <w:b w:val="0"/>
                <w:bCs w:val="0"/>
                <w:i w:val="0"/>
                <w:iCs w:val="0"/>
                <w:color w:val="auto"/>
                <w:spacing w:val="0"/>
                <w:sz w:val="21"/>
                <w:szCs w:val="21"/>
                <w:vertAlign w:val="baseline"/>
                <w:lang w:val="en-US" w:eastAsia="zh-CN"/>
              </w:rPr>
            </w:pPr>
            <w:r>
              <w:rPr>
                <w:rFonts w:hint="eastAsia" w:asciiTheme="minorEastAsia" w:hAnsiTheme="minorEastAsia" w:cstheme="minorEastAsia"/>
                <w:b w:val="0"/>
                <w:bCs w:val="0"/>
                <w:i w:val="0"/>
                <w:iCs w:val="0"/>
                <w:color w:val="auto"/>
                <w:spacing w:val="0"/>
                <w:sz w:val="21"/>
                <w:szCs w:val="21"/>
                <w:vertAlign w:val="baseline"/>
                <w:lang w:val="en-US" w:eastAsia="zh-CN"/>
              </w:rPr>
              <w:t>32</w:t>
            </w:r>
          </w:p>
        </w:tc>
        <w:tc>
          <w:tcPr>
            <w:tcW w:w="0" w:type="auto"/>
            <w:vAlign w:val="center"/>
          </w:tcPr>
          <w:p>
            <w:pPr>
              <w:pStyle w:val="91"/>
              <w:ind w:right="149" w:rightChars="0"/>
              <w:jc w:val="center"/>
              <w:rPr>
                <w:spacing w:val="1"/>
              </w:rPr>
            </w:pPr>
            <w:r>
              <w:rPr>
                <w:spacing w:val="-1"/>
              </w:rPr>
              <w:t>投标人不得存在下列情形之一</w:t>
            </w:r>
          </w:p>
        </w:tc>
        <w:tc>
          <w:tcPr>
            <w:tcW w:w="0" w:type="auto"/>
            <w:vAlign w:val="center"/>
          </w:tcPr>
          <w:p>
            <w:pPr>
              <w:pStyle w:val="109"/>
              <w:spacing w:before="195" w:line="219" w:lineRule="auto"/>
              <w:ind w:left="123"/>
            </w:pPr>
            <w:r>
              <w:t>（1）与招标人存在利害关系且可能影响招标公正性；</w:t>
            </w:r>
          </w:p>
          <w:p>
            <w:pPr>
              <w:pStyle w:val="109"/>
              <w:spacing w:before="194" w:line="219" w:lineRule="auto"/>
              <w:ind w:left="123"/>
            </w:pPr>
            <w:r>
              <w:t>（2）与本招标项目的其他投标人为同一个单位负责人；</w:t>
            </w:r>
          </w:p>
          <w:p>
            <w:pPr>
              <w:pStyle w:val="109"/>
              <w:spacing w:before="195" w:line="219" w:lineRule="auto"/>
              <w:ind w:left="123"/>
            </w:pPr>
            <w:r>
              <w:t>（3）与本招标项目的其他投标人存在控股、管理关系；</w:t>
            </w:r>
          </w:p>
          <w:p>
            <w:pPr>
              <w:pStyle w:val="109"/>
              <w:spacing w:before="195" w:line="219" w:lineRule="auto"/>
              <w:ind w:left="123"/>
            </w:pPr>
            <w:r>
              <w:rPr>
                <w:spacing w:val="-1"/>
              </w:rPr>
              <w:t>（4）被依法暂停或者取消投标资格；</w:t>
            </w:r>
          </w:p>
          <w:p>
            <w:pPr>
              <w:pStyle w:val="109"/>
              <w:spacing w:before="195" w:line="219" w:lineRule="auto"/>
              <w:ind w:left="123"/>
            </w:pPr>
            <w:r>
              <w:t>（5）被责令停产停业、暂扣或者吊销许可证、暂扣或者吊销执照；</w:t>
            </w:r>
          </w:p>
          <w:p>
            <w:pPr>
              <w:pStyle w:val="109"/>
              <w:spacing w:before="195" w:line="218" w:lineRule="auto"/>
              <w:ind w:left="123"/>
            </w:pPr>
            <w:r>
              <w:t>（6）进入清算程序，或被宣告破产，或其他丧失履约能力的情形；</w:t>
            </w:r>
          </w:p>
          <w:p>
            <w:pPr>
              <w:pStyle w:val="109"/>
              <w:spacing w:before="195" w:line="219" w:lineRule="auto"/>
              <w:ind w:left="123"/>
              <w:rPr>
                <w:rFonts w:ascii="宋体" w:hAnsi="宋体" w:eastAsia="宋体" w:cs="宋体"/>
              </w:rPr>
            </w:pPr>
            <w:r>
              <w:rPr>
                <w:spacing w:val="-3"/>
              </w:rPr>
              <w:t>（7）被工商行政管理机关在全国企业信用信息公示系统中列入严重违法</w:t>
            </w:r>
            <w:r>
              <w:rPr>
                <w:rFonts w:ascii="宋体" w:hAnsi="宋体" w:eastAsia="宋体" w:cs="宋体"/>
              </w:rPr>
              <w:t>失信企业名单； （8）被最高人民法院在“信用中国 ”网站（www.creditchina.gov.cn）或各级信用信息共享平台中列入失信被执行人名单；</w:t>
            </w:r>
          </w:p>
          <w:p>
            <w:pPr>
              <w:pStyle w:val="109"/>
              <w:spacing w:before="195" w:line="219" w:lineRule="auto"/>
              <w:ind w:left="123"/>
              <w:rPr>
                <w:rFonts w:ascii="宋体" w:hAnsi="宋体" w:eastAsia="宋体" w:cs="宋体"/>
              </w:rPr>
            </w:pPr>
            <w:r>
              <w:rPr>
                <w:rFonts w:ascii="宋体" w:hAnsi="宋体" w:eastAsia="宋体" w:cs="宋体"/>
              </w:rPr>
              <w:t>（9）在近三年内投标人或其法定代表人、拟委任的项目负责人有行贿犯罪行为的（以检察机关职务犯罪预防部门出具的查询结果为准）；</w:t>
            </w:r>
          </w:p>
          <w:p>
            <w:pPr>
              <w:pStyle w:val="109"/>
              <w:spacing w:before="195" w:line="219" w:lineRule="auto"/>
              <w:ind w:left="123"/>
              <w:rPr>
                <w:spacing w:val="1"/>
              </w:rPr>
            </w:pPr>
            <w:r>
              <w:rPr>
                <w:rFonts w:ascii="宋体" w:hAnsi="宋体" w:eastAsia="宋体" w:cs="宋体"/>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lang w:val="en-US" w:eastAsia="zh-CN"/>
              </w:rPr>
            </w:pPr>
            <w:r>
              <w:rPr>
                <w:rFonts w:hint="eastAsia"/>
                <w:lang w:val="en-US" w:eastAsia="zh-CN"/>
              </w:rPr>
              <w:t>33</w:t>
            </w:r>
          </w:p>
          <w:p>
            <w:pPr>
              <w:pStyle w:val="2"/>
              <w:rPr>
                <w:rFonts w:hint="default"/>
                <w:lang w:val="en-US" w:eastAsia="zh-CN"/>
              </w:rPr>
            </w:pPr>
          </w:p>
        </w:tc>
        <w:tc>
          <w:tcPr>
            <w:tcW w:w="0" w:type="auto"/>
            <w:vAlign w:val="center"/>
          </w:tcPr>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p>
          <w:p>
            <w:pPr>
              <w:pStyle w:val="91"/>
              <w:ind w:right="149" w:rightChars="0"/>
              <w:jc w:val="center"/>
              <w:rPr>
                <w:spacing w:val="-1"/>
              </w:rPr>
            </w:pPr>
            <w:r>
              <w:rPr>
                <w:spacing w:val="-1"/>
              </w:rPr>
              <w:t>招标文件的澄清和质疑</w:t>
            </w:r>
          </w:p>
          <w:p>
            <w:pPr>
              <w:pStyle w:val="91"/>
              <w:ind w:right="149" w:rightChars="0"/>
              <w:jc w:val="center"/>
              <w:rPr>
                <w:spacing w:val="-1"/>
              </w:rPr>
            </w:pPr>
          </w:p>
        </w:tc>
        <w:tc>
          <w:tcPr>
            <w:tcW w:w="0" w:type="auto"/>
            <w:vAlign w:val="center"/>
          </w:tcPr>
          <w:p>
            <w:pPr>
              <w:pStyle w:val="109"/>
              <w:spacing w:line="219" w:lineRule="auto"/>
              <w:ind w:left="129"/>
            </w:pPr>
            <w:r>
              <w:rPr>
                <w:spacing w:val="-4"/>
              </w:rPr>
              <w:t>1、综合说明</w:t>
            </w:r>
          </w:p>
          <w:p>
            <w:pPr>
              <w:pStyle w:val="109"/>
              <w:spacing w:before="196" w:line="369" w:lineRule="auto"/>
              <w:ind w:left="111" w:right="47" w:firstLine="3"/>
              <w:jc w:val="both"/>
              <w:rPr>
                <w:rFonts w:ascii="宋体" w:hAnsi="宋体" w:eastAsia="宋体" w:cs="宋体"/>
                <w:spacing w:val="-6"/>
              </w:rPr>
            </w:pPr>
            <w:r>
              <w:rPr>
                <w:spacing w:val="-1"/>
              </w:rPr>
              <w:t>投标人对政府采购活动事项有疑问的，可以向被质疑人提出询问，</w:t>
            </w:r>
            <w:r>
              <w:rPr>
                <w:spacing w:val="-2"/>
              </w:rPr>
              <w:t>被质疑人应当及时予</w:t>
            </w:r>
            <w:r>
              <w:t xml:space="preserve"> </w:t>
            </w:r>
            <w:r>
              <w:rPr>
                <w:spacing w:val="-1"/>
              </w:rPr>
              <w:t>以答复，但答复的内容不得涉及商业秘密。投标人询问和质疑实行实名制</w:t>
            </w:r>
            <w:r>
              <w:rPr>
                <w:spacing w:val="-2"/>
              </w:rPr>
              <w:t>。投标人询问</w:t>
            </w:r>
            <w:r>
              <w:t xml:space="preserve"> </w:t>
            </w:r>
            <w:r>
              <w:rPr>
                <w:spacing w:val="-1"/>
              </w:rPr>
              <w:t>和质疑应当有事实根据，不得进行虚假、恶意询问或质疑，干扰政府采购</w:t>
            </w:r>
            <w:r>
              <w:rPr>
                <w:spacing w:val="-2"/>
              </w:rPr>
              <w:t>正常的工作秩</w:t>
            </w:r>
            <w:r>
              <w:t xml:space="preserve"> </w:t>
            </w:r>
            <w:r>
              <w:rPr>
                <w:spacing w:val="-1"/>
              </w:rPr>
              <w:t>序。投标人提起质疑应当符合下列条件：必须是参与被质疑项目的投标人</w:t>
            </w:r>
            <w:r>
              <w:rPr>
                <w:spacing w:val="-2"/>
              </w:rPr>
              <w:t>；必须在规定</w:t>
            </w:r>
            <w:r>
              <w:t xml:space="preserve"> </w:t>
            </w:r>
            <w:r>
              <w:rPr>
                <w:spacing w:val="-6"/>
              </w:rPr>
              <w:t>的质疑有效期内提起质疑；政府采购监督管理部门规定的其他条件。质疑人提出质疑时，</w:t>
            </w:r>
            <w:r>
              <w:rPr>
                <w:spacing w:val="12"/>
              </w:rPr>
              <w:t xml:space="preserve"> </w:t>
            </w:r>
            <w:r>
              <w:t>应当提交书面质疑书，质疑书应当包括下列主要内容：被质疑人的名称、地址、电话；</w:t>
            </w:r>
            <w:r>
              <w:rPr>
                <w:spacing w:val="18"/>
              </w:rPr>
              <w:t xml:space="preserve"> </w:t>
            </w:r>
            <w:r>
              <w:rPr>
                <w:spacing w:val="-1"/>
              </w:rPr>
              <w:t>采购项目名称、项目编号；具体事项、请求和主张；提起质疑的投标人名</w:t>
            </w:r>
            <w:r>
              <w:rPr>
                <w:spacing w:val="-2"/>
              </w:rPr>
              <w:t>称、地址及联</w:t>
            </w:r>
            <w:r>
              <w:t>系方式；质</w:t>
            </w:r>
            <w:r>
              <w:rPr>
                <w:rFonts w:ascii="宋体" w:hAnsi="宋体" w:eastAsia="宋体" w:cs="宋体"/>
                <w:spacing w:val="-6"/>
              </w:rPr>
              <w:t>疑日期。质疑书的递交应当采取当面递交的形式。</w:t>
            </w:r>
          </w:p>
          <w:p>
            <w:pPr>
              <w:pStyle w:val="109"/>
              <w:spacing w:before="196" w:line="369" w:lineRule="auto"/>
              <w:ind w:left="111" w:right="47" w:firstLine="3"/>
              <w:jc w:val="both"/>
              <w:rPr>
                <w:rFonts w:ascii="宋体" w:hAnsi="宋体" w:eastAsia="宋体" w:cs="宋体"/>
                <w:spacing w:val="-6"/>
              </w:rPr>
            </w:pPr>
            <w:r>
              <w:rPr>
                <w:rFonts w:ascii="宋体" w:hAnsi="宋体" w:eastAsia="宋体" w:cs="宋体"/>
                <w:spacing w:val="-6"/>
              </w:rPr>
              <w:t>2、对招标文件的澄清和质疑</w:t>
            </w:r>
          </w:p>
          <w:p>
            <w:pPr>
              <w:pStyle w:val="109"/>
              <w:spacing w:before="127" w:line="369" w:lineRule="auto"/>
              <w:ind w:left="112" w:right="108" w:hanging="1"/>
              <w:jc w:val="both"/>
            </w:pPr>
            <w:r>
              <w:rPr>
                <w:rFonts w:ascii="宋体" w:hAnsi="宋体" w:eastAsia="宋体" w:cs="宋体"/>
                <w:spacing w:val="-6"/>
              </w:rPr>
              <w:t>投标人应尽早领取招标文件，若对招标文件有疑问需要澄清或质疑，须在开标 7 日前由澄清或质疑方的法定代表人或授权投标人（必须为法定代表人授权进行该项目投标的被</w:t>
            </w:r>
            <w:r>
              <w:rPr>
                <w:spacing w:val="-1"/>
              </w:rPr>
              <w:t>授权人）以书面形式向招标人递交澄清或质疑函(原件)，并登记备案。</w:t>
            </w:r>
            <w:r>
              <w:rPr>
                <w:spacing w:val="-2"/>
              </w:rPr>
              <w:t>澄清或质疑函须</w:t>
            </w:r>
            <w:r>
              <w:t xml:space="preserve"> </w:t>
            </w:r>
            <w:r>
              <w:rPr>
                <w:spacing w:val="-1"/>
              </w:rPr>
              <w:t>有法定代表人亲笔签字。澄清函应说明需要澄清的内容，质疑函除应说</w:t>
            </w:r>
            <w:r>
              <w:rPr>
                <w:spacing w:val="-2"/>
              </w:rPr>
              <w:t>明需要质疑的内</w:t>
            </w:r>
            <w:r>
              <w:t xml:space="preserve"> </w:t>
            </w:r>
            <w:r>
              <w:rPr>
                <w:spacing w:val="-1"/>
              </w:rPr>
              <w:t>容外，还应提供能够证明质疑内容的相关书面证据。澄清或质疑函应内</w:t>
            </w:r>
            <w:r>
              <w:rPr>
                <w:spacing w:val="-2"/>
              </w:rPr>
              <w:t>容真实，证据充</w:t>
            </w:r>
            <w:r>
              <w:t xml:space="preserve"> </w:t>
            </w:r>
            <w:r>
              <w:rPr>
                <w:spacing w:val="-1"/>
              </w:rPr>
              <w:t>分，不得进行恶意质疑。由法定代表人递交澄清或质疑函时，提</w:t>
            </w:r>
            <w:r>
              <w:rPr>
                <w:spacing w:val="-2"/>
              </w:rPr>
              <w:t>供法定代表人身份证复</w:t>
            </w:r>
            <w:r>
              <w:t xml:space="preserve"> </w:t>
            </w:r>
            <w:r>
              <w:rPr>
                <w:spacing w:val="-1"/>
              </w:rPr>
              <w:t>印件；由授权投标人递交澄清或质疑函时，还须提供法人投标授权函和</w:t>
            </w:r>
            <w:r>
              <w:rPr>
                <w:spacing w:val="-2"/>
              </w:rPr>
              <w:t>质疑授权函（均</w:t>
            </w:r>
            <w:r>
              <w:t xml:space="preserve"> </w:t>
            </w:r>
            <w:r>
              <w:rPr>
                <w:spacing w:val="-1"/>
              </w:rPr>
              <w:t>为原件）及被授权投标人的身份证复印件。身份证复印件须正反面清晰</w:t>
            </w:r>
            <w:r>
              <w:rPr>
                <w:spacing w:val="-2"/>
              </w:rPr>
              <w:t>、有效，并要求</w:t>
            </w:r>
            <w:r>
              <w:t xml:space="preserve"> </w:t>
            </w:r>
            <w:r>
              <w:rPr>
                <w:spacing w:val="2"/>
              </w:rPr>
              <w:t>由该身份证持有人在复印件正反面非空白位置注明“该复印件用于在(项目名称）澄清</w:t>
            </w:r>
            <w:r>
              <w:t>或质疑使用</w:t>
            </w:r>
            <w:r>
              <w:rPr>
                <w:spacing w:val="-86"/>
              </w:rPr>
              <w:t xml:space="preserve"> </w:t>
            </w:r>
            <w:r>
              <w:t>”字样，并由身份证持有人签字确认。上述资料</w:t>
            </w:r>
            <w:r>
              <w:rPr>
                <w:spacing w:val="-1"/>
              </w:rPr>
              <w:t>均须加盖公章。</w:t>
            </w:r>
          </w:p>
          <w:p>
            <w:pPr>
              <w:pStyle w:val="109"/>
              <w:spacing w:before="197" w:line="369" w:lineRule="auto"/>
              <w:ind w:left="111" w:right="108" w:firstLine="1"/>
              <w:jc w:val="both"/>
            </w:pPr>
            <w:r>
              <w:rPr>
                <w:spacing w:val="-2"/>
              </w:rPr>
              <w:t>招标人在投标截止日</w:t>
            </w:r>
            <w:r>
              <w:rPr>
                <w:spacing w:val="-44"/>
              </w:rPr>
              <w:t xml:space="preserve"> </w:t>
            </w:r>
            <w:r>
              <w:rPr>
                <w:spacing w:val="-2"/>
              </w:rPr>
              <w:t>3</w:t>
            </w:r>
            <w:r>
              <w:rPr>
                <w:spacing w:val="-45"/>
              </w:rPr>
              <w:t xml:space="preserve"> </w:t>
            </w:r>
            <w:r>
              <w:rPr>
                <w:spacing w:val="-2"/>
              </w:rPr>
              <w:t>天前根据澄清或质疑函的具体内容相应作出答复或不予答复，答</w:t>
            </w:r>
            <w:r>
              <w:t xml:space="preserve"> </w:t>
            </w:r>
            <w:r>
              <w:rPr>
                <w:spacing w:val="-1"/>
              </w:rPr>
              <w:t>复内容不得涉及商业秘密。作出答复的将以书面形式通知提出澄清或质疑</w:t>
            </w:r>
            <w:r>
              <w:rPr>
                <w:spacing w:val="-2"/>
              </w:rPr>
              <w:t>的投标人和其</w:t>
            </w:r>
            <w:r>
              <w:t xml:space="preserve"> </w:t>
            </w:r>
            <w:r>
              <w:rPr>
                <w:spacing w:val="-1"/>
              </w:rPr>
              <w:t>他有关投标人，或在新疆政府采购网上予以公布。递交质疑的投标人</w:t>
            </w:r>
            <w:r>
              <w:rPr>
                <w:spacing w:val="-2"/>
              </w:rPr>
              <w:t>和其他有关投标人</w:t>
            </w:r>
            <w:r>
              <w:t xml:space="preserve"> </w:t>
            </w:r>
            <w:r>
              <w:rPr>
                <w:spacing w:val="-1"/>
              </w:rPr>
              <w:t>在被告知、收到上述公告、通知或答疑书后，应立即向招标人回函确认。</w:t>
            </w:r>
            <w:r>
              <w:rPr>
                <w:spacing w:val="-2"/>
              </w:rPr>
              <w:t>未确认情况应</w:t>
            </w:r>
            <w:r>
              <w:t xml:space="preserve"> </w:t>
            </w:r>
            <w:r>
              <w:rPr>
                <w:spacing w:val="-1"/>
              </w:rPr>
              <w:t>当视为对质疑答复的知晓，也将视为对质疑答复内容接受的默认。对于未</w:t>
            </w:r>
            <w:r>
              <w:rPr>
                <w:spacing w:val="-2"/>
              </w:rPr>
              <w:t>在投标文件中</w:t>
            </w:r>
            <w:r>
              <w:t xml:space="preserve"> </w:t>
            </w:r>
            <w:r>
              <w:rPr>
                <w:spacing w:val="-1"/>
              </w:rPr>
              <w:t>对修改内容做实质性响应的，对其产生的不利因素由未确认者自行承担。</w:t>
            </w:r>
            <w:r>
              <w:rPr>
                <w:spacing w:val="-2"/>
              </w:rPr>
              <w:t>同时招标人可</w:t>
            </w:r>
            <w:r>
              <w:rPr>
                <w:spacing w:val="-3"/>
              </w:rPr>
              <w:t>以酌情延长投标截止时间。</w:t>
            </w:r>
          </w:p>
          <w:p>
            <w:pPr>
              <w:pStyle w:val="109"/>
              <w:spacing w:before="193" w:line="219" w:lineRule="auto"/>
              <w:ind w:left="116"/>
            </w:pPr>
            <w:r>
              <w:t>3、对招标过程和拟中标结果的质疑</w:t>
            </w:r>
          </w:p>
          <w:p>
            <w:pPr>
              <w:pStyle w:val="109"/>
              <w:spacing w:before="199" w:line="369" w:lineRule="auto"/>
              <w:ind w:left="111" w:right="85" w:firstLine="3"/>
              <w:rPr>
                <w:rFonts w:ascii="宋体" w:hAnsi="宋体" w:eastAsia="宋体" w:cs="宋体"/>
                <w:spacing w:val="-2"/>
              </w:rPr>
            </w:pPr>
            <w:r>
              <w:rPr>
                <w:spacing w:val="-1"/>
              </w:rPr>
              <w:t>投标人认为招标过程和拟中标结果使自己的权益受到损害的，可以</w:t>
            </w:r>
            <w:r>
              <w:rPr>
                <w:spacing w:val="-2"/>
              </w:rPr>
              <w:t>在投标人于新疆政府</w:t>
            </w:r>
            <w:r>
              <w:t xml:space="preserve"> </w:t>
            </w:r>
            <w:r>
              <w:rPr>
                <w:spacing w:val="-2"/>
              </w:rPr>
              <w:t>采购网发布拟中标结果之日起</w:t>
            </w:r>
            <w:r>
              <w:rPr>
                <w:spacing w:val="-39"/>
              </w:rPr>
              <w:t xml:space="preserve"> </w:t>
            </w:r>
            <w:r>
              <w:rPr>
                <w:spacing w:val="-2"/>
              </w:rPr>
              <w:t>3</w:t>
            </w:r>
            <w:r>
              <w:rPr>
                <w:spacing w:val="-49"/>
              </w:rPr>
              <w:t xml:space="preserve"> </w:t>
            </w:r>
            <w:r>
              <w:rPr>
                <w:spacing w:val="-2"/>
              </w:rPr>
              <w:t>个工作日内，由质疑方的法定代表人或授权投标人以书</w:t>
            </w:r>
            <w:r>
              <w:t xml:space="preserve"> </w:t>
            </w:r>
            <w:r>
              <w:rPr>
                <w:spacing w:val="-1"/>
              </w:rPr>
              <w:t>面形式向投标人递交质疑函（原件</w:t>
            </w:r>
            <w:r>
              <w:rPr>
                <w:spacing w:val="9"/>
              </w:rPr>
              <w:t>），</w:t>
            </w:r>
            <w:r>
              <w:rPr>
                <w:spacing w:val="-1"/>
              </w:rPr>
              <w:t>并登记备案。质疑函须有法定代表人亲笔签</w:t>
            </w:r>
            <w:r>
              <w:rPr>
                <w:spacing w:val="-2"/>
              </w:rPr>
              <w:t>字，</w:t>
            </w:r>
            <w:r>
              <w:t xml:space="preserve"> </w:t>
            </w:r>
            <w:r>
              <w:rPr>
                <w:spacing w:val="-1"/>
              </w:rPr>
              <w:t>除应说明需要质疑的内容外，还应提供能够证明质疑内容的相关书面证据</w:t>
            </w:r>
            <w:r>
              <w:rPr>
                <w:spacing w:val="-2"/>
              </w:rPr>
              <w:t>。质疑函应内</w:t>
            </w:r>
            <w:r>
              <w:t xml:space="preserve"> </w:t>
            </w:r>
            <w:r>
              <w:rPr>
                <w:spacing w:val="-1"/>
              </w:rPr>
              <w:t>容真实，证据充分，不得进行恶意质疑。由法定代表人递交质疑函时</w:t>
            </w:r>
            <w:r>
              <w:rPr>
                <w:spacing w:val="-2"/>
              </w:rPr>
              <w:t>，提供法定代表人</w:t>
            </w:r>
            <w:r>
              <w:t xml:space="preserve"> </w:t>
            </w:r>
            <w:r>
              <w:rPr>
                <w:spacing w:val="-7"/>
              </w:rPr>
              <w:t>身份证复印件；由授权投标人递交质疑函时，还须提供法人投标授</w:t>
            </w:r>
            <w:r>
              <w:rPr>
                <w:spacing w:val="-8"/>
              </w:rPr>
              <w:t>权函和质疑授权函（均</w:t>
            </w:r>
            <w:r>
              <w:t xml:space="preserve"> </w:t>
            </w:r>
            <w:r>
              <w:rPr>
                <w:spacing w:val="-1"/>
              </w:rPr>
              <w:t>为原件）及被授权投标人的身份证复印件。身份证复印件须正反面清晰、</w:t>
            </w:r>
            <w:r>
              <w:rPr>
                <w:spacing w:val="-2"/>
              </w:rPr>
              <w:t>有效，并要求</w:t>
            </w:r>
            <w:r>
              <w:t xml:space="preserve"> </w:t>
            </w:r>
            <w:r>
              <w:rPr>
                <w:spacing w:val="-1"/>
              </w:rPr>
              <w:t>由该身份证持有人在复印件正反面非空白位置注明“该复印件用于在（项目名</w:t>
            </w:r>
            <w:r>
              <w:rPr>
                <w:rFonts w:ascii="宋体" w:hAnsi="宋体" w:eastAsia="宋体" w:cs="宋体"/>
                <w:spacing w:val="-2"/>
              </w:rPr>
              <w:t>称）”字样，并由身份证持有人签字确认。上述资料均须加盖公章。</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招标人应在受理投标人的书面质疑后，根据质疑函的具体内容及时向递交质疑函的投标 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4、澄清或质疑不予受理的情况，有下列情形之一的，属于无效质疑，被质疑人不予受理，由此产生的影响由投标人自行承担：</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(一)不是参与该政府采购项目活动供应商的;</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(二)被质疑人为采购人或政府采购代理机构之外的；</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(三)所有质疑事项超过质疑有效期的；</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(四)以具有法律效力的文书送达之外方式提出的；</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(五) 未按上述规定递交澄清或质疑函的；</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(六) 其它不符合受理条件的情形。</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5、其他</w:t>
            </w:r>
          </w:p>
          <w:p>
            <w:pPr>
              <w:pStyle w:val="109"/>
              <w:spacing w:before="199" w:line="369" w:lineRule="auto"/>
              <w:ind w:left="111" w:right="85" w:firstLine="3"/>
              <w:rPr>
                <w:rFonts w:ascii="宋体" w:hAnsi="宋体" w:eastAsia="宋体" w:cs="宋体"/>
                <w:spacing w:val="-2"/>
              </w:rPr>
            </w:pPr>
            <w:r>
              <w:rPr>
                <w:rFonts w:ascii="宋体" w:hAnsi="宋体" w:eastAsia="宋体" w:cs="宋体"/>
                <w:spacing w:val="-2"/>
              </w:rPr>
              <w:t>澄清或质疑函递交地点：</w:t>
            </w:r>
            <w:r>
              <w:rPr>
                <w:rFonts w:hint="eastAsia" w:ascii="宋体" w:hAnsi="宋体" w:eastAsia="宋体" w:cs="宋体"/>
                <w:spacing w:val="-2"/>
                <w:lang w:eastAsia="zh-CN"/>
              </w:rPr>
              <w:t>阿克苏地区库车市东城街道幸福路65号企业公馆A座401-3室</w:t>
            </w:r>
          </w:p>
          <w:p>
            <w:pPr>
              <w:pStyle w:val="109"/>
              <w:spacing w:before="199" w:line="369" w:lineRule="auto"/>
              <w:ind w:left="111" w:right="85" w:firstLine="3"/>
              <w:rPr>
                <w:rFonts w:ascii="宋体" w:hAnsi="宋体" w:eastAsia="宋体" w:cs="宋体"/>
              </w:rPr>
            </w:pPr>
            <w:r>
              <w:t>联系电话：</w:t>
            </w:r>
            <w:r>
              <w:rPr>
                <w:rFonts w:hint="eastAsia"/>
                <w:lang w:val="en-US" w:eastAsia="zh-CN"/>
              </w:rPr>
              <w:t>15003021126</w:t>
            </w:r>
          </w:p>
        </w:tc>
      </w:tr>
    </w:tbl>
    <w:p>
      <w:pPr>
        <w:rPr>
          <w:color w:val="auto"/>
        </w:rPr>
      </w:pPr>
      <w:r>
        <w:rPr>
          <w:color w:val="auto"/>
        </w:rPr>
        <w:br w:type="page"/>
      </w:r>
      <w:bookmarkStart w:id="8" w:name="_Toc50737288"/>
      <w:bookmarkStart w:id="9" w:name="_Toc50736468"/>
      <w:bookmarkStart w:id="10" w:name="_Toc251236082"/>
      <w:bookmarkStart w:id="11" w:name="_Toc50737320"/>
      <w:bookmarkStart w:id="12" w:name="_Toc50691021"/>
    </w:p>
    <w:p>
      <w:pPr>
        <w:spacing w:line="500" w:lineRule="exact"/>
        <w:jc w:val="center"/>
        <w:rPr>
          <w:b/>
          <w:color w:val="auto"/>
          <w:sz w:val="36"/>
          <w:szCs w:val="36"/>
        </w:rPr>
      </w:pPr>
      <w:r>
        <w:rPr>
          <w:rFonts w:hint="eastAsia"/>
          <w:b/>
          <w:color w:val="auto"/>
          <w:sz w:val="48"/>
          <w:szCs w:val="48"/>
        </w:rPr>
        <w:t>第三章  投 标 须 知</w:t>
      </w:r>
      <w:bookmarkEnd w:id="7"/>
      <w:bookmarkEnd w:id="8"/>
      <w:bookmarkEnd w:id="9"/>
      <w:bookmarkEnd w:id="10"/>
      <w:bookmarkEnd w:id="11"/>
      <w:bookmarkEnd w:id="12"/>
    </w:p>
    <w:p>
      <w:pPr>
        <w:pStyle w:val="4"/>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4"/>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5"/>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olor w:val="auto"/>
          <w:sz w:val="24"/>
          <w:lang w:val="en-US" w:eastAsia="zh-CN"/>
        </w:rPr>
        <w:t>中共沙雅县委员会宣传部</w:t>
      </w:r>
      <w:r>
        <w:rPr>
          <w:rFonts w:hint="eastAsia" w:ascii="宋体" w:hAnsi="宋体" w:cs="宋体"/>
          <w:color w:val="auto"/>
          <w:sz w:val="24"/>
          <w:highlight w:val="none"/>
        </w:rPr>
        <w:t> </w:t>
      </w:r>
    </w:p>
    <w:p>
      <w:pPr>
        <w:spacing w:line="400" w:lineRule="exact"/>
        <w:ind w:firstLine="240" w:firstLineChars="100"/>
        <w:rPr>
          <w:rFonts w:hint="eastAsia" w:ascii="宋体" w:hAnsi="宋体" w:eastAsia="宋体"/>
          <w:color w:val="auto"/>
          <w:sz w:val="24"/>
          <w:lang w:eastAsia="zh-CN"/>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w:t>
      </w:r>
      <w:r>
        <w:rPr>
          <w:rFonts w:hint="eastAsia" w:ascii="宋体" w:hAnsi="宋体"/>
          <w:color w:val="auto"/>
          <w:sz w:val="24"/>
          <w:lang w:eastAsia="zh-CN"/>
        </w:rPr>
        <w:t>新疆玖泰鑫工程项目管理有限公司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5"/>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5"/>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5"/>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olor w:val="auto"/>
          <w:sz w:val="24"/>
          <w:highlight w:val="none"/>
        </w:rPr>
        <w:t>：</w:t>
      </w:r>
      <w:r>
        <w:rPr>
          <w:rFonts w:hint="eastAsia" w:ascii="宋体" w:hAnsi="宋体"/>
          <w:color w:val="auto"/>
          <w:sz w:val="24"/>
          <w:highlight w:val="none"/>
          <w:lang w:val="en-US" w:eastAsia="zh-CN"/>
        </w:rPr>
        <w:t>中共沙雅县委员会宣传部</w:t>
      </w:r>
      <w:r>
        <w:rPr>
          <w:rFonts w:hint="eastAsia" w:ascii="宋体" w:hAnsi="宋体" w:cs="宋体"/>
          <w:color w:val="auto"/>
          <w:sz w:val="24"/>
          <w:highlight w:val="none"/>
        </w:rPr>
        <w:t> </w:t>
      </w:r>
    </w:p>
    <w:p>
      <w:pPr>
        <w:spacing w:line="400" w:lineRule="exact"/>
        <w:ind w:firstLine="240" w:firstLineChars="100"/>
        <w:rPr>
          <w:rFonts w:hint="default" w:ascii="宋体" w:hAnsi="宋体"/>
          <w:color w:val="auto"/>
          <w:sz w:val="24"/>
          <w:lang w:val="en-US"/>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highlight w:val="none"/>
          <w:lang w:val="en-US" w:eastAsia="zh-CN"/>
        </w:rPr>
        <w:t>县本级财政</w:t>
      </w:r>
    </w:p>
    <w:p>
      <w:pPr>
        <w:pStyle w:val="5"/>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5.1.1具有独立承担民事责任的能力，在中华人民共和国境内注册的法人（具有相关经营范围）； </w:t>
      </w:r>
    </w:p>
    <w:p>
      <w:pPr>
        <w:pStyle w:val="17"/>
        <w:spacing w:before="0" w:beforeAutospacing="0" w:after="0" w:afterAutospacing="0" w:line="500" w:lineRule="exact"/>
        <w:ind w:firstLine="240" w:firstLineChars="100"/>
        <w:rPr>
          <w:rFonts w:cs="Arial"/>
          <w:color w:val="auto"/>
        </w:rPr>
      </w:pPr>
      <w:r>
        <w:rPr>
          <w:rFonts w:hint="eastAsia"/>
          <w:color w:val="auto"/>
        </w:rPr>
        <w:t>5.1.2</w:t>
      </w:r>
      <w:r>
        <w:rPr>
          <w:rFonts w:hint="eastAsia" w:cs="Arial"/>
          <w:color w:val="auto"/>
        </w:rPr>
        <w:t>供应的产品须符合相关质量标准的生产及安装的生产制造商或有供应能力及安装的经销商;</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5"/>
        <w:keepLines/>
        <w:spacing w:before="124" w:beforeLines="40" w:after="124" w:afterLines="40" w:line="400" w:lineRule="exact"/>
        <w:rPr>
          <w:rFonts w:ascii="宋体" w:eastAsia="宋体"/>
          <w:color w:val="auto"/>
          <w:sz w:val="28"/>
          <w:szCs w:val="28"/>
        </w:rPr>
      </w:pPr>
      <w:bookmarkStart w:id="19" w:name="_Toc251236089"/>
      <w:r>
        <w:rPr>
          <w:rFonts w:hint="eastAsia" w:ascii="宋体" w:eastAsia="宋体"/>
          <w:color w:val="auto"/>
          <w:sz w:val="28"/>
          <w:szCs w:val="28"/>
        </w:rPr>
        <w:t>6．中标设备质量标准和包装、交货、安装、调试、验收及售后服务</w:t>
      </w:r>
      <w:bookmarkEnd w:id="19"/>
    </w:p>
    <w:p>
      <w:pPr>
        <w:spacing w:line="440" w:lineRule="exact"/>
        <w:ind w:firstLine="240" w:firstLineChars="100"/>
        <w:rPr>
          <w:rFonts w:ascii="宋体" w:hAnsi="宋体"/>
          <w:color w:val="auto"/>
          <w:sz w:val="24"/>
        </w:rPr>
      </w:pPr>
      <w:r>
        <w:rPr>
          <w:rFonts w:ascii="宋体" w:hAnsi="宋体"/>
          <w:color w:val="auto"/>
          <w:sz w:val="24"/>
        </w:rPr>
        <w:t>6.1</w:t>
      </w:r>
      <w:r>
        <w:rPr>
          <w:rFonts w:hint="eastAsia" w:ascii="宋体" w:hAnsi="宋体"/>
          <w:color w:val="auto"/>
          <w:sz w:val="24"/>
        </w:rPr>
        <w:t xml:space="preserve"> 质量标准：</w:t>
      </w:r>
    </w:p>
    <w:p>
      <w:pPr>
        <w:spacing w:line="44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6.1</w:t>
      </w:r>
      <w:r>
        <w:rPr>
          <w:rFonts w:hint="eastAsia" w:ascii="宋体" w:hAnsi="宋体"/>
          <w:color w:val="auto"/>
          <w:sz w:val="24"/>
        </w:rPr>
        <w:t>.1 中标方保证合同设备是全新、未曾使用过的，其质量、规格及技术特征符合合同附件的要求；</w:t>
      </w:r>
    </w:p>
    <w:p>
      <w:pPr>
        <w:spacing w:line="440" w:lineRule="exact"/>
        <w:ind w:left="10" w:firstLine="199" w:firstLineChars="83"/>
        <w:rPr>
          <w:rFonts w:ascii="宋体" w:hAnsi="宋体"/>
          <w:color w:val="auto"/>
          <w:sz w:val="24"/>
        </w:rPr>
      </w:pPr>
      <w:r>
        <w:rPr>
          <w:rFonts w:ascii="宋体" w:hAnsi="宋体"/>
          <w:color w:val="auto"/>
          <w:sz w:val="24"/>
        </w:rPr>
        <w:t>6.1</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中标人保证合同项下提供的设备不侵犯任何第三方的专利、商标或版权。否则，中标人须承担对第三方的专利或版权的侵权责任并承担因此而发生的所有费用。</w:t>
      </w:r>
    </w:p>
    <w:p>
      <w:pPr>
        <w:spacing w:line="440" w:lineRule="exact"/>
        <w:ind w:firstLine="240" w:firstLineChars="100"/>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 xml:space="preserve">  中标设备的包装、交货、安装、调试、验收：</w:t>
      </w:r>
    </w:p>
    <w:p>
      <w:pPr>
        <w:spacing w:line="440" w:lineRule="exact"/>
        <w:ind w:left="10" w:firstLine="199" w:firstLineChars="83"/>
        <w:rPr>
          <w:rFonts w:ascii="宋体" w:hAnsi="宋体"/>
          <w:color w:val="auto"/>
          <w:sz w:val="24"/>
        </w:rPr>
      </w:pPr>
      <w:r>
        <w:rPr>
          <w:rFonts w:hint="eastAsia" w:ascii="宋体" w:hAnsi="宋体"/>
          <w:color w:val="auto"/>
          <w:sz w:val="24"/>
        </w:rPr>
        <w:t>6.2.1 包装:均应有良好的防湿、防锈、防潮、防雨、防腐及防碰撞的措施。凡由于包装不良造成的损失和由此产生的费用均由中标方承担。</w:t>
      </w:r>
    </w:p>
    <w:p>
      <w:pPr>
        <w:spacing w:line="440" w:lineRule="exact"/>
        <w:ind w:firstLine="240" w:firstLineChars="100"/>
        <w:rPr>
          <w:rFonts w:ascii="宋体" w:hAnsi="宋体"/>
          <w:color w:val="auto"/>
          <w:sz w:val="24"/>
        </w:rPr>
      </w:pPr>
      <w:r>
        <w:rPr>
          <w:rFonts w:hint="eastAsia" w:ascii="宋体" w:hAnsi="宋体"/>
          <w:color w:val="auto"/>
          <w:sz w:val="24"/>
        </w:rPr>
        <w:t>6</w:t>
      </w:r>
      <w:r>
        <w:rPr>
          <w:rFonts w:ascii="宋体" w:hAnsi="宋体"/>
          <w:color w:val="auto"/>
          <w:sz w:val="24"/>
        </w:rPr>
        <w:t>.2</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 xml:space="preserve"> 中标设备的交货：按合同要求交货。</w:t>
      </w:r>
    </w:p>
    <w:p>
      <w:pPr>
        <w:spacing w:line="440" w:lineRule="exact"/>
        <w:ind w:firstLine="240" w:firstLineChars="100"/>
        <w:rPr>
          <w:rFonts w:ascii="宋体" w:hAnsi="宋体"/>
          <w:color w:val="auto"/>
          <w:sz w:val="24"/>
          <w:u w:val="single"/>
        </w:rPr>
      </w:pPr>
      <w:r>
        <w:rPr>
          <w:rFonts w:hint="eastAsia" w:ascii="宋体" w:hAnsi="宋体"/>
          <w:color w:val="auto"/>
          <w:sz w:val="24"/>
        </w:rPr>
        <w:t>6</w:t>
      </w:r>
      <w:r>
        <w:rPr>
          <w:rFonts w:ascii="宋体" w:hAnsi="宋体"/>
          <w:color w:val="auto"/>
          <w:sz w:val="24"/>
        </w:rPr>
        <w:t>.2.</w:t>
      </w:r>
      <w:r>
        <w:rPr>
          <w:rFonts w:hint="eastAsia" w:ascii="宋体" w:hAnsi="宋体"/>
          <w:color w:val="auto"/>
          <w:sz w:val="24"/>
        </w:rPr>
        <w:t>2.1 交货时间：按合同需求交付。</w:t>
      </w:r>
    </w:p>
    <w:p>
      <w:pPr>
        <w:spacing w:line="440" w:lineRule="exact"/>
        <w:ind w:firstLine="240" w:firstLineChars="100"/>
        <w:rPr>
          <w:rFonts w:ascii="宋体" w:hAnsi="宋体"/>
          <w:color w:val="auto"/>
          <w:sz w:val="24"/>
          <w:u w:val="single"/>
        </w:rPr>
      </w:pPr>
      <w:r>
        <w:rPr>
          <w:rFonts w:hint="eastAsia" w:ascii="宋体" w:hAnsi="宋体"/>
          <w:color w:val="auto"/>
          <w:sz w:val="24"/>
        </w:rPr>
        <w:t>6</w:t>
      </w:r>
      <w:r>
        <w:rPr>
          <w:rFonts w:ascii="宋体" w:hAnsi="宋体"/>
          <w:color w:val="auto"/>
          <w:sz w:val="24"/>
        </w:rPr>
        <w:t>.2.2</w:t>
      </w:r>
      <w:r>
        <w:rPr>
          <w:rFonts w:hint="eastAsia" w:ascii="宋体" w:hAnsi="宋体"/>
          <w:color w:val="auto"/>
          <w:sz w:val="24"/>
        </w:rPr>
        <w:t xml:space="preserve">.2 </w:t>
      </w:r>
      <w:r>
        <w:rPr>
          <w:rFonts w:hint="eastAsia" w:ascii="宋体" w:hAnsi="宋体"/>
          <w:color w:val="auto"/>
          <w:sz w:val="24"/>
          <w:highlight w:val="none"/>
        </w:rPr>
        <w:t>交货地点：</w:t>
      </w:r>
      <w:r>
        <w:rPr>
          <w:rFonts w:hint="eastAsia" w:ascii="宋体" w:hAnsi="宋体"/>
          <w:color w:val="auto"/>
          <w:sz w:val="24"/>
          <w:highlight w:val="none"/>
          <w:lang w:eastAsia="zh-CN"/>
        </w:rPr>
        <w:t>业主指定地点</w:t>
      </w:r>
      <w:r>
        <w:rPr>
          <w:rFonts w:hint="eastAsia" w:ascii="宋体" w:hAnsi="宋体"/>
          <w:color w:val="auto"/>
          <w:sz w:val="24"/>
          <w:highlight w:val="none"/>
        </w:rPr>
        <w:t>。</w:t>
      </w:r>
    </w:p>
    <w:p>
      <w:pPr>
        <w:spacing w:line="440" w:lineRule="exact"/>
        <w:ind w:firstLine="240" w:firstLineChars="100"/>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3 </w:t>
      </w:r>
      <w:r>
        <w:rPr>
          <w:rFonts w:hint="eastAsia" w:ascii="宋体" w:hAnsi="宋体"/>
          <w:color w:val="auto"/>
          <w:sz w:val="24"/>
        </w:rPr>
        <w:t xml:space="preserve">  中标设备的安装调试：</w:t>
      </w:r>
    </w:p>
    <w:p>
      <w:pPr>
        <w:spacing w:line="440" w:lineRule="exact"/>
        <w:ind w:firstLine="240" w:firstLineChars="100"/>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3.1 </w:t>
      </w:r>
      <w:r>
        <w:rPr>
          <w:rFonts w:hint="eastAsia" w:ascii="宋体" w:hAnsi="宋体"/>
          <w:color w:val="auto"/>
          <w:sz w:val="24"/>
        </w:rPr>
        <w:t>中标方负责合同项下的安装调试，一切费用由中标方负责；</w:t>
      </w:r>
    </w:p>
    <w:p>
      <w:pPr>
        <w:spacing w:line="440" w:lineRule="exact"/>
        <w:ind w:firstLine="240" w:firstLineChars="100"/>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3.2 </w:t>
      </w:r>
      <w:r>
        <w:rPr>
          <w:rFonts w:hint="eastAsia" w:ascii="宋体" w:hAnsi="宋体"/>
          <w:color w:val="auto"/>
          <w:sz w:val="24"/>
        </w:rPr>
        <w:t>中标方安装时须对各安装场地内的其它设备、设施有良好保护措施。</w:t>
      </w:r>
    </w:p>
    <w:p>
      <w:pPr>
        <w:spacing w:line="440" w:lineRule="exact"/>
        <w:ind w:firstLine="240" w:firstLineChars="100"/>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4 </w:t>
      </w:r>
      <w:r>
        <w:rPr>
          <w:rFonts w:hint="eastAsia" w:ascii="宋体" w:hAnsi="宋体"/>
          <w:color w:val="auto"/>
          <w:sz w:val="24"/>
        </w:rPr>
        <w:t xml:space="preserve">  设备的验收：</w:t>
      </w:r>
    </w:p>
    <w:p>
      <w:pPr>
        <w:tabs>
          <w:tab w:val="left" w:pos="1050"/>
        </w:tabs>
        <w:spacing w:line="440" w:lineRule="exact"/>
        <w:ind w:left="10" w:right="10" w:rightChars="5" w:firstLine="199" w:firstLineChars="83"/>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4.1 </w:t>
      </w:r>
      <w:r>
        <w:rPr>
          <w:rFonts w:hint="eastAsia" w:ascii="宋体" w:hAnsi="宋体"/>
          <w:color w:val="auto"/>
          <w:sz w:val="24"/>
        </w:rPr>
        <w:t>中标设备安装调试，试运行一个月后组织验收，如中标设备在试运行期间出现故障，则应相应延长试运行时间，验收应在招标人和中标人双方共同参加下进行；</w:t>
      </w:r>
    </w:p>
    <w:p>
      <w:pPr>
        <w:spacing w:line="440" w:lineRule="exact"/>
        <w:ind w:left="10" w:right="10" w:rightChars="5" w:firstLine="199" w:firstLineChars="83"/>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4.2 </w:t>
      </w:r>
      <w:r>
        <w:rPr>
          <w:rFonts w:hint="eastAsia" w:ascii="宋体" w:hAnsi="宋体"/>
          <w:color w:val="auto"/>
          <w:sz w:val="24"/>
        </w:rPr>
        <w:t>验收按国家有关的规定、规范进行。验收时如发现所交付的设备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pPr>
        <w:spacing w:line="440" w:lineRule="exact"/>
        <w:ind w:left="10" w:right="11" w:firstLine="199" w:firstLineChars="83"/>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4.3 </w:t>
      </w:r>
      <w:r>
        <w:rPr>
          <w:rFonts w:hint="eastAsia" w:ascii="宋体" w:hAnsi="宋体"/>
          <w:color w:val="auto"/>
          <w:sz w:val="24"/>
        </w:rPr>
        <w:t>如果合同设备运输和安装调试过程中因事故造成货物短缺、损坏，中标人应及时安排换货，以保证合同设备安装调试的成功完成。换货的相关费用由中标人承担；</w:t>
      </w:r>
    </w:p>
    <w:p>
      <w:pPr>
        <w:spacing w:line="440" w:lineRule="exact"/>
        <w:ind w:left="10" w:firstLine="199" w:firstLineChars="83"/>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w:t>
      </w:r>
      <w:r>
        <w:rPr>
          <w:rFonts w:ascii="宋体" w:hAnsi="宋体"/>
          <w:color w:val="auto"/>
          <w:sz w:val="24"/>
        </w:rPr>
        <w:t xml:space="preserve">4.4 </w:t>
      </w:r>
      <w:r>
        <w:rPr>
          <w:rFonts w:hint="eastAsia" w:ascii="宋体" w:hAnsi="宋体"/>
          <w:color w:val="auto"/>
          <w:sz w:val="24"/>
        </w:rPr>
        <w:t>国内产品必须具备出厂合格证。进口产品含进口关税，由中标人负责报关等全套手续。</w:t>
      </w:r>
    </w:p>
    <w:p>
      <w:pPr>
        <w:spacing w:line="440" w:lineRule="exact"/>
        <w:ind w:firstLine="240" w:firstLineChars="100"/>
        <w:rPr>
          <w:rFonts w:ascii="宋体" w:hAnsi="宋体"/>
          <w:color w:val="auto"/>
          <w:sz w:val="24"/>
        </w:rPr>
      </w:pPr>
      <w:r>
        <w:rPr>
          <w:rFonts w:hint="eastAsia" w:ascii="宋体" w:hAnsi="宋体"/>
          <w:color w:val="auto"/>
          <w:sz w:val="24"/>
        </w:rPr>
        <w:t>6.3 售后服务</w:t>
      </w:r>
    </w:p>
    <w:p>
      <w:pPr>
        <w:spacing w:line="440" w:lineRule="exact"/>
        <w:ind w:left="10" w:firstLine="199" w:firstLineChars="83"/>
        <w:rPr>
          <w:rFonts w:ascii="宋体" w:hAnsi="宋体"/>
          <w:color w:val="auto"/>
          <w:sz w:val="24"/>
        </w:rPr>
      </w:pPr>
      <w:r>
        <w:rPr>
          <w:rFonts w:hint="eastAsia" w:ascii="宋体" w:hAnsi="宋体"/>
          <w:color w:val="auto"/>
          <w:sz w:val="24"/>
        </w:rPr>
        <w:t>6.3.1 合同设备保质保用期按生产厂家的标准执行（用户单位验收合格之日起计算，用户另有需求的除外）；</w:t>
      </w:r>
    </w:p>
    <w:p>
      <w:pPr>
        <w:spacing w:line="440" w:lineRule="exact"/>
        <w:ind w:left="10" w:firstLine="199" w:firstLineChars="83"/>
        <w:rPr>
          <w:rFonts w:ascii="宋体" w:hAnsi="宋体"/>
          <w:color w:val="auto"/>
          <w:sz w:val="24"/>
        </w:rPr>
      </w:pPr>
      <w:r>
        <w:rPr>
          <w:rFonts w:hint="eastAsia" w:ascii="宋体" w:hAnsi="宋体"/>
          <w:color w:val="auto"/>
          <w:sz w:val="24"/>
        </w:rPr>
        <w:t>6.3.2 保质保用期内非招标人的人为原因而出现产品质量及安装问题，由中标人负责包修、包换或包退，并承担因此而产生的一切费用。中标人应在收到招标人通知后</w:t>
      </w:r>
      <w:r>
        <w:rPr>
          <w:rFonts w:ascii="宋体" w:hAnsi="宋体"/>
          <w:color w:val="auto"/>
          <w:sz w:val="24"/>
        </w:rPr>
        <w:t>24</w:t>
      </w:r>
      <w:r>
        <w:rPr>
          <w:rFonts w:hint="eastAsia" w:ascii="宋体" w:hAnsi="宋体"/>
          <w:color w:val="auto"/>
          <w:sz w:val="24"/>
        </w:rPr>
        <w:t>小时内派员到现场维修。</w:t>
      </w:r>
    </w:p>
    <w:p>
      <w:pPr>
        <w:pStyle w:val="8"/>
        <w:rPr>
          <w:color w:val="auto"/>
        </w:rPr>
      </w:pPr>
      <w:r>
        <w:rPr>
          <w:rFonts w:hint="eastAsia" w:ascii="宋体" w:hAnsi="宋体"/>
          <w:color w:val="auto"/>
        </w:rPr>
        <w:t xml:space="preserve">  6.3.3  有</w:t>
      </w:r>
      <w:r>
        <w:rPr>
          <w:rFonts w:hint="eastAsia" w:cs="Arial"/>
          <w:color w:val="auto"/>
        </w:rPr>
        <w:t>长期良好的服务支持。</w:t>
      </w:r>
    </w:p>
    <w:p>
      <w:pPr>
        <w:pStyle w:val="4"/>
        <w:widowControl/>
        <w:numPr>
          <w:ilvl w:val="1"/>
          <w:numId w:val="0"/>
        </w:numPr>
        <w:spacing w:before="0" w:after="0" w:line="400" w:lineRule="exact"/>
        <w:rPr>
          <w:rFonts w:ascii="宋体" w:hAnsi="宋体" w:eastAsia="宋体"/>
          <w:bCs w:val="0"/>
          <w:color w:val="auto"/>
          <w:kern w:val="0"/>
        </w:rPr>
      </w:pPr>
      <w:bookmarkStart w:id="20" w:name="_Toc251236090"/>
    </w:p>
    <w:p>
      <w:pPr>
        <w:pStyle w:val="4"/>
        <w:widowControl/>
        <w:numPr>
          <w:ilvl w:val="1"/>
          <w:numId w:val="0"/>
        </w:numPr>
        <w:spacing w:before="0" w:after="0" w:line="400" w:lineRule="exact"/>
        <w:ind w:left="420"/>
        <w:jc w:val="center"/>
        <w:rPr>
          <w:rFonts w:ascii="宋体" w:hAnsi="宋体" w:eastAsia="宋体"/>
          <w:bCs w:val="0"/>
          <w:color w:val="auto"/>
          <w:kern w:val="0"/>
        </w:rPr>
      </w:pPr>
    </w:p>
    <w:p>
      <w:pPr>
        <w:pStyle w:val="4"/>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5"/>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5"/>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5"/>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4"/>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5"/>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5"/>
        <w:keepLines/>
        <w:spacing w:before="124" w:beforeLines="40" w:after="124" w:afterLines="40" w:line="400" w:lineRule="exact"/>
        <w:rPr>
          <w:rFonts w:hint="eastAsia" w:ascii="宋体" w:eastAsia="宋体"/>
          <w:color w:val="auto"/>
          <w:sz w:val="24"/>
          <w:lang w:eastAsia="zh-CN"/>
        </w:rPr>
      </w:pPr>
      <w:bookmarkStart w:id="26" w:name="_Toc251236096"/>
      <w:r>
        <w:rPr>
          <w:rFonts w:hint="eastAsia" w:ascii="宋体" w:eastAsia="宋体"/>
          <w:color w:val="auto"/>
          <w:sz w:val="28"/>
          <w:szCs w:val="28"/>
        </w:rPr>
        <w:t>11. 投标文件部分：</w:t>
      </w:r>
      <w:bookmarkEnd w:id="26"/>
      <w:r>
        <w:rPr>
          <w:rFonts w:hint="eastAsia" w:ascii="宋体" w:eastAsia="宋体"/>
          <w:color w:val="auto"/>
          <w:sz w:val="28"/>
          <w:szCs w:val="28"/>
          <w:lang w:eastAsia="zh-CN"/>
        </w:rPr>
        <w:t>（</w:t>
      </w:r>
      <w:r>
        <w:rPr>
          <w:rFonts w:hint="eastAsia" w:ascii="宋体" w:eastAsia="宋体"/>
          <w:color w:val="auto"/>
          <w:sz w:val="28"/>
          <w:szCs w:val="28"/>
          <w:lang w:val="en-US" w:eastAsia="zh-CN"/>
        </w:rPr>
        <w:t>不见面开标不做要求</w:t>
      </w:r>
      <w:r>
        <w:rPr>
          <w:rFonts w:hint="eastAsia" w:ascii="宋体" w:eastAsia="宋体"/>
          <w:color w:val="auto"/>
          <w:sz w:val="28"/>
          <w:szCs w:val="28"/>
          <w:lang w:eastAsia="zh-CN"/>
        </w:rPr>
        <w:t>）</w:t>
      </w:r>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5"/>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w:t>
      </w:r>
      <w:r>
        <w:rPr>
          <w:rFonts w:hint="eastAsia" w:ascii="宋体" w:hAnsi="宋体"/>
          <w:color w:val="auto"/>
          <w:sz w:val="24"/>
          <w:lang w:val="en-US" w:eastAsia="zh-CN"/>
        </w:rPr>
        <w:t xml:space="preserve"> </w:t>
      </w:r>
      <w:r>
        <w:rPr>
          <w:rFonts w:hint="eastAsia" w:ascii="宋体" w:hAnsi="宋体"/>
          <w:color w:val="auto"/>
          <w:sz w:val="24"/>
        </w:rPr>
        <w:t>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投标人可以对采购货物中的各包进行选择投标。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投标文件的报价为单价报价，对每一种型号及规格的投标产品只允许有一个报价，采购代理机构不接受有任何选择的报价，</w:t>
      </w:r>
      <w:r>
        <w:rPr>
          <w:rFonts w:hint="eastAsia" w:ascii="宋体" w:hAnsi="宋体"/>
          <w:color w:val="auto"/>
          <w:sz w:val="24"/>
        </w:rPr>
        <w:t>只接受以包为单位的报价金额。</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w:t>
      </w:r>
      <w:r>
        <w:rPr>
          <w:rFonts w:hint="eastAsia" w:ascii="宋体" w:hAnsi="宋体"/>
          <w:color w:val="auto"/>
          <w:sz w:val="24"/>
          <w:lang w:val="en-US" w:eastAsia="zh-CN"/>
        </w:rPr>
        <w:t>投标文件中的报价和开标一览表的报价不一致时，以开标一览表的报价为准；</w:t>
      </w:r>
      <w:r>
        <w:rPr>
          <w:rFonts w:hint="eastAsia" w:ascii="宋体" w:hAnsi="宋体"/>
          <w:color w:val="auto"/>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hint="eastAsia" w:ascii="宋体" w:hAnsi="宋体" w:eastAsia="宋体"/>
          <w:color w:val="auto"/>
          <w:sz w:val="24"/>
          <w:lang w:eastAsia="zh-CN"/>
        </w:rPr>
      </w:pPr>
      <w:r>
        <w:rPr>
          <w:rFonts w:hint="eastAsia" w:ascii="宋体" w:hAnsi="宋体"/>
          <w:color w:val="auto"/>
          <w:sz w:val="24"/>
        </w:rPr>
        <w:t>12.8.</w:t>
      </w:r>
      <w:r>
        <w:rPr>
          <w:rFonts w:hint="eastAsia" w:ascii="宋体" w:hAnsi="宋体"/>
          <w:bCs/>
          <w:color w:val="auto"/>
          <w:sz w:val="24"/>
          <w:highlight w:val="none"/>
        </w:rPr>
        <w:t>投标文件</w:t>
      </w:r>
      <w:r>
        <w:rPr>
          <w:rFonts w:hint="eastAsia" w:ascii="宋体" w:hAnsi="宋体"/>
          <w:bCs/>
          <w:color w:val="auto"/>
          <w:sz w:val="24"/>
        </w:rPr>
        <w:t>应一式4份：其中正本</w:t>
      </w:r>
      <w:r>
        <w:rPr>
          <w:rFonts w:ascii="宋体" w:hAnsi="宋体"/>
          <w:bCs/>
          <w:color w:val="auto"/>
          <w:sz w:val="24"/>
        </w:rPr>
        <w:t>1</w:t>
      </w:r>
      <w:r>
        <w:rPr>
          <w:rFonts w:hint="eastAsia" w:ascii="宋体" w:hAnsi="宋体"/>
          <w:bCs/>
          <w:color w:val="auto"/>
          <w:sz w:val="24"/>
        </w:rPr>
        <w:t>份，副本3份，U盘一份（正本扫描件），并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r>
        <w:rPr>
          <w:rFonts w:hint="eastAsia" w:ascii="宋体" w:hAnsi="宋体"/>
          <w:color w:val="auto"/>
          <w:sz w:val="24"/>
          <w:lang w:eastAsia="zh-CN"/>
        </w:rPr>
        <w:t>（</w:t>
      </w:r>
      <w:r>
        <w:rPr>
          <w:rFonts w:hint="eastAsia" w:ascii="宋体" w:hAnsi="宋体"/>
          <w:color w:val="auto"/>
          <w:sz w:val="24"/>
          <w:lang w:val="en-US" w:eastAsia="zh-CN"/>
        </w:rPr>
        <w:t>标后提供</w:t>
      </w:r>
      <w:r>
        <w:rPr>
          <w:rFonts w:hint="eastAsia" w:ascii="宋体" w:hAnsi="宋体"/>
          <w:color w:val="auto"/>
          <w:sz w:val="24"/>
          <w:lang w:eastAsia="zh-CN"/>
        </w:rPr>
        <w:t>）</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投标人应对投标货物提供完整详细的技术说明，如投标人对指定的技术要求不能完全响应，应在投标文件中清楚地注明。</w:t>
      </w:r>
    </w:p>
    <w:p>
      <w:pPr>
        <w:pStyle w:val="5"/>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5"/>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5"/>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5"/>
        <w:keepLines/>
        <w:spacing w:before="124" w:beforeLines="40" w:after="124" w:afterLines="40" w:line="400" w:lineRule="exact"/>
        <w:rPr>
          <w:rFonts w:hint="eastAsia" w:ascii="宋体" w:eastAsia="宋体"/>
          <w:color w:val="auto"/>
          <w:sz w:val="28"/>
          <w:szCs w:val="28"/>
          <w:lang w:eastAsia="zh-CN"/>
        </w:rPr>
      </w:pPr>
      <w:bookmarkStart w:id="33" w:name="_Toc251236102"/>
      <w:r>
        <w:rPr>
          <w:rFonts w:hint="eastAsia" w:ascii="宋体" w:eastAsia="宋体"/>
          <w:color w:val="auto"/>
          <w:sz w:val="28"/>
          <w:szCs w:val="28"/>
        </w:rPr>
        <w:t>16. 投标文件的密封和标记</w:t>
      </w:r>
      <w:bookmarkEnd w:id="33"/>
      <w:r>
        <w:rPr>
          <w:rFonts w:hint="eastAsia" w:ascii="宋体" w:eastAsia="宋体"/>
          <w:color w:val="auto"/>
          <w:sz w:val="28"/>
          <w:szCs w:val="28"/>
          <w:lang w:eastAsia="zh-CN"/>
        </w:rPr>
        <w:t>（</w:t>
      </w:r>
      <w:r>
        <w:rPr>
          <w:rFonts w:hint="eastAsia" w:ascii="宋体" w:eastAsia="宋体"/>
          <w:color w:val="auto"/>
          <w:sz w:val="28"/>
          <w:szCs w:val="28"/>
          <w:lang w:val="en-US" w:eastAsia="zh-CN"/>
        </w:rPr>
        <w:t>不见面开标不做要求</w:t>
      </w:r>
      <w:r>
        <w:rPr>
          <w:rFonts w:hint="eastAsia" w:ascii="宋体" w:eastAsia="宋体"/>
          <w:color w:val="auto"/>
          <w:sz w:val="28"/>
          <w:szCs w:val="28"/>
          <w:lang w:eastAsia="zh-CN"/>
        </w:rPr>
        <w:t>）</w:t>
      </w:r>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8"/>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8"/>
        <w:ind w:firstLine="240" w:firstLineChars="100"/>
        <w:rPr>
          <w:rFonts w:ascii="宋体" w:hAnsi="宋体"/>
          <w:bCs/>
          <w:color w:val="auto"/>
        </w:rPr>
      </w:pPr>
      <w:r>
        <w:rPr>
          <w:rFonts w:hint="eastAsia" w:ascii="宋体" w:hAnsi="宋体"/>
          <w:bCs/>
          <w:color w:val="auto"/>
        </w:rPr>
        <w:t>16.4传真或电传的报价文件将拒绝接收。</w:t>
      </w:r>
    </w:p>
    <w:p>
      <w:pPr>
        <w:pStyle w:val="8"/>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5"/>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r>
        <w:rPr>
          <w:rFonts w:hint="eastAsia" w:ascii="宋体" w:eastAsia="宋体"/>
          <w:color w:val="auto"/>
          <w:sz w:val="28"/>
          <w:szCs w:val="28"/>
          <w:lang w:eastAsia="zh-CN"/>
        </w:rPr>
        <w:t>（</w:t>
      </w:r>
      <w:r>
        <w:rPr>
          <w:rFonts w:hint="eastAsia" w:ascii="宋体" w:eastAsia="宋体"/>
          <w:color w:val="auto"/>
          <w:sz w:val="28"/>
          <w:szCs w:val="28"/>
          <w:lang w:val="en-US" w:eastAsia="zh-CN"/>
        </w:rPr>
        <w:t>不见面开标不做要求</w:t>
      </w:r>
      <w:r>
        <w:rPr>
          <w:rFonts w:hint="eastAsia" w:ascii="宋体" w:eastAsia="宋体"/>
          <w:color w:val="auto"/>
          <w:sz w:val="28"/>
          <w:szCs w:val="28"/>
          <w:lang w:eastAsia="zh-CN"/>
        </w:rPr>
        <w:t>）</w:t>
      </w:r>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w:t>
      </w:r>
      <w:r>
        <w:rPr>
          <w:rFonts w:hint="eastAsia" w:ascii="宋体" w:hAnsi="宋体"/>
          <w:color w:val="auto"/>
          <w:sz w:val="24"/>
          <w:highlight w:val="none"/>
        </w:rPr>
        <w:t>请勿在202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08</w:t>
      </w:r>
      <w:r>
        <w:rPr>
          <w:rFonts w:hint="eastAsia" w:ascii="宋体" w:hAnsi="宋体"/>
          <w:color w:val="auto"/>
          <w:sz w:val="24"/>
          <w:highlight w:val="none"/>
        </w:rPr>
        <w:t>月</w:t>
      </w:r>
      <w:r>
        <w:rPr>
          <w:rFonts w:hint="eastAsia" w:ascii="宋体" w:hAnsi="宋体"/>
          <w:color w:val="auto"/>
          <w:sz w:val="24"/>
          <w:highlight w:val="none"/>
          <w:lang w:val="en-US" w:eastAsia="zh-CN"/>
        </w:rPr>
        <w:t>09</w:t>
      </w:r>
      <w:r>
        <w:rPr>
          <w:rFonts w:hint="eastAsia" w:ascii="宋体" w:hAnsi="宋体"/>
          <w:color w:val="auto"/>
          <w:sz w:val="24"/>
          <w:highlight w:val="none"/>
        </w:rPr>
        <w:t>日</w:t>
      </w:r>
      <w:r>
        <w:rPr>
          <w:rFonts w:hint="eastAsia" w:ascii="宋体" w:hAnsi="宋体"/>
          <w:color w:val="auto"/>
          <w:sz w:val="24"/>
          <w:highlight w:val="none"/>
          <w:lang w:val="en-US" w:eastAsia="zh-CN"/>
        </w:rPr>
        <w:t>11</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0分前启封”字样</w:t>
      </w:r>
      <w:r>
        <w:rPr>
          <w:rFonts w:hint="eastAsia" w:ascii="宋体" w:hAnsi="宋体"/>
          <w:color w:val="auto"/>
          <w:sz w:val="24"/>
        </w:rPr>
        <w:t>。投标文件应有目录以及页码，以便检索。</w:t>
      </w:r>
    </w:p>
    <w:p>
      <w:pPr>
        <w:pStyle w:val="5"/>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5"/>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5"/>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5"/>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4"/>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5"/>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5"/>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5"/>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开标时采购代理机构将当众将投标人名称、货物名称、投标价格、是否提交投标保证金，以及采购代理机构认为合适的内容进行唱标，并给各投标人确认。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5"/>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val="en-US" w:eastAsia="zh-CN"/>
        </w:rPr>
        <w:t>2023年沙雅县创建文明城市氛围提升项目</w:t>
      </w:r>
      <w:r>
        <w:rPr>
          <w:rFonts w:hint="eastAsia" w:ascii="宋体" w:hAnsi="宋体"/>
          <w:color w:val="auto"/>
          <w:sz w:val="24"/>
        </w:rPr>
        <w:t>（以下简称项目）采购公开、公平、公正的基础上，结合项目的技术和商务需求，制定本评标文件。</w:t>
      </w:r>
    </w:p>
    <w:p>
      <w:pPr>
        <w:pStyle w:val="5"/>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25.评标原则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5"/>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5"/>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5"/>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5"/>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4326455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hint="eastAsia" w:ascii="宋体" w:hAnsi="宋体"/>
          <w:color w:val="auto"/>
          <w:sz w:val="24"/>
        </w:rPr>
      </w:pPr>
      <w:r>
        <w:rPr>
          <w:rFonts w:hint="eastAsia" w:ascii="宋体" w:hAnsi="宋体"/>
          <w:color w:val="auto"/>
          <w:sz w:val="24"/>
        </w:rPr>
        <w:t>29.1分值分布：</w:t>
      </w:r>
    </w:p>
    <w:p>
      <w:pPr>
        <w:spacing w:line="400" w:lineRule="exact"/>
        <w:ind w:firstLine="480" w:firstLineChars="200"/>
        <w:rPr>
          <w:rFonts w:hint="eastAsia" w:ascii="宋体" w:hAnsi="宋体" w:eastAsia="宋体" w:cs="Times New Roman"/>
          <w:color w:val="auto"/>
          <w:sz w:val="24"/>
          <w:highlight w:val="yellow"/>
        </w:rPr>
      </w:pPr>
      <w:r>
        <w:rPr>
          <w:rFonts w:hint="eastAsia" w:ascii="宋体" w:hAnsi="宋体"/>
          <w:color w:val="auto"/>
          <w:sz w:val="24"/>
          <w:highlight w:val="none"/>
        </w:rPr>
        <w:t>本次评标采用综合评分法</w:t>
      </w:r>
      <w:r>
        <w:rPr>
          <w:rFonts w:hint="eastAsia" w:ascii="宋体" w:hAnsi="宋体" w:eastAsia="宋体" w:cs="Times New Roman"/>
          <w:color w:val="auto"/>
          <w:sz w:val="24"/>
          <w:highlight w:val="none"/>
        </w:rPr>
        <w:t>，其中</w:t>
      </w:r>
      <w:r>
        <w:rPr>
          <w:rFonts w:hint="eastAsia" w:ascii="宋体" w:hAnsi="宋体" w:eastAsia="宋体" w:cs="Times New Roman"/>
          <w:color w:val="auto"/>
          <w:sz w:val="24"/>
          <w:highlight w:val="none"/>
          <w:lang w:val="en-US" w:eastAsia="zh-CN"/>
        </w:rPr>
        <w:t>技术部分：</w:t>
      </w:r>
      <w:r>
        <w:rPr>
          <w:rFonts w:hint="eastAsia" w:ascii="宋体" w:hAnsi="宋体" w:cs="Times New Roman"/>
          <w:color w:val="auto"/>
          <w:sz w:val="24"/>
          <w:highlight w:val="none"/>
          <w:lang w:val="en-US" w:eastAsia="zh-CN"/>
        </w:rPr>
        <w:t>70</w:t>
      </w:r>
      <w:r>
        <w:rPr>
          <w:rFonts w:hint="eastAsia" w:ascii="宋体" w:hAnsi="宋体" w:eastAsia="宋体" w:cs="Times New Roman"/>
          <w:color w:val="auto"/>
          <w:sz w:val="24"/>
          <w:highlight w:val="none"/>
          <w:lang w:val="en-US" w:eastAsia="zh-CN"/>
        </w:rPr>
        <w:t>分，投标报价：</w:t>
      </w:r>
      <w:r>
        <w:rPr>
          <w:rFonts w:hint="eastAsia" w:ascii="宋体" w:hAnsi="宋体" w:cs="Times New Roman"/>
          <w:color w:val="auto"/>
          <w:sz w:val="24"/>
          <w:highlight w:val="none"/>
          <w:lang w:val="en-US" w:eastAsia="zh-CN"/>
        </w:rPr>
        <w:t>30</w:t>
      </w:r>
      <w:r>
        <w:rPr>
          <w:rFonts w:hint="eastAsia" w:ascii="宋体" w:hAnsi="宋体" w:eastAsia="宋体" w:cs="Times New Roman"/>
          <w:color w:val="auto"/>
          <w:sz w:val="24"/>
          <w:highlight w:val="none"/>
          <w:lang w:val="en-US" w:eastAsia="zh-CN"/>
        </w:rPr>
        <w:t>分</w:t>
      </w:r>
      <w:r>
        <w:rPr>
          <w:rFonts w:hint="eastAsia" w:ascii="宋体" w:hAnsi="宋体" w:eastAsia="宋体" w:cs="Times New Roman"/>
          <w:color w:val="auto"/>
          <w:sz w:val="24"/>
          <w:highlight w:val="none"/>
        </w:rPr>
        <w:t>。</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 xml:space="preserve">29.2.2 评标委员会详细分析、核准价格表，检查其是否存在计算上或累加上的算术错误，修正错误的原则如下：  </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④买方需要的服务和附带备品、配件所需的费用，如果投标人是另外单独报价的话，评分时计入投标报价总价；</w:t>
      </w:r>
    </w:p>
    <w:p>
      <w:pPr>
        <w:spacing w:line="360" w:lineRule="auto"/>
        <w:ind w:firstLine="480" w:firstLineChars="200"/>
        <w:rPr>
          <w:rFonts w:ascii="宋体" w:hAnsi="宋体"/>
          <w:color w:val="auto"/>
          <w:sz w:val="24"/>
        </w:rPr>
      </w:pPr>
      <w:r>
        <w:rPr>
          <w:rFonts w:hint="eastAsia" w:ascii="宋体" w:hAnsi="宋体"/>
          <w:color w:val="auto"/>
          <w:sz w:val="24"/>
        </w:rPr>
        <w:t>⑤供货范围（包括设备和服务）缺漏项的调整，调整价格为该项目在其他有效投标中的最高报价。</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spacing w:line="360" w:lineRule="auto"/>
        <w:ind w:firstLine="480" w:firstLineChars="200"/>
        <w:rPr>
          <w:rFonts w:ascii="宋体" w:hAnsi="宋体"/>
          <w:color w:val="auto"/>
          <w:sz w:val="24"/>
        </w:rPr>
      </w:pPr>
      <w:r>
        <w:rPr>
          <w:rFonts w:hint="eastAsia" w:ascii="宋体" w:hAnsi="宋体"/>
          <w:color w:val="auto"/>
          <w:sz w:val="24"/>
        </w:rPr>
        <w:t>29.3 评标流程</w:t>
      </w:r>
    </w:p>
    <w:p>
      <w:pPr>
        <w:spacing w:line="360" w:lineRule="auto"/>
        <w:ind w:firstLine="480" w:firstLineChars="200"/>
        <w:rPr>
          <w:rFonts w:ascii="宋体" w:hAnsi="宋体"/>
          <w:color w:val="auto"/>
          <w:sz w:val="24"/>
        </w:rPr>
      </w:pPr>
      <w:r>
        <w:rPr>
          <w:rFonts w:hint="eastAsia" w:ascii="宋体" w:hAnsi="宋体"/>
          <w:color w:val="auto"/>
          <w:sz w:val="24"/>
        </w:rPr>
        <w:t>评标分两个阶段进行：投标文件</w:t>
      </w:r>
      <w:r>
        <w:rPr>
          <w:rFonts w:hint="eastAsia" w:ascii="宋体" w:hAnsi="宋体"/>
          <w:color w:val="auto"/>
          <w:sz w:val="24"/>
          <w:lang w:val="en-US" w:eastAsia="zh-CN"/>
        </w:rPr>
        <w:t>初步评审</w:t>
      </w:r>
      <w:r>
        <w:rPr>
          <w:rFonts w:hint="eastAsia" w:ascii="宋体" w:hAnsi="宋体"/>
          <w:color w:val="auto"/>
          <w:sz w:val="24"/>
        </w:rPr>
        <w:t>和投标文件详细评审。</w:t>
      </w:r>
    </w:p>
    <w:p>
      <w:pPr>
        <w:spacing w:line="360" w:lineRule="auto"/>
        <w:ind w:firstLine="480" w:firstLineChars="200"/>
        <w:rPr>
          <w:rFonts w:ascii="宋体" w:hAnsi="宋体"/>
          <w:color w:val="auto"/>
          <w:sz w:val="24"/>
        </w:rPr>
      </w:pPr>
      <w:r>
        <w:rPr>
          <w:rFonts w:hint="eastAsia" w:ascii="宋体" w:hAnsi="宋体"/>
          <w:color w:val="auto"/>
          <w:sz w:val="24"/>
        </w:rPr>
        <w:t>第一阶段：投标文件</w:t>
      </w:r>
      <w:r>
        <w:rPr>
          <w:rFonts w:hint="eastAsia" w:ascii="宋体" w:hAnsi="宋体"/>
          <w:color w:val="auto"/>
          <w:sz w:val="24"/>
          <w:lang w:val="en-US" w:eastAsia="zh-CN"/>
        </w:rPr>
        <w:t>初步评审</w:t>
      </w:r>
    </w:p>
    <w:p>
      <w:pPr>
        <w:spacing w:line="360" w:lineRule="auto"/>
        <w:ind w:firstLine="480" w:firstLineChars="200"/>
        <w:rPr>
          <w:rFonts w:ascii="宋体" w:hAnsi="宋体"/>
          <w:color w:val="auto"/>
          <w:sz w:val="24"/>
        </w:rPr>
      </w:pPr>
      <w:r>
        <w:rPr>
          <w:rFonts w:hint="eastAsia" w:ascii="宋体" w:hAnsi="宋体"/>
          <w:color w:val="auto"/>
          <w:sz w:val="24"/>
        </w:rPr>
        <w:t>各评委对各投标文件按照招标文件要求的响应情况进行</w:t>
      </w:r>
      <w:r>
        <w:rPr>
          <w:rFonts w:hint="eastAsia" w:ascii="宋体" w:hAnsi="宋体"/>
          <w:color w:val="auto"/>
          <w:sz w:val="24"/>
          <w:lang w:val="en-US" w:eastAsia="zh-CN"/>
        </w:rPr>
        <w:t>初步评审</w:t>
      </w:r>
      <w:r>
        <w:rPr>
          <w:rFonts w:hint="eastAsia" w:ascii="宋体" w:hAnsi="宋体"/>
          <w:color w:val="auto"/>
          <w:sz w:val="24"/>
        </w:rPr>
        <w:t>。</w:t>
      </w:r>
      <w:r>
        <w:rPr>
          <w:rFonts w:hint="eastAsia" w:ascii="宋体" w:hAnsi="宋体"/>
          <w:color w:val="auto"/>
          <w:sz w:val="24"/>
          <w:lang w:val="en-US" w:eastAsia="zh-CN"/>
        </w:rPr>
        <w:t>初步评审</w:t>
      </w:r>
      <w:r>
        <w:rPr>
          <w:rFonts w:hint="eastAsia" w:ascii="宋体" w:hAnsi="宋体"/>
          <w:color w:val="auto"/>
          <w:sz w:val="24"/>
        </w:rPr>
        <w:t>必须根据“投标须知”中对投标人的要求和投标文件中的响应进行审查。</w:t>
      </w:r>
    </w:p>
    <w:p>
      <w:pPr>
        <w:spacing w:line="360" w:lineRule="auto"/>
        <w:ind w:firstLine="480" w:firstLineChars="200"/>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spacing w:line="360" w:lineRule="auto"/>
        <w:ind w:firstLine="480" w:firstLineChars="200"/>
        <w:rPr>
          <w:rFonts w:ascii="宋体" w:hAnsi="宋体"/>
          <w:color w:val="auto"/>
          <w:sz w:val="24"/>
        </w:rPr>
      </w:pPr>
      <w:r>
        <w:rPr>
          <w:rFonts w:hint="eastAsia" w:ascii="宋体" w:hAnsi="宋体"/>
          <w:color w:val="auto"/>
          <w:sz w:val="24"/>
        </w:rPr>
        <w:t>在评审中发现设备技术参数、性能未能达到技术规格书中的规定或有虚假情况时，评标委员会有权取消其评审资格。详见附表一</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pStyle w:val="8"/>
        <w:rPr>
          <w:rFonts w:ascii="宋体" w:hAnsi="宋体"/>
          <w:color w:val="auto"/>
        </w:rPr>
      </w:pPr>
    </w:p>
    <w:p>
      <w:pPr>
        <w:rPr>
          <w:rFonts w:ascii="宋体" w:hAnsi="宋体"/>
          <w:color w:val="auto"/>
          <w:sz w:val="24"/>
        </w:rPr>
      </w:pPr>
    </w:p>
    <w:p>
      <w:pPr>
        <w:pStyle w:val="8"/>
        <w:rPr>
          <w:rFonts w:ascii="宋体" w:hAnsi="宋体"/>
          <w:color w:val="auto"/>
        </w:rPr>
      </w:pPr>
    </w:p>
    <w:p>
      <w:pPr>
        <w:rPr>
          <w:rFonts w:ascii="宋体" w:hAnsi="宋体"/>
          <w:color w:val="auto"/>
          <w:sz w:val="24"/>
        </w:rPr>
      </w:pPr>
    </w:p>
    <w:p>
      <w:pPr>
        <w:pStyle w:val="8"/>
        <w:rPr>
          <w:rFonts w:ascii="宋体" w:hAnsi="宋体"/>
          <w:color w:val="auto"/>
        </w:rPr>
      </w:pPr>
    </w:p>
    <w:p>
      <w:pPr>
        <w:rPr>
          <w:color w:val="auto"/>
        </w:rPr>
      </w:pPr>
    </w:p>
    <w:p>
      <w:pPr>
        <w:pStyle w:val="18"/>
        <w:rPr>
          <w:color w:val="auto"/>
        </w:rPr>
      </w:pPr>
    </w:p>
    <w:p>
      <w:pPr>
        <w:pStyle w:val="18"/>
        <w:rPr>
          <w:color w:val="auto"/>
        </w:rPr>
      </w:pPr>
    </w:p>
    <w:p>
      <w:pPr>
        <w:pStyle w:val="8"/>
        <w:rPr>
          <w:color w:val="auto"/>
        </w:rPr>
      </w:pPr>
    </w:p>
    <w:p>
      <w:pPr>
        <w:jc w:val="center"/>
        <w:outlineLvl w:val="1"/>
        <w:rPr>
          <w:rFonts w:ascii="宋体" w:hAnsi="宋体" w:cs="宋体"/>
          <w:b/>
          <w:color w:val="auto"/>
          <w:sz w:val="28"/>
          <w:szCs w:val="28"/>
        </w:rPr>
      </w:pPr>
      <w:bookmarkStart w:id="51" w:name="_Toc27399"/>
      <w:r>
        <w:rPr>
          <w:rFonts w:hint="eastAsia" w:ascii="宋体" w:hAnsi="宋体" w:cs="宋体"/>
          <w:b/>
          <w:color w:val="auto"/>
          <w:sz w:val="28"/>
          <w:szCs w:val="28"/>
        </w:rPr>
        <w:t>招标评标标准——</w:t>
      </w:r>
      <w:r>
        <w:rPr>
          <w:rFonts w:hint="eastAsia" w:ascii="宋体" w:hAnsi="宋体" w:eastAsia="宋体" w:cs="宋体"/>
          <w:b/>
          <w:color w:val="auto"/>
          <w:sz w:val="28"/>
          <w:szCs w:val="28"/>
          <w:lang w:val="en-US" w:eastAsia="zh-CN"/>
        </w:rPr>
        <w:t>初步评审</w:t>
      </w:r>
      <w:r>
        <w:rPr>
          <w:rFonts w:hint="eastAsia" w:ascii="宋体" w:hAnsi="宋体" w:eastAsia="宋体" w:cs="宋体"/>
          <w:b/>
          <w:color w:val="auto"/>
          <w:sz w:val="28"/>
          <w:szCs w:val="28"/>
        </w:rPr>
        <w:t>标</w:t>
      </w:r>
      <w:r>
        <w:rPr>
          <w:rFonts w:hint="eastAsia" w:ascii="宋体" w:hAnsi="宋体" w:cs="宋体"/>
          <w:b/>
          <w:color w:val="auto"/>
          <w:sz w:val="28"/>
          <w:szCs w:val="28"/>
        </w:rPr>
        <w:t>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08"/>
        <w:tblW w:w="10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6"/>
        <w:gridCol w:w="572"/>
        <w:gridCol w:w="9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16" w:type="dxa"/>
            <w:vMerge w:val="restart"/>
            <w:tcBorders>
              <w:bottom w:val="nil"/>
            </w:tcBorders>
            <w:textDirection w:val="tbRlV"/>
            <w:vAlign w:val="top"/>
          </w:tcPr>
          <w:p>
            <w:pPr>
              <w:pStyle w:val="109"/>
              <w:spacing w:before="261" w:line="209" w:lineRule="auto"/>
              <w:ind w:left="2911"/>
            </w:pPr>
            <w:r>
              <w:rPr>
                <w:spacing w:val="-1"/>
              </w:rPr>
              <w:t>初  步  评  审</w:t>
            </w:r>
          </w:p>
        </w:tc>
        <w:tc>
          <w:tcPr>
            <w:tcW w:w="9727" w:type="dxa"/>
            <w:gridSpan w:val="2"/>
            <w:vAlign w:val="top"/>
          </w:tcPr>
          <w:p>
            <w:pPr>
              <w:pStyle w:val="109"/>
              <w:spacing w:before="171" w:line="219" w:lineRule="auto"/>
              <w:ind w:left="113"/>
            </w:pPr>
            <w:r>
              <w:rPr>
                <w:spacing w:val="-1"/>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1" w:line="184" w:lineRule="auto"/>
              <w:ind w:left="131"/>
            </w:pPr>
            <w:r>
              <w:t>1</w:t>
            </w:r>
          </w:p>
        </w:tc>
        <w:tc>
          <w:tcPr>
            <w:tcW w:w="9155" w:type="dxa"/>
            <w:vAlign w:val="top"/>
          </w:tcPr>
          <w:p>
            <w:pPr>
              <w:pStyle w:val="109"/>
              <w:spacing w:before="164" w:line="218" w:lineRule="auto"/>
              <w:ind w:left="116"/>
            </w:pPr>
            <w:r>
              <w:t>投标报价是否能超过最高限价；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2" w:line="183" w:lineRule="auto"/>
              <w:ind w:left="117"/>
            </w:pPr>
            <w:r>
              <w:t>2</w:t>
            </w:r>
          </w:p>
        </w:tc>
        <w:tc>
          <w:tcPr>
            <w:tcW w:w="9155" w:type="dxa"/>
            <w:vAlign w:val="top"/>
          </w:tcPr>
          <w:p>
            <w:pPr>
              <w:pStyle w:val="109"/>
              <w:spacing w:before="164" w:line="218" w:lineRule="auto"/>
              <w:ind w:left="125"/>
            </w:pPr>
            <w:r>
              <w:t>响应文件针对每一种货物是否出现两个或两个以上的报价；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3" w:line="183" w:lineRule="auto"/>
              <w:ind w:left="118"/>
            </w:pPr>
            <w:r>
              <w:t>3</w:t>
            </w:r>
          </w:p>
        </w:tc>
        <w:tc>
          <w:tcPr>
            <w:tcW w:w="9155" w:type="dxa"/>
            <w:vAlign w:val="top"/>
          </w:tcPr>
          <w:p>
            <w:pPr>
              <w:pStyle w:val="109"/>
              <w:spacing w:before="164" w:line="219" w:lineRule="auto"/>
              <w:ind w:left="116"/>
            </w:pPr>
            <w:r>
              <w:rPr>
                <w:spacing w:val="1"/>
              </w:rPr>
              <w:t>投标人是否满足本</w:t>
            </w:r>
            <w:r>
              <w:rPr>
                <w:rFonts w:hint="eastAsia"/>
                <w:spacing w:val="1"/>
                <w:lang w:val="en-US" w:eastAsia="zh-CN"/>
              </w:rPr>
              <w:t>招标</w:t>
            </w:r>
            <w:r>
              <w:rPr>
                <w:spacing w:val="1"/>
              </w:rPr>
              <w:t>文件关于对合格投标人资格</w:t>
            </w:r>
            <w:r>
              <w:t>要求的规定；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3" w:line="183" w:lineRule="auto"/>
              <w:ind w:left="113"/>
            </w:pPr>
            <w:r>
              <w:t>4</w:t>
            </w:r>
          </w:p>
        </w:tc>
        <w:tc>
          <w:tcPr>
            <w:tcW w:w="9155" w:type="dxa"/>
            <w:vAlign w:val="top"/>
          </w:tcPr>
          <w:p>
            <w:pPr>
              <w:pStyle w:val="109"/>
              <w:spacing w:before="166" w:line="219" w:lineRule="auto"/>
              <w:ind w:left="125"/>
            </w:pPr>
            <w:r>
              <w:rPr>
                <w:spacing w:val="1"/>
              </w:rPr>
              <w:t>响应文件组成是否完整，主要内容是否按</w:t>
            </w:r>
            <w:r>
              <w:rPr>
                <w:rFonts w:hint="eastAsia"/>
                <w:spacing w:val="1"/>
                <w:lang w:val="en-US" w:eastAsia="zh-CN"/>
              </w:rPr>
              <w:t>招标</w:t>
            </w:r>
            <w:r>
              <w:t>文件规定的内容、格式填写；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5" w:line="182" w:lineRule="auto"/>
              <w:ind w:left="118"/>
            </w:pPr>
            <w:r>
              <w:t>5</w:t>
            </w:r>
          </w:p>
        </w:tc>
        <w:tc>
          <w:tcPr>
            <w:tcW w:w="9155" w:type="dxa"/>
            <w:vAlign w:val="top"/>
          </w:tcPr>
          <w:p>
            <w:pPr>
              <w:pStyle w:val="109"/>
              <w:spacing w:before="166" w:line="219" w:lineRule="auto"/>
              <w:ind w:left="125"/>
            </w:pPr>
            <w:r>
              <w:t>响应文件的有效期是否满足</w:t>
            </w:r>
            <w:r>
              <w:rPr>
                <w:rFonts w:hint="eastAsia"/>
                <w:lang w:val="en-US" w:eastAsia="zh-CN"/>
              </w:rPr>
              <w:t>招标</w:t>
            </w:r>
            <w:r>
              <w:t>文件的规定；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5" w:line="183" w:lineRule="auto"/>
              <w:ind w:left="116"/>
            </w:pPr>
            <w:r>
              <w:t>6</w:t>
            </w:r>
          </w:p>
        </w:tc>
        <w:tc>
          <w:tcPr>
            <w:tcW w:w="9155" w:type="dxa"/>
            <w:vAlign w:val="top"/>
          </w:tcPr>
          <w:p>
            <w:pPr>
              <w:pStyle w:val="109"/>
              <w:spacing w:before="167" w:line="219" w:lineRule="auto"/>
              <w:ind w:left="125"/>
            </w:pPr>
            <w:r>
              <w:rPr>
                <w:spacing w:val="-1"/>
              </w:rPr>
              <w:t>响应文件是否按照规定签章的；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5" w:line="182" w:lineRule="auto"/>
              <w:ind w:left="119"/>
            </w:pPr>
            <w:r>
              <w:t>7</w:t>
            </w:r>
          </w:p>
        </w:tc>
        <w:tc>
          <w:tcPr>
            <w:tcW w:w="9155" w:type="dxa"/>
            <w:vAlign w:val="top"/>
          </w:tcPr>
          <w:p>
            <w:pPr>
              <w:pStyle w:val="109"/>
              <w:spacing w:before="166" w:line="219" w:lineRule="auto"/>
              <w:ind w:left="116"/>
            </w:pPr>
            <w:r>
              <w:t>投标代表授权书是否由法定代表人签署；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9" w:line="183" w:lineRule="auto"/>
              <w:ind w:left="115"/>
            </w:pPr>
            <w:r>
              <w:t>8</w:t>
            </w:r>
          </w:p>
        </w:tc>
        <w:tc>
          <w:tcPr>
            <w:tcW w:w="9155" w:type="dxa"/>
            <w:vAlign w:val="top"/>
          </w:tcPr>
          <w:p>
            <w:pPr>
              <w:pStyle w:val="109"/>
              <w:spacing w:before="171" w:line="219" w:lineRule="auto"/>
              <w:ind w:left="125"/>
            </w:pPr>
            <w:r>
              <w:t>响应文件载明的招标项目供货期是否超过</w:t>
            </w:r>
            <w:r>
              <w:rPr>
                <w:rFonts w:hint="eastAsia"/>
                <w:lang w:val="en-US" w:eastAsia="zh-CN"/>
              </w:rPr>
              <w:t>招标</w:t>
            </w:r>
            <w:r>
              <w:t>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spacing w:line="403" w:lineRule="auto"/>
              <w:rPr>
                <w:rFonts w:ascii="Arial"/>
                <w:sz w:val="21"/>
              </w:rPr>
            </w:pPr>
          </w:p>
          <w:p>
            <w:pPr>
              <w:pStyle w:val="109"/>
              <w:spacing w:before="78" w:line="183" w:lineRule="auto"/>
              <w:ind w:left="115"/>
            </w:pPr>
            <w:r>
              <w:t>9</w:t>
            </w:r>
          </w:p>
        </w:tc>
        <w:tc>
          <w:tcPr>
            <w:tcW w:w="9155" w:type="dxa"/>
            <w:vAlign w:val="top"/>
          </w:tcPr>
          <w:p>
            <w:pPr>
              <w:pStyle w:val="109"/>
              <w:spacing w:before="206" w:line="480" w:lineRule="exact"/>
              <w:ind w:left="117"/>
            </w:pPr>
            <w:r>
              <w:rPr>
                <w:spacing w:val="1"/>
                <w:position w:val="18"/>
              </w:rPr>
              <w:t>是否符合招标文件关于对招标货物的要求；是否按招标文件规定的格式填写，内容齐</w:t>
            </w:r>
          </w:p>
          <w:p>
            <w:pPr>
              <w:pStyle w:val="109"/>
              <w:spacing w:line="218" w:lineRule="auto"/>
              <w:ind w:left="113"/>
            </w:pPr>
            <w:r>
              <w:rPr>
                <w:spacing w:val="2"/>
              </w:rPr>
              <w:t>全或关键字迹清晰、可辨认的</w:t>
            </w:r>
            <w:r>
              <w:rPr>
                <w:spacing w:val="-7"/>
              </w:rPr>
              <w:t>；（</w:t>
            </w:r>
            <w:r>
              <w:rPr>
                <w:spacing w:val="2"/>
              </w:rPr>
              <w:t>包括采购清单数量的改动</w:t>
            </w:r>
            <w:r>
              <w:rPr>
                <w:spacing w:val="-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bottom w:val="nil"/>
            </w:tcBorders>
            <w:textDirection w:val="tbRlV"/>
            <w:vAlign w:val="top"/>
          </w:tcPr>
          <w:p>
            <w:pPr>
              <w:rPr>
                <w:rFonts w:ascii="Arial"/>
                <w:sz w:val="21"/>
              </w:rPr>
            </w:pPr>
          </w:p>
        </w:tc>
        <w:tc>
          <w:tcPr>
            <w:tcW w:w="572" w:type="dxa"/>
            <w:vAlign w:val="top"/>
          </w:tcPr>
          <w:p>
            <w:pPr>
              <w:pStyle w:val="109"/>
              <w:spacing w:before="205" w:line="184" w:lineRule="auto"/>
              <w:ind w:left="131"/>
            </w:pPr>
            <w:r>
              <w:rPr>
                <w:spacing w:val="-14"/>
              </w:rPr>
              <w:t>10</w:t>
            </w:r>
          </w:p>
        </w:tc>
        <w:tc>
          <w:tcPr>
            <w:tcW w:w="9155" w:type="dxa"/>
            <w:vAlign w:val="top"/>
          </w:tcPr>
          <w:p>
            <w:pPr>
              <w:pStyle w:val="109"/>
              <w:spacing w:before="168" w:line="219" w:lineRule="auto"/>
              <w:ind w:left="125"/>
            </w:pPr>
            <w:r>
              <w:t>响应文件是否附有采购人不能接受的其他条件；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16" w:type="dxa"/>
            <w:vMerge w:val="continue"/>
            <w:tcBorders>
              <w:top w:val="nil"/>
            </w:tcBorders>
            <w:textDirection w:val="tbRlV"/>
            <w:vAlign w:val="top"/>
          </w:tcPr>
          <w:p>
            <w:pPr>
              <w:rPr>
                <w:rFonts w:ascii="Arial"/>
                <w:sz w:val="21"/>
              </w:rPr>
            </w:pPr>
          </w:p>
        </w:tc>
        <w:tc>
          <w:tcPr>
            <w:tcW w:w="572" w:type="dxa"/>
            <w:vAlign w:val="top"/>
          </w:tcPr>
          <w:p>
            <w:pPr>
              <w:pStyle w:val="109"/>
              <w:spacing w:before="206" w:line="184" w:lineRule="auto"/>
              <w:ind w:left="131"/>
            </w:pPr>
            <w:r>
              <w:rPr>
                <w:spacing w:val="-14"/>
              </w:rPr>
              <w:t>11</w:t>
            </w:r>
          </w:p>
        </w:tc>
        <w:tc>
          <w:tcPr>
            <w:tcW w:w="9155" w:type="dxa"/>
            <w:vAlign w:val="top"/>
          </w:tcPr>
          <w:p>
            <w:pPr>
              <w:pStyle w:val="109"/>
              <w:spacing w:before="170" w:line="219" w:lineRule="auto"/>
              <w:ind w:left="117"/>
            </w:pPr>
            <w:r>
              <w:t>是否符合</w:t>
            </w:r>
            <w:r>
              <w:rPr>
                <w:rFonts w:hint="eastAsia"/>
                <w:lang w:val="en-US" w:eastAsia="zh-CN"/>
              </w:rPr>
              <w:t>招标</w:t>
            </w:r>
            <w:r>
              <w:t>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0343" w:type="dxa"/>
            <w:gridSpan w:val="3"/>
            <w:vAlign w:val="top"/>
          </w:tcPr>
          <w:p>
            <w:pPr>
              <w:pStyle w:val="109"/>
              <w:spacing w:before="175" w:line="219" w:lineRule="auto"/>
              <w:ind w:left="3117"/>
            </w:pPr>
            <w:r>
              <w:rPr>
                <w:spacing w:val="1"/>
                <w14:textOutline w14:w="4358" w14:cap="sq" w14:cmpd="sng">
                  <w14:solidFill>
                    <w14:srgbClr w14:val="000000"/>
                  </w14:solidFill>
                  <w14:prstDash w14:val="solid"/>
                  <w14:bevel/>
                </w14:textOutline>
              </w:rPr>
              <w:t>初步评审合格后方可进入详细评审阶段</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w:t>
      </w:r>
      <w:r>
        <w:rPr>
          <w:rFonts w:hint="eastAsia"/>
          <w:b w:val="0"/>
          <w:bCs w:val="0"/>
          <w:color w:val="auto"/>
          <w:lang w:val="en-US" w:eastAsia="zh-CN"/>
        </w:rPr>
        <w:t>初步评审</w:t>
      </w:r>
      <w:r>
        <w:rPr>
          <w:rFonts w:hint="eastAsia"/>
          <w:b w:val="0"/>
          <w:bCs w:val="0"/>
          <w:color w:val="auto"/>
        </w:rPr>
        <w:t>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具体评分如下：按照评标程序的规定，并依据评分标准、各项权重和符合性审查结果，各位评委单独地就每个投标人的技术状况进行评审和比较，评出其技术评分。将技术评分、</w:t>
      </w:r>
      <w:r>
        <w:rPr>
          <w:rFonts w:hint="eastAsia" w:ascii="宋体" w:hAnsi="宋体"/>
          <w:color w:val="auto"/>
          <w:sz w:val="24"/>
          <w:lang w:val="en-US" w:eastAsia="zh-CN"/>
        </w:rPr>
        <w:t>报价</w:t>
      </w:r>
      <w:r>
        <w:rPr>
          <w:rFonts w:hint="eastAsia" w:ascii="宋体" w:hAnsi="宋体"/>
          <w:color w:val="auto"/>
          <w:sz w:val="24"/>
        </w:rPr>
        <w:t>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8"/>
        <w:rPr>
          <w:color w:val="auto"/>
        </w:rPr>
      </w:pPr>
    </w:p>
    <w:p>
      <w:pPr>
        <w:pStyle w:val="5"/>
        <w:keepLines/>
        <w:spacing w:before="124" w:beforeLines="40" w:after="124" w:afterLines="40" w:line="400" w:lineRule="exact"/>
        <w:rPr>
          <w:rFonts w:hint="eastAsia" w:ascii="宋体" w:eastAsia="宋体"/>
          <w:color w:val="auto"/>
          <w:sz w:val="28"/>
          <w:szCs w:val="28"/>
        </w:rPr>
      </w:pPr>
      <w:bookmarkStart w:id="52" w:name="_Toc251236119"/>
    </w:p>
    <w:p>
      <w:pPr>
        <w:pStyle w:val="5"/>
        <w:keepLines/>
        <w:spacing w:before="124" w:beforeLines="40" w:after="124" w:afterLines="40" w:line="400" w:lineRule="exact"/>
        <w:rPr>
          <w:rFonts w:hint="eastAsia" w:ascii="宋体" w:eastAsia="宋体"/>
          <w:color w:val="auto"/>
          <w:sz w:val="28"/>
          <w:szCs w:val="28"/>
        </w:rPr>
      </w:pPr>
    </w:p>
    <w:p>
      <w:pPr>
        <w:pStyle w:val="5"/>
        <w:keepLines/>
        <w:spacing w:before="124" w:beforeLines="40" w:after="124" w:afterLines="40" w:line="400" w:lineRule="exact"/>
        <w:rPr>
          <w:rFonts w:hint="eastAsia" w:ascii="宋体" w:eastAsia="宋体"/>
          <w:color w:val="auto"/>
          <w:sz w:val="28"/>
          <w:szCs w:val="28"/>
        </w:rPr>
      </w:pPr>
    </w:p>
    <w:p>
      <w:pPr>
        <w:pStyle w:val="5"/>
        <w:keepLines/>
        <w:spacing w:before="124" w:beforeLines="40" w:after="124" w:afterLines="40" w:line="400" w:lineRule="exact"/>
        <w:rPr>
          <w:rFonts w:hint="eastAsia" w:ascii="宋体" w:eastAsia="宋体"/>
          <w:color w:val="auto"/>
          <w:sz w:val="28"/>
          <w:szCs w:val="28"/>
        </w:rPr>
      </w:pPr>
      <w:r>
        <w:rPr>
          <w:rFonts w:hint="eastAsia" w:ascii="宋体" w:eastAsia="宋体"/>
          <w:color w:val="auto"/>
          <w:sz w:val="28"/>
          <w:szCs w:val="28"/>
        </w:rPr>
        <w:t>30.评</w:t>
      </w:r>
      <w:bookmarkEnd w:id="52"/>
      <w:r>
        <w:rPr>
          <w:rFonts w:hint="eastAsia" w:ascii="宋体" w:eastAsia="宋体"/>
          <w:color w:val="auto"/>
          <w:sz w:val="28"/>
          <w:szCs w:val="28"/>
        </w:rPr>
        <w:t>标办法</w:t>
      </w:r>
    </w:p>
    <w:p>
      <w:pPr>
        <w:spacing w:before="101" w:line="223" w:lineRule="auto"/>
        <w:ind w:left="3714"/>
        <w:rPr>
          <w:rFonts w:ascii="宋体" w:hAnsi="宋体" w:eastAsia="宋体" w:cs="宋体"/>
          <w:sz w:val="31"/>
          <w:szCs w:val="31"/>
        </w:rPr>
      </w:pPr>
      <w:bookmarkStart w:id="53" w:name="_Toc251236120"/>
      <w:r>
        <w:rPr>
          <w:rFonts w:ascii="宋体" w:hAnsi="宋体" w:eastAsia="宋体" w:cs="宋体"/>
          <w:spacing w:val="10"/>
          <w:sz w:val="31"/>
          <w:szCs w:val="31"/>
          <w14:textOutline w14:w="5793" w14:cap="sq" w14:cmpd="sng">
            <w14:solidFill>
              <w14:srgbClr w14:val="000000"/>
            </w14:solidFill>
            <w14:prstDash w14:val="solid"/>
            <w14:bevel/>
          </w14:textOutline>
        </w:rPr>
        <w:t>经济报价评分标准</w:t>
      </w:r>
    </w:p>
    <w:p>
      <w:pPr>
        <w:spacing w:line="102" w:lineRule="exact"/>
      </w:pPr>
    </w:p>
    <w:tbl>
      <w:tblPr>
        <w:tblStyle w:val="108"/>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45"/>
        <w:gridCol w:w="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4" w:hRule="atLeast"/>
        </w:trPr>
        <w:tc>
          <w:tcPr>
            <w:tcW w:w="605" w:type="dxa"/>
            <w:textDirection w:val="tbRlV"/>
            <w:vAlign w:val="top"/>
          </w:tcPr>
          <w:p>
            <w:pPr>
              <w:pStyle w:val="109"/>
              <w:spacing w:before="178" w:line="208" w:lineRule="auto"/>
              <w:ind w:left="5293"/>
            </w:pPr>
            <w:r>
              <w:t>经  济  报  价</w:t>
            </w:r>
          </w:p>
        </w:tc>
        <w:tc>
          <w:tcPr>
            <w:tcW w:w="9554" w:type="dxa"/>
            <w:gridSpan w:val="2"/>
            <w:vAlign w:val="top"/>
          </w:tcPr>
          <w:p>
            <w:pPr>
              <w:pStyle w:val="109"/>
              <w:spacing w:before="41" w:line="218" w:lineRule="auto"/>
              <w:ind w:left="115"/>
            </w:pPr>
            <w:r>
              <w:rPr>
                <w:spacing w:val="-5"/>
                <w14:textOutline w14:w="4358" w14:cap="sq" w14:cmpd="sng">
                  <w14:solidFill>
                    <w14:srgbClr w14:val="000000"/>
                  </w14:solidFill>
                  <w14:prstDash w14:val="solid"/>
                  <w14:bevel/>
                </w14:textOutline>
              </w:rPr>
              <w:t>经济报价得分计算：</w:t>
            </w:r>
          </w:p>
          <w:p>
            <w:pPr>
              <w:pStyle w:val="109"/>
              <w:spacing w:before="181" w:line="359" w:lineRule="auto"/>
              <w:ind w:left="114" w:right="111" w:firstLine="483"/>
              <w:jc w:val="both"/>
            </w:pPr>
            <w:r>
              <w:rPr>
                <w:spacing w:val="-4"/>
              </w:rPr>
              <w:t>（1）对于经济报价的评分，按以下方法进行：价格分采用低价</w:t>
            </w:r>
            <w:r>
              <w:rPr>
                <w:spacing w:val="-5"/>
              </w:rPr>
              <w:t>优先法计算，即满足招</w:t>
            </w:r>
            <w:r>
              <w:t xml:space="preserve"> </w:t>
            </w:r>
            <w:r>
              <w:rPr>
                <w:spacing w:val="-7"/>
              </w:rPr>
              <w:t>标文件要求且投标价格最低的投标报价为评标基准价，其价格分为满分。其他投标人的价格</w:t>
            </w:r>
            <w:r>
              <w:t xml:space="preserve"> </w:t>
            </w:r>
            <w:r>
              <w:rPr>
                <w:spacing w:val="-7"/>
              </w:rPr>
              <w:t>分统一按照下列公式计算，</w:t>
            </w:r>
            <w:r>
              <w:rPr>
                <w:spacing w:val="-7"/>
                <w14:textOutline w14:w="4358" w14:cap="sq" w14:cmpd="sng">
                  <w14:solidFill>
                    <w14:srgbClr w14:val="000000"/>
                  </w14:solidFill>
                  <w14:prstDash w14:val="solid"/>
                  <w14:bevel/>
                </w14:textOutline>
              </w:rPr>
              <w:t>因落实政府采购政策进行价格调整的，以调整后的价格计算评标</w:t>
            </w:r>
          </w:p>
          <w:p>
            <w:pPr>
              <w:pStyle w:val="109"/>
              <w:spacing w:before="1" w:line="217" w:lineRule="auto"/>
              <w:ind w:left="113"/>
            </w:pPr>
            <w:r>
              <w:rPr>
                <w:spacing w:val="-4"/>
                <w14:textOutline w14:w="4358" w14:cap="sq" w14:cmpd="sng">
                  <w14:solidFill>
                    <w14:srgbClr w14:val="000000"/>
                  </w14:solidFill>
                  <w14:prstDash w14:val="solid"/>
                  <w14:bevel/>
                </w14:textOutline>
              </w:rPr>
              <w:t>基准价和投标报价。</w:t>
            </w:r>
          </w:p>
          <w:p>
            <w:pPr>
              <w:pStyle w:val="109"/>
              <w:spacing w:before="184" w:line="218" w:lineRule="auto"/>
              <w:ind w:left="588"/>
            </w:pPr>
            <w:r>
              <w:rPr>
                <w:spacing w:val="-6"/>
              </w:rPr>
              <w:t>投标报价得分=</w:t>
            </w:r>
            <w:r>
              <w:rPr>
                <w:spacing w:val="-70"/>
              </w:rPr>
              <w:t xml:space="preserve"> </w:t>
            </w:r>
            <w:r>
              <w:rPr>
                <w:spacing w:val="-6"/>
              </w:rPr>
              <w:t>(评标基准价/投标报价)×30%×100</w:t>
            </w:r>
          </w:p>
          <w:p>
            <w:pPr>
              <w:pStyle w:val="109"/>
              <w:spacing w:before="183" w:line="359" w:lineRule="auto"/>
              <w:ind w:left="117" w:right="54" w:firstLine="480"/>
            </w:pPr>
            <w:r>
              <w:rPr>
                <w:spacing w:val="-4"/>
              </w:rPr>
              <w:t>（2）</w:t>
            </w:r>
            <w:r>
              <w:rPr>
                <w:spacing w:val="-4"/>
                <w14:textOutline w14:w="4358" w14:cap="sq" w14:cmpd="sng">
                  <w14:solidFill>
                    <w14:srgbClr w14:val="000000"/>
                  </w14:solidFill>
                  <w14:prstDash w14:val="solid"/>
                  <w14:bevel/>
                </w14:textOutline>
              </w:rPr>
              <w:t>评标委员会认为投标人的报价明显低于其他通过符合</w:t>
            </w:r>
            <w:r>
              <w:rPr>
                <w:spacing w:val="-5"/>
                <w14:textOutline w14:w="4358" w14:cap="sq" w14:cmpd="sng">
                  <w14:solidFill>
                    <w14:srgbClr w14:val="000000"/>
                  </w14:solidFill>
                  <w14:prstDash w14:val="solid"/>
                  <w14:bevel/>
                </w14:textOutline>
              </w:rPr>
              <w:t>性审查投标人的报价，有可</w:t>
            </w:r>
            <w:r>
              <w:t xml:space="preserve"> </w:t>
            </w:r>
            <w:r>
              <w:rPr>
                <w:spacing w:val="-6"/>
                <w14:textOutline w14:w="4358" w14:cap="sq" w14:cmpd="sng">
                  <w14:solidFill>
                    <w14:srgbClr w14:val="000000"/>
                  </w14:solidFill>
                  <w14:prstDash w14:val="solid"/>
                  <w14:bevel/>
                </w14:textOutline>
              </w:rPr>
              <w:t>能影响产品质量或者不能诚信履约的，应当要求其在评标现场合理的时间内提供书面说明，</w:t>
            </w:r>
            <w:r>
              <w:rPr>
                <w:spacing w:val="16"/>
              </w:rPr>
              <w:t xml:space="preserve"> </w:t>
            </w:r>
            <w:r>
              <w:rPr>
                <w:spacing w:val="-1"/>
                <w14:textOutline w14:w="4358" w14:cap="sq" w14:cmpd="sng">
                  <w14:solidFill>
                    <w14:srgbClr w14:val="000000"/>
                  </w14:solidFill>
                  <w14:prstDash w14:val="solid"/>
                  <w14:bevel/>
                </w14:textOutline>
              </w:rPr>
              <w:t>必要时提交相关证明材料；投标人不能证明其报价合理性的，评标委员会应当将其作</w:t>
            </w:r>
            <w:r>
              <w:rPr>
                <w:spacing w:val="-2"/>
                <w14:textOutline w14:w="4358" w14:cap="sq" w14:cmpd="sng">
                  <w14:solidFill>
                    <w14:srgbClr w14:val="000000"/>
                  </w14:solidFill>
                  <w14:prstDash w14:val="solid"/>
                  <w14:bevel/>
                </w14:textOutline>
              </w:rPr>
              <w:t>为无</w:t>
            </w:r>
          </w:p>
          <w:p>
            <w:pPr>
              <w:pStyle w:val="109"/>
              <w:spacing w:line="220" w:lineRule="auto"/>
              <w:ind w:left="118"/>
            </w:pPr>
            <w:r>
              <w:rPr>
                <w:spacing w:val="-5"/>
                <w14:textOutline w14:w="4358" w14:cap="sq" w14:cmpd="sng">
                  <w14:solidFill>
                    <w14:srgbClr w14:val="000000"/>
                  </w14:solidFill>
                  <w14:prstDash w14:val="solid"/>
                  <w14:bevel/>
                </w14:textOutline>
              </w:rPr>
              <w:t>效投标处理。</w:t>
            </w:r>
          </w:p>
          <w:p>
            <w:pPr>
              <w:pStyle w:val="109"/>
              <w:spacing w:before="267" w:line="369" w:lineRule="auto"/>
              <w:ind w:left="114" w:right="116" w:firstLine="483"/>
              <w:jc w:val="both"/>
            </w:pPr>
            <w:r>
              <w:rPr>
                <w:spacing w:val="2"/>
              </w:rPr>
              <w:t>（3）在技术评审中，应当考虑产品的质量性能等因素，以及产品的功能性、</w:t>
            </w:r>
            <w:r>
              <w:rPr>
                <w:spacing w:val="1"/>
              </w:rPr>
              <w:t>整体配</w:t>
            </w:r>
            <w:r>
              <w:t xml:space="preserve"> </w:t>
            </w:r>
            <w:r>
              <w:rPr>
                <w:spacing w:val="-1"/>
              </w:rPr>
              <w:t>套性、经济性、先进性、稳定性等因素；售后服务应当考虑其服务的承诺内容、</w:t>
            </w:r>
            <w:r>
              <w:rPr>
                <w:spacing w:val="-2"/>
              </w:rPr>
              <w:t>具体措施</w:t>
            </w:r>
          </w:p>
          <w:p>
            <w:pPr>
              <w:pStyle w:val="109"/>
              <w:spacing w:line="219" w:lineRule="auto"/>
              <w:ind w:left="112"/>
            </w:pPr>
            <w:r>
              <w:t>及其可行性等因素；投标人有组织管理能力等。</w:t>
            </w:r>
          </w:p>
          <w:p>
            <w:pPr>
              <w:pStyle w:val="109"/>
              <w:spacing w:before="195" w:line="218" w:lineRule="auto"/>
              <w:ind w:left="113"/>
            </w:pPr>
            <w:r>
              <w:rPr>
                <w:spacing w:val="1"/>
                <w14:textOutline w14:w="4358" w14:cap="sq" w14:cmpd="sng">
                  <w14:solidFill>
                    <w14:srgbClr w14:val="000000"/>
                  </w14:solidFill>
                  <w14:prstDash w14:val="solid"/>
                  <w14:bevel/>
                </w14:textOutline>
              </w:rPr>
              <w:t>节能、环境标志产品评审优惠内容及加分幅度：</w:t>
            </w:r>
          </w:p>
          <w:p>
            <w:pPr>
              <w:pStyle w:val="109"/>
              <w:spacing w:before="198" w:line="369" w:lineRule="auto"/>
              <w:ind w:left="112" w:firstLine="490"/>
            </w:pPr>
            <w:r>
              <w:rPr>
                <w:spacing w:val="5"/>
              </w:rPr>
              <w:t>（1）根据《国务院办公厅关于建立政府强制采购节能产品制度的通知》（国办发</w:t>
            </w:r>
            <w:r>
              <w:rPr>
                <w:spacing w:val="2"/>
              </w:rPr>
              <w:t xml:space="preserve">   </w:t>
            </w:r>
            <w:r>
              <w:rPr>
                <w:spacing w:val="-12"/>
              </w:rPr>
              <w:t>[2007]51</w:t>
            </w:r>
            <w:r>
              <w:rPr>
                <w:spacing w:val="-43"/>
              </w:rPr>
              <w:t xml:space="preserve"> </w:t>
            </w:r>
            <w:r>
              <w:rPr>
                <w:spacing w:val="-12"/>
              </w:rPr>
              <w:t>号）和财政部、发展改革委发布的《节能产品政府采购实施意见》（财库[</w:t>
            </w:r>
            <w:r>
              <w:rPr>
                <w:spacing w:val="-13"/>
              </w:rPr>
              <w:t>2004]185</w:t>
            </w:r>
            <w:r>
              <w:t xml:space="preserve">   </w:t>
            </w:r>
            <w:r>
              <w:rPr>
                <w:spacing w:val="-10"/>
              </w:rPr>
              <w:t>号）以及《财政部、发展改革委关于调整节能产品政府采购清单的通知》最新的规定，本次</w:t>
            </w:r>
            <w:r>
              <w:rPr>
                <w:spacing w:val="2"/>
              </w:rPr>
              <w:t xml:space="preserve">   </w:t>
            </w:r>
            <w:r>
              <w:rPr>
                <w:spacing w:val="-8"/>
              </w:rPr>
              <w:t>采购货物中属政府强制采购节能产品的，投标人所投产品必须是《节能产品政府采购清单》</w:t>
            </w:r>
            <w:r>
              <w:t xml:space="preserve">  </w:t>
            </w:r>
            <w:r>
              <w:rPr>
                <w:spacing w:val="-11"/>
              </w:rPr>
              <w:t>内产品，并提供清单内证明材料，否则投标无效。其他产品若属于“节能产品政府采购清单</w:t>
            </w:r>
            <w:r>
              <w:rPr>
                <w:spacing w:val="-74"/>
              </w:rPr>
              <w:t xml:space="preserve"> </w:t>
            </w:r>
            <w:r>
              <w:rPr>
                <w:spacing w:val="-11"/>
              </w:rPr>
              <w:t>”</w:t>
            </w:r>
          </w:p>
          <w:p>
            <w:pPr>
              <w:pStyle w:val="109"/>
              <w:spacing w:before="1" w:line="218" w:lineRule="auto"/>
              <w:ind w:left="141"/>
            </w:pPr>
            <w:r>
              <w:rPr>
                <w:spacing w:val="-9"/>
              </w:rPr>
              <w:t>内产品，在同等条件下，优先采购清单中的产品。</w:t>
            </w:r>
          </w:p>
          <w:p>
            <w:pPr>
              <w:pStyle w:val="109"/>
              <w:spacing w:before="112" w:line="359" w:lineRule="auto"/>
              <w:ind w:left="113" w:right="41" w:firstLine="496"/>
            </w:pPr>
            <w:r>
              <w:rPr>
                <w:spacing w:val="-6"/>
              </w:rPr>
              <w:t>（2）“节能产品</w:t>
            </w:r>
            <w:r>
              <w:rPr>
                <w:spacing w:val="-90"/>
              </w:rPr>
              <w:t xml:space="preserve"> </w:t>
            </w:r>
            <w:r>
              <w:rPr>
                <w:spacing w:val="-6"/>
              </w:rPr>
              <w:t>”系指列入财政部、国家发改委最新公布《节能产品政府采购清单》 的产品；“环境标志产品</w:t>
            </w:r>
            <w:r>
              <w:rPr>
                <w:spacing w:val="-88"/>
              </w:rPr>
              <w:t xml:space="preserve"> </w:t>
            </w:r>
            <w:r>
              <w:rPr>
                <w:spacing w:val="-6"/>
              </w:rPr>
              <w:t>”系指列入财政部、环保部最新公布的《环境标志政府采购清单》</w:t>
            </w:r>
            <w:r>
              <w:t xml:space="preserve"> </w:t>
            </w:r>
            <w:r>
              <w:rPr>
                <w:spacing w:val="-7"/>
              </w:rPr>
              <w:t>的产品。同一合同包内的节能、环境标志、政府采购产品部分加分只对属于清单内的非强制</w:t>
            </w:r>
            <w:r>
              <w:rPr>
                <w:spacing w:val="2"/>
              </w:rPr>
              <w:t xml:space="preserve"> </w:t>
            </w:r>
            <w:r>
              <w:rPr>
                <w:spacing w:val="-7"/>
              </w:rPr>
              <w:t>类产品进行加分，强制类产品已作为投标时强制性要求不再给予加分。若节能、环境标志清</w:t>
            </w:r>
          </w:p>
          <w:p>
            <w:pPr>
              <w:pStyle w:val="109"/>
              <w:spacing w:before="1" w:line="219" w:lineRule="auto"/>
              <w:ind w:left="115"/>
            </w:pPr>
            <w:r>
              <w:rPr>
                <w:spacing w:val="-5"/>
              </w:rPr>
              <w:t>单内的产品仅是构成投标产品的部件、组件或零件的，则该投标产品不予加分。</w:t>
            </w:r>
          </w:p>
          <w:p>
            <w:pPr>
              <w:pStyle w:val="109"/>
              <w:spacing w:before="180" w:line="218" w:lineRule="auto"/>
              <w:ind w:left="586"/>
            </w:pPr>
            <w:r>
              <w:rPr>
                <w:spacing w:val="-5"/>
                <w14:textOutline w14:w="4358" w14:cap="sq" w14:cmpd="sng">
                  <w14:solidFill>
                    <w14:srgbClr w14:val="000000"/>
                  </w14:solidFill>
                  <w14:prstDash w14:val="solid"/>
                  <w14:bevel/>
                </w14:textOutline>
              </w:rPr>
              <w:t>价格项加分：</w:t>
            </w:r>
          </w:p>
          <w:p>
            <w:pPr>
              <w:pStyle w:val="109"/>
              <w:spacing w:before="185" w:line="218" w:lineRule="auto"/>
              <w:ind w:left="603"/>
            </w:pPr>
            <w:r>
              <w:rPr>
                <w:spacing w:val="-7"/>
              </w:rPr>
              <w:t>1、（节能清单部分产品的价格/投标报价）</w:t>
            </w:r>
            <w:r>
              <w:rPr>
                <w:spacing w:val="-63"/>
              </w:rPr>
              <w:t xml:space="preserve"> </w:t>
            </w:r>
            <w:r>
              <w:rPr>
                <w:spacing w:val="-7"/>
              </w:rPr>
              <w:t>×3%×价格项满分值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 w:type="dxa"/>
          <w:trHeight w:val="3757" w:hRule="atLeast"/>
        </w:trPr>
        <w:tc>
          <w:tcPr>
            <w:tcW w:w="605" w:type="dxa"/>
            <w:vAlign w:val="top"/>
          </w:tcPr>
          <w:p>
            <w:pPr>
              <w:rPr>
                <w:rFonts w:ascii="Arial"/>
                <w:sz w:val="21"/>
              </w:rPr>
            </w:pPr>
          </w:p>
        </w:tc>
        <w:tc>
          <w:tcPr>
            <w:tcW w:w="9545" w:type="dxa"/>
            <w:vAlign w:val="top"/>
          </w:tcPr>
          <w:p>
            <w:pPr>
              <w:pStyle w:val="109"/>
              <w:spacing w:before="41" w:line="218" w:lineRule="auto"/>
              <w:ind w:left="588"/>
            </w:pPr>
            <w:r>
              <w:rPr>
                <w:spacing w:val="-6"/>
              </w:rPr>
              <w:t>2、（环境清单部分产品的价格/投标报价）</w:t>
            </w:r>
            <w:r>
              <w:rPr>
                <w:spacing w:val="-79"/>
              </w:rPr>
              <w:t xml:space="preserve"> </w:t>
            </w:r>
            <w:r>
              <w:rPr>
                <w:spacing w:val="-6"/>
              </w:rPr>
              <w:t>×3%×价格项满分值</w:t>
            </w:r>
          </w:p>
          <w:p>
            <w:pPr>
              <w:pStyle w:val="109"/>
              <w:spacing w:before="182" w:line="219" w:lineRule="auto"/>
              <w:ind w:left="586"/>
            </w:pPr>
            <w:r>
              <w:rPr>
                <w:spacing w:val="-5"/>
                <w14:textOutline w14:w="4358" w14:cap="sq" w14:cmpd="sng">
                  <w14:solidFill>
                    <w14:srgbClr w14:val="000000"/>
                  </w14:solidFill>
                  <w14:prstDash w14:val="solid"/>
                  <w14:bevel/>
                </w14:textOutline>
              </w:rPr>
              <w:t>技术项加分：</w:t>
            </w:r>
          </w:p>
          <w:p>
            <w:pPr>
              <w:pStyle w:val="109"/>
              <w:spacing w:before="180" w:line="468" w:lineRule="exact"/>
              <w:ind w:left="603"/>
            </w:pPr>
            <w:r>
              <w:rPr>
                <w:spacing w:val="-7"/>
                <w:position w:val="17"/>
              </w:rPr>
              <w:t>1、（节能清单部分产品的价格/投标报价）</w:t>
            </w:r>
            <w:r>
              <w:rPr>
                <w:spacing w:val="-63"/>
                <w:position w:val="17"/>
              </w:rPr>
              <w:t xml:space="preserve"> </w:t>
            </w:r>
            <w:r>
              <w:rPr>
                <w:spacing w:val="-7"/>
                <w:position w:val="17"/>
              </w:rPr>
              <w:t>×3%×技术项满分值</w:t>
            </w:r>
          </w:p>
          <w:p>
            <w:pPr>
              <w:pStyle w:val="109"/>
              <w:spacing w:before="1" w:line="217" w:lineRule="auto"/>
              <w:ind w:left="588"/>
            </w:pPr>
            <w:r>
              <w:rPr>
                <w:spacing w:val="-6"/>
              </w:rPr>
              <w:t>2、（环境清单部分产品的价格/投标报价）</w:t>
            </w:r>
            <w:r>
              <w:rPr>
                <w:spacing w:val="-79"/>
              </w:rPr>
              <w:t xml:space="preserve"> </w:t>
            </w:r>
            <w:r>
              <w:rPr>
                <w:spacing w:val="-6"/>
              </w:rPr>
              <w:t>×3%×技术项满分值</w:t>
            </w:r>
          </w:p>
          <w:p>
            <w:pPr>
              <w:pStyle w:val="109"/>
              <w:spacing w:before="182" w:line="468" w:lineRule="exact"/>
              <w:ind w:left="585"/>
            </w:pPr>
            <w:r>
              <w:rPr>
                <w:spacing w:val="-4"/>
                <w:position w:val="17"/>
              </w:rPr>
              <w:t>注：1、投标人须提供最新一期《节能产品政府采购清单》关于投标产品当前页的打印</w:t>
            </w:r>
          </w:p>
          <w:p>
            <w:pPr>
              <w:pStyle w:val="109"/>
              <w:spacing w:line="219" w:lineRule="auto"/>
              <w:ind w:left="112"/>
            </w:pPr>
            <w:r>
              <w:rPr>
                <w:spacing w:val="-5"/>
              </w:rPr>
              <w:t>件；</w:t>
            </w:r>
          </w:p>
          <w:p>
            <w:pPr>
              <w:pStyle w:val="109"/>
              <w:spacing w:before="183" w:line="219" w:lineRule="auto"/>
              <w:jc w:val="right"/>
            </w:pPr>
            <w:r>
              <w:rPr>
                <w:spacing w:val="-9"/>
              </w:rPr>
              <w:t>2、投标人提供最新一期《环境标志产品政府采购清单》关于投标产品当前页的打印件；</w:t>
            </w:r>
          </w:p>
          <w:p>
            <w:pPr>
              <w:pStyle w:val="109"/>
              <w:spacing w:before="267" w:line="218" w:lineRule="auto"/>
              <w:ind w:left="600"/>
            </w:pPr>
            <w:r>
              <w:rPr>
                <w:spacing w:val="2"/>
                <w14:textOutline w14:w="4358" w14:cap="sq" w14:cmpd="sng">
                  <w14:solidFill>
                    <w14:srgbClr w14:val="000000"/>
                  </w14:solidFill>
                  <w14:prstDash w14:val="solid"/>
                  <w14:bevel/>
                </w14:textOutline>
              </w:rPr>
              <w:t>最低报价不作为评标的唯一依据。采购人不承诺将合同授</w:t>
            </w:r>
            <w:r>
              <w:rPr>
                <w:spacing w:val="1"/>
                <w14:textOutline w14:w="4358" w14:cap="sq" w14:cmpd="sng">
                  <w14:solidFill>
                    <w14:srgbClr w14:val="000000"/>
                  </w14:solidFill>
                  <w14:prstDash w14:val="solid"/>
                  <w14:bevel/>
                </w14:textOutline>
              </w:rPr>
              <w:t>予报价最低的投标人。</w:t>
            </w:r>
          </w:p>
        </w:tc>
      </w:tr>
    </w:tbl>
    <w:p>
      <w:pPr>
        <w:pStyle w:val="9"/>
      </w:pPr>
    </w:p>
    <w:p>
      <w:pPr>
        <w:sectPr>
          <w:footerReference r:id="rId5" w:type="default"/>
          <w:pgSz w:w="11850" w:h="16781"/>
          <w:pgMar w:top="400" w:right="847" w:bottom="1013" w:left="846" w:header="0" w:footer="850" w:gutter="0"/>
          <w:pgNumType w:fmt="decimal" w:start="1"/>
          <w:cols w:space="720" w:num="1"/>
        </w:sectPr>
      </w:pPr>
    </w:p>
    <w:p>
      <w:pPr>
        <w:pStyle w:val="9"/>
        <w:spacing w:line="264" w:lineRule="auto"/>
      </w:pPr>
    </w:p>
    <w:p>
      <w:pPr>
        <w:pStyle w:val="9"/>
        <w:spacing w:line="265" w:lineRule="auto"/>
      </w:pPr>
    </w:p>
    <w:p>
      <w:pPr>
        <w:pStyle w:val="9"/>
        <w:spacing w:line="265" w:lineRule="auto"/>
      </w:pPr>
    </w:p>
    <w:p>
      <w:pPr>
        <w:pStyle w:val="9"/>
        <w:spacing w:line="265" w:lineRule="auto"/>
      </w:pPr>
    </w:p>
    <w:p>
      <w:pPr>
        <w:spacing w:before="114" w:line="225" w:lineRule="auto"/>
        <w:ind w:left="3456"/>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技术标评分标准</w:t>
      </w:r>
    </w:p>
    <w:p>
      <w:pPr>
        <w:spacing w:line="73" w:lineRule="exact"/>
      </w:pPr>
    </w:p>
    <w:tbl>
      <w:tblPr>
        <w:tblStyle w:val="108"/>
        <w:tblW w:w="95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1046"/>
        <w:gridCol w:w="6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52" w:type="dxa"/>
            <w:vAlign w:val="top"/>
          </w:tcPr>
          <w:p>
            <w:pPr>
              <w:pStyle w:val="109"/>
              <w:spacing w:before="166" w:line="221" w:lineRule="auto"/>
              <w:ind w:left="134"/>
            </w:pPr>
            <w:r>
              <w:rPr>
                <w:spacing w:val="-4"/>
                <w14:textOutline w14:w="4358" w14:cap="sq" w14:cmpd="sng">
                  <w14:solidFill>
                    <w14:srgbClr w14:val="000000"/>
                  </w14:solidFill>
                  <w14:prstDash w14:val="solid"/>
                  <w14:bevel/>
                </w14:textOutline>
              </w:rPr>
              <w:t>序号</w:t>
            </w:r>
          </w:p>
        </w:tc>
        <w:tc>
          <w:tcPr>
            <w:tcW w:w="1517" w:type="dxa"/>
            <w:vAlign w:val="top"/>
          </w:tcPr>
          <w:p>
            <w:pPr>
              <w:pStyle w:val="109"/>
              <w:spacing w:before="167" w:line="219" w:lineRule="auto"/>
              <w:ind w:left="276"/>
            </w:pPr>
            <w:r>
              <w:rPr>
                <w:spacing w:val="-1"/>
                <w14:textOutline w14:w="4358" w14:cap="sq" w14:cmpd="sng">
                  <w14:solidFill>
                    <w14:srgbClr w14:val="000000"/>
                  </w14:solidFill>
                  <w14:prstDash w14:val="solid"/>
                  <w14:bevel/>
                </w14:textOutline>
              </w:rPr>
              <w:t>考核项目</w:t>
            </w:r>
          </w:p>
        </w:tc>
        <w:tc>
          <w:tcPr>
            <w:tcW w:w="1046" w:type="dxa"/>
            <w:vAlign w:val="top"/>
          </w:tcPr>
          <w:p>
            <w:pPr>
              <w:pStyle w:val="109"/>
              <w:spacing w:before="167" w:line="219" w:lineRule="auto"/>
              <w:ind w:left="286"/>
            </w:pPr>
            <w:r>
              <w:rPr>
                <w:spacing w:val="-5"/>
                <w14:textOutline w14:w="4358" w14:cap="sq" w14:cmpd="sng">
                  <w14:solidFill>
                    <w14:srgbClr w14:val="000000"/>
                  </w14:solidFill>
                  <w14:prstDash w14:val="solid"/>
                  <w14:bevel/>
                </w14:textOutline>
              </w:rPr>
              <w:t>分数</w:t>
            </w:r>
          </w:p>
        </w:tc>
        <w:tc>
          <w:tcPr>
            <w:tcW w:w="6275" w:type="dxa"/>
            <w:vAlign w:val="top"/>
          </w:tcPr>
          <w:p>
            <w:pPr>
              <w:pStyle w:val="109"/>
              <w:spacing w:before="167" w:line="220" w:lineRule="auto"/>
              <w:ind w:left="2608"/>
            </w:pPr>
            <w:r>
              <w:rPr>
                <w:spacing w:val="-1"/>
                <w14:textOutline w14:w="4358" w14:cap="sq" w14:cmpd="sng">
                  <w14:solidFill>
                    <w14:srgbClr w14:val="000000"/>
                  </w14:solidFill>
                  <w14:prstDash w14:val="solid"/>
                  <w14:bevel/>
                </w14:textOutli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590" w:type="dxa"/>
            <w:gridSpan w:val="4"/>
            <w:tcBorders>
              <w:bottom w:val="single" w:color="000000" w:sz="2" w:space="0"/>
            </w:tcBorders>
            <w:vAlign w:val="top"/>
          </w:tcPr>
          <w:p>
            <w:pPr>
              <w:pStyle w:val="109"/>
              <w:spacing w:before="220" w:line="218" w:lineRule="auto"/>
              <w:ind w:left="4254"/>
            </w:pPr>
            <w:r>
              <w:rPr>
                <w:spacing w:val="-3"/>
              </w:rPr>
              <w:t>报价部分</w:t>
            </w:r>
            <w:r>
              <w:rPr>
                <w:spacing w:val="-41"/>
              </w:rPr>
              <w:t xml:space="preserve"> </w:t>
            </w:r>
            <w:r>
              <w:rPr>
                <w:spacing w:val="-3"/>
              </w:rPr>
              <w:t>30</w:t>
            </w:r>
            <w:r>
              <w:rPr>
                <w:spacing w:val="-48"/>
              </w:rPr>
              <w:t xml:space="preserve"> </w:t>
            </w:r>
            <w:r>
              <w:rPr>
                <w:spacing w:val="-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752" w:type="dxa"/>
            <w:tcBorders>
              <w:top w:val="single" w:color="000000" w:sz="2" w:space="0"/>
              <w:bottom w:val="single" w:color="000000" w:sz="2" w:space="0"/>
            </w:tcBorders>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109"/>
              <w:spacing w:before="78" w:line="184" w:lineRule="auto"/>
              <w:ind w:left="374"/>
            </w:pPr>
            <w:r>
              <w:t>1</w:t>
            </w:r>
          </w:p>
        </w:tc>
        <w:tc>
          <w:tcPr>
            <w:tcW w:w="1517" w:type="dxa"/>
            <w:tcBorders>
              <w:top w:val="single" w:color="000000" w:sz="2" w:space="0"/>
              <w:bottom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109"/>
              <w:spacing w:before="78" w:line="218" w:lineRule="auto"/>
              <w:ind w:left="516"/>
            </w:pPr>
            <w:r>
              <w:rPr>
                <w:spacing w:val="-3"/>
              </w:rPr>
              <w:t>报价</w:t>
            </w:r>
          </w:p>
        </w:tc>
        <w:tc>
          <w:tcPr>
            <w:tcW w:w="1046" w:type="dxa"/>
            <w:tcBorders>
              <w:top w:val="single" w:color="000000" w:sz="2" w:space="0"/>
              <w:bottom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109"/>
              <w:spacing w:before="78" w:line="220" w:lineRule="auto"/>
              <w:ind w:left="136"/>
            </w:pPr>
            <w:r>
              <w:rPr>
                <w:spacing w:val="-3"/>
              </w:rPr>
              <w:t>0-30</w:t>
            </w:r>
            <w:r>
              <w:rPr>
                <w:spacing w:val="-46"/>
              </w:rPr>
              <w:t xml:space="preserve"> </w:t>
            </w:r>
            <w:r>
              <w:rPr>
                <w:spacing w:val="-3"/>
              </w:rPr>
              <w:t>分</w:t>
            </w:r>
          </w:p>
        </w:tc>
        <w:tc>
          <w:tcPr>
            <w:tcW w:w="6275" w:type="dxa"/>
            <w:tcBorders>
              <w:top w:val="single" w:color="000000" w:sz="2" w:space="0"/>
              <w:bottom w:val="single" w:color="000000" w:sz="2" w:space="0"/>
            </w:tcBorders>
            <w:vAlign w:val="top"/>
          </w:tcPr>
          <w:p>
            <w:pPr>
              <w:pStyle w:val="109"/>
              <w:spacing w:before="223" w:line="354" w:lineRule="auto"/>
              <w:ind w:left="110" w:right="45" w:firstLine="2"/>
              <w:jc w:val="both"/>
            </w:pPr>
            <w:r>
              <w:rPr>
                <w:spacing w:val="2"/>
              </w:rPr>
              <w:t>综合评分法中的价格分统一采用低价优先法</w:t>
            </w:r>
            <w:r>
              <w:rPr>
                <w:spacing w:val="1"/>
              </w:rPr>
              <w:t>计算，即满足</w:t>
            </w:r>
            <w:r>
              <w:t xml:space="preserve"> </w:t>
            </w:r>
            <w:r>
              <w:rPr>
                <w:spacing w:val="2"/>
              </w:rPr>
              <w:t>招标要求且投标价格最低的投标报价为评标基准价</w:t>
            </w:r>
            <w:r>
              <w:rPr>
                <w:spacing w:val="1"/>
              </w:rPr>
              <w:t>，其价</w:t>
            </w:r>
            <w:r>
              <w:t xml:space="preserve"> </w:t>
            </w:r>
            <w:r>
              <w:rPr>
                <w:spacing w:val="-5"/>
              </w:rPr>
              <w:t>格分为满分。其他投标人的价格分统一按照下列公式</w:t>
            </w:r>
            <w:r>
              <w:rPr>
                <w:spacing w:val="-6"/>
              </w:rPr>
              <w:t>计算：</w:t>
            </w:r>
          </w:p>
          <w:p>
            <w:pPr>
              <w:pStyle w:val="109"/>
              <w:spacing w:before="1" w:line="217" w:lineRule="auto"/>
              <w:ind w:left="113"/>
            </w:pPr>
            <w:r>
              <w:rPr>
                <w:spacing w:val="-1"/>
              </w:rPr>
              <w:t>投标报价得分=</w:t>
            </w:r>
            <w:r>
              <w:rPr>
                <w:spacing w:val="-69"/>
              </w:rPr>
              <w:t xml:space="preserve"> </w:t>
            </w:r>
            <w:r>
              <w:rPr>
                <w:spacing w:val="-1"/>
              </w:rPr>
              <w:t>(评标基准价／投标报价)×价格</w:t>
            </w:r>
            <w:r>
              <w:rPr>
                <w:spacing w:val="-2"/>
              </w:rPr>
              <w:t>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590" w:type="dxa"/>
            <w:gridSpan w:val="4"/>
            <w:tcBorders>
              <w:top w:val="single" w:color="000000" w:sz="2" w:space="0"/>
              <w:bottom w:val="single" w:color="000000" w:sz="2" w:space="0"/>
            </w:tcBorders>
            <w:vAlign w:val="top"/>
          </w:tcPr>
          <w:p>
            <w:pPr>
              <w:pStyle w:val="109"/>
              <w:spacing w:before="226" w:line="219" w:lineRule="auto"/>
              <w:ind w:left="4257"/>
            </w:pPr>
            <w:r>
              <w:rPr>
                <w:spacing w:val="-3"/>
              </w:rPr>
              <w:t>技术部分</w:t>
            </w:r>
            <w:r>
              <w:rPr>
                <w:spacing w:val="-43"/>
              </w:rPr>
              <w:t xml:space="preserve"> </w:t>
            </w:r>
            <w:r>
              <w:rPr>
                <w:spacing w:val="-3"/>
              </w:rPr>
              <w:t>70</w:t>
            </w:r>
            <w:r>
              <w:rPr>
                <w:spacing w:val="-48"/>
              </w:rPr>
              <w:t xml:space="preserve"> </w:t>
            </w:r>
            <w:r>
              <w:rPr>
                <w:spacing w:val="-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1" w:hRule="atLeast"/>
        </w:trPr>
        <w:tc>
          <w:tcPr>
            <w:tcW w:w="752" w:type="dxa"/>
            <w:vMerge w:val="restart"/>
            <w:tcBorders>
              <w:top w:val="single" w:color="000000" w:sz="2" w:space="0"/>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9"/>
              <w:spacing w:before="78" w:line="183" w:lineRule="auto"/>
              <w:ind w:left="320"/>
            </w:pPr>
            <w:r>
              <w:t>2</w:t>
            </w:r>
          </w:p>
        </w:tc>
        <w:tc>
          <w:tcPr>
            <w:tcW w:w="1517" w:type="dxa"/>
            <w:vMerge w:val="restart"/>
            <w:tcBorders>
              <w:top w:val="single" w:color="000000" w:sz="2"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9"/>
              <w:spacing w:before="78" w:line="219" w:lineRule="auto"/>
              <w:ind w:left="290"/>
            </w:pPr>
            <w:r>
              <w:rPr>
                <w:spacing w:val="-2"/>
              </w:rPr>
              <w:t>服务方案</w:t>
            </w:r>
          </w:p>
        </w:tc>
        <w:tc>
          <w:tcPr>
            <w:tcW w:w="1046" w:type="dxa"/>
            <w:vMerge w:val="restart"/>
            <w:tcBorders>
              <w:top w:val="single" w:color="000000" w:sz="2" w:space="0"/>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9"/>
              <w:spacing w:before="78" w:line="184" w:lineRule="auto"/>
              <w:ind w:left="285"/>
            </w:pPr>
            <w:r>
              <w:rPr>
                <w:spacing w:val="-3"/>
              </w:rPr>
              <w:t>0-15</w:t>
            </w:r>
          </w:p>
        </w:tc>
        <w:tc>
          <w:tcPr>
            <w:tcW w:w="6275" w:type="dxa"/>
            <w:tcBorders>
              <w:top w:val="single" w:color="000000" w:sz="2" w:space="0"/>
              <w:bottom w:val="single" w:color="000000" w:sz="2" w:space="0"/>
            </w:tcBorders>
            <w:vAlign w:val="top"/>
          </w:tcPr>
          <w:p>
            <w:pPr>
              <w:pStyle w:val="109"/>
              <w:spacing w:before="226" w:line="354" w:lineRule="auto"/>
              <w:ind w:left="109" w:right="106" w:firstLine="1"/>
              <w:jc w:val="both"/>
            </w:pPr>
            <w:r>
              <w:rPr>
                <w:spacing w:val="2"/>
              </w:rPr>
              <w:t>根据供应商所提供项目实施方案中的人力资源安排</w:t>
            </w:r>
            <w:r>
              <w:rPr>
                <w:spacing w:val="1"/>
              </w:rPr>
              <w:t>、供货</w:t>
            </w:r>
            <w:r>
              <w:t xml:space="preserve"> </w:t>
            </w:r>
            <w:r>
              <w:rPr>
                <w:spacing w:val="2"/>
              </w:rPr>
              <w:t>进度及质量保障措施及承诺、应急预案、组织验收流</w:t>
            </w:r>
            <w:r>
              <w:rPr>
                <w:spacing w:val="1"/>
              </w:rPr>
              <w:t>程及</w:t>
            </w:r>
          </w:p>
          <w:p>
            <w:pPr>
              <w:pStyle w:val="109"/>
              <w:spacing w:line="219" w:lineRule="auto"/>
              <w:ind w:left="121"/>
            </w:pPr>
            <w:r>
              <w:rPr>
                <w:spacing w:val="-1"/>
              </w:rPr>
              <w:t>资料整理等（包含但不限于）内容。</w:t>
            </w:r>
          </w:p>
          <w:p>
            <w:pPr>
              <w:pStyle w:val="109"/>
              <w:spacing w:before="293" w:line="354" w:lineRule="auto"/>
              <w:ind w:left="110" w:right="106" w:firstLine="17"/>
              <w:jc w:val="both"/>
            </w:pPr>
            <w:r>
              <w:rPr>
                <w:spacing w:val="6"/>
              </w:rPr>
              <w:t>1、项目实施方案中有具体的供货保障的人力资源安排方</w:t>
            </w:r>
            <w:r>
              <w:t xml:space="preserve"> </w:t>
            </w:r>
            <w:r>
              <w:rPr>
                <w:spacing w:val="2"/>
              </w:rPr>
              <w:t>案，配备齐全、搭配合理且内容完善具有针对性，</w:t>
            </w:r>
            <w:r>
              <w:rPr>
                <w:spacing w:val="1"/>
              </w:rPr>
              <w:t>内容叙</w:t>
            </w:r>
            <w:r>
              <w:t xml:space="preserve"> </w:t>
            </w:r>
            <w:r>
              <w:rPr>
                <w:spacing w:val="-1"/>
              </w:rPr>
              <w:t>述条理清晰符合项目特点及需求的得</w:t>
            </w:r>
            <w:r>
              <w:rPr>
                <w:spacing w:val="-44"/>
              </w:rPr>
              <w:t xml:space="preserve"> </w:t>
            </w:r>
            <w:r>
              <w:rPr>
                <w:spacing w:val="-1"/>
              </w:rPr>
              <w:t>5 分；</w:t>
            </w:r>
            <w:r>
              <w:rPr>
                <w:spacing w:val="-2"/>
              </w:rPr>
              <w:t>有供货保障</w:t>
            </w:r>
            <w:r>
              <w:t xml:space="preserve"> </w:t>
            </w:r>
            <w:r>
              <w:rPr>
                <w:spacing w:val="2"/>
              </w:rPr>
              <w:t>的人力资源安排方案，但内容简单条理混乱，无具</w:t>
            </w:r>
            <w:r>
              <w:rPr>
                <w:spacing w:val="1"/>
              </w:rPr>
              <w:t>体针对</w:t>
            </w:r>
            <w:r>
              <w:t xml:space="preserve"> </w:t>
            </w:r>
            <w:r>
              <w:rPr>
                <w:spacing w:val="2"/>
              </w:rPr>
              <w:t>性，未根据项目具体内容编制供货保障的人力资源</w:t>
            </w:r>
            <w:r>
              <w:rPr>
                <w:spacing w:val="1"/>
              </w:rPr>
              <w:t>安排方</w:t>
            </w:r>
            <w:r>
              <w:rPr>
                <w:spacing w:val="-2"/>
              </w:rPr>
              <w:t>案的得</w:t>
            </w:r>
            <w:r>
              <w:rPr>
                <w:spacing w:val="46"/>
              </w:rPr>
              <w:t xml:space="preserve"> </w:t>
            </w:r>
            <w:r>
              <w:rPr>
                <w:spacing w:val="-2"/>
              </w:rPr>
              <w:t>2 分；未提供或明显套用其他项目内容得</w:t>
            </w:r>
            <w:r>
              <w:rPr>
                <w:spacing w:val="-48"/>
              </w:rPr>
              <w:t xml:space="preserve"> </w:t>
            </w:r>
            <w:r>
              <w:rPr>
                <w:spacing w:val="-2"/>
              </w:rPr>
              <w:t>0</w:t>
            </w:r>
            <w:r>
              <w:rPr>
                <w:spacing w:val="-46"/>
              </w:rPr>
              <w:t xml:space="preserve"> </w:t>
            </w:r>
            <w:r>
              <w:rPr>
                <w:spacing w:val="-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trPr>
        <w:tc>
          <w:tcPr>
            <w:tcW w:w="752" w:type="dxa"/>
            <w:vMerge w:val="continue"/>
            <w:tcBorders>
              <w:top w:val="nil"/>
            </w:tcBorders>
            <w:vAlign w:val="top"/>
          </w:tcPr>
          <w:p>
            <w:pPr>
              <w:rPr>
                <w:rFonts w:ascii="Arial"/>
                <w:sz w:val="21"/>
              </w:rPr>
            </w:pPr>
          </w:p>
        </w:tc>
        <w:tc>
          <w:tcPr>
            <w:tcW w:w="1517" w:type="dxa"/>
            <w:vMerge w:val="continue"/>
            <w:tcBorders>
              <w:top w:val="nil"/>
            </w:tcBorders>
            <w:vAlign w:val="top"/>
          </w:tcPr>
          <w:p>
            <w:pPr>
              <w:rPr>
                <w:rFonts w:ascii="Arial"/>
                <w:sz w:val="21"/>
              </w:rPr>
            </w:pPr>
          </w:p>
        </w:tc>
        <w:tc>
          <w:tcPr>
            <w:tcW w:w="1046" w:type="dxa"/>
            <w:vMerge w:val="continue"/>
            <w:tcBorders>
              <w:top w:val="nil"/>
            </w:tcBorders>
            <w:vAlign w:val="top"/>
          </w:tcPr>
          <w:p>
            <w:pPr>
              <w:rPr>
                <w:rFonts w:ascii="Arial"/>
                <w:sz w:val="21"/>
              </w:rPr>
            </w:pPr>
          </w:p>
        </w:tc>
        <w:tc>
          <w:tcPr>
            <w:tcW w:w="6275" w:type="dxa"/>
            <w:tcBorders>
              <w:top w:val="single" w:color="000000" w:sz="2" w:space="0"/>
              <w:bottom w:val="single" w:color="000000" w:sz="2" w:space="0"/>
            </w:tcBorders>
            <w:vAlign w:val="top"/>
          </w:tcPr>
          <w:p>
            <w:pPr>
              <w:pStyle w:val="109"/>
              <w:spacing w:before="234" w:line="354" w:lineRule="auto"/>
              <w:ind w:left="110" w:right="105" w:firstLine="2"/>
              <w:jc w:val="both"/>
            </w:pPr>
            <w:r>
              <w:rPr>
                <w:spacing w:val="-3"/>
              </w:rPr>
              <w:t>2、项目实施方案中有供货进度及质量保障措施及承诺，内</w:t>
            </w:r>
            <w:r>
              <w:rPr>
                <w:spacing w:val="2"/>
              </w:rPr>
              <w:t xml:space="preserve"> 容具体完善，具有针对性，叙述条理清晰符合项目</w:t>
            </w:r>
            <w:r>
              <w:rPr>
                <w:spacing w:val="1"/>
              </w:rPr>
              <w:t>特点及</w:t>
            </w:r>
            <w:r>
              <w:t xml:space="preserve"> </w:t>
            </w:r>
            <w:r>
              <w:rPr>
                <w:spacing w:val="-3"/>
              </w:rPr>
              <w:t>需求的得 5 分；有供货进度及质量保障措施及承诺，但</w:t>
            </w:r>
            <w:r>
              <w:rPr>
                <w:spacing w:val="11"/>
              </w:rPr>
              <w:t xml:space="preserve"> </w:t>
            </w:r>
            <w:r>
              <w:rPr>
                <w:spacing w:val="2"/>
              </w:rPr>
              <w:t>内容简单，只有框架性承诺无具体实质性响应内容</w:t>
            </w:r>
            <w:r>
              <w:rPr>
                <w:spacing w:val="1"/>
              </w:rPr>
              <w:t>，无具</w:t>
            </w:r>
            <w:r>
              <w:t xml:space="preserve"> </w:t>
            </w:r>
            <w:r>
              <w:rPr>
                <w:spacing w:val="-4"/>
              </w:rPr>
              <w:t>体针对性的得</w:t>
            </w:r>
            <w:r>
              <w:rPr>
                <w:spacing w:val="35"/>
              </w:rPr>
              <w:t xml:space="preserve"> </w:t>
            </w:r>
            <w:r>
              <w:rPr>
                <w:spacing w:val="-4"/>
              </w:rPr>
              <w:t>2 分；未提供或明显套用其他项目内容得</w:t>
            </w:r>
            <w:r>
              <w:rPr>
                <w:spacing w:val="-8"/>
              </w:rPr>
              <w:t>0</w:t>
            </w:r>
            <w:r>
              <w:rPr>
                <w:spacing w:val="-48"/>
              </w:rPr>
              <w:t xml:space="preserve"> </w:t>
            </w:r>
            <w:r>
              <w:rPr>
                <w:spacing w:val="-8"/>
              </w:rPr>
              <w:t>分。</w:t>
            </w:r>
          </w:p>
        </w:tc>
      </w:tr>
    </w:tbl>
    <w:p>
      <w:pPr>
        <w:pStyle w:val="9"/>
      </w:pPr>
    </w:p>
    <w:p>
      <w:pPr>
        <w:sectPr>
          <w:footerReference r:id="rId6" w:type="default"/>
          <w:pgSz w:w="11850" w:h="16781"/>
          <w:pgMar w:top="720" w:right="720" w:bottom="720" w:left="720" w:header="0" w:footer="850" w:gutter="0"/>
          <w:pgNumType w:fmt="decimal"/>
          <w:cols w:space="720" w:num="1"/>
        </w:sectPr>
      </w:pPr>
    </w:p>
    <w:p>
      <w:pPr>
        <w:spacing w:before="19"/>
      </w:pPr>
    </w:p>
    <w:p>
      <w:pPr>
        <w:spacing w:before="19"/>
      </w:pPr>
    </w:p>
    <w:p>
      <w:pPr>
        <w:spacing w:before="18"/>
      </w:pPr>
    </w:p>
    <w:p>
      <w:pPr>
        <w:spacing w:before="18"/>
      </w:pPr>
    </w:p>
    <w:tbl>
      <w:tblPr>
        <w:tblStyle w:val="108"/>
        <w:tblW w:w="103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1635"/>
        <w:gridCol w:w="1126"/>
        <w:gridCol w:w="6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3" w:hRule="atLeast"/>
        </w:trPr>
        <w:tc>
          <w:tcPr>
            <w:tcW w:w="810" w:type="dxa"/>
            <w:vAlign w:val="top"/>
          </w:tcPr>
          <w:p>
            <w:pPr>
              <w:rPr>
                <w:rFonts w:ascii="Arial"/>
                <w:sz w:val="21"/>
              </w:rPr>
            </w:pPr>
          </w:p>
        </w:tc>
        <w:tc>
          <w:tcPr>
            <w:tcW w:w="1635" w:type="dxa"/>
            <w:vAlign w:val="top"/>
          </w:tcPr>
          <w:p>
            <w:pPr>
              <w:rPr>
                <w:rFonts w:ascii="Arial"/>
                <w:sz w:val="21"/>
              </w:rPr>
            </w:pPr>
          </w:p>
        </w:tc>
        <w:tc>
          <w:tcPr>
            <w:tcW w:w="1126" w:type="dxa"/>
            <w:vAlign w:val="top"/>
          </w:tcPr>
          <w:p>
            <w:pPr>
              <w:rPr>
                <w:rFonts w:ascii="Arial"/>
                <w:sz w:val="21"/>
              </w:rPr>
            </w:pPr>
          </w:p>
        </w:tc>
        <w:tc>
          <w:tcPr>
            <w:tcW w:w="6767" w:type="dxa"/>
            <w:tcBorders>
              <w:top w:val="single" w:color="000000" w:sz="2" w:space="0"/>
              <w:bottom w:val="single" w:color="000000" w:sz="2" w:space="0"/>
            </w:tcBorders>
            <w:vAlign w:val="top"/>
          </w:tcPr>
          <w:p>
            <w:pPr>
              <w:pStyle w:val="109"/>
              <w:spacing w:before="227" w:line="354" w:lineRule="auto"/>
              <w:ind w:left="110" w:right="105" w:firstLine="4"/>
              <w:jc w:val="both"/>
            </w:pPr>
            <w:bookmarkStart w:id="54" w:name="bookmark3"/>
            <w:bookmarkEnd w:id="54"/>
            <w:r>
              <w:rPr>
                <w:spacing w:val="-3"/>
              </w:rPr>
              <w:t>3、项目实施方案中有应急预案，内容具体，覆盖完善，承</w:t>
            </w:r>
            <w:r>
              <w:t xml:space="preserve"> </w:t>
            </w:r>
            <w:r>
              <w:rPr>
                <w:spacing w:val="2"/>
              </w:rPr>
              <w:t>诺内容具有针对性，叙述条理清晰符合项目特点及</w:t>
            </w:r>
            <w:r>
              <w:rPr>
                <w:spacing w:val="1"/>
              </w:rPr>
              <w:t>需求的</w:t>
            </w:r>
            <w:r>
              <w:t xml:space="preserve"> </w:t>
            </w:r>
            <w:r>
              <w:rPr>
                <w:spacing w:val="-3"/>
              </w:rPr>
              <w:t>得 5 分；有应急预案，预案内容简单覆盖不完善，承诺</w:t>
            </w:r>
            <w:r>
              <w:rPr>
                <w:spacing w:val="11"/>
              </w:rPr>
              <w:t xml:space="preserve"> </w:t>
            </w:r>
            <w:r>
              <w:rPr>
                <w:spacing w:val="2"/>
              </w:rPr>
              <w:t>内容简单条理混乱，只有框架性承诺无具体实质性</w:t>
            </w:r>
            <w:r>
              <w:rPr>
                <w:spacing w:val="1"/>
              </w:rPr>
              <w:t>响应内</w:t>
            </w:r>
            <w:r>
              <w:t xml:space="preserve"> </w:t>
            </w:r>
            <w:r>
              <w:rPr>
                <w:spacing w:val="-4"/>
              </w:rPr>
              <w:t>容，无具体针对性的得</w:t>
            </w:r>
            <w:r>
              <w:rPr>
                <w:spacing w:val="32"/>
              </w:rPr>
              <w:t xml:space="preserve"> </w:t>
            </w:r>
            <w:r>
              <w:rPr>
                <w:spacing w:val="-4"/>
              </w:rPr>
              <w:t>2 分；未提供或明显套用其他项</w:t>
            </w:r>
            <w:r>
              <w:rPr>
                <w:spacing w:val="-11"/>
              </w:rPr>
              <w:t>目内容得</w:t>
            </w:r>
            <w:r>
              <w:rPr>
                <w:spacing w:val="-47"/>
              </w:rPr>
              <w:t xml:space="preserve"> </w:t>
            </w:r>
            <w:r>
              <w:rPr>
                <w:spacing w:val="-11"/>
              </w:rPr>
              <w:t>0</w:t>
            </w:r>
            <w:r>
              <w:rPr>
                <w:spacing w:val="-46"/>
              </w:rPr>
              <w:t xml:space="preserve"> </w:t>
            </w:r>
            <w:r>
              <w:rPr>
                <w:spacing w:val="-1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trPr>
        <w:tc>
          <w:tcPr>
            <w:tcW w:w="810" w:type="dxa"/>
            <w:tcBorders>
              <w:bottom w:val="single" w:color="000000" w:sz="2" w:space="0"/>
            </w:tcBorders>
            <w:vAlign w:val="top"/>
          </w:tcPr>
          <w:p>
            <w:pPr>
              <w:spacing w:line="318" w:lineRule="auto"/>
              <w:rPr>
                <w:rFonts w:ascii="Arial"/>
                <w:sz w:val="21"/>
              </w:rPr>
            </w:pPr>
          </w:p>
          <w:p>
            <w:pPr>
              <w:spacing w:line="319" w:lineRule="auto"/>
              <w:rPr>
                <w:rFonts w:ascii="Arial"/>
                <w:sz w:val="21"/>
              </w:rPr>
            </w:pPr>
          </w:p>
          <w:p>
            <w:pPr>
              <w:pStyle w:val="109"/>
              <w:spacing w:before="78" w:line="183" w:lineRule="auto"/>
              <w:ind w:left="322"/>
            </w:pPr>
            <w:r>
              <w:t>3</w:t>
            </w:r>
          </w:p>
        </w:tc>
        <w:tc>
          <w:tcPr>
            <w:tcW w:w="1635" w:type="dxa"/>
            <w:tcBorders>
              <w:bottom w:val="single" w:color="000000" w:sz="2" w:space="0"/>
            </w:tcBorders>
            <w:vAlign w:val="top"/>
          </w:tcPr>
          <w:p>
            <w:pPr>
              <w:pStyle w:val="109"/>
              <w:spacing w:before="251" w:line="219" w:lineRule="auto"/>
              <w:ind w:left="173"/>
            </w:pPr>
            <w:r>
              <w:rPr>
                <w:spacing w:val="-2"/>
              </w:rPr>
              <w:t>投标货物的</w:t>
            </w:r>
          </w:p>
          <w:p>
            <w:pPr>
              <w:pStyle w:val="109"/>
              <w:spacing w:before="177" w:line="219" w:lineRule="auto"/>
              <w:ind w:left="159"/>
            </w:pPr>
            <w:r>
              <w:rPr>
                <w:spacing w:val="-2"/>
              </w:rPr>
              <w:t>性能及技术</w:t>
            </w:r>
          </w:p>
          <w:p>
            <w:pPr>
              <w:pStyle w:val="109"/>
              <w:spacing w:before="175" w:line="220" w:lineRule="auto"/>
              <w:ind w:left="521"/>
            </w:pPr>
            <w:r>
              <w:rPr>
                <w:spacing w:val="-5"/>
              </w:rPr>
              <w:t>指标</w:t>
            </w:r>
          </w:p>
        </w:tc>
        <w:tc>
          <w:tcPr>
            <w:tcW w:w="1126" w:type="dxa"/>
            <w:tcBorders>
              <w:bottom w:val="single" w:color="000000" w:sz="2" w:space="0"/>
            </w:tcBorders>
            <w:vAlign w:val="top"/>
          </w:tcPr>
          <w:p>
            <w:pPr>
              <w:spacing w:line="311" w:lineRule="auto"/>
              <w:rPr>
                <w:rFonts w:ascii="Arial"/>
                <w:sz w:val="21"/>
              </w:rPr>
            </w:pPr>
          </w:p>
          <w:p>
            <w:pPr>
              <w:spacing w:line="312" w:lineRule="auto"/>
              <w:rPr>
                <w:rFonts w:ascii="Arial"/>
                <w:sz w:val="21"/>
              </w:rPr>
            </w:pPr>
          </w:p>
          <w:p>
            <w:pPr>
              <w:pStyle w:val="109"/>
              <w:spacing w:before="78" w:line="220" w:lineRule="auto"/>
              <w:ind w:left="136"/>
            </w:pPr>
            <w:r>
              <w:rPr>
                <w:spacing w:val="-3"/>
              </w:rPr>
              <w:t>0-20</w:t>
            </w:r>
            <w:r>
              <w:rPr>
                <w:spacing w:val="-46"/>
              </w:rPr>
              <w:t xml:space="preserve"> </w:t>
            </w:r>
            <w:r>
              <w:rPr>
                <w:spacing w:val="-3"/>
              </w:rPr>
              <w:t>分</w:t>
            </w:r>
          </w:p>
        </w:tc>
        <w:tc>
          <w:tcPr>
            <w:tcW w:w="6767" w:type="dxa"/>
            <w:tcBorders>
              <w:top w:val="single" w:color="000000" w:sz="2" w:space="0"/>
              <w:bottom w:val="single" w:color="000000" w:sz="2" w:space="0"/>
            </w:tcBorders>
            <w:vAlign w:val="top"/>
          </w:tcPr>
          <w:p>
            <w:pPr>
              <w:pStyle w:val="109"/>
              <w:spacing w:before="222" w:line="354" w:lineRule="auto"/>
              <w:ind w:left="111" w:right="106" w:hanging="1"/>
              <w:jc w:val="both"/>
            </w:pPr>
            <w:r>
              <w:rPr>
                <w:spacing w:val="2"/>
              </w:rPr>
              <w:t>根据投标人提供的物品性能质量、技术指标和系统</w:t>
            </w:r>
            <w:r>
              <w:rPr>
                <w:spacing w:val="1"/>
              </w:rPr>
              <w:t>功能要</w:t>
            </w:r>
            <w:r>
              <w:t xml:space="preserve"> </w:t>
            </w:r>
            <w:r>
              <w:rPr>
                <w:spacing w:val="-5"/>
              </w:rPr>
              <w:t>求进行评定，所投产品全部响应指标得</w:t>
            </w:r>
            <w:r>
              <w:rPr>
                <w:spacing w:val="-22"/>
              </w:rPr>
              <w:t xml:space="preserve"> </w:t>
            </w:r>
            <w:r>
              <w:rPr>
                <w:spacing w:val="-5"/>
              </w:rPr>
              <w:t>12</w:t>
            </w:r>
            <w:r>
              <w:rPr>
                <w:spacing w:val="-46"/>
              </w:rPr>
              <w:t xml:space="preserve"> </w:t>
            </w:r>
            <w:r>
              <w:rPr>
                <w:spacing w:val="-5"/>
              </w:rPr>
              <w:t>分；如有一项参</w:t>
            </w:r>
            <w:r>
              <w:rPr>
                <w:spacing w:val="-2"/>
              </w:rPr>
              <w:t>数优于招标文件要求的得 2</w:t>
            </w:r>
            <w:r>
              <w:rPr>
                <w:spacing w:val="-32"/>
              </w:rPr>
              <w:t xml:space="preserve"> </w:t>
            </w:r>
            <w:r>
              <w:rPr>
                <w:spacing w:val="-2"/>
              </w:rPr>
              <w:t>分，最高得</w:t>
            </w:r>
            <w:r>
              <w:rPr>
                <w:spacing w:val="-49"/>
              </w:rPr>
              <w:t xml:space="preserve"> </w:t>
            </w:r>
            <w:r>
              <w:rPr>
                <w:spacing w:val="-2"/>
              </w:rPr>
              <w:t>8</w:t>
            </w:r>
            <w:r>
              <w:rPr>
                <w:spacing w:val="-46"/>
              </w:rPr>
              <w:t xml:space="preserve"> </w:t>
            </w:r>
            <w:r>
              <w:rPr>
                <w:spacing w:val="-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0" w:hRule="atLeast"/>
        </w:trPr>
        <w:tc>
          <w:tcPr>
            <w:tcW w:w="810"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09"/>
              <w:spacing w:before="78" w:line="183" w:lineRule="auto"/>
              <w:ind w:left="316"/>
            </w:pPr>
            <w:r>
              <w:t>4</w:t>
            </w:r>
          </w:p>
        </w:tc>
        <w:tc>
          <w:tcPr>
            <w:tcW w:w="1635"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09"/>
              <w:spacing w:before="78" w:line="460" w:lineRule="exact"/>
              <w:ind w:left="156"/>
            </w:pPr>
            <w:r>
              <w:rPr>
                <w:spacing w:val="-1"/>
                <w:position w:val="16"/>
              </w:rPr>
              <w:t>售后服务承</w:t>
            </w:r>
          </w:p>
          <w:p>
            <w:pPr>
              <w:pStyle w:val="109"/>
              <w:spacing w:before="1" w:line="222" w:lineRule="auto"/>
              <w:ind w:left="638"/>
            </w:pPr>
            <w:r>
              <w:t>诺</w:t>
            </w:r>
          </w:p>
        </w:tc>
        <w:tc>
          <w:tcPr>
            <w:tcW w:w="1126" w:type="dxa"/>
            <w:vMerge w:val="restart"/>
            <w:tcBorders>
              <w:top w:val="single" w:color="000000" w:sz="2"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09"/>
              <w:spacing w:before="78" w:line="220" w:lineRule="auto"/>
              <w:ind w:left="136"/>
            </w:pPr>
            <w:r>
              <w:rPr>
                <w:spacing w:val="-3"/>
              </w:rPr>
              <w:t>0-15</w:t>
            </w:r>
            <w:r>
              <w:rPr>
                <w:spacing w:val="-46"/>
              </w:rPr>
              <w:t xml:space="preserve"> </w:t>
            </w:r>
            <w:r>
              <w:rPr>
                <w:spacing w:val="-3"/>
              </w:rPr>
              <w:t>分</w:t>
            </w:r>
          </w:p>
        </w:tc>
        <w:tc>
          <w:tcPr>
            <w:tcW w:w="6767" w:type="dxa"/>
            <w:tcBorders>
              <w:top w:val="single" w:color="000000" w:sz="2" w:space="0"/>
              <w:bottom w:val="single" w:color="000000" w:sz="2" w:space="0"/>
            </w:tcBorders>
            <w:vAlign w:val="top"/>
          </w:tcPr>
          <w:p>
            <w:pPr>
              <w:pStyle w:val="109"/>
              <w:spacing w:before="224" w:line="354" w:lineRule="auto"/>
              <w:ind w:left="110" w:right="106"/>
              <w:jc w:val="both"/>
            </w:pPr>
            <w:r>
              <w:rPr>
                <w:spacing w:val="2"/>
              </w:rPr>
              <w:t>根据供应商针对本项目的售后服务方案及承诺、售</w:t>
            </w:r>
            <w:r>
              <w:rPr>
                <w:spacing w:val="1"/>
              </w:rPr>
              <w:t>后服务</w:t>
            </w:r>
            <w:r>
              <w:t xml:space="preserve"> </w:t>
            </w:r>
            <w:r>
              <w:rPr>
                <w:spacing w:val="2"/>
              </w:rPr>
              <w:t>体系和故障快速解决方案及流程、售后服务沟通渠</w:t>
            </w:r>
            <w:r>
              <w:rPr>
                <w:spacing w:val="1"/>
              </w:rPr>
              <w:t>道及沟</w:t>
            </w:r>
            <w:r>
              <w:t>通团队等（包含但不限于）内容。</w:t>
            </w:r>
          </w:p>
          <w:p>
            <w:pPr>
              <w:pStyle w:val="109"/>
              <w:spacing w:before="293" w:line="354" w:lineRule="auto"/>
              <w:ind w:left="109" w:right="25" w:firstLine="19"/>
              <w:jc w:val="both"/>
            </w:pPr>
            <w:r>
              <w:rPr>
                <w:spacing w:val="-4"/>
              </w:rPr>
              <w:t>1、有售后服务方案及承诺、售后服务体系和故障快速</w:t>
            </w:r>
            <w:r>
              <w:rPr>
                <w:spacing w:val="-5"/>
              </w:rPr>
              <w:t xml:space="preserve">解决 </w:t>
            </w:r>
            <w:r>
              <w:rPr>
                <w:spacing w:val="2"/>
              </w:rPr>
              <w:t>方案，内容详细、完整、合理有效、可行性高、内容叙述</w:t>
            </w:r>
            <w:r>
              <w:t xml:space="preserve"> </w:t>
            </w:r>
            <w:r>
              <w:rPr>
                <w:spacing w:val="2"/>
              </w:rPr>
              <w:t>条理清晰符合项目特点及需求、提供人员调配5</w:t>
            </w:r>
            <w:r>
              <w:rPr>
                <w:spacing w:val="-41"/>
              </w:rPr>
              <w:t xml:space="preserve"> </w:t>
            </w:r>
            <w:r>
              <w:rPr>
                <w:spacing w:val="2"/>
              </w:rPr>
              <w:t>人得</w:t>
            </w:r>
            <w:r>
              <w:rPr>
                <w:spacing w:val="-41"/>
              </w:rPr>
              <w:t xml:space="preserve"> </w:t>
            </w:r>
            <w:r>
              <w:rPr>
                <w:spacing w:val="-7"/>
              </w:rPr>
              <w:t>8</w:t>
            </w:r>
            <w:r>
              <w:rPr>
                <w:spacing w:val="-42"/>
              </w:rPr>
              <w:t xml:space="preserve"> </w:t>
            </w:r>
            <w:r>
              <w:rPr>
                <w:spacing w:val="-7"/>
              </w:rPr>
              <w:t>分；有售后服务方案及承诺，但内容粗略，缺乏针对性、</w:t>
            </w:r>
            <w:r>
              <w:t xml:space="preserve"> </w:t>
            </w:r>
            <w:r>
              <w:rPr>
                <w:spacing w:val="-2"/>
              </w:rPr>
              <w:t>可行性低、人员调配</w:t>
            </w:r>
            <w:r>
              <w:rPr>
                <w:spacing w:val="-20"/>
              </w:rPr>
              <w:t xml:space="preserve"> </w:t>
            </w:r>
            <w:r>
              <w:rPr>
                <w:spacing w:val="-2"/>
              </w:rPr>
              <w:t>3</w:t>
            </w:r>
            <w:r>
              <w:rPr>
                <w:spacing w:val="-44"/>
              </w:rPr>
              <w:t xml:space="preserve"> </w:t>
            </w:r>
            <w:r>
              <w:rPr>
                <w:spacing w:val="-2"/>
              </w:rPr>
              <w:t>人得</w:t>
            </w:r>
            <w:r>
              <w:rPr>
                <w:spacing w:val="-30"/>
              </w:rPr>
              <w:t xml:space="preserve"> </w:t>
            </w:r>
            <w:r>
              <w:rPr>
                <w:spacing w:val="-2"/>
              </w:rPr>
              <w:t>4</w:t>
            </w:r>
            <w:r>
              <w:rPr>
                <w:spacing w:val="-46"/>
              </w:rPr>
              <w:t xml:space="preserve"> </w:t>
            </w:r>
            <w:r>
              <w:rPr>
                <w:spacing w:val="-2"/>
              </w:rPr>
              <w:t>分；未提供或明显套用</w:t>
            </w:r>
            <w:r>
              <w:rPr>
                <w:spacing w:val="-1"/>
              </w:rPr>
              <w:t>其他项目内容不得分。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7" w:hRule="atLeast"/>
        </w:trPr>
        <w:tc>
          <w:tcPr>
            <w:tcW w:w="810" w:type="dxa"/>
            <w:vMerge w:val="continue"/>
            <w:tcBorders>
              <w:top w:val="nil"/>
              <w:bottom w:val="single" w:color="000000" w:sz="2" w:space="0"/>
            </w:tcBorders>
            <w:vAlign w:val="top"/>
          </w:tcPr>
          <w:p>
            <w:pPr>
              <w:rPr>
                <w:rFonts w:ascii="Arial"/>
                <w:sz w:val="21"/>
              </w:rPr>
            </w:pPr>
          </w:p>
        </w:tc>
        <w:tc>
          <w:tcPr>
            <w:tcW w:w="1635" w:type="dxa"/>
            <w:vMerge w:val="continue"/>
            <w:tcBorders>
              <w:top w:val="nil"/>
              <w:bottom w:val="single" w:color="000000" w:sz="2" w:space="0"/>
            </w:tcBorders>
            <w:vAlign w:val="top"/>
          </w:tcPr>
          <w:p>
            <w:pPr>
              <w:rPr>
                <w:rFonts w:ascii="Arial"/>
                <w:sz w:val="21"/>
              </w:rPr>
            </w:pPr>
          </w:p>
        </w:tc>
        <w:tc>
          <w:tcPr>
            <w:tcW w:w="1126" w:type="dxa"/>
            <w:vMerge w:val="continue"/>
            <w:tcBorders>
              <w:top w:val="nil"/>
              <w:bottom w:val="single" w:color="000000" w:sz="2" w:space="0"/>
            </w:tcBorders>
            <w:vAlign w:val="top"/>
          </w:tcPr>
          <w:p>
            <w:pPr>
              <w:rPr>
                <w:rFonts w:ascii="Arial"/>
                <w:sz w:val="21"/>
              </w:rPr>
            </w:pPr>
          </w:p>
        </w:tc>
        <w:tc>
          <w:tcPr>
            <w:tcW w:w="6767" w:type="dxa"/>
            <w:tcBorders>
              <w:top w:val="single" w:color="000000" w:sz="2" w:space="0"/>
              <w:bottom w:val="single" w:color="000000" w:sz="2" w:space="0"/>
            </w:tcBorders>
            <w:vAlign w:val="top"/>
          </w:tcPr>
          <w:p>
            <w:pPr>
              <w:pStyle w:val="109"/>
              <w:spacing w:before="230" w:line="354" w:lineRule="auto"/>
              <w:ind w:left="110" w:right="25" w:firstLine="3"/>
              <w:jc w:val="both"/>
            </w:pPr>
            <w:r>
              <w:rPr>
                <w:spacing w:val="-4"/>
              </w:rPr>
              <w:t xml:space="preserve">2、有完整的故障快速解决方案及流程、售后服务沟通渠道 </w:t>
            </w:r>
            <w:r>
              <w:t>及沟通团队,与项目有关的其他注意事项内容，内容详细、</w:t>
            </w:r>
            <w:r>
              <w:rPr>
                <w:spacing w:val="8"/>
              </w:rPr>
              <w:t xml:space="preserve"> </w:t>
            </w:r>
            <w:r>
              <w:rPr>
                <w:spacing w:val="2"/>
              </w:rPr>
              <w:t>完整、合理有效、可行性高、内容叙述条理清晰符</w:t>
            </w:r>
            <w:r>
              <w:rPr>
                <w:spacing w:val="1"/>
              </w:rPr>
              <w:t>合项目</w:t>
            </w:r>
            <w:r>
              <w:t xml:space="preserve"> </w:t>
            </w:r>
            <w:r>
              <w:rPr>
                <w:spacing w:val="12"/>
              </w:rPr>
              <w:t>特点及需求、能够贴合项目特点快速解决预想故</w:t>
            </w:r>
            <w:r>
              <w:rPr>
                <w:spacing w:val="11"/>
              </w:rPr>
              <w:t>障的得</w:t>
            </w:r>
            <w:r>
              <w:t xml:space="preserve"> </w:t>
            </w:r>
            <w:r>
              <w:rPr>
                <w:spacing w:val="1"/>
              </w:rPr>
              <w:t xml:space="preserve">7 分；有故障快速解决方案及流程、售后服务沟通渠道 </w:t>
            </w:r>
            <w:r>
              <w:rPr>
                <w:spacing w:val="-5"/>
              </w:rPr>
              <w:t>及沟通团队等内容，但内容粗略，缺乏针对性、可行性低、</w:t>
            </w:r>
            <w:r>
              <w:rPr>
                <w:spacing w:val="18"/>
              </w:rPr>
              <w:t xml:space="preserve"> </w:t>
            </w:r>
            <w:r>
              <w:t>无法快速解决预想故障的得</w:t>
            </w:r>
            <w:r>
              <w:rPr>
                <w:spacing w:val="-29"/>
              </w:rPr>
              <w:t xml:space="preserve"> </w:t>
            </w:r>
            <w:r>
              <w:t>4</w:t>
            </w:r>
            <w:r>
              <w:rPr>
                <w:spacing w:val="-43"/>
              </w:rPr>
              <w:t xml:space="preserve"> </w:t>
            </w:r>
            <w:r>
              <w:t>分，未提供或明显套用其他项目内容不得分。</w:t>
            </w:r>
          </w:p>
        </w:tc>
      </w:tr>
    </w:tbl>
    <w:p>
      <w:pPr>
        <w:sectPr>
          <w:footerReference r:id="rId7" w:type="default"/>
          <w:pgSz w:w="11850" w:h="16781"/>
          <w:pgMar w:top="720" w:right="720" w:bottom="720" w:left="720" w:header="0" w:footer="850" w:gutter="0"/>
          <w:pgNumType w:fmt="decimal"/>
          <w:cols w:space="720" w:num="1"/>
        </w:sectPr>
      </w:pPr>
    </w:p>
    <w:tbl>
      <w:tblPr>
        <w:tblStyle w:val="108"/>
        <w:tblW w:w="10358"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1638"/>
        <w:gridCol w:w="1129"/>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2" w:hRule="atLeast"/>
        </w:trPr>
        <w:tc>
          <w:tcPr>
            <w:tcW w:w="812" w:type="dxa"/>
            <w:tcBorders>
              <w:top w:val="single" w:color="000000" w:sz="2" w:space="0"/>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09"/>
              <w:spacing w:before="78" w:line="182" w:lineRule="auto"/>
              <w:ind w:left="322"/>
            </w:pPr>
            <w:r>
              <w:t>5</w:t>
            </w:r>
          </w:p>
        </w:tc>
        <w:tc>
          <w:tcPr>
            <w:tcW w:w="1638" w:type="dxa"/>
            <w:tcBorders>
              <w:top w:val="single" w:color="000000" w:sz="2" w:space="0"/>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109"/>
              <w:spacing w:before="78" w:line="459" w:lineRule="exact"/>
              <w:ind w:left="162"/>
            </w:pPr>
            <w:r>
              <w:rPr>
                <w:spacing w:val="-3"/>
                <w:position w:val="16"/>
              </w:rPr>
              <w:t>货物供应的</w:t>
            </w:r>
          </w:p>
          <w:p>
            <w:pPr>
              <w:pStyle w:val="109"/>
              <w:spacing w:before="1" w:line="220" w:lineRule="auto"/>
              <w:ind w:left="398"/>
            </w:pPr>
            <w:r>
              <w:rPr>
                <w:spacing w:val="-3"/>
              </w:rPr>
              <w:t>可靠性</w:t>
            </w:r>
          </w:p>
        </w:tc>
        <w:tc>
          <w:tcPr>
            <w:tcW w:w="1129" w:type="dxa"/>
            <w:tcBorders>
              <w:top w:val="single" w:color="000000" w:sz="2" w:space="0"/>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109"/>
              <w:spacing w:before="78" w:line="220" w:lineRule="auto"/>
              <w:ind w:left="136"/>
            </w:pPr>
            <w:r>
              <w:rPr>
                <w:spacing w:val="-3"/>
              </w:rPr>
              <w:t>0-10</w:t>
            </w:r>
            <w:r>
              <w:rPr>
                <w:spacing w:val="-46"/>
              </w:rPr>
              <w:t xml:space="preserve"> </w:t>
            </w:r>
            <w:r>
              <w:rPr>
                <w:spacing w:val="-3"/>
              </w:rPr>
              <w:t>分</w:t>
            </w:r>
          </w:p>
        </w:tc>
        <w:tc>
          <w:tcPr>
            <w:tcW w:w="6779" w:type="dxa"/>
            <w:tcBorders>
              <w:top w:val="single" w:color="000000" w:sz="2" w:space="0"/>
            </w:tcBorders>
            <w:vAlign w:val="top"/>
          </w:tcPr>
          <w:p>
            <w:pPr>
              <w:pStyle w:val="109"/>
              <w:spacing w:before="226" w:line="461" w:lineRule="exact"/>
              <w:ind w:left="111"/>
            </w:pPr>
            <w:bookmarkStart w:id="55" w:name="bookmark4"/>
            <w:bookmarkEnd w:id="55"/>
            <w:r>
              <w:rPr>
                <w:spacing w:val="2"/>
                <w:position w:val="16"/>
              </w:rPr>
              <w:t>有优质的货物供应方案，提供货物清单，保证货</w:t>
            </w:r>
            <w:r>
              <w:rPr>
                <w:spacing w:val="1"/>
                <w:position w:val="16"/>
              </w:rPr>
              <w:t>物数量充</w:t>
            </w:r>
          </w:p>
          <w:p>
            <w:pPr>
              <w:pStyle w:val="109"/>
              <w:spacing w:line="218" w:lineRule="auto"/>
              <w:ind w:left="114"/>
            </w:pPr>
            <w:r>
              <w:rPr>
                <w:spacing w:val="-3"/>
              </w:rPr>
              <w:t>足，能够在</w:t>
            </w:r>
            <w:r>
              <w:rPr>
                <w:spacing w:val="-24"/>
              </w:rPr>
              <w:t xml:space="preserve"> </w:t>
            </w:r>
            <w:r>
              <w:rPr>
                <w:spacing w:val="-3"/>
              </w:rPr>
              <w:t>12</w:t>
            </w:r>
            <w:r>
              <w:rPr>
                <w:spacing w:val="-41"/>
              </w:rPr>
              <w:t xml:space="preserve"> </w:t>
            </w:r>
            <w:r>
              <w:rPr>
                <w:spacing w:val="-3"/>
              </w:rPr>
              <w:t>小时之内供应配货的得10</w:t>
            </w:r>
            <w:r>
              <w:rPr>
                <w:spacing w:val="-48"/>
              </w:rPr>
              <w:t xml:space="preserve"> </w:t>
            </w:r>
            <w:r>
              <w:rPr>
                <w:spacing w:val="-3"/>
              </w:rPr>
              <w:t>分；</w:t>
            </w:r>
          </w:p>
          <w:p>
            <w:pPr>
              <w:pStyle w:val="109"/>
              <w:spacing w:before="296" w:line="459" w:lineRule="exact"/>
              <w:ind w:left="111"/>
            </w:pPr>
            <w:r>
              <w:rPr>
                <w:spacing w:val="-4"/>
                <w:position w:val="16"/>
              </w:rPr>
              <w:t>有货物供应方案，提供货物清单，有货物数量，在</w:t>
            </w:r>
            <w:r>
              <w:rPr>
                <w:spacing w:val="-48"/>
                <w:position w:val="16"/>
              </w:rPr>
              <w:t xml:space="preserve"> </w:t>
            </w:r>
            <w:r>
              <w:rPr>
                <w:spacing w:val="-4"/>
                <w:position w:val="16"/>
              </w:rPr>
              <w:t>24</w:t>
            </w:r>
            <w:r>
              <w:rPr>
                <w:spacing w:val="-42"/>
                <w:position w:val="16"/>
              </w:rPr>
              <w:t xml:space="preserve"> </w:t>
            </w:r>
            <w:r>
              <w:rPr>
                <w:spacing w:val="-4"/>
                <w:position w:val="16"/>
              </w:rPr>
              <w:t>小时</w:t>
            </w:r>
          </w:p>
          <w:p>
            <w:pPr>
              <w:pStyle w:val="109"/>
              <w:spacing w:line="218" w:lineRule="auto"/>
              <w:ind w:left="112"/>
            </w:pPr>
            <w:r>
              <w:rPr>
                <w:spacing w:val="-3"/>
              </w:rPr>
              <w:t>之内供应配货的的得5</w:t>
            </w:r>
            <w:r>
              <w:rPr>
                <w:spacing w:val="-47"/>
              </w:rPr>
              <w:t xml:space="preserve"> </w:t>
            </w:r>
            <w:r>
              <w:rPr>
                <w:spacing w:val="-3"/>
              </w:rPr>
              <w:t>分；</w:t>
            </w:r>
          </w:p>
          <w:p>
            <w:pPr>
              <w:pStyle w:val="109"/>
              <w:spacing w:before="296" w:line="461" w:lineRule="exact"/>
              <w:ind w:left="114"/>
            </w:pPr>
            <w:r>
              <w:rPr>
                <w:spacing w:val="-3"/>
                <w:position w:val="16"/>
              </w:rPr>
              <w:t>没有完整的货物供应方案,没有货物数量，不能及时供</w:t>
            </w:r>
            <w:r>
              <w:rPr>
                <w:spacing w:val="-4"/>
                <w:position w:val="16"/>
              </w:rPr>
              <w:t>应配</w:t>
            </w:r>
          </w:p>
          <w:p>
            <w:pPr>
              <w:pStyle w:val="109"/>
              <w:spacing w:before="1" w:line="218" w:lineRule="auto"/>
              <w:ind w:left="116"/>
            </w:pPr>
            <w:r>
              <w:rPr>
                <w:spacing w:val="-7"/>
              </w:rPr>
              <w:t>货的得</w:t>
            </w:r>
            <w:r>
              <w:rPr>
                <w:spacing w:val="-42"/>
              </w:rPr>
              <w:t xml:space="preserve"> </w:t>
            </w:r>
            <w:r>
              <w:rPr>
                <w:spacing w:val="-7"/>
              </w:rPr>
              <w:t>0</w:t>
            </w:r>
            <w:r>
              <w:rPr>
                <w:spacing w:val="-48"/>
              </w:rPr>
              <w:t xml:space="preserve"> </w:t>
            </w:r>
            <w:r>
              <w:rPr>
                <w:spacing w:val="-7"/>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5" w:hRule="atLeast"/>
        </w:trPr>
        <w:tc>
          <w:tcPr>
            <w:tcW w:w="812"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109"/>
              <w:spacing w:before="78" w:line="183" w:lineRule="auto"/>
              <w:ind w:left="319"/>
            </w:pPr>
            <w:r>
              <w:t>6</w:t>
            </w:r>
          </w:p>
        </w:tc>
        <w:tc>
          <w:tcPr>
            <w:tcW w:w="16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09"/>
              <w:spacing w:before="78" w:line="220" w:lineRule="auto"/>
              <w:ind w:left="281"/>
            </w:pPr>
            <w:r>
              <w:rPr>
                <w:spacing w:val="-3"/>
              </w:rPr>
              <w:t>安装方案</w:t>
            </w:r>
          </w:p>
        </w:tc>
        <w:tc>
          <w:tcPr>
            <w:tcW w:w="112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09"/>
              <w:spacing w:before="78" w:line="220" w:lineRule="auto"/>
              <w:ind w:left="136"/>
            </w:pPr>
            <w:r>
              <w:rPr>
                <w:spacing w:val="-3"/>
              </w:rPr>
              <w:t>0-10</w:t>
            </w:r>
            <w:r>
              <w:rPr>
                <w:spacing w:val="-46"/>
              </w:rPr>
              <w:t xml:space="preserve"> </w:t>
            </w:r>
            <w:r>
              <w:rPr>
                <w:spacing w:val="-3"/>
              </w:rPr>
              <w:t>分</w:t>
            </w:r>
          </w:p>
        </w:tc>
        <w:tc>
          <w:tcPr>
            <w:tcW w:w="6779" w:type="dxa"/>
            <w:vAlign w:val="top"/>
          </w:tcPr>
          <w:p>
            <w:pPr>
              <w:pStyle w:val="109"/>
              <w:spacing w:before="222" w:line="354" w:lineRule="auto"/>
              <w:ind w:left="110" w:right="106" w:firstLine="4"/>
              <w:jc w:val="both"/>
            </w:pPr>
            <w:r>
              <w:rPr>
                <w:spacing w:val="1"/>
              </w:rPr>
              <w:t>安装方案明确具体，方案完善的完全满足安装要求的，安</w:t>
            </w:r>
            <w:r>
              <w:rPr>
                <w:spacing w:val="2"/>
              </w:rPr>
              <w:t>装方案符合项目需求切合实际，有具体的安装流程</w:t>
            </w:r>
            <w:r>
              <w:rPr>
                <w:spacing w:val="1"/>
              </w:rPr>
              <w:t>，有合</w:t>
            </w:r>
            <w:r>
              <w:rPr>
                <w:spacing w:val="7"/>
              </w:rPr>
              <w:t>理可行的安全保证措施，安装人员配备合理充足得</w:t>
            </w:r>
            <w:r>
              <w:rPr>
                <w:spacing w:val="-18"/>
              </w:rPr>
              <w:t xml:space="preserve"> </w:t>
            </w:r>
            <w:r>
              <w:rPr>
                <w:spacing w:val="7"/>
              </w:rPr>
              <w:t>10</w:t>
            </w:r>
            <w:r>
              <w:rPr>
                <w:spacing w:val="-7"/>
              </w:rPr>
              <w:t>分；</w:t>
            </w:r>
          </w:p>
          <w:p>
            <w:pPr>
              <w:pStyle w:val="109"/>
              <w:spacing w:before="292" w:line="461" w:lineRule="exact"/>
              <w:ind w:left="115"/>
            </w:pPr>
            <w:r>
              <w:rPr>
                <w:spacing w:val="-3"/>
                <w:position w:val="16"/>
              </w:rPr>
              <w:t>安装方案基本符合项目需求切合实际，无具体的安装流程,</w:t>
            </w:r>
          </w:p>
          <w:p>
            <w:pPr>
              <w:pStyle w:val="109"/>
              <w:spacing w:line="216" w:lineRule="auto"/>
              <w:ind w:left="112"/>
            </w:pPr>
            <w:r>
              <w:rPr>
                <w:spacing w:val="-1"/>
              </w:rPr>
              <w:t>无安全保证措施,安装人员配备不充足的得</w:t>
            </w:r>
            <w:r>
              <w:rPr>
                <w:spacing w:val="-35"/>
              </w:rPr>
              <w:t xml:space="preserve"> </w:t>
            </w:r>
            <w:r>
              <w:rPr>
                <w:spacing w:val="-1"/>
              </w:rPr>
              <w:t>6</w:t>
            </w:r>
            <w:r>
              <w:rPr>
                <w:spacing w:val="-47"/>
              </w:rPr>
              <w:t xml:space="preserve"> </w:t>
            </w:r>
            <w:r>
              <w:rPr>
                <w:spacing w:val="-1"/>
              </w:rPr>
              <w:t>分；</w:t>
            </w:r>
          </w:p>
          <w:p>
            <w:pPr>
              <w:pStyle w:val="109"/>
              <w:spacing w:before="299" w:line="458" w:lineRule="exact"/>
              <w:ind w:left="115"/>
            </w:pPr>
            <w:r>
              <w:rPr>
                <w:spacing w:val="1"/>
                <w:position w:val="16"/>
              </w:rPr>
              <w:t>安装方案不切合项目实际情况，有明显缺陷，不满足安装</w:t>
            </w:r>
          </w:p>
          <w:p>
            <w:pPr>
              <w:pStyle w:val="109"/>
              <w:spacing w:line="219" w:lineRule="auto"/>
              <w:ind w:left="111"/>
            </w:pPr>
            <w:r>
              <w:rPr>
                <w:spacing w:val="-3"/>
              </w:rPr>
              <w:t>要求的得</w:t>
            </w:r>
            <w:r>
              <w:rPr>
                <w:spacing w:val="-49"/>
              </w:rPr>
              <w:t xml:space="preserve"> </w:t>
            </w:r>
            <w:r>
              <w:rPr>
                <w:spacing w:val="-3"/>
              </w:rPr>
              <w:t>0</w:t>
            </w:r>
            <w:bookmarkStart w:id="136" w:name="_GoBack"/>
            <w:bookmarkEnd w:id="136"/>
            <w:r>
              <w:rPr>
                <w:spacing w:val="-48"/>
              </w:rPr>
              <w:t xml:space="preserve"> </w:t>
            </w:r>
            <w:r>
              <w:rPr>
                <w:spacing w:val="-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2450" w:type="dxa"/>
            <w:gridSpan w:val="2"/>
            <w:tcBorders>
              <w:bottom w:val="single" w:color="000000" w:sz="2" w:space="0"/>
            </w:tcBorders>
            <w:vAlign w:val="top"/>
          </w:tcPr>
          <w:p>
            <w:pPr>
              <w:pStyle w:val="109"/>
              <w:spacing w:before="224" w:line="221" w:lineRule="auto"/>
              <w:ind w:left="897"/>
            </w:pPr>
            <w:r>
              <w:rPr>
                <w:spacing w:val="-4"/>
              </w:rPr>
              <w:t>合计</w:t>
            </w:r>
          </w:p>
        </w:tc>
        <w:tc>
          <w:tcPr>
            <w:tcW w:w="1129" w:type="dxa"/>
            <w:tcBorders>
              <w:bottom w:val="single" w:color="000000" w:sz="2" w:space="0"/>
            </w:tcBorders>
            <w:vAlign w:val="top"/>
          </w:tcPr>
          <w:p>
            <w:pPr>
              <w:pStyle w:val="109"/>
              <w:spacing w:before="225" w:line="220" w:lineRule="auto"/>
              <w:ind w:left="260"/>
            </w:pPr>
            <w:r>
              <w:rPr>
                <w:spacing w:val="-6"/>
              </w:rPr>
              <w:t>70</w:t>
            </w:r>
            <w:r>
              <w:rPr>
                <w:spacing w:val="-46"/>
              </w:rPr>
              <w:t xml:space="preserve"> </w:t>
            </w:r>
            <w:r>
              <w:rPr>
                <w:spacing w:val="-6"/>
              </w:rPr>
              <w:t>分</w:t>
            </w:r>
          </w:p>
        </w:tc>
        <w:tc>
          <w:tcPr>
            <w:tcW w:w="6779" w:type="dxa"/>
            <w:tcBorders>
              <w:bottom w:val="single" w:color="000000" w:sz="2" w:space="0"/>
            </w:tcBorders>
            <w:vAlign w:val="top"/>
          </w:tcPr>
          <w:p>
            <w:pPr>
              <w:rPr>
                <w:rFonts w:ascii="Arial"/>
                <w:sz w:val="21"/>
              </w:rPr>
            </w:pPr>
          </w:p>
        </w:tc>
      </w:tr>
    </w:tbl>
    <w:p>
      <w:pPr>
        <w:pStyle w:val="5"/>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31.定 标</w:t>
      </w:r>
      <w:bookmarkEnd w:id="48"/>
      <w:bookmarkEnd w:id="49"/>
      <w:bookmarkEnd w:id="50"/>
      <w:bookmarkEnd w:id="53"/>
    </w:p>
    <w:p>
      <w:pPr>
        <w:spacing w:line="350" w:lineRule="exact"/>
        <w:ind w:firstLine="480" w:firstLineChars="200"/>
        <w:rPr>
          <w:rFonts w:hint="eastAsia" w:ascii="宋体" w:hAnsi="宋体" w:eastAsia="宋体"/>
          <w:color w:val="auto"/>
          <w:sz w:val="24"/>
          <w:lang w:val="en-US" w:eastAsia="zh-CN"/>
        </w:rPr>
      </w:pPr>
      <w:r>
        <w:rPr>
          <w:rFonts w:hint="eastAsia" w:ascii="宋体" w:hAnsi="宋体"/>
          <w:color w:val="auto"/>
          <w:sz w:val="24"/>
        </w:rPr>
        <w:t>31.1 评标委员会推荐综合得分排名第一的投标人定为第一中标候选人，排名第二的投标人为第二中标候选人，并提出评标书面报告和推荐中标意见报</w:t>
      </w:r>
      <w:r>
        <w:rPr>
          <w:rFonts w:hint="eastAsia" w:ascii="宋体" w:hAnsi="宋体"/>
          <w:color w:val="auto"/>
          <w:sz w:val="24"/>
          <w:lang w:val="en-US" w:eastAsia="zh-CN"/>
        </w:rPr>
        <w:t>告。</w:t>
      </w:r>
    </w:p>
    <w:p>
      <w:pPr>
        <w:spacing w:line="350" w:lineRule="exact"/>
        <w:ind w:firstLine="480" w:firstLineChars="200"/>
        <w:rPr>
          <w:rFonts w:ascii="宋体" w:hAnsi="宋体"/>
          <w:color w:val="auto"/>
          <w:sz w:val="24"/>
        </w:rPr>
      </w:pPr>
      <w:r>
        <w:rPr>
          <w:rFonts w:hint="eastAsia" w:ascii="宋体" w:hAnsi="宋体"/>
          <w:color w:val="auto"/>
          <w:sz w:val="24"/>
        </w:rPr>
        <w:t>31.2 采购活动结束后七个工作日内,由采购人对预中标人的资格和履约能力进行复核。经核对无误后才能发出中标通知书。如在复核过程中，发现预中标人存在重大问题造成其履约能力不能满足要求的，取消其中标资格，并视其实际情况，保留追究其法律责任的权利。没收其投标保证金。</w:t>
      </w:r>
    </w:p>
    <w:p>
      <w:pPr>
        <w:spacing w:line="350" w:lineRule="exact"/>
        <w:ind w:right="-92" w:rightChars="-44" w:firstLine="480" w:firstLineChars="200"/>
        <w:rPr>
          <w:rFonts w:ascii="宋体" w:hAnsi="宋体"/>
          <w:color w:val="auto"/>
          <w:sz w:val="24"/>
        </w:rPr>
      </w:pPr>
      <w:r>
        <w:rPr>
          <w:rFonts w:hint="eastAsia" w:ascii="宋体" w:hAnsi="宋体"/>
          <w:color w:val="auto"/>
          <w:sz w:val="24"/>
        </w:rPr>
        <w:t>31.3 第一中标候选人放弃中标或者因不可抗力提出不能履行合同，招标人可以确定第二中标候选人为中标人。</w:t>
      </w:r>
    </w:p>
    <w:p>
      <w:pPr>
        <w:pStyle w:val="5"/>
        <w:keepLines/>
        <w:spacing w:before="124" w:beforeLines="40" w:after="124" w:afterLines="40" w:line="360" w:lineRule="exact"/>
        <w:rPr>
          <w:rFonts w:ascii="宋体" w:eastAsia="宋体"/>
          <w:color w:val="auto"/>
          <w:sz w:val="28"/>
          <w:szCs w:val="28"/>
        </w:rPr>
      </w:pPr>
      <w:bookmarkStart w:id="56" w:name="_Toc251236121"/>
      <w:r>
        <w:rPr>
          <w:rFonts w:hint="eastAsia" w:ascii="宋体" w:eastAsia="宋体"/>
          <w:color w:val="auto"/>
          <w:sz w:val="28"/>
          <w:szCs w:val="28"/>
        </w:rPr>
        <w:t>32. 中标通知书</w:t>
      </w:r>
      <w:bookmarkEnd w:id="56"/>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5"/>
        <w:keepLines/>
        <w:spacing w:before="124" w:beforeLines="40" w:after="124" w:afterLines="40" w:line="360" w:lineRule="exact"/>
        <w:rPr>
          <w:rFonts w:ascii="宋体" w:eastAsia="宋体"/>
          <w:color w:val="auto"/>
          <w:sz w:val="28"/>
          <w:szCs w:val="28"/>
        </w:rPr>
      </w:pPr>
      <w:bookmarkStart w:id="57" w:name="_Toc251236122"/>
      <w:r>
        <w:rPr>
          <w:rFonts w:hint="eastAsia" w:ascii="宋体" w:eastAsia="宋体"/>
          <w:color w:val="auto"/>
          <w:sz w:val="28"/>
          <w:szCs w:val="28"/>
        </w:rPr>
        <w:t>33. 投标无效</w:t>
      </w:r>
      <w:bookmarkEnd w:id="57"/>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5"/>
        <w:keepLines/>
        <w:spacing w:before="124" w:beforeLines="40" w:after="124" w:afterLines="40" w:line="360" w:lineRule="exact"/>
        <w:rPr>
          <w:rFonts w:ascii="宋体" w:eastAsia="宋体"/>
          <w:color w:val="auto"/>
          <w:sz w:val="28"/>
          <w:szCs w:val="28"/>
        </w:rPr>
      </w:pPr>
      <w:bookmarkStart w:id="58" w:name="_Toc251236123"/>
      <w:r>
        <w:rPr>
          <w:rFonts w:hint="eastAsia" w:ascii="宋体" w:eastAsia="宋体"/>
          <w:color w:val="auto"/>
          <w:sz w:val="28"/>
          <w:szCs w:val="28"/>
        </w:rPr>
        <w:t>34.采购代理服务费</w:t>
      </w:r>
      <w:bookmarkEnd w:id="58"/>
    </w:p>
    <w:p>
      <w:pPr>
        <w:spacing w:line="360" w:lineRule="exact"/>
        <w:ind w:firstLine="480" w:firstLineChars="200"/>
        <w:rPr>
          <w:rFonts w:ascii="宋体" w:hAnsi="宋体"/>
          <w:color w:val="auto"/>
          <w:sz w:val="24"/>
        </w:rPr>
      </w:pPr>
      <w:bookmarkStart w:id="59" w:name="_Toc251236124"/>
      <w:bookmarkStart w:id="60" w:name="_Toc43264512"/>
      <w:r>
        <w:rPr>
          <w:rFonts w:hint="eastAsia" w:ascii="宋体" w:hAnsi="宋体"/>
          <w:color w:val="auto"/>
          <w:sz w:val="24"/>
        </w:rPr>
        <w:t>34.1中标人应向采购代理机构交纳服务费，金额为中标总金额的1.5%。</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5"/>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9"/>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60"/>
    </w:p>
    <w:p>
      <w:pPr>
        <w:pStyle w:val="12"/>
        <w:spacing w:line="360" w:lineRule="exact"/>
        <w:ind w:firstLine="480" w:firstLineChars="200"/>
        <w:rPr>
          <w:rFonts w:hAnsi="宋体"/>
          <w:color w:val="auto"/>
          <w:sz w:val="24"/>
          <w:szCs w:val="24"/>
        </w:rPr>
      </w:pPr>
    </w:p>
    <w:p>
      <w:pPr>
        <w:rPr>
          <w:rFonts w:hAnsi="宋体"/>
          <w:color w:val="auto"/>
          <w:sz w:val="24"/>
          <w:szCs w:val="24"/>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auto"/>
        <w:jc w:val="left"/>
        <w:rPr>
          <w:rFonts w:hint="eastAsia"/>
          <w:b w:val="0"/>
          <w:bCs w:val="0"/>
          <w:color w:val="auto"/>
          <w:sz w:val="24"/>
          <w:szCs w:val="24"/>
        </w:rPr>
      </w:pPr>
    </w:p>
    <w:p>
      <w:pPr>
        <w:pStyle w:val="12"/>
        <w:spacing w:line="360" w:lineRule="auto"/>
        <w:jc w:val="left"/>
        <w:rPr>
          <w:rFonts w:hint="eastAsia"/>
          <w:b w:val="0"/>
          <w:bCs w:val="0"/>
          <w:color w:val="auto"/>
          <w:sz w:val="24"/>
          <w:szCs w:val="24"/>
        </w:rPr>
      </w:pPr>
      <w:r>
        <w:rPr>
          <w:rFonts w:hint="eastAsia"/>
          <w:b w:val="0"/>
          <w:bCs w:val="0"/>
          <w:color w:val="auto"/>
          <w:sz w:val="24"/>
          <w:szCs w:val="24"/>
        </w:rPr>
        <w:t>一、交货期及交货地点</w:t>
      </w:r>
    </w:p>
    <w:p>
      <w:pPr>
        <w:pStyle w:val="12"/>
        <w:spacing w:line="360" w:lineRule="auto"/>
        <w:jc w:val="left"/>
        <w:rPr>
          <w:rFonts w:hint="eastAsia"/>
          <w:b w:val="0"/>
          <w:bCs w:val="0"/>
          <w:color w:val="auto"/>
          <w:sz w:val="24"/>
          <w:szCs w:val="24"/>
        </w:rPr>
      </w:pPr>
      <w:r>
        <w:rPr>
          <w:rFonts w:hint="eastAsia"/>
          <w:b w:val="0"/>
          <w:bCs w:val="0"/>
          <w:color w:val="auto"/>
          <w:sz w:val="24"/>
          <w:szCs w:val="24"/>
        </w:rPr>
        <w:t>1.交货期:合同签订后</w:t>
      </w:r>
      <w:r>
        <w:rPr>
          <w:rFonts w:hint="eastAsia"/>
          <w:b w:val="0"/>
          <w:bCs w:val="0"/>
          <w:color w:val="auto"/>
          <w:sz w:val="24"/>
          <w:szCs w:val="24"/>
          <w:lang w:val="en-US" w:eastAsia="zh-CN"/>
        </w:rPr>
        <w:t>60日历天</w:t>
      </w:r>
      <w:r>
        <w:rPr>
          <w:rFonts w:hint="eastAsia"/>
          <w:b w:val="0"/>
          <w:bCs w:val="0"/>
          <w:color w:val="auto"/>
          <w:sz w:val="24"/>
          <w:szCs w:val="24"/>
        </w:rPr>
        <w:t>内完成供货。</w:t>
      </w:r>
    </w:p>
    <w:p>
      <w:pPr>
        <w:pStyle w:val="12"/>
        <w:spacing w:line="360" w:lineRule="auto"/>
        <w:jc w:val="left"/>
        <w:rPr>
          <w:rFonts w:hint="eastAsia"/>
          <w:b w:val="0"/>
          <w:bCs w:val="0"/>
          <w:color w:val="auto"/>
          <w:sz w:val="24"/>
          <w:szCs w:val="24"/>
          <w:lang w:eastAsia="zh-CN"/>
        </w:rPr>
      </w:pPr>
      <w:r>
        <w:rPr>
          <w:rFonts w:hint="eastAsia"/>
          <w:b w:val="0"/>
          <w:bCs w:val="0"/>
          <w:color w:val="auto"/>
          <w:sz w:val="24"/>
          <w:szCs w:val="24"/>
        </w:rPr>
        <w:t>2.交货地点:采购人指定地点</w:t>
      </w:r>
      <w:r>
        <w:rPr>
          <w:rFonts w:hint="eastAsia"/>
          <w:b w:val="0"/>
          <w:bCs w:val="0"/>
          <w:color w:val="auto"/>
          <w:sz w:val="24"/>
          <w:szCs w:val="24"/>
          <w:lang w:eastAsia="zh-CN"/>
        </w:rPr>
        <w:t>。</w:t>
      </w:r>
    </w:p>
    <w:p>
      <w:pPr>
        <w:pStyle w:val="12"/>
        <w:spacing w:line="360" w:lineRule="auto"/>
        <w:jc w:val="left"/>
        <w:rPr>
          <w:rFonts w:hint="eastAsia"/>
          <w:b w:val="0"/>
          <w:bCs w:val="0"/>
          <w:color w:val="auto"/>
          <w:sz w:val="24"/>
          <w:szCs w:val="24"/>
          <w:lang w:val="en-US" w:eastAsia="zh-CN"/>
        </w:rPr>
      </w:pPr>
      <w:r>
        <w:rPr>
          <w:rFonts w:hint="eastAsia"/>
          <w:b w:val="0"/>
          <w:bCs w:val="0"/>
          <w:color w:val="auto"/>
          <w:sz w:val="24"/>
          <w:szCs w:val="24"/>
          <w:lang w:val="en-US" w:eastAsia="zh-CN"/>
        </w:rPr>
        <w:t>二、物资质量要求</w:t>
      </w:r>
    </w:p>
    <w:p>
      <w:pPr>
        <w:pStyle w:val="12"/>
        <w:spacing w:line="360" w:lineRule="auto"/>
        <w:jc w:val="left"/>
        <w:rPr>
          <w:rFonts w:hint="eastAsia"/>
          <w:b w:val="0"/>
          <w:bCs w:val="0"/>
          <w:color w:val="auto"/>
          <w:sz w:val="24"/>
          <w:szCs w:val="24"/>
          <w:lang w:val="en-US" w:eastAsia="zh-CN"/>
        </w:rPr>
      </w:pPr>
      <w:r>
        <w:rPr>
          <w:rFonts w:hint="eastAsia"/>
          <w:b w:val="0"/>
          <w:bCs w:val="0"/>
          <w:color w:val="auto"/>
          <w:sz w:val="24"/>
          <w:szCs w:val="24"/>
          <w:lang w:val="en-US" w:eastAsia="zh-CN"/>
        </w:rPr>
        <w:t>1、所供应货物必须满足对标的规范标准；</w:t>
      </w:r>
    </w:p>
    <w:p>
      <w:pPr>
        <w:pStyle w:val="12"/>
        <w:spacing w:line="360" w:lineRule="auto"/>
        <w:jc w:val="left"/>
        <w:rPr>
          <w:rFonts w:hint="default"/>
          <w:b w:val="0"/>
          <w:bCs w:val="0"/>
          <w:color w:val="auto"/>
          <w:sz w:val="24"/>
          <w:szCs w:val="24"/>
          <w:lang w:val="en-US" w:eastAsia="zh-CN"/>
        </w:rPr>
      </w:pPr>
      <w:r>
        <w:rPr>
          <w:rFonts w:hint="eastAsia"/>
          <w:b w:val="0"/>
          <w:bCs w:val="0"/>
          <w:color w:val="auto"/>
          <w:sz w:val="24"/>
          <w:szCs w:val="24"/>
          <w:lang w:val="en-US" w:eastAsia="zh-CN"/>
        </w:rPr>
        <w:t>2、满足法律、行政法规规定的其他条件。</w:t>
      </w:r>
    </w:p>
    <w:p>
      <w:pPr>
        <w:pStyle w:val="12"/>
        <w:spacing w:line="360" w:lineRule="auto"/>
        <w:jc w:val="left"/>
        <w:rPr>
          <w:rFonts w:hint="eastAsia"/>
          <w:b w:val="0"/>
          <w:bCs w:val="0"/>
          <w:color w:val="auto"/>
          <w:sz w:val="24"/>
          <w:szCs w:val="24"/>
        </w:rPr>
      </w:pPr>
      <w:r>
        <w:rPr>
          <w:rFonts w:hint="eastAsia"/>
          <w:b w:val="0"/>
          <w:bCs w:val="0"/>
          <w:color w:val="auto"/>
          <w:sz w:val="24"/>
          <w:szCs w:val="24"/>
          <w:lang w:val="en-US" w:eastAsia="zh-CN"/>
        </w:rPr>
        <w:t>三</w:t>
      </w:r>
      <w:r>
        <w:rPr>
          <w:rFonts w:hint="eastAsia"/>
          <w:b w:val="0"/>
          <w:bCs w:val="0"/>
          <w:color w:val="auto"/>
          <w:sz w:val="24"/>
          <w:szCs w:val="24"/>
        </w:rPr>
        <w:t>、验收标准、规范</w:t>
      </w:r>
    </w:p>
    <w:p>
      <w:pPr>
        <w:pStyle w:val="12"/>
        <w:spacing w:line="360" w:lineRule="auto"/>
        <w:jc w:val="left"/>
        <w:rPr>
          <w:rFonts w:hint="eastAsia"/>
          <w:b w:val="0"/>
          <w:bCs w:val="0"/>
          <w:color w:val="auto"/>
          <w:sz w:val="24"/>
          <w:szCs w:val="24"/>
        </w:rPr>
      </w:pPr>
      <w:r>
        <w:rPr>
          <w:rFonts w:hint="eastAsia"/>
          <w:b w:val="0"/>
          <w:bCs w:val="0"/>
          <w:color w:val="auto"/>
          <w:sz w:val="24"/>
          <w:szCs w:val="24"/>
        </w:rPr>
        <w:t>验收标准:采购人将按照国家及行业相关标准组织对货物进行检查验收，验收合格后，由验收人在验收单上签字并加盖采购人公章。</w:t>
      </w:r>
    </w:p>
    <w:p>
      <w:pPr>
        <w:pStyle w:val="12"/>
        <w:spacing w:line="360" w:lineRule="auto"/>
        <w:jc w:val="left"/>
        <w:rPr>
          <w:rFonts w:hint="eastAsia"/>
          <w:b w:val="0"/>
          <w:bCs w:val="0"/>
          <w:color w:val="auto"/>
          <w:sz w:val="24"/>
          <w:szCs w:val="24"/>
        </w:rPr>
      </w:pPr>
      <w:r>
        <w:rPr>
          <w:rFonts w:hint="eastAsia"/>
          <w:b w:val="0"/>
          <w:bCs w:val="0"/>
          <w:color w:val="auto"/>
          <w:sz w:val="24"/>
          <w:szCs w:val="24"/>
          <w:lang w:val="en-US" w:eastAsia="zh-CN"/>
        </w:rPr>
        <w:t>四</w:t>
      </w:r>
      <w:r>
        <w:rPr>
          <w:rFonts w:hint="eastAsia"/>
          <w:b w:val="0"/>
          <w:bCs w:val="0"/>
          <w:color w:val="auto"/>
          <w:sz w:val="24"/>
          <w:szCs w:val="24"/>
        </w:rPr>
        <w:t>、售后服务</w:t>
      </w:r>
    </w:p>
    <w:p>
      <w:pPr>
        <w:pStyle w:val="12"/>
        <w:spacing w:line="360" w:lineRule="auto"/>
        <w:jc w:val="left"/>
        <w:rPr>
          <w:rFonts w:hint="eastAsia"/>
          <w:b w:val="0"/>
          <w:bCs w:val="0"/>
          <w:color w:val="auto"/>
          <w:sz w:val="24"/>
          <w:szCs w:val="24"/>
        </w:rPr>
      </w:pPr>
      <w:r>
        <w:rPr>
          <w:rFonts w:hint="eastAsia"/>
          <w:b w:val="0"/>
          <w:bCs w:val="0"/>
          <w:color w:val="auto"/>
          <w:sz w:val="24"/>
          <w:szCs w:val="24"/>
        </w:rPr>
        <w:t>书面承诺:质保期内，若提供货物出现质量问题，接到采购人通知后，2小时内作出响应，24小时内到达现场，</w:t>
      </w:r>
      <w:r>
        <w:rPr>
          <w:rFonts w:hint="eastAsia"/>
          <w:b w:val="0"/>
          <w:bCs w:val="0"/>
          <w:color w:val="auto"/>
          <w:sz w:val="24"/>
          <w:szCs w:val="24"/>
          <w:lang w:val="en-US" w:eastAsia="zh-CN"/>
        </w:rPr>
        <w:t>解决</w:t>
      </w:r>
      <w:r>
        <w:rPr>
          <w:rFonts w:hint="eastAsia"/>
          <w:b w:val="0"/>
          <w:bCs w:val="0"/>
          <w:color w:val="auto"/>
          <w:sz w:val="24"/>
          <w:szCs w:val="24"/>
        </w:rPr>
        <w:t>问题。</w:t>
      </w:r>
    </w:p>
    <w:p>
      <w:pPr>
        <w:rPr>
          <w:rFonts w:hint="eastAsia"/>
          <w:b w:val="0"/>
          <w:bCs w:val="0"/>
          <w:color w:val="auto"/>
          <w:sz w:val="24"/>
          <w:szCs w:val="24"/>
        </w:rPr>
      </w:pPr>
      <w:r>
        <w:rPr>
          <w:rFonts w:hint="eastAsia"/>
          <w:b w:val="0"/>
          <w:bCs w:val="0"/>
          <w:color w:val="auto"/>
          <w:sz w:val="24"/>
          <w:szCs w:val="24"/>
        </w:rPr>
        <w:br w:type="page"/>
      </w:r>
    </w:p>
    <w:tbl>
      <w:tblPr>
        <w:tblStyle w:val="19"/>
        <w:tblW w:w="10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2"/>
        <w:gridCol w:w="733"/>
        <w:gridCol w:w="2668"/>
        <w:gridCol w:w="612"/>
        <w:gridCol w:w="612"/>
        <w:gridCol w:w="819"/>
        <w:gridCol w:w="2069"/>
        <w:gridCol w:w="733"/>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1010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创城山墙画面标语造型清单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雪弗板UV雕刻/方管高精喷绘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金水路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康普小区（团结社区）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金福酒楼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金水胡杨（铁栅栏）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方管高精喷绘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金桥现代城二期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金水湾高层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北京路</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县委边驿站墙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医院家属楼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消防大队外墙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嘉和物流园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中海一号入口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便民警务站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尚品嘉苑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康泰国电十字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康泰花园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百蕊翡翠湾售楼部侧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水岸名筑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方管高精喷绘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沙雁洲·城市驿站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火狐狸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银桥市场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朝阳社区小二楼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974"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新融媒外墙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新世纪步行街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塔河嘉苑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育才路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朝阳丁字路口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幸福里小区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气象局家属院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司法局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第一人民医院白砖墙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幸福小学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团结路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银桥凤凰城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jc w:val="center"/>
        </w:trPr>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金沙国际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雪弗板UV雕刻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rPr>
          <w:rFonts w:hint="eastAsia" w:ascii="宋体" w:hAnsi="宋体"/>
          <w:color w:val="auto"/>
          <w:sz w:val="48"/>
          <w:szCs w:val="48"/>
        </w:rPr>
      </w:pPr>
      <w:r>
        <w:rPr>
          <w:rFonts w:hint="eastAsia" w:ascii="宋体" w:hAnsi="宋体"/>
          <w:color w:val="auto"/>
          <w:sz w:val="48"/>
          <w:szCs w:val="48"/>
        </w:rPr>
        <w:br w:type="page"/>
      </w:r>
    </w:p>
    <w:tbl>
      <w:tblPr>
        <w:tblStyle w:val="19"/>
        <w:tblW w:w="10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87"/>
        <w:gridCol w:w="2058"/>
        <w:gridCol w:w="789"/>
        <w:gridCol w:w="9"/>
        <w:gridCol w:w="716"/>
        <w:gridCol w:w="131"/>
        <w:gridCol w:w="585"/>
        <w:gridCol w:w="443"/>
        <w:gridCol w:w="273"/>
        <w:gridCol w:w="689"/>
        <w:gridCol w:w="783"/>
        <w:gridCol w:w="723"/>
        <w:gridCol w:w="641"/>
        <w:gridCol w:w="387"/>
        <w:gridCol w:w="977"/>
        <w:gridCol w:w="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1000" w:hRule="atLeast"/>
        </w:trPr>
        <w:tc>
          <w:tcPr>
            <w:tcW w:w="9993"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创城景观绿雕造型清单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7" w:type="dxa"/>
          <w:trHeight w:val="860"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294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点位名称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数量平方</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铁艺烤漆/方管木板仿真草皮</w:t>
            </w: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新村转盘</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银桥国际大酒店十字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金鹰广场十字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客运站十字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雁鸣湖房车营地晨光路口</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铁艺烤漆/方管支架/铁艺字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嘉和宾馆十字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铁艺烤漆/方管支架/铁艺字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消防大队十字</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9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健康路幸福路口</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943"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政务服务中心绿地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铁艺烤漆/方管支架/铁艺字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金雁河广场</w:t>
            </w:r>
          </w:p>
        </w:tc>
        <w:tc>
          <w:tcPr>
            <w:tcW w:w="7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铁艺烤漆/方管覆板及草皮/铁艺字</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94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7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7" w:type="dxa"/>
          <w:trHeight w:val="8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10540"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创城围档栅栏宣传清单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6"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高立柱</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3P布穿绳打扣高空</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户外大画面</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喷布穿绳打扣安装</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彩绘墙面</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手绘</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围档铁皮画</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铁皮裱画</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单位铁栅栏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PVC硬片</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19"/>
        <w:tblW w:w="105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5"/>
        <w:gridCol w:w="2556"/>
        <w:gridCol w:w="2556"/>
        <w:gridCol w:w="2920"/>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60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创城公益宣传汇总表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山墙画面造型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景观绿雕造型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围档及户外版面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rPr>
          <w:rFonts w:hint="eastAsia"/>
        </w:rPr>
      </w:pPr>
    </w:p>
    <w:p>
      <w:pPr>
        <w:pStyle w:val="5"/>
        <w:rPr>
          <w:rFonts w:hint="eastAsia"/>
        </w:rPr>
      </w:pPr>
    </w:p>
    <w:p>
      <w:pPr>
        <w:rPr>
          <w:rFonts w:hint="eastAsia" w:ascii="宋体" w:hAnsi="宋体"/>
          <w:color w:val="auto"/>
          <w:sz w:val="48"/>
          <w:szCs w:val="48"/>
        </w:rPr>
      </w:pPr>
      <w:r>
        <w:rPr>
          <w:rFonts w:hint="eastAsia" w:ascii="宋体" w:hAnsi="宋体"/>
          <w:color w:val="auto"/>
          <w:sz w:val="48"/>
          <w:szCs w:val="48"/>
        </w:rPr>
        <w:br w:type="page"/>
      </w:r>
    </w:p>
    <w:tbl>
      <w:tblPr>
        <w:tblStyle w:val="108"/>
        <w:tblW w:w="86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2091"/>
        <w:gridCol w:w="5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000" w:type="dxa"/>
            <w:noWrap w:val="0"/>
            <w:vAlign w:val="center"/>
          </w:tcPr>
          <w:p>
            <w:pPr>
              <w:rPr>
                <w:sz w:val="21"/>
                <w:szCs w:val="21"/>
              </w:rPr>
            </w:pPr>
            <w:r>
              <w:rPr>
                <w:rFonts w:hint="eastAsia" w:ascii="宋体" w:hAnsi="宋体"/>
                <w:color w:val="auto"/>
                <w:sz w:val="21"/>
                <w:szCs w:val="21"/>
              </w:rPr>
              <w:br w:type="page"/>
            </w:r>
            <w:r>
              <w:rPr>
                <w:sz w:val="21"/>
                <w:szCs w:val="21"/>
              </w:rPr>
              <w:t>序号</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服务内容</w:t>
            </w:r>
          </w:p>
        </w:tc>
        <w:tc>
          <w:tcPr>
            <w:tcW w:w="560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1" w:hRule="atLeast"/>
          <w:jc w:val="center"/>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val="en-US" w:eastAsia="zh-CN"/>
              </w:rPr>
            </w:pPr>
            <w:r>
              <w:rPr>
                <w:rFonts w:hint="eastAsia"/>
                <w:sz w:val="21"/>
                <w:szCs w:val="21"/>
                <w:lang w:val="en-US" w:eastAsia="zh-CN"/>
              </w:rPr>
              <w:t>1</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eastAsia="宋体"/>
                <w:sz w:val="21"/>
                <w:szCs w:val="21"/>
                <w:lang w:val="en-US" w:eastAsia="zh-CN"/>
              </w:rPr>
            </w:pPr>
            <w:r>
              <w:rPr>
                <w:rFonts w:hint="eastAsia"/>
                <w:sz w:val="21"/>
                <w:szCs w:val="21"/>
                <w:lang w:val="en-US" w:eastAsia="zh-CN"/>
              </w:rPr>
              <w:t>创城山墙画面</w:t>
            </w:r>
          </w:p>
        </w:tc>
        <w:tc>
          <w:tcPr>
            <w:tcW w:w="560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1</w:t>
            </w:r>
            <w:r>
              <w:rPr>
                <w:rFonts w:hint="eastAsia"/>
                <w:sz w:val="21"/>
                <w:szCs w:val="21"/>
                <w:lang w:val="en-US" w:eastAsia="zh-CN"/>
              </w:rPr>
              <w:t>.</w:t>
            </w:r>
            <w:r>
              <w:rPr>
                <w:sz w:val="21"/>
                <w:szCs w:val="21"/>
              </w:rPr>
              <w:t>规格：根据实地测量制作</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2</w:t>
            </w:r>
            <w:r>
              <w:rPr>
                <w:rFonts w:hint="eastAsia"/>
                <w:sz w:val="21"/>
                <w:szCs w:val="21"/>
                <w:lang w:val="en-US" w:eastAsia="zh-CN"/>
              </w:rPr>
              <w:t>.</w:t>
            </w:r>
            <w:r>
              <w:rPr>
                <w:sz w:val="21"/>
                <w:szCs w:val="21"/>
              </w:rPr>
              <w:t>要求：</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画面要求1cmPVC板喷UV，颜色可保证1年以上不褪色，并符合设计要求。安装完成后</w:t>
            </w:r>
            <w:r>
              <w:rPr>
                <w:rFonts w:hint="eastAsia"/>
                <w:sz w:val="21"/>
                <w:szCs w:val="21"/>
                <w:lang w:val="en-US" w:eastAsia="zh-CN"/>
              </w:rPr>
              <w:t>画面</w:t>
            </w:r>
            <w:r>
              <w:rPr>
                <w:sz w:val="21"/>
                <w:szCs w:val="21"/>
              </w:rPr>
              <w:t>外观精美表面无划痕、气泡及明显的颜色不均匀，无明显色差，所用材料符合设计方案要求。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7" w:hRule="atLeast"/>
          <w:jc w:val="center"/>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lang w:val="en-US" w:eastAsia="zh-CN"/>
              </w:rPr>
            </w:pPr>
            <w:r>
              <w:rPr>
                <w:sz w:val="21"/>
                <w:szCs w:val="21"/>
              </w:rPr>
              <w:t>2</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sz w:val="21"/>
                <w:szCs w:val="21"/>
                <w:lang w:val="en-US" w:eastAsia="zh-CN"/>
              </w:rPr>
            </w:pPr>
            <w:r>
              <w:rPr>
                <w:sz w:val="21"/>
                <w:szCs w:val="21"/>
              </w:rPr>
              <w:t>创城喷绘</w:t>
            </w:r>
            <w:r>
              <w:rPr>
                <w:rFonts w:hint="eastAsia"/>
                <w:sz w:val="21"/>
                <w:szCs w:val="21"/>
                <w:lang w:val="en-US" w:eastAsia="zh-CN"/>
              </w:rPr>
              <w:t>版面</w:t>
            </w:r>
          </w:p>
        </w:tc>
        <w:tc>
          <w:tcPr>
            <w:tcW w:w="560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val="en-US" w:eastAsia="zh-CN"/>
              </w:rPr>
              <w:t>1.</w:t>
            </w:r>
            <w:r>
              <w:rPr>
                <w:sz w:val="21"/>
                <w:szCs w:val="21"/>
              </w:rPr>
              <w:t>规格：根据实地测量制作</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val="en-US" w:eastAsia="zh-CN"/>
              </w:rPr>
              <w:t>2.</w:t>
            </w:r>
            <w:r>
              <w:rPr>
                <w:sz w:val="21"/>
                <w:szCs w:val="21"/>
              </w:rPr>
              <w:t>工艺要求：颜色必须符合设计图的颜色要求，户外颜色要保障一年以上不</w:t>
            </w:r>
            <w:r>
              <w:rPr>
                <w:rFonts w:hint="eastAsia"/>
                <w:sz w:val="21"/>
                <w:szCs w:val="21"/>
                <w:lang w:eastAsia="zh-CN"/>
              </w:rPr>
              <w:t>褪色</w:t>
            </w:r>
            <w:r>
              <w:rPr>
                <w:sz w:val="21"/>
                <w:szCs w:val="21"/>
              </w:rPr>
              <w:t>，高清喷绘无马赛克现象、安装必须牢固安全。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6" w:hRule="atLeast"/>
          <w:jc w:val="center"/>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val="en-US" w:eastAsia="zh-CN"/>
              </w:rPr>
            </w:pPr>
            <w:r>
              <w:rPr>
                <w:rFonts w:hint="eastAsia"/>
                <w:sz w:val="21"/>
                <w:szCs w:val="21"/>
                <w:lang w:val="en-US" w:eastAsia="zh-CN"/>
              </w:rPr>
              <w:t>3</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创城宣传牌</w:t>
            </w:r>
          </w:p>
        </w:tc>
        <w:tc>
          <w:tcPr>
            <w:tcW w:w="560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eastAsia="宋体"/>
                <w:sz w:val="21"/>
                <w:szCs w:val="21"/>
                <w:lang w:val="en-US" w:eastAsia="zh-CN"/>
              </w:rPr>
            </w:pPr>
            <w:r>
              <w:rPr>
                <w:rFonts w:hint="eastAsia"/>
                <w:sz w:val="21"/>
                <w:szCs w:val="21"/>
                <w:lang w:val="en-US" w:eastAsia="zh-CN"/>
              </w:rPr>
              <w:t>1.</w:t>
            </w:r>
            <w:r>
              <w:rPr>
                <w:sz w:val="21"/>
                <w:szCs w:val="21"/>
              </w:rPr>
              <w:t>规格：1.</w:t>
            </w:r>
            <w:r>
              <w:rPr>
                <w:rFonts w:hint="eastAsia"/>
                <w:sz w:val="21"/>
                <w:szCs w:val="21"/>
                <w:lang w:val="en-US" w:eastAsia="zh-CN"/>
              </w:rPr>
              <w:t>0</w:t>
            </w:r>
            <w:r>
              <w:rPr>
                <w:sz w:val="21"/>
                <w:szCs w:val="21"/>
              </w:rPr>
              <w:t>*2</w:t>
            </w:r>
            <w:r>
              <w:rPr>
                <w:rFonts w:hint="eastAsia"/>
                <w:sz w:val="21"/>
                <w:szCs w:val="21"/>
                <w:lang w:val="en-US" w:eastAsia="zh-CN"/>
              </w:rPr>
              <w:t>.0</w:t>
            </w:r>
            <w:r>
              <w:rPr>
                <w:sz w:val="21"/>
                <w:szCs w:val="21"/>
              </w:rPr>
              <w:t>米</w:t>
            </w:r>
            <w:r>
              <w:rPr>
                <w:rFonts w:hint="eastAsia"/>
                <w:sz w:val="21"/>
                <w:szCs w:val="21"/>
                <w:lang w:eastAsia="zh-CN"/>
              </w:rPr>
              <w:t>，</w:t>
            </w:r>
            <w:r>
              <w:rPr>
                <w:sz w:val="21"/>
                <w:szCs w:val="21"/>
              </w:rPr>
              <w:t>1.</w:t>
            </w:r>
            <w:r>
              <w:rPr>
                <w:rFonts w:hint="eastAsia"/>
                <w:sz w:val="21"/>
                <w:szCs w:val="21"/>
                <w:lang w:val="en-US" w:eastAsia="zh-CN"/>
              </w:rPr>
              <w:t>2</w:t>
            </w:r>
            <w:r>
              <w:rPr>
                <w:sz w:val="21"/>
                <w:szCs w:val="21"/>
              </w:rPr>
              <w:t>*2</w:t>
            </w:r>
            <w:r>
              <w:rPr>
                <w:rFonts w:hint="eastAsia"/>
                <w:sz w:val="21"/>
                <w:szCs w:val="21"/>
                <w:lang w:val="en-US" w:eastAsia="zh-CN"/>
              </w:rPr>
              <w:t>.4</w:t>
            </w:r>
            <w:r>
              <w:rPr>
                <w:sz w:val="21"/>
                <w:szCs w:val="21"/>
              </w:rPr>
              <w:t>米</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sz w:val="21"/>
                <w:szCs w:val="21"/>
                <w:lang w:eastAsia="zh-CN"/>
              </w:rPr>
            </w:pPr>
            <w:r>
              <w:rPr>
                <w:sz w:val="21"/>
                <w:szCs w:val="21"/>
              </w:rPr>
              <w:t>2</w:t>
            </w:r>
            <w:r>
              <w:rPr>
                <w:rFonts w:hint="eastAsia"/>
                <w:sz w:val="21"/>
                <w:szCs w:val="21"/>
                <w:lang w:val="en-US" w:eastAsia="zh-CN"/>
              </w:rPr>
              <w:t>.</w:t>
            </w:r>
            <w:r>
              <w:rPr>
                <w:sz w:val="21"/>
                <w:szCs w:val="21"/>
              </w:rPr>
              <w:t>工艺要求：</w:t>
            </w:r>
            <w:r>
              <w:rPr>
                <w:rFonts w:hint="eastAsia"/>
                <w:sz w:val="21"/>
                <w:szCs w:val="21"/>
                <w:lang w:val="en-US" w:eastAsia="zh-CN"/>
              </w:rPr>
              <w:t>3</w:t>
            </w:r>
            <w:r>
              <w:rPr>
                <w:sz w:val="21"/>
                <w:szCs w:val="21"/>
              </w:rPr>
              <w:t>*</w:t>
            </w:r>
            <w:r>
              <w:rPr>
                <w:rFonts w:hint="eastAsia"/>
                <w:sz w:val="21"/>
                <w:szCs w:val="21"/>
                <w:lang w:val="en-US" w:eastAsia="zh-CN"/>
              </w:rPr>
              <w:t>3，4*4</w:t>
            </w:r>
            <w:r>
              <w:rPr>
                <w:sz w:val="21"/>
                <w:szCs w:val="21"/>
              </w:rPr>
              <w:t>厘米国标方管，</w:t>
            </w:r>
            <w:r>
              <w:rPr>
                <w:rFonts w:hint="eastAsia"/>
                <w:sz w:val="21"/>
                <w:szCs w:val="21"/>
                <w:lang w:val="en-US" w:eastAsia="zh-CN"/>
              </w:rPr>
              <w:t>1.0、2.0</w:t>
            </w:r>
            <w:r>
              <w:rPr>
                <w:sz w:val="21"/>
                <w:szCs w:val="21"/>
              </w:rPr>
              <w:t>毫米钢板精工切割，无缝焊接，</w:t>
            </w:r>
            <w:r>
              <w:rPr>
                <w:rFonts w:hint="eastAsia"/>
                <w:sz w:val="21"/>
                <w:szCs w:val="21"/>
                <w:lang w:val="en-US" w:eastAsia="zh-CN"/>
              </w:rPr>
              <w:t>喷</w:t>
            </w:r>
            <w:r>
              <w:rPr>
                <w:sz w:val="21"/>
                <w:szCs w:val="21"/>
              </w:rPr>
              <w:t>漆。加PVC</w:t>
            </w:r>
            <w:r>
              <w:rPr>
                <w:rFonts w:hint="eastAsia"/>
                <w:sz w:val="21"/>
                <w:szCs w:val="21"/>
                <w:lang w:val="en-US" w:eastAsia="zh-CN"/>
              </w:rPr>
              <w:t>硬片</w:t>
            </w:r>
            <w:r>
              <w:rPr>
                <w:sz w:val="21"/>
                <w:szCs w:val="21"/>
              </w:rPr>
              <w:t>喷</w:t>
            </w:r>
            <w:r>
              <w:rPr>
                <w:rFonts w:hint="eastAsia"/>
                <w:sz w:val="21"/>
                <w:szCs w:val="21"/>
                <w:lang w:val="en-US" w:eastAsia="zh-CN"/>
              </w:rPr>
              <w:t>画</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3</w:t>
            </w:r>
            <w:r>
              <w:rPr>
                <w:rFonts w:hint="eastAsia"/>
                <w:sz w:val="21"/>
                <w:szCs w:val="21"/>
                <w:lang w:val="en-US" w:eastAsia="zh-CN"/>
              </w:rPr>
              <w:t>.</w:t>
            </w:r>
            <w:r>
              <w:rPr>
                <w:sz w:val="21"/>
                <w:szCs w:val="21"/>
              </w:rPr>
              <w:t>其他要求：</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焊接工艺要求：所用管材及板材符合国家要求，折弯处囻弧角R＜1mm，焊接前清除表面油污，减少焊接形成的虚焊、气孔、裂纹等缺陷，焊接完成后所有可见焊缝打磨</w:t>
            </w:r>
            <w:r>
              <w:rPr>
                <w:rFonts w:hint="eastAsia"/>
                <w:sz w:val="21"/>
                <w:szCs w:val="21"/>
                <w:lang w:eastAsia="zh-CN"/>
              </w:rPr>
              <w:t>光滑</w:t>
            </w:r>
            <w:r>
              <w:rPr>
                <w:sz w:val="21"/>
                <w:szCs w:val="21"/>
              </w:rPr>
              <w:t>，与周围表面一样</w:t>
            </w:r>
            <w:r>
              <w:rPr>
                <w:rFonts w:hint="eastAsia"/>
                <w:sz w:val="21"/>
                <w:szCs w:val="21"/>
                <w:lang w:eastAsia="zh-CN"/>
              </w:rPr>
              <w:t>平滑</w:t>
            </w:r>
            <w:r>
              <w:rPr>
                <w:sz w:val="21"/>
                <w:szCs w:val="21"/>
              </w:rPr>
              <w:t>，无明显划痕。</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sz w:val="21"/>
                <w:szCs w:val="21"/>
                <w:lang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画面要求：宣传画面要求PVC</w:t>
            </w:r>
            <w:r>
              <w:rPr>
                <w:rFonts w:hint="eastAsia"/>
                <w:sz w:val="21"/>
                <w:szCs w:val="21"/>
                <w:lang w:val="en-US" w:eastAsia="zh-CN"/>
              </w:rPr>
              <w:t>硬片</w:t>
            </w:r>
            <w:r>
              <w:rPr>
                <w:sz w:val="21"/>
                <w:szCs w:val="21"/>
              </w:rPr>
              <w:t>喷</w:t>
            </w:r>
            <w:r>
              <w:rPr>
                <w:rFonts w:hint="eastAsia"/>
                <w:sz w:val="21"/>
                <w:szCs w:val="21"/>
                <w:lang w:val="en-US" w:eastAsia="zh-CN"/>
              </w:rPr>
              <w:t>画</w:t>
            </w:r>
            <w:r>
              <w:rPr>
                <w:sz w:val="21"/>
                <w:szCs w:val="21"/>
              </w:rPr>
              <w:t>，颜色可保证</w:t>
            </w:r>
            <w:r>
              <w:rPr>
                <w:rFonts w:hint="eastAsia"/>
                <w:sz w:val="21"/>
                <w:szCs w:val="21"/>
                <w:lang w:val="en-US" w:eastAsia="zh-CN"/>
              </w:rPr>
              <w:t>3个月</w:t>
            </w:r>
            <w:r>
              <w:rPr>
                <w:sz w:val="21"/>
                <w:szCs w:val="21"/>
              </w:rPr>
              <w:t>以上不褪色，并符合设计要求。</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完工外观要求：安装完成后标识牌外观精美表面无划痕、气泡及明显的颜色不均匀，</w:t>
            </w:r>
            <w:r>
              <w:rPr>
                <w:rFonts w:hint="eastAsia"/>
                <w:sz w:val="21"/>
                <w:szCs w:val="21"/>
                <w:lang w:val="en-US" w:eastAsia="zh-CN"/>
              </w:rPr>
              <w:t>喷</w:t>
            </w:r>
            <w:r>
              <w:rPr>
                <w:sz w:val="21"/>
                <w:szCs w:val="21"/>
              </w:rPr>
              <w:t>漆需无明显色差，所用材料符合设计方案要求。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0" w:hRule="atLeast"/>
          <w:jc w:val="center"/>
        </w:trPr>
        <w:tc>
          <w:tcPr>
            <w:tcW w:w="100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21"/>
                <w:szCs w:val="21"/>
                <w:lang w:val="en-US" w:eastAsia="zh-CN"/>
              </w:rPr>
            </w:pPr>
            <w:r>
              <w:rPr>
                <w:rFonts w:hint="eastAsia"/>
                <w:sz w:val="21"/>
                <w:szCs w:val="21"/>
                <w:lang w:val="en-US" w:eastAsia="zh-CN"/>
              </w:rPr>
              <w:t>4</w:t>
            </w:r>
          </w:p>
        </w:tc>
        <w:tc>
          <w:tcPr>
            <w:tcW w:w="2091"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eastAsia="宋体"/>
                <w:sz w:val="21"/>
                <w:szCs w:val="21"/>
                <w:lang w:val="en-US" w:eastAsia="zh-CN"/>
              </w:rPr>
            </w:pPr>
            <w:r>
              <w:rPr>
                <w:sz w:val="21"/>
                <w:szCs w:val="21"/>
              </w:rPr>
              <w:t>创城</w:t>
            </w:r>
            <w:r>
              <w:rPr>
                <w:rFonts w:hint="eastAsia"/>
                <w:sz w:val="21"/>
                <w:szCs w:val="21"/>
                <w:lang w:val="en-US" w:eastAsia="zh-CN"/>
              </w:rPr>
              <w:t>仿真绿雕造型</w:t>
            </w:r>
          </w:p>
        </w:tc>
        <w:tc>
          <w:tcPr>
            <w:tcW w:w="560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1</w:t>
            </w:r>
            <w:r>
              <w:rPr>
                <w:rFonts w:hint="eastAsia"/>
                <w:sz w:val="21"/>
                <w:szCs w:val="21"/>
                <w:lang w:val="en-US" w:eastAsia="zh-CN"/>
              </w:rPr>
              <w:t>.</w:t>
            </w:r>
            <w:r>
              <w:rPr>
                <w:sz w:val="21"/>
                <w:szCs w:val="21"/>
              </w:rPr>
              <w:t>规格：根据实地测量制作</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sz w:val="21"/>
                <w:szCs w:val="21"/>
              </w:rPr>
              <w:t>2</w:t>
            </w:r>
            <w:r>
              <w:rPr>
                <w:rFonts w:hint="eastAsia"/>
                <w:sz w:val="21"/>
                <w:szCs w:val="21"/>
                <w:lang w:val="en-US" w:eastAsia="zh-CN"/>
              </w:rPr>
              <w:t>.</w:t>
            </w:r>
            <w:r>
              <w:rPr>
                <w:sz w:val="21"/>
                <w:szCs w:val="21"/>
              </w:rPr>
              <w:t>要求：</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焊接工艺要求：所用管材及板材符合国家要求，焊接前清除表面油污，减少焊接形成的虚焊、气孔、裂纹等缺陷，焊接完成后所有可见焊缝打磨</w:t>
            </w:r>
            <w:r>
              <w:rPr>
                <w:rFonts w:hint="eastAsia"/>
                <w:sz w:val="21"/>
                <w:szCs w:val="21"/>
                <w:lang w:eastAsia="zh-CN"/>
              </w:rPr>
              <w:t>光滑</w:t>
            </w:r>
            <w:r>
              <w:rPr>
                <w:sz w:val="21"/>
                <w:szCs w:val="21"/>
              </w:rPr>
              <w:t>，与周围表面一样平</w:t>
            </w:r>
            <w:r>
              <w:rPr>
                <w:rFonts w:hint="eastAsia"/>
                <w:sz w:val="21"/>
                <w:szCs w:val="21"/>
                <w:lang w:eastAsia="zh-CN"/>
              </w:rPr>
              <w:t>滑</w:t>
            </w:r>
            <w:r>
              <w:rPr>
                <w:sz w:val="21"/>
                <w:szCs w:val="21"/>
              </w:rPr>
              <w:t>，无明显划痕。</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烤漆工艺要求：清洗表面残留物，补灰打磨等表面处理，使用环保型油漆烤漆处理，表面涂层三涂三烤处理，涂层厚度≥35微米，油漆色彩需符合设计要求。</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lang w:val="en-US" w:eastAsia="zh-CN"/>
              </w:rPr>
              <w:t>表面覆盖</w:t>
            </w:r>
            <w:r>
              <w:rPr>
                <w:sz w:val="21"/>
                <w:szCs w:val="21"/>
              </w:rPr>
              <w:t>要求：</w:t>
            </w:r>
            <w:r>
              <w:rPr>
                <w:rFonts w:ascii="Arial" w:hAnsi="Arial" w:eastAsia="宋体" w:cs="Arial"/>
                <w:i w:val="0"/>
                <w:iCs w:val="0"/>
                <w:caps w:val="0"/>
                <w:color w:val="222222"/>
                <w:spacing w:val="0"/>
                <w:sz w:val="21"/>
                <w:szCs w:val="21"/>
                <w:shd w:val="clear" w:color="auto" w:fill="FFFFFF"/>
              </w:rPr>
              <w:t>选质量高耐用的仿真植物材料如：仿真草皮，尤加利，米兰草等等整齐</w:t>
            </w:r>
            <w:r>
              <w:rPr>
                <w:rFonts w:hint="default" w:ascii="Arial" w:hAnsi="Arial" w:eastAsia="宋体" w:cs="Arial"/>
                <w:i w:val="0"/>
                <w:iCs w:val="0"/>
                <w:caps w:val="0"/>
                <w:color w:val="222222"/>
                <w:spacing w:val="0"/>
                <w:sz w:val="21"/>
                <w:szCs w:val="21"/>
                <w:shd w:val="clear" w:color="auto" w:fill="FFFFFF"/>
              </w:rPr>
              <w:t>的铺设在仿真绿雕骨架上，确保材料铺设的平整度与质感，保证仿真绿雕的展现效果。</w:t>
            </w:r>
            <w:r>
              <w:rPr>
                <w:sz w:val="21"/>
                <w:szCs w:val="21"/>
              </w:rPr>
              <w:t>颜色可保证</w:t>
            </w:r>
            <w:r>
              <w:rPr>
                <w:rFonts w:hint="eastAsia"/>
                <w:sz w:val="21"/>
                <w:szCs w:val="21"/>
                <w:lang w:val="en-US" w:eastAsia="zh-CN"/>
              </w:rPr>
              <w:t>半</w:t>
            </w:r>
            <w:r>
              <w:rPr>
                <w:sz w:val="21"/>
                <w:szCs w:val="21"/>
              </w:rPr>
              <w:t>年以上不褪色，并符合设计要求。</w:t>
            </w: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完工外观要求：安装完成后</w:t>
            </w:r>
            <w:r>
              <w:rPr>
                <w:rFonts w:hint="eastAsia"/>
                <w:sz w:val="21"/>
                <w:szCs w:val="21"/>
                <w:lang w:val="en-US" w:eastAsia="zh-CN"/>
              </w:rPr>
              <w:t>绿雕</w:t>
            </w:r>
            <w:r>
              <w:rPr>
                <w:sz w:val="21"/>
                <w:szCs w:val="21"/>
              </w:rPr>
              <w:t>外观精美表面无螺钉无划痕、气泡及明显的颜色不均匀，</w:t>
            </w:r>
            <w:r>
              <w:rPr>
                <w:rFonts w:hint="eastAsia"/>
                <w:sz w:val="21"/>
                <w:szCs w:val="21"/>
                <w:lang w:val="en-US" w:eastAsia="zh-CN"/>
              </w:rPr>
              <w:t>喷</w:t>
            </w:r>
            <w:r>
              <w:rPr>
                <w:sz w:val="21"/>
                <w:szCs w:val="21"/>
              </w:rPr>
              <w:t>漆需无明显色差，所用材料符合设计方案要求。</w:t>
            </w:r>
          </w:p>
        </w:tc>
      </w:tr>
    </w:tbl>
    <w:p>
      <w:pPr>
        <w:rPr>
          <w:sz w:val="32"/>
          <w:szCs w:val="32"/>
        </w:rPr>
      </w:pPr>
    </w:p>
    <w:p>
      <w:pPr>
        <w:rPr>
          <w:rFonts w:hint="eastAsia" w:ascii="宋体" w:hAnsi="宋体"/>
          <w:color w:val="auto"/>
          <w:sz w:val="48"/>
          <w:szCs w:val="48"/>
        </w:rPr>
      </w:pPr>
    </w:p>
    <w:p>
      <w:pPr>
        <w:rPr>
          <w:rFonts w:hint="eastAsia" w:ascii="宋体" w:hAnsi="宋体"/>
          <w:color w:val="auto"/>
          <w:sz w:val="48"/>
          <w:szCs w:val="48"/>
        </w:rPr>
      </w:pPr>
      <w:r>
        <w:rPr>
          <w:rFonts w:hint="eastAsia" w:ascii="宋体" w:hAnsi="宋体"/>
          <w:color w:val="auto"/>
          <w:sz w:val="48"/>
          <w:szCs w:val="48"/>
        </w:rPr>
        <w:br w:type="page"/>
      </w:r>
    </w:p>
    <w:p>
      <w:pPr>
        <w:pStyle w:val="3"/>
        <w:jc w:val="center"/>
        <w:rPr>
          <w:rFonts w:ascii="宋体" w:hAnsi="宋体"/>
          <w:color w:val="auto"/>
          <w:sz w:val="48"/>
          <w:szCs w:val="48"/>
        </w:rPr>
      </w:pPr>
      <w:r>
        <w:rPr>
          <w:rFonts w:hint="eastAsia" w:ascii="宋体" w:hAnsi="宋体"/>
          <w:color w:val="auto"/>
          <w:sz w:val="48"/>
          <w:szCs w:val="48"/>
        </w:rPr>
        <w:t>第</w:t>
      </w:r>
      <w:r>
        <w:rPr>
          <w:rFonts w:hint="eastAsia" w:ascii="宋体" w:hAnsi="宋体"/>
          <w:color w:val="auto"/>
          <w:sz w:val="48"/>
          <w:szCs w:val="48"/>
          <w:lang w:eastAsia="zh-CN"/>
        </w:rPr>
        <w:t>四</w:t>
      </w:r>
      <w:r>
        <w:rPr>
          <w:rFonts w:hint="eastAsia" w:ascii="宋体" w:hAnsi="宋体"/>
          <w:color w:val="auto"/>
          <w:sz w:val="48"/>
          <w:szCs w:val="48"/>
        </w:rPr>
        <w:t>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2"/>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2"/>
        <w:spacing w:line="400" w:lineRule="exact"/>
        <w:rPr>
          <w:rFonts w:hint="default" w:ascii="宋体" w:eastAsia="宋体"/>
          <w:color w:val="auto"/>
          <w:sz w:val="36"/>
        </w:rPr>
      </w:pPr>
      <w:r>
        <w:rPr>
          <w:rFonts w:ascii="宋体" w:eastAsia="宋体"/>
          <w:color w:val="auto"/>
          <w:sz w:val="36"/>
        </w:rPr>
        <w:t>二、 通用合同条款</w:t>
      </w:r>
    </w:p>
    <w:p>
      <w:pPr>
        <w:pStyle w:val="72"/>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olor w:val="auto"/>
          <w:sz w:val="24"/>
          <w:lang w:val="en-US" w:eastAsia="zh-CN"/>
        </w:rPr>
        <w:t>中共沙雅县委员会宣传部</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是指中华人民共和国财政部授予的政府采购代理机构，专业从事政府采购代理业务并提供相关服务的专门机构。本招标文件特指</w:t>
      </w:r>
      <w:r>
        <w:rPr>
          <w:rFonts w:hint="eastAsia" w:ascii="宋体" w:hAnsi="宋体"/>
          <w:color w:val="auto"/>
          <w:sz w:val="24"/>
          <w:lang w:eastAsia="zh-CN"/>
        </w:rPr>
        <w:t>新疆玖泰鑫工程项目管理有限公司</w:t>
      </w:r>
      <w:r>
        <w:rPr>
          <w:rFonts w:hint="eastAsia" w:ascii="宋体" w:hAnsi="宋体"/>
          <w:color w:val="auto"/>
          <w:sz w:val="24"/>
        </w:rPr>
        <w:t>。</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0" w:leftChars="0" w:firstLine="420" w:firstLineChars="175"/>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3" w:leftChars="0"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10.1投标人应按照中标（成交）合同中招标人规定的时间，运送、安装设备并提供伴随服务。</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11"/>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11"/>
        <w:tabs>
          <w:tab w:val="left" w:pos="540"/>
        </w:tabs>
        <w:spacing w:line="400" w:lineRule="exact"/>
        <w:ind w:firstLine="420" w:firstLineChars="175"/>
        <w:rPr>
          <w:color w:val="auto"/>
          <w:sz w:val="24"/>
          <w:szCs w:val="24"/>
        </w:rPr>
      </w:pPr>
      <w:r>
        <w:rPr>
          <w:rFonts w:hint="eastAsia"/>
          <w:color w:val="auto"/>
          <w:sz w:val="24"/>
          <w:szCs w:val="24"/>
        </w:rPr>
        <w:t>除非招标人事先书面同意，并得到相关部门的许可，投标人不得部分转让或全部转让其应履行的合同义务。</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11"/>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spacing w:line="440" w:lineRule="exact"/>
        <w:jc w:val="center"/>
        <w:rPr>
          <w:rFonts w:ascii="宋体" w:hAnsi="宋体"/>
          <w:b/>
          <w:bCs/>
          <w:color w:val="auto"/>
          <w:sz w:val="30"/>
        </w:rPr>
      </w:pPr>
      <w:r>
        <w:rPr>
          <w:rFonts w:hint="eastAsia" w:ascii="宋体" w:hAnsi="宋体"/>
          <w:b/>
          <w:bCs/>
          <w:color w:val="auto"/>
          <w:sz w:val="30"/>
        </w:rPr>
        <w:t>采购合同（样本）</w:t>
      </w:r>
    </w:p>
    <w:p>
      <w:pPr>
        <w:spacing w:line="440" w:lineRule="exact"/>
        <w:ind w:firstLine="480" w:firstLineChars="200"/>
        <w:rPr>
          <w:rFonts w:ascii="宋体" w:hAnsi="宋体"/>
          <w:color w:val="auto"/>
          <w:sz w:val="24"/>
        </w:rPr>
      </w:pPr>
      <w:r>
        <w:rPr>
          <w:rFonts w:hint="eastAsia" w:ascii="宋体" w:hAnsi="宋体"/>
          <w:color w:val="auto"/>
          <w:sz w:val="24"/>
        </w:rPr>
        <w:t xml:space="preserve">甲方（招标用户采购方）：     </w:t>
      </w:r>
      <w:r>
        <w:rPr>
          <w:rFonts w:ascii="宋体" w:hAnsi="宋体"/>
          <w:color w:val="auto"/>
          <w:sz w:val="24"/>
        </w:rPr>
        <w:t xml:space="preserve">                            </w:t>
      </w:r>
      <w:r>
        <w:rPr>
          <w:rFonts w:hint="eastAsia" w:ascii="宋体" w:hAnsi="宋体"/>
          <w:color w:val="auto"/>
          <w:sz w:val="24"/>
        </w:rPr>
        <w:t xml:space="preserve"> 合同编号：</w:t>
      </w:r>
    </w:p>
    <w:p>
      <w:pPr>
        <w:spacing w:line="440" w:lineRule="exact"/>
        <w:ind w:firstLine="480" w:firstLineChars="200"/>
        <w:rPr>
          <w:rFonts w:ascii="宋体" w:hAnsi="宋体"/>
          <w:color w:val="auto"/>
          <w:sz w:val="24"/>
        </w:rPr>
      </w:pPr>
      <w:r>
        <w:rPr>
          <w:rFonts w:hint="eastAsia" w:ascii="宋体" w:hAnsi="宋体"/>
          <w:color w:val="auto"/>
          <w:sz w:val="24"/>
        </w:rPr>
        <w:t>乙方（投标中标供应方）：</w:t>
      </w:r>
      <w:r>
        <w:rPr>
          <w:rFonts w:ascii="宋体" w:hAnsi="宋体"/>
          <w:color w:val="auto"/>
          <w:sz w:val="24"/>
        </w:rPr>
        <w:t xml:space="preserve">                                </w:t>
      </w:r>
      <w:r>
        <w:rPr>
          <w:rFonts w:hint="eastAsia" w:ascii="宋体" w:hAnsi="宋体"/>
          <w:color w:val="auto"/>
          <w:sz w:val="24"/>
        </w:rPr>
        <w:t xml:space="preserve">  签约地点：</w:t>
      </w:r>
    </w:p>
    <w:p>
      <w:pPr>
        <w:spacing w:line="44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根据《中华人民共和国政府采购法》、《中华人民共和国合同法》及</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440" w:lineRule="exact"/>
        <w:rPr>
          <w:rFonts w:ascii="宋体" w:hAnsi="宋体"/>
          <w:color w:val="auto"/>
          <w:sz w:val="24"/>
        </w:rPr>
      </w:pPr>
      <w:r>
        <w:rPr>
          <w:rFonts w:hint="eastAsia" w:ascii="宋体" w:hAnsi="宋体"/>
          <w:color w:val="auto"/>
          <w:sz w:val="24"/>
        </w:rPr>
        <w:t> </w:t>
      </w:r>
      <w:r>
        <w:rPr>
          <w:rFonts w:hint="eastAsia" w:ascii="宋体" w:hAnsi="宋体"/>
          <w:color w:val="auto"/>
          <w:sz w:val="24"/>
          <w:lang w:val="en-US" w:eastAsia="zh-CN"/>
        </w:rPr>
        <w:t>2023年沙雅县创建文明城市氛围提升项目</w:t>
      </w:r>
      <w:r>
        <w:rPr>
          <w:rFonts w:hint="eastAsia" w:ascii="宋体" w:hAnsi="宋体"/>
          <w:color w:val="auto"/>
          <w:sz w:val="24"/>
        </w:rPr>
        <w:t>招标文件的要求，经双方协商一致，签订本合同。</w:t>
      </w:r>
    </w:p>
    <w:p>
      <w:pPr>
        <w:spacing w:line="440" w:lineRule="exact"/>
        <w:rPr>
          <w:rFonts w:ascii="宋体" w:hAnsi="宋体"/>
          <w:b/>
          <w:bCs/>
          <w:color w:val="auto"/>
          <w:sz w:val="24"/>
        </w:rPr>
      </w:pPr>
      <w:r>
        <w:rPr>
          <w:rFonts w:ascii="宋体" w:hAnsi="宋体"/>
          <w:b/>
          <w:bCs/>
          <w:color w:val="auto"/>
          <w:sz w:val="24"/>
        </w:rPr>
        <w:t>1</w:t>
      </w:r>
      <w:r>
        <w:rPr>
          <w:rFonts w:hint="eastAsia" w:ascii="宋体" w:hAnsi="宋体"/>
          <w:b/>
          <w:bCs/>
          <w:color w:val="auto"/>
          <w:sz w:val="24"/>
        </w:rPr>
        <w:t>、合同设备</w:t>
      </w:r>
    </w:p>
    <w:p>
      <w:pPr>
        <w:spacing w:line="440" w:lineRule="exact"/>
        <w:rPr>
          <w:rFonts w:ascii="宋体" w:hAnsi="宋体"/>
          <w:color w:val="auto"/>
          <w:sz w:val="24"/>
        </w:rPr>
      </w:pPr>
      <w:r>
        <w:rPr>
          <w:rFonts w:ascii="宋体" w:hAnsi="宋体"/>
          <w:color w:val="auto"/>
          <w:sz w:val="24"/>
        </w:rPr>
        <w:tab/>
      </w:r>
      <w:r>
        <w:rPr>
          <w:rFonts w:hint="eastAsia" w:ascii="宋体" w:hAnsi="宋体"/>
          <w:color w:val="auto"/>
          <w:sz w:val="24"/>
        </w:rPr>
        <w:t>乙方负责向甲方供应下表中所列</w:t>
      </w:r>
      <w:r>
        <w:rPr>
          <w:rFonts w:hint="eastAsia" w:ascii="宋体" w:hAnsi="宋体"/>
          <w:color w:val="auto"/>
          <w:sz w:val="24"/>
          <w:u w:val="single"/>
        </w:rPr>
        <w:t xml:space="preserve">                     </w:t>
      </w:r>
      <w:r>
        <w:rPr>
          <w:rFonts w:hint="eastAsia" w:ascii="宋体" w:hAnsi="宋体"/>
          <w:color w:val="auto"/>
          <w:sz w:val="24"/>
        </w:rPr>
        <w:t>及负责安装调试。</w:t>
      </w:r>
    </w:p>
    <w:tbl>
      <w:tblPr>
        <w:tblStyle w:val="1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jc w:val="center"/>
              <w:rPr>
                <w:rFonts w:ascii="宋体" w:hAnsi="宋体"/>
                <w:color w:val="auto"/>
                <w:sz w:val="24"/>
              </w:rPr>
            </w:pPr>
            <w:r>
              <w:rPr>
                <w:rFonts w:hint="eastAsia" w:ascii="宋体" w:hAnsi="宋体"/>
                <w:color w:val="auto"/>
                <w:sz w:val="24"/>
              </w:rPr>
              <w:t>货物名称</w:t>
            </w:r>
          </w:p>
        </w:tc>
        <w:tc>
          <w:tcPr>
            <w:tcW w:w="1365" w:type="dxa"/>
            <w:vAlign w:val="center"/>
          </w:tcPr>
          <w:p>
            <w:pPr>
              <w:spacing w:line="440" w:lineRule="exact"/>
              <w:jc w:val="center"/>
              <w:rPr>
                <w:rFonts w:ascii="宋体" w:hAnsi="宋体"/>
                <w:color w:val="auto"/>
                <w:sz w:val="24"/>
              </w:rPr>
            </w:pPr>
            <w:r>
              <w:rPr>
                <w:rFonts w:hint="eastAsia" w:ascii="宋体" w:hAnsi="宋体"/>
                <w:color w:val="auto"/>
                <w:sz w:val="24"/>
              </w:rPr>
              <w:t>规格型号</w:t>
            </w:r>
          </w:p>
        </w:tc>
        <w:tc>
          <w:tcPr>
            <w:tcW w:w="829" w:type="dxa"/>
            <w:vAlign w:val="center"/>
          </w:tcPr>
          <w:p>
            <w:pPr>
              <w:spacing w:line="440" w:lineRule="exact"/>
              <w:jc w:val="center"/>
              <w:rPr>
                <w:rFonts w:ascii="宋体" w:hAnsi="宋体"/>
                <w:color w:val="auto"/>
                <w:sz w:val="24"/>
              </w:rPr>
            </w:pPr>
            <w:r>
              <w:rPr>
                <w:rFonts w:hint="eastAsia" w:ascii="宋体" w:hAnsi="宋体"/>
                <w:color w:val="auto"/>
                <w:sz w:val="24"/>
              </w:rPr>
              <w:t>产地厂家</w:t>
            </w:r>
          </w:p>
        </w:tc>
        <w:tc>
          <w:tcPr>
            <w:tcW w:w="878" w:type="dxa"/>
            <w:vAlign w:val="center"/>
          </w:tcPr>
          <w:p>
            <w:pPr>
              <w:spacing w:line="440" w:lineRule="exact"/>
              <w:jc w:val="center"/>
              <w:rPr>
                <w:rFonts w:ascii="宋体" w:hAnsi="宋体"/>
                <w:color w:val="auto"/>
                <w:sz w:val="24"/>
              </w:rPr>
            </w:pPr>
            <w:r>
              <w:rPr>
                <w:rFonts w:hint="eastAsia" w:ascii="宋体" w:hAnsi="宋体"/>
                <w:color w:val="auto"/>
                <w:sz w:val="24"/>
              </w:rPr>
              <w:t>单位</w:t>
            </w:r>
          </w:p>
        </w:tc>
        <w:tc>
          <w:tcPr>
            <w:tcW w:w="878" w:type="dxa"/>
            <w:vAlign w:val="center"/>
          </w:tcPr>
          <w:p>
            <w:pPr>
              <w:spacing w:line="440" w:lineRule="exact"/>
              <w:jc w:val="center"/>
              <w:rPr>
                <w:rFonts w:ascii="宋体" w:hAnsi="宋体"/>
                <w:color w:val="auto"/>
                <w:sz w:val="24"/>
              </w:rPr>
            </w:pPr>
            <w:r>
              <w:rPr>
                <w:rFonts w:hint="eastAsia" w:ascii="宋体" w:hAnsi="宋体"/>
                <w:color w:val="auto"/>
                <w:sz w:val="24"/>
              </w:rPr>
              <w:t>数量</w:t>
            </w:r>
          </w:p>
        </w:tc>
        <w:tc>
          <w:tcPr>
            <w:tcW w:w="878" w:type="dxa"/>
            <w:vAlign w:val="center"/>
          </w:tcPr>
          <w:p>
            <w:pPr>
              <w:spacing w:line="440" w:lineRule="exact"/>
              <w:jc w:val="center"/>
              <w:rPr>
                <w:rFonts w:ascii="宋体" w:hAnsi="宋体"/>
                <w:color w:val="auto"/>
                <w:sz w:val="24"/>
              </w:rPr>
            </w:pPr>
            <w:r>
              <w:rPr>
                <w:rFonts w:hint="eastAsia" w:ascii="宋体" w:hAnsi="宋体"/>
                <w:color w:val="auto"/>
                <w:sz w:val="24"/>
              </w:rPr>
              <w:t>单价</w:t>
            </w:r>
          </w:p>
        </w:tc>
        <w:tc>
          <w:tcPr>
            <w:tcW w:w="878" w:type="dxa"/>
            <w:vAlign w:val="center"/>
          </w:tcPr>
          <w:p>
            <w:pPr>
              <w:spacing w:line="440" w:lineRule="exact"/>
              <w:jc w:val="center"/>
              <w:rPr>
                <w:rFonts w:ascii="宋体" w:hAnsi="宋体"/>
                <w:color w:val="auto"/>
                <w:sz w:val="24"/>
              </w:rPr>
            </w:pPr>
            <w:r>
              <w:rPr>
                <w:rFonts w:hint="eastAsia" w:ascii="宋体" w:hAnsi="宋体"/>
                <w:color w:val="auto"/>
                <w:sz w:val="24"/>
              </w:rPr>
              <w:t>总价</w:t>
            </w:r>
          </w:p>
        </w:tc>
        <w:tc>
          <w:tcPr>
            <w:tcW w:w="878" w:type="dxa"/>
            <w:vAlign w:val="center"/>
          </w:tcPr>
          <w:p>
            <w:pPr>
              <w:spacing w:line="440" w:lineRule="exact"/>
              <w:jc w:val="center"/>
              <w:rPr>
                <w:rFonts w:ascii="宋体" w:hAnsi="宋体"/>
                <w:color w:val="auto"/>
                <w:sz w:val="24"/>
              </w:rPr>
            </w:pPr>
            <w:r>
              <w:rPr>
                <w:rFonts w:hint="eastAsia" w:ascii="宋体" w:hAnsi="宋体"/>
                <w:color w:val="auto"/>
                <w:sz w:val="24"/>
              </w:rPr>
              <w:t>随机配件</w:t>
            </w:r>
          </w:p>
        </w:tc>
        <w:tc>
          <w:tcPr>
            <w:tcW w:w="878" w:type="dxa"/>
            <w:vAlign w:val="center"/>
          </w:tcPr>
          <w:p>
            <w:pPr>
              <w:spacing w:line="440" w:lineRule="exact"/>
              <w:jc w:val="center"/>
              <w:rPr>
                <w:rFonts w:ascii="宋体" w:hAnsi="宋体"/>
                <w:color w:val="auto"/>
                <w:sz w:val="24"/>
              </w:rPr>
            </w:pPr>
            <w:r>
              <w:rPr>
                <w:rFonts w:hint="eastAsia" w:ascii="宋体" w:hAnsi="宋体"/>
                <w:color w:val="auto"/>
                <w:sz w:val="24"/>
              </w:rPr>
              <w:t>交货地点</w:t>
            </w:r>
          </w:p>
        </w:tc>
        <w:tc>
          <w:tcPr>
            <w:tcW w:w="938" w:type="dxa"/>
            <w:vAlign w:val="center"/>
          </w:tcPr>
          <w:p>
            <w:pPr>
              <w:spacing w:line="440" w:lineRule="exact"/>
              <w:jc w:val="center"/>
              <w:rPr>
                <w:rFonts w:ascii="宋体" w:hAnsi="宋体"/>
                <w:color w:val="auto"/>
                <w:sz w:val="24"/>
              </w:rPr>
            </w:pPr>
            <w:r>
              <w:rPr>
                <w:rFonts w:hint="eastAsia" w:ascii="宋体" w:hAnsi="宋体"/>
                <w:color w:val="auto"/>
                <w:sz w:val="24"/>
              </w:rPr>
              <w:t>交货</w:t>
            </w:r>
            <w:r>
              <w:rPr>
                <w:rFonts w:ascii="宋体" w:hAnsi="宋体"/>
                <w:color w:val="auto"/>
                <w:sz w:val="24"/>
              </w:rPr>
              <w:t xml:space="preserve"> </w:t>
            </w: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color w:val="auto"/>
                <w:sz w:val="24"/>
              </w:rPr>
            </w:pPr>
          </w:p>
        </w:tc>
        <w:tc>
          <w:tcPr>
            <w:tcW w:w="1365" w:type="dxa"/>
          </w:tcPr>
          <w:p>
            <w:pPr>
              <w:spacing w:line="440" w:lineRule="exact"/>
              <w:rPr>
                <w:rFonts w:ascii="宋体" w:hAnsi="宋体"/>
                <w:color w:val="auto"/>
                <w:sz w:val="24"/>
              </w:rPr>
            </w:pPr>
          </w:p>
        </w:tc>
        <w:tc>
          <w:tcPr>
            <w:tcW w:w="829"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938" w:type="dxa"/>
          </w:tcPr>
          <w:p>
            <w:pPr>
              <w:spacing w:line="44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color w:val="auto"/>
                <w:sz w:val="24"/>
              </w:rPr>
            </w:pPr>
          </w:p>
        </w:tc>
        <w:tc>
          <w:tcPr>
            <w:tcW w:w="1365" w:type="dxa"/>
          </w:tcPr>
          <w:p>
            <w:pPr>
              <w:spacing w:line="440" w:lineRule="exact"/>
              <w:rPr>
                <w:rFonts w:ascii="宋体" w:hAnsi="宋体"/>
                <w:color w:val="auto"/>
                <w:sz w:val="24"/>
              </w:rPr>
            </w:pPr>
          </w:p>
        </w:tc>
        <w:tc>
          <w:tcPr>
            <w:tcW w:w="829"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878" w:type="dxa"/>
          </w:tcPr>
          <w:p>
            <w:pPr>
              <w:spacing w:line="440" w:lineRule="exact"/>
              <w:rPr>
                <w:rFonts w:ascii="宋体" w:hAnsi="宋体"/>
                <w:color w:val="auto"/>
                <w:sz w:val="24"/>
              </w:rPr>
            </w:pPr>
          </w:p>
        </w:tc>
        <w:tc>
          <w:tcPr>
            <w:tcW w:w="938" w:type="dxa"/>
          </w:tcPr>
          <w:p>
            <w:pPr>
              <w:spacing w:line="440" w:lineRule="exact"/>
              <w:rPr>
                <w:rFonts w:ascii="宋体" w:hAnsi="宋体"/>
                <w:color w:val="auto"/>
                <w:sz w:val="24"/>
              </w:rPr>
            </w:pPr>
          </w:p>
        </w:tc>
      </w:tr>
    </w:tbl>
    <w:p>
      <w:pPr>
        <w:spacing w:line="440" w:lineRule="exact"/>
        <w:rPr>
          <w:rFonts w:ascii="宋体" w:hAnsi="宋体"/>
          <w:b/>
          <w:bCs/>
          <w:color w:val="auto"/>
          <w:sz w:val="24"/>
        </w:rPr>
      </w:pPr>
      <w:r>
        <w:rPr>
          <w:rFonts w:ascii="宋体" w:hAnsi="宋体"/>
          <w:b/>
          <w:bCs/>
          <w:color w:val="auto"/>
          <w:sz w:val="24"/>
        </w:rPr>
        <w:t>2</w:t>
      </w:r>
      <w:r>
        <w:rPr>
          <w:rFonts w:hint="eastAsia" w:ascii="宋体" w:hAnsi="宋体"/>
          <w:b/>
          <w:bCs/>
          <w:color w:val="auto"/>
          <w:sz w:val="24"/>
        </w:rPr>
        <w:t>、合同总价和支付方式</w:t>
      </w:r>
    </w:p>
    <w:p>
      <w:pPr>
        <w:spacing w:line="440" w:lineRule="exact"/>
        <w:ind w:left="0" w:leftChars="0" w:firstLine="0" w:firstLineChars="0"/>
        <w:rPr>
          <w:rFonts w:ascii="宋体" w:hAnsi="宋体"/>
          <w:color w:val="auto"/>
          <w:sz w:val="24"/>
        </w:rPr>
      </w:pPr>
      <w:r>
        <w:rPr>
          <w:rFonts w:hint="eastAsia" w:ascii="宋体" w:hAnsi="宋体"/>
          <w:color w:val="auto"/>
          <w:sz w:val="24"/>
        </w:rPr>
        <w:t>2.1合同总价：总价为人民币（大写）：</w:t>
      </w:r>
      <w:r>
        <w:rPr>
          <w:rFonts w:hint="eastAsia" w:ascii="宋体" w:hAnsi="宋体"/>
          <w:color w:val="auto"/>
          <w:sz w:val="24"/>
          <w:u w:val="single"/>
        </w:rPr>
        <w:t>　　</w:t>
      </w:r>
      <w:r>
        <w:rPr>
          <w:rFonts w:ascii="宋体" w:hAnsi="宋体"/>
          <w:color w:val="auto"/>
          <w:sz w:val="24"/>
          <w:u w:val="single"/>
        </w:rPr>
        <w:t xml:space="preserve">              </w:t>
      </w:r>
      <w:r>
        <w:rPr>
          <w:rFonts w:hint="eastAsia" w:ascii="宋体" w:hAnsi="宋体"/>
          <w:color w:val="auto"/>
          <w:sz w:val="24"/>
        </w:rPr>
        <w:t>，即</w:t>
      </w:r>
      <w:r>
        <w:rPr>
          <w:rFonts w:ascii="宋体" w:hAnsi="宋体"/>
          <w:color w:val="auto"/>
          <w:sz w:val="24"/>
        </w:rPr>
        <w:t>RMB</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rPr>
        <w:t>元，该合同总金额是设计、设备制造、包装、仓储、运输、安装及验收合格之前及保修期与备品备件发生的所有含税费用。本合同执行期间合同总金额不变。</w:t>
      </w:r>
    </w:p>
    <w:p>
      <w:pPr>
        <w:spacing w:line="440" w:lineRule="exact"/>
        <w:ind w:left="480" w:hanging="480" w:hangingChars="200"/>
        <w:rPr>
          <w:rFonts w:ascii="宋体" w:hAnsi="宋体"/>
          <w:color w:val="auto"/>
          <w:sz w:val="24"/>
        </w:rPr>
      </w:pPr>
      <w:r>
        <w:rPr>
          <w:rFonts w:hint="eastAsia" w:ascii="宋体" w:hAnsi="宋体"/>
          <w:color w:val="auto"/>
          <w:sz w:val="24"/>
        </w:rPr>
        <w:t>2.2支付方式：</w:t>
      </w:r>
      <w:r>
        <w:rPr>
          <w:rFonts w:hint="eastAsia" w:ascii="宋体" w:hAnsi="宋体"/>
          <w:color w:val="auto"/>
          <w:sz w:val="24"/>
          <w:u w:val="single"/>
          <w:lang w:val="en-US" w:eastAsia="zh-CN"/>
        </w:rPr>
        <w:t xml:space="preserve">                                        </w:t>
      </w:r>
      <w:r>
        <w:rPr>
          <w:rFonts w:hint="eastAsia" w:ascii="宋体" w:hAnsi="宋体"/>
          <w:color w:val="auto"/>
          <w:sz w:val="24"/>
        </w:rPr>
        <w:t>。</w:t>
      </w:r>
    </w:p>
    <w:p>
      <w:pPr>
        <w:spacing w:line="400" w:lineRule="exact"/>
        <w:ind w:left="480" w:hanging="480" w:hangingChars="200"/>
        <w:rPr>
          <w:rFonts w:ascii="宋体" w:hAnsi="宋体"/>
          <w:color w:val="auto"/>
          <w:sz w:val="24"/>
        </w:rPr>
      </w:pPr>
      <w:r>
        <w:rPr>
          <w:rFonts w:hint="eastAsia" w:ascii="宋体" w:hAnsi="宋体"/>
          <w:color w:val="auto"/>
          <w:sz w:val="24"/>
        </w:rPr>
        <w:t>2.3 乙方开户银行：</w:t>
      </w:r>
      <w:r>
        <w:rPr>
          <w:rFonts w:hint="eastAsia" w:ascii="宋体" w:hAnsi="宋体"/>
          <w:color w:val="auto"/>
          <w:sz w:val="24"/>
          <w:u w:val="single"/>
        </w:rPr>
        <w:t xml:space="preserve">               </w:t>
      </w:r>
      <w:r>
        <w:rPr>
          <w:rFonts w:hint="eastAsia" w:ascii="宋体" w:hAnsi="宋体"/>
          <w:color w:val="auto"/>
          <w:sz w:val="24"/>
        </w:rPr>
        <w:t>；乙方账号</w:t>
      </w:r>
      <w:r>
        <w:rPr>
          <w:rFonts w:hint="eastAsia" w:ascii="宋体" w:hAnsi="宋体"/>
          <w:color w:val="auto"/>
          <w:sz w:val="24"/>
          <w:u w:val="single"/>
        </w:rPr>
        <w:t xml:space="preserve">                    </w:t>
      </w:r>
      <w:r>
        <w:rPr>
          <w:rFonts w:hint="eastAsia" w:ascii="宋体" w:hAnsi="宋体"/>
          <w:color w:val="auto"/>
          <w:sz w:val="24"/>
        </w:rPr>
        <w:t>。</w:t>
      </w:r>
    </w:p>
    <w:p>
      <w:pPr>
        <w:spacing w:line="440" w:lineRule="exact"/>
        <w:rPr>
          <w:rFonts w:ascii="宋体" w:hAnsi="宋体"/>
          <w:b/>
          <w:bCs/>
          <w:color w:val="auto"/>
          <w:sz w:val="24"/>
        </w:rPr>
      </w:pPr>
      <w:r>
        <w:rPr>
          <w:rFonts w:ascii="宋体" w:hAnsi="宋体"/>
          <w:b/>
          <w:bCs/>
          <w:color w:val="auto"/>
          <w:sz w:val="24"/>
        </w:rPr>
        <w:t>3</w:t>
      </w:r>
      <w:r>
        <w:rPr>
          <w:rFonts w:hint="eastAsia" w:ascii="宋体" w:hAnsi="宋体"/>
          <w:b/>
          <w:bCs/>
          <w:color w:val="auto"/>
          <w:sz w:val="24"/>
        </w:rPr>
        <w:t>、合同组成</w:t>
      </w:r>
    </w:p>
    <w:p>
      <w:pPr>
        <w:spacing w:line="440" w:lineRule="exact"/>
        <w:ind w:left="-620" w:leftChars="0" w:firstLine="616" w:firstLineChars="257"/>
        <w:rPr>
          <w:rFonts w:ascii="宋体" w:hAnsi="宋体"/>
          <w:color w:val="auto"/>
          <w:sz w:val="24"/>
        </w:rPr>
      </w:pPr>
      <w:r>
        <w:rPr>
          <w:rFonts w:hint="eastAsia" w:ascii="宋体" w:hAnsi="宋体"/>
          <w:color w:val="auto"/>
          <w:sz w:val="24"/>
        </w:rPr>
        <w:t>详细价格、技术说明及其它有关合同设备的特定信息由合同附件说明。所有附件及本项目的招投标文件、会议纪要、协议等均为本合同不可分割之一部分。</w:t>
      </w:r>
    </w:p>
    <w:p>
      <w:pPr>
        <w:spacing w:line="440" w:lineRule="exact"/>
        <w:rPr>
          <w:rFonts w:ascii="宋体" w:hAnsi="宋体"/>
          <w:b/>
          <w:bCs/>
          <w:color w:val="auto"/>
          <w:sz w:val="24"/>
        </w:rPr>
      </w:pPr>
      <w:r>
        <w:rPr>
          <w:rFonts w:ascii="宋体" w:hAnsi="宋体"/>
          <w:b/>
          <w:bCs/>
          <w:color w:val="auto"/>
          <w:sz w:val="24"/>
        </w:rPr>
        <w:t>4</w:t>
      </w:r>
      <w:r>
        <w:rPr>
          <w:rFonts w:hint="eastAsia" w:ascii="宋体" w:hAnsi="宋体"/>
          <w:b/>
          <w:bCs/>
          <w:color w:val="auto"/>
          <w:sz w:val="24"/>
        </w:rPr>
        <w:t>、技术要求</w:t>
      </w:r>
    </w:p>
    <w:p>
      <w:pPr>
        <w:spacing w:line="440" w:lineRule="exact"/>
        <w:ind w:left="0" w:leftChars="0" w:firstLine="0" w:firstLineChars="0"/>
        <w:rPr>
          <w:rFonts w:ascii="宋体" w:hAnsi="宋体"/>
          <w:color w:val="auto"/>
          <w:sz w:val="24"/>
        </w:rPr>
      </w:pPr>
      <w:r>
        <w:rPr>
          <w:rFonts w:ascii="宋体" w:hAnsi="宋体"/>
          <w:color w:val="auto"/>
          <w:sz w:val="24"/>
        </w:rPr>
        <w:tab/>
      </w:r>
      <w:r>
        <w:rPr>
          <w:rFonts w:hint="eastAsia" w:ascii="宋体" w:hAnsi="宋体"/>
          <w:color w:val="auto"/>
          <w:sz w:val="24"/>
        </w:rPr>
        <w:t>乙方所提供设备，必须符合国家有关规范和环保要求及甲方的技术要求，并提供设备的出厂测试报告。</w:t>
      </w:r>
    </w:p>
    <w:p>
      <w:pPr>
        <w:spacing w:line="440" w:lineRule="exact"/>
        <w:rPr>
          <w:rFonts w:ascii="宋体" w:hAnsi="宋体"/>
          <w:b/>
          <w:bCs/>
          <w:color w:val="auto"/>
          <w:sz w:val="24"/>
        </w:rPr>
      </w:pPr>
      <w:r>
        <w:rPr>
          <w:rFonts w:ascii="宋体" w:hAnsi="宋体"/>
          <w:b/>
          <w:bCs/>
          <w:color w:val="auto"/>
          <w:sz w:val="24"/>
        </w:rPr>
        <w:t>5</w:t>
      </w:r>
      <w:r>
        <w:rPr>
          <w:rFonts w:hint="eastAsia" w:ascii="宋体" w:hAnsi="宋体"/>
          <w:b/>
          <w:bCs/>
          <w:color w:val="auto"/>
          <w:sz w:val="24"/>
        </w:rPr>
        <w:t>、合同设备包装、交货、安装、调试及验收</w:t>
      </w:r>
    </w:p>
    <w:p>
      <w:pPr>
        <w:spacing w:line="440" w:lineRule="exact"/>
        <w:ind w:firstLine="480" w:firstLineChars="200"/>
        <w:rPr>
          <w:rFonts w:ascii="宋体" w:hAnsi="宋体"/>
          <w:color w:val="auto"/>
          <w:sz w:val="24"/>
        </w:rPr>
      </w:pPr>
      <w:r>
        <w:rPr>
          <w:rFonts w:ascii="宋体" w:hAnsi="宋体"/>
          <w:color w:val="auto"/>
          <w:sz w:val="24"/>
        </w:rPr>
        <w:t xml:space="preserve">5.1 </w:t>
      </w:r>
      <w:r>
        <w:rPr>
          <w:rFonts w:hint="eastAsia" w:ascii="宋体" w:hAnsi="宋体"/>
          <w:color w:val="auto"/>
          <w:sz w:val="24"/>
        </w:rPr>
        <w:t>合同设备的包装：</w:t>
      </w:r>
    </w:p>
    <w:p>
      <w:pPr>
        <w:spacing w:line="440" w:lineRule="exact"/>
        <w:ind w:left="5" w:leftChars="0" w:firstLine="412" w:firstLineChars="172"/>
        <w:rPr>
          <w:rFonts w:ascii="宋体" w:hAnsi="宋体"/>
          <w:color w:val="auto"/>
          <w:sz w:val="24"/>
        </w:rPr>
      </w:pPr>
      <w:r>
        <w:rPr>
          <w:rFonts w:hint="eastAsia" w:ascii="宋体" w:hAnsi="宋体"/>
          <w:color w:val="auto"/>
          <w:sz w:val="24"/>
        </w:rPr>
        <w:t>设备的包装均应有良好的防湿、防锈、防潮、防雨、防腐及防碰撞的措施。凡由于包装不良造成的损失和由此产生的费用均由乙方承担。</w:t>
      </w:r>
    </w:p>
    <w:p>
      <w:pPr>
        <w:spacing w:line="440" w:lineRule="exact"/>
        <w:ind w:firstLine="480" w:firstLineChars="200"/>
        <w:rPr>
          <w:rFonts w:ascii="宋体" w:hAnsi="宋体"/>
          <w:color w:val="auto"/>
          <w:sz w:val="24"/>
        </w:rPr>
      </w:pPr>
      <w:r>
        <w:rPr>
          <w:rFonts w:ascii="宋体" w:hAnsi="宋体"/>
          <w:color w:val="auto"/>
          <w:sz w:val="24"/>
        </w:rPr>
        <w:t xml:space="preserve">5.2 </w:t>
      </w:r>
      <w:r>
        <w:rPr>
          <w:rFonts w:hint="eastAsia" w:ascii="宋体" w:hAnsi="宋体"/>
          <w:color w:val="auto"/>
          <w:sz w:val="24"/>
        </w:rPr>
        <w:t>合同设备的交货：</w:t>
      </w:r>
    </w:p>
    <w:p>
      <w:pPr>
        <w:spacing w:line="440" w:lineRule="exact"/>
        <w:ind w:firstLine="480" w:firstLineChars="200"/>
        <w:rPr>
          <w:rFonts w:ascii="宋体" w:hAnsi="宋体"/>
          <w:color w:val="auto"/>
          <w:sz w:val="24"/>
          <w:u w:val="single"/>
        </w:rPr>
      </w:pPr>
      <w:r>
        <w:rPr>
          <w:rFonts w:ascii="宋体" w:hAnsi="宋体"/>
          <w:color w:val="auto"/>
          <w:sz w:val="24"/>
        </w:rPr>
        <w:t xml:space="preserve">5.2.1 </w:t>
      </w:r>
      <w:r>
        <w:rPr>
          <w:rFonts w:hint="eastAsia" w:ascii="宋体" w:hAnsi="宋体"/>
          <w:color w:val="auto"/>
          <w:sz w:val="24"/>
        </w:rPr>
        <w:t>乙方交货时间：</w:t>
      </w:r>
      <w:r>
        <w:rPr>
          <w:rFonts w:hint="eastAsia" w:ascii="宋体" w:hAnsi="宋体"/>
          <w:color w:val="auto"/>
          <w:sz w:val="24"/>
          <w:u w:val="single"/>
        </w:rPr>
        <w:t xml:space="preserve">                    </w:t>
      </w:r>
      <w:r>
        <w:rPr>
          <w:rFonts w:hint="eastAsia" w:ascii="宋体" w:hAnsi="宋体"/>
          <w:color w:val="auto"/>
          <w:sz w:val="24"/>
        </w:rPr>
        <w:t>。</w:t>
      </w:r>
    </w:p>
    <w:p>
      <w:pPr>
        <w:spacing w:line="440" w:lineRule="exact"/>
        <w:ind w:firstLine="480" w:firstLineChars="200"/>
        <w:rPr>
          <w:rFonts w:ascii="宋体" w:hAnsi="宋体"/>
          <w:color w:val="auto"/>
          <w:sz w:val="24"/>
          <w:u w:val="single"/>
        </w:rPr>
      </w:pPr>
      <w:r>
        <w:rPr>
          <w:rFonts w:ascii="宋体" w:hAnsi="宋体"/>
          <w:color w:val="auto"/>
          <w:sz w:val="24"/>
        </w:rPr>
        <w:t xml:space="preserve">5.2.2 </w:t>
      </w:r>
      <w:r>
        <w:rPr>
          <w:rFonts w:hint="eastAsia" w:ascii="宋体" w:hAnsi="宋体"/>
          <w:color w:val="auto"/>
          <w:sz w:val="24"/>
        </w:rPr>
        <w:t xml:space="preserve">乙方交货地点： </w:t>
      </w:r>
      <w:r>
        <w:rPr>
          <w:rFonts w:hint="eastAsia" w:ascii="宋体" w:hAnsi="宋体"/>
          <w:color w:val="auto"/>
          <w:sz w:val="24"/>
          <w:u w:val="single"/>
        </w:rPr>
        <w:t xml:space="preserve">                    </w:t>
      </w:r>
      <w:r>
        <w:rPr>
          <w:rFonts w:hint="eastAsia" w:ascii="宋体" w:hAnsi="宋体"/>
          <w:color w:val="auto"/>
          <w:sz w:val="24"/>
        </w:rPr>
        <w:t>。</w:t>
      </w:r>
    </w:p>
    <w:p>
      <w:pPr>
        <w:spacing w:line="440" w:lineRule="exact"/>
        <w:ind w:firstLine="480" w:firstLineChars="200"/>
        <w:rPr>
          <w:rFonts w:ascii="宋体" w:hAnsi="宋体"/>
          <w:color w:val="auto"/>
          <w:sz w:val="24"/>
        </w:rPr>
      </w:pPr>
      <w:r>
        <w:rPr>
          <w:rFonts w:ascii="宋体" w:hAnsi="宋体"/>
          <w:color w:val="auto"/>
          <w:sz w:val="24"/>
        </w:rPr>
        <w:t xml:space="preserve">5.3 </w:t>
      </w:r>
      <w:r>
        <w:rPr>
          <w:rFonts w:hint="eastAsia" w:ascii="宋体" w:hAnsi="宋体"/>
          <w:color w:val="auto"/>
          <w:sz w:val="24"/>
        </w:rPr>
        <w:t>合同设备的安装调试：</w:t>
      </w:r>
    </w:p>
    <w:p>
      <w:pPr>
        <w:spacing w:line="440" w:lineRule="exact"/>
        <w:ind w:firstLine="480" w:firstLineChars="200"/>
        <w:rPr>
          <w:rFonts w:ascii="宋体" w:hAnsi="宋体"/>
          <w:color w:val="auto"/>
          <w:sz w:val="24"/>
        </w:rPr>
      </w:pPr>
      <w:r>
        <w:rPr>
          <w:rFonts w:ascii="宋体" w:hAnsi="宋体"/>
          <w:color w:val="auto"/>
          <w:sz w:val="24"/>
        </w:rPr>
        <w:t xml:space="preserve">5.3.1 </w:t>
      </w:r>
      <w:r>
        <w:rPr>
          <w:rFonts w:hint="eastAsia" w:ascii="宋体" w:hAnsi="宋体"/>
          <w:color w:val="auto"/>
          <w:sz w:val="24"/>
        </w:rPr>
        <w:t>乙方负责合同项下的安装调试，一切费用由乙方负责。</w:t>
      </w:r>
    </w:p>
    <w:p>
      <w:pPr>
        <w:spacing w:line="440" w:lineRule="exact"/>
        <w:ind w:firstLine="480" w:firstLineChars="200"/>
        <w:rPr>
          <w:rFonts w:ascii="宋体" w:hAnsi="宋体"/>
          <w:color w:val="auto"/>
          <w:sz w:val="24"/>
        </w:rPr>
      </w:pPr>
      <w:r>
        <w:rPr>
          <w:rFonts w:ascii="宋体" w:hAnsi="宋体"/>
          <w:color w:val="auto"/>
          <w:sz w:val="24"/>
        </w:rPr>
        <w:t xml:space="preserve">5.3.2 </w:t>
      </w:r>
      <w:r>
        <w:rPr>
          <w:rFonts w:hint="eastAsia" w:ascii="宋体" w:hAnsi="宋体"/>
          <w:color w:val="auto"/>
          <w:sz w:val="24"/>
        </w:rPr>
        <w:t>乙方安装时须对各安装场地内的其它设备、设施有良好保护措施。</w:t>
      </w:r>
    </w:p>
    <w:p>
      <w:pPr>
        <w:spacing w:line="440" w:lineRule="exact"/>
        <w:ind w:firstLine="480" w:firstLineChars="200"/>
        <w:rPr>
          <w:rFonts w:ascii="宋体" w:hAnsi="宋体"/>
          <w:color w:val="auto"/>
          <w:sz w:val="24"/>
        </w:rPr>
      </w:pPr>
      <w:r>
        <w:rPr>
          <w:rFonts w:ascii="宋体" w:hAnsi="宋体"/>
          <w:color w:val="auto"/>
          <w:sz w:val="24"/>
        </w:rPr>
        <w:t xml:space="preserve">5.4  </w:t>
      </w:r>
      <w:r>
        <w:rPr>
          <w:rFonts w:hint="eastAsia" w:ascii="宋体" w:hAnsi="宋体"/>
          <w:color w:val="auto"/>
          <w:sz w:val="24"/>
        </w:rPr>
        <w:t>设备的验收：</w:t>
      </w:r>
    </w:p>
    <w:p>
      <w:pPr>
        <w:spacing w:line="440" w:lineRule="exact"/>
        <w:ind w:left="0" w:leftChars="0" w:right="-420" w:rightChars="-200" w:firstLine="417" w:firstLineChars="174"/>
        <w:rPr>
          <w:rFonts w:ascii="宋体" w:hAnsi="宋体"/>
          <w:color w:val="auto"/>
          <w:sz w:val="24"/>
        </w:rPr>
      </w:pPr>
      <w:r>
        <w:rPr>
          <w:rFonts w:ascii="宋体" w:hAnsi="宋体"/>
          <w:color w:val="auto"/>
          <w:sz w:val="24"/>
        </w:rPr>
        <w:t>5.4.1</w:t>
      </w:r>
      <w:r>
        <w:rPr>
          <w:rFonts w:hint="eastAsia" w:ascii="宋体" w:hAnsi="宋体"/>
          <w:color w:val="auto"/>
          <w:sz w:val="24"/>
        </w:rPr>
        <w:t>中标设备安装调试，试运行一个月后组织验收，如中标设备在试运行期间出现故障，则应相应延长试运行时间,验收应在甲乙双方共同参加下进行。</w:t>
      </w:r>
    </w:p>
    <w:p>
      <w:pPr>
        <w:spacing w:line="440" w:lineRule="exact"/>
        <w:ind w:left="0" w:leftChars="0" w:right="-420" w:rightChars="-200" w:firstLine="420" w:firstLineChars="175"/>
        <w:rPr>
          <w:rFonts w:ascii="宋体" w:hAnsi="宋体"/>
          <w:color w:val="auto"/>
          <w:sz w:val="24"/>
        </w:rPr>
      </w:pPr>
      <w:r>
        <w:rPr>
          <w:rFonts w:ascii="宋体" w:hAnsi="宋体"/>
          <w:color w:val="auto"/>
          <w:sz w:val="24"/>
        </w:rPr>
        <w:t xml:space="preserve">5.4.2 </w:t>
      </w:r>
      <w:r>
        <w:rPr>
          <w:rFonts w:hint="eastAsia" w:ascii="宋体" w:hAnsi="宋体"/>
          <w:color w:val="auto"/>
          <w:sz w:val="24"/>
        </w:rPr>
        <w:t>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440" w:lineRule="exact"/>
        <w:ind w:left="3" w:leftChars="0" w:firstLine="393" w:firstLineChars="164"/>
        <w:rPr>
          <w:rFonts w:ascii="宋体" w:hAnsi="宋体"/>
          <w:color w:val="auto"/>
          <w:sz w:val="24"/>
        </w:rPr>
      </w:pPr>
      <w:r>
        <w:rPr>
          <w:rFonts w:ascii="宋体" w:hAnsi="宋体"/>
          <w:color w:val="auto"/>
          <w:sz w:val="24"/>
        </w:rPr>
        <w:t xml:space="preserve">5.4.3 </w:t>
      </w:r>
      <w:r>
        <w:rPr>
          <w:rFonts w:hint="eastAsia" w:ascii="宋体" w:hAnsi="宋体"/>
          <w:color w:val="auto"/>
          <w:sz w:val="24"/>
        </w:rPr>
        <w:t>如果合同设备运输和安装调试过程中因事故造成货物短缺、损坏，乙方应及时安排换装，以保证合同设备安装调试的成功完成。换货的相关费用由乙方承担。</w:t>
      </w:r>
    </w:p>
    <w:p>
      <w:pPr>
        <w:spacing w:line="440" w:lineRule="exact"/>
        <w:ind w:left="0" w:leftChars="0" w:firstLine="420" w:firstLineChars="175"/>
        <w:rPr>
          <w:rFonts w:ascii="宋体" w:hAnsi="宋体"/>
          <w:color w:val="auto"/>
          <w:sz w:val="24"/>
        </w:rPr>
      </w:pPr>
      <w:r>
        <w:rPr>
          <w:rFonts w:ascii="宋体" w:hAnsi="宋体"/>
          <w:color w:val="auto"/>
          <w:sz w:val="24"/>
        </w:rPr>
        <w:t xml:space="preserve">5.5 </w:t>
      </w:r>
      <w:r>
        <w:rPr>
          <w:rFonts w:hint="eastAsia" w:ascii="宋体" w:hAnsi="宋体"/>
          <w:color w:val="auto"/>
          <w:sz w:val="24"/>
        </w:rPr>
        <w:t xml:space="preserve"> 乙方保证合同项下提供的设备不侵犯任何第三方的专利、商标或版权。否则，乙方须承担对第三方的专利或版权的侵权责任并承担因此而发生的所有费用。</w:t>
      </w:r>
    </w:p>
    <w:p>
      <w:pPr>
        <w:spacing w:line="440" w:lineRule="exact"/>
        <w:rPr>
          <w:rFonts w:ascii="宋体" w:hAnsi="宋体"/>
          <w:b/>
          <w:bCs/>
          <w:color w:val="auto"/>
          <w:sz w:val="24"/>
        </w:rPr>
      </w:pPr>
      <w:r>
        <w:rPr>
          <w:rFonts w:ascii="宋体" w:hAnsi="宋体"/>
          <w:b/>
          <w:bCs/>
          <w:color w:val="auto"/>
          <w:sz w:val="24"/>
        </w:rPr>
        <w:t>6</w:t>
      </w:r>
      <w:r>
        <w:rPr>
          <w:rFonts w:hint="eastAsia" w:ascii="宋体" w:hAnsi="宋体"/>
          <w:b/>
          <w:bCs/>
          <w:color w:val="auto"/>
          <w:sz w:val="24"/>
        </w:rPr>
        <w:t>、质量保证及售后服务</w:t>
      </w:r>
    </w:p>
    <w:p>
      <w:pPr>
        <w:spacing w:line="440" w:lineRule="exact"/>
        <w:ind w:left="0" w:leftChars="0" w:firstLine="420" w:firstLineChars="175"/>
        <w:rPr>
          <w:rFonts w:ascii="宋体" w:hAnsi="宋体"/>
          <w:color w:val="auto"/>
          <w:sz w:val="24"/>
        </w:rPr>
      </w:pPr>
      <w:r>
        <w:rPr>
          <w:rFonts w:ascii="宋体" w:hAnsi="宋体"/>
          <w:color w:val="auto"/>
          <w:sz w:val="24"/>
        </w:rPr>
        <w:t xml:space="preserve">6.1 </w:t>
      </w:r>
      <w:r>
        <w:rPr>
          <w:rFonts w:hint="eastAsia" w:ascii="宋体" w:hAnsi="宋体"/>
          <w:color w:val="auto"/>
          <w:sz w:val="24"/>
        </w:rPr>
        <w:t>乙方保证合同设备是全新、未曾使用过的，其质量、规格及技术特征符合合同附件的要求。</w:t>
      </w:r>
    </w:p>
    <w:p>
      <w:pPr>
        <w:spacing w:line="440" w:lineRule="exact"/>
        <w:ind w:left="0" w:leftChars="0" w:firstLine="420" w:firstLineChars="175"/>
        <w:rPr>
          <w:rFonts w:ascii="宋体" w:hAnsi="宋体"/>
          <w:color w:val="auto"/>
          <w:sz w:val="24"/>
        </w:rPr>
      </w:pPr>
      <w:r>
        <w:rPr>
          <w:rFonts w:ascii="宋体" w:hAnsi="宋体"/>
          <w:color w:val="auto"/>
          <w:sz w:val="24"/>
        </w:rPr>
        <w:t xml:space="preserve">6.2 </w:t>
      </w:r>
      <w:r>
        <w:rPr>
          <w:rFonts w:hint="eastAsia" w:ascii="宋体" w:hAnsi="宋体"/>
          <w:color w:val="auto"/>
          <w:sz w:val="24"/>
        </w:rPr>
        <w:t>合同设备保质保用期按生产厂家的标准执行，但不得少于</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年（用户单位验收之日起计算）。</w:t>
      </w:r>
    </w:p>
    <w:p>
      <w:pPr>
        <w:spacing w:line="440" w:lineRule="exact"/>
        <w:ind w:left="0" w:leftChars="0" w:firstLine="420" w:firstLineChars="175"/>
        <w:rPr>
          <w:rFonts w:ascii="宋体" w:hAnsi="宋体"/>
          <w:color w:val="auto"/>
          <w:sz w:val="24"/>
        </w:rPr>
      </w:pPr>
      <w:r>
        <w:rPr>
          <w:rFonts w:hint="eastAsia" w:ascii="宋体" w:hAnsi="宋体"/>
          <w:color w:val="auto"/>
          <w:sz w:val="24"/>
        </w:rPr>
        <w:t>保质保用期内非甲方的人为原因而出现产品质量及安装问题，由乙方负责包修、包换或包退，并承担因此而产生的一切费用。乙方应在收到甲方通知后</w:t>
      </w:r>
      <w:r>
        <w:rPr>
          <w:rFonts w:ascii="宋体" w:hAnsi="宋体"/>
          <w:color w:val="auto"/>
          <w:sz w:val="24"/>
        </w:rPr>
        <w:t>24</w:t>
      </w:r>
      <w:r>
        <w:rPr>
          <w:rFonts w:hint="eastAsia" w:ascii="宋体" w:hAnsi="宋体"/>
          <w:color w:val="auto"/>
          <w:sz w:val="24"/>
        </w:rPr>
        <w:t>小时内派员到现场维修。</w:t>
      </w:r>
    </w:p>
    <w:p>
      <w:pPr>
        <w:spacing w:line="440" w:lineRule="exact"/>
        <w:ind w:firstLine="960" w:firstLineChars="400"/>
        <w:rPr>
          <w:rFonts w:ascii="宋体" w:hAnsi="宋体"/>
          <w:color w:val="auto"/>
          <w:sz w:val="24"/>
        </w:rPr>
      </w:pPr>
      <w:r>
        <w:rPr>
          <w:rFonts w:hint="eastAsia" w:ascii="宋体" w:hAnsi="宋体"/>
          <w:color w:val="auto"/>
          <w:sz w:val="24"/>
        </w:rPr>
        <w:t>下列情况乙方不负责免费保修：</w:t>
      </w:r>
    </w:p>
    <w:p>
      <w:pPr>
        <w:spacing w:line="440" w:lineRule="exact"/>
        <w:ind w:firstLine="648" w:firstLineChars="270"/>
        <w:rPr>
          <w:rFonts w:ascii="宋体" w:hAnsi="宋体"/>
          <w:color w:val="auto"/>
          <w:sz w:val="24"/>
        </w:rPr>
      </w:pPr>
      <w:r>
        <w:rPr>
          <w:rFonts w:ascii="宋体" w:hAnsi="宋体"/>
          <w:color w:val="auto"/>
          <w:sz w:val="24"/>
        </w:rPr>
        <w:t>1</w:t>
      </w:r>
      <w:r>
        <w:rPr>
          <w:rFonts w:hint="eastAsia" w:ascii="宋体" w:hAnsi="宋体"/>
          <w:color w:val="auto"/>
          <w:sz w:val="24"/>
        </w:rPr>
        <w:t>）甲方不按照乙方提供的正确使用方法而引致设备故障损坏；</w:t>
      </w:r>
    </w:p>
    <w:p>
      <w:pPr>
        <w:spacing w:line="440" w:lineRule="exact"/>
        <w:ind w:firstLine="648" w:firstLineChars="270"/>
        <w:rPr>
          <w:rFonts w:ascii="宋体" w:hAnsi="宋体"/>
          <w:color w:val="auto"/>
          <w:sz w:val="24"/>
        </w:rPr>
      </w:pPr>
      <w:r>
        <w:rPr>
          <w:rFonts w:ascii="宋体" w:hAnsi="宋体"/>
          <w:color w:val="auto"/>
          <w:sz w:val="24"/>
        </w:rPr>
        <w:t>2</w:t>
      </w:r>
      <w:r>
        <w:rPr>
          <w:rFonts w:hint="eastAsia" w:ascii="宋体" w:hAnsi="宋体"/>
          <w:color w:val="auto"/>
          <w:sz w:val="24"/>
        </w:rPr>
        <w:t>）甲方擅自改装设备；</w:t>
      </w:r>
    </w:p>
    <w:p>
      <w:pPr>
        <w:spacing w:line="440" w:lineRule="exact"/>
        <w:ind w:firstLine="648" w:firstLineChars="270"/>
        <w:rPr>
          <w:rFonts w:ascii="宋体" w:hAnsi="宋体"/>
          <w:color w:val="auto"/>
          <w:sz w:val="24"/>
        </w:rPr>
      </w:pPr>
      <w:r>
        <w:rPr>
          <w:rFonts w:ascii="宋体" w:hAnsi="宋体"/>
          <w:color w:val="auto"/>
          <w:sz w:val="24"/>
        </w:rPr>
        <w:t>3</w:t>
      </w:r>
      <w:r>
        <w:rPr>
          <w:rFonts w:hint="eastAsia" w:ascii="宋体" w:hAnsi="宋体"/>
          <w:color w:val="auto"/>
          <w:sz w:val="24"/>
        </w:rPr>
        <w:t>）各种人为因素或天灾等外来因素造成的损坏。</w:t>
      </w:r>
    </w:p>
    <w:p>
      <w:pPr>
        <w:spacing w:line="440" w:lineRule="exact"/>
        <w:ind w:left="15" w:leftChars="7" w:firstLine="300" w:firstLineChars="125"/>
        <w:rPr>
          <w:rFonts w:ascii="宋体" w:hAnsi="宋体"/>
          <w:color w:val="auto"/>
          <w:sz w:val="24"/>
        </w:rPr>
      </w:pPr>
      <w:r>
        <w:rPr>
          <w:rFonts w:ascii="宋体" w:hAnsi="宋体"/>
          <w:color w:val="auto"/>
          <w:sz w:val="24"/>
        </w:rPr>
        <w:t xml:space="preserve">6.3 </w:t>
      </w:r>
      <w:r>
        <w:rPr>
          <w:rFonts w:hint="eastAsia" w:ascii="宋体" w:hAnsi="宋体"/>
          <w:color w:val="auto"/>
          <w:sz w:val="24"/>
        </w:rPr>
        <w:t>因设备的质量问题而发生争议，由省级质检部门进行质量鉴定。设备符合质量标准的，鉴定费用由甲方承担；设备不符合质量标准的，鉴定费用由乙方承担。</w:t>
      </w:r>
    </w:p>
    <w:p>
      <w:pPr>
        <w:spacing w:line="440" w:lineRule="exact"/>
        <w:ind w:left="15" w:leftChars="7" w:firstLine="300" w:firstLineChars="125"/>
        <w:rPr>
          <w:rFonts w:ascii="宋体" w:hAnsi="宋体"/>
          <w:color w:val="auto"/>
          <w:sz w:val="24"/>
        </w:rPr>
      </w:pPr>
      <w:r>
        <w:rPr>
          <w:rFonts w:ascii="宋体" w:hAnsi="宋体"/>
          <w:color w:val="auto"/>
          <w:sz w:val="24"/>
        </w:rPr>
        <w:t xml:space="preserve">6.4 </w:t>
      </w:r>
      <w:r>
        <w:rPr>
          <w:rFonts w:hint="eastAsia" w:ascii="宋体" w:hAnsi="宋体"/>
          <w:color w:val="auto"/>
          <w:sz w:val="24"/>
        </w:rPr>
        <w:t>乙方为甲方提供操作及维护培训，主要内容为设备的基本结构、性能、主要部件的构造及原理，日常使用操作、保养与管理，常见故障的排除，紧急情况的处理等，培训地点主要在设备安装现场或按甲乙双方协商安排。</w:t>
      </w:r>
    </w:p>
    <w:p>
      <w:pPr>
        <w:spacing w:line="440" w:lineRule="exact"/>
        <w:rPr>
          <w:rFonts w:ascii="宋体" w:hAnsi="宋体"/>
          <w:b/>
          <w:bCs/>
          <w:color w:val="auto"/>
          <w:sz w:val="24"/>
        </w:rPr>
      </w:pPr>
      <w:r>
        <w:rPr>
          <w:rFonts w:hint="eastAsia" w:ascii="宋体" w:hAnsi="宋体"/>
          <w:b/>
          <w:bCs/>
          <w:color w:val="auto"/>
          <w:sz w:val="24"/>
        </w:rPr>
        <w:t>7、技术服务</w:t>
      </w:r>
    </w:p>
    <w:p>
      <w:pPr>
        <w:spacing w:line="440" w:lineRule="exact"/>
        <w:ind w:firstLine="480" w:firstLineChars="200"/>
        <w:rPr>
          <w:rFonts w:ascii="宋体" w:hAnsi="宋体"/>
          <w:color w:val="auto"/>
          <w:sz w:val="24"/>
        </w:rPr>
      </w:pP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乙方应派员到甲方指定地点配合工作。</w:t>
      </w:r>
    </w:p>
    <w:p>
      <w:pPr>
        <w:spacing w:line="440" w:lineRule="exact"/>
        <w:ind w:left="0" w:leftChars="0" w:firstLine="420" w:firstLineChars="175"/>
        <w:rPr>
          <w:rFonts w:ascii="宋体" w:hAnsi="宋体"/>
          <w:color w:val="auto"/>
          <w:sz w:val="24"/>
        </w:rPr>
      </w:pP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乙方按甲方提供的合同执行进度计划，再配合甲方及有关单位，做好合同执行进度上的配合工作。</w:t>
      </w:r>
    </w:p>
    <w:p>
      <w:pPr>
        <w:spacing w:line="440" w:lineRule="exact"/>
        <w:rPr>
          <w:rFonts w:ascii="宋体" w:hAnsi="宋体"/>
          <w:b/>
          <w:bCs/>
          <w:color w:val="auto"/>
          <w:sz w:val="24"/>
        </w:rPr>
      </w:pPr>
      <w:r>
        <w:rPr>
          <w:rFonts w:ascii="宋体" w:hAnsi="宋体"/>
          <w:b/>
          <w:bCs/>
          <w:color w:val="auto"/>
          <w:sz w:val="24"/>
        </w:rPr>
        <w:t>8</w:t>
      </w:r>
      <w:r>
        <w:rPr>
          <w:rFonts w:hint="eastAsia" w:ascii="宋体" w:hAnsi="宋体"/>
          <w:b/>
          <w:bCs/>
          <w:color w:val="auto"/>
          <w:sz w:val="24"/>
        </w:rPr>
        <w:t>、不可抗力</w:t>
      </w:r>
    </w:p>
    <w:p>
      <w:pPr>
        <w:spacing w:line="440" w:lineRule="exact"/>
        <w:ind w:right="-420" w:rightChars="-200" w:firstLine="480" w:firstLineChars="200"/>
        <w:rPr>
          <w:rFonts w:ascii="宋体" w:hAnsi="宋体"/>
          <w:color w:val="auto"/>
          <w:sz w:val="24"/>
        </w:rPr>
      </w:pP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不可抗力指战争、严重火灾、洪水、台风、地震等或其它双方认定的不可抗力事件。</w:t>
      </w:r>
    </w:p>
    <w:p>
      <w:pPr>
        <w:spacing w:line="440" w:lineRule="exact"/>
        <w:ind w:left="0" w:leftChars="0" w:right="-200" w:firstLine="420" w:firstLineChars="175"/>
        <w:rPr>
          <w:rFonts w:ascii="宋体" w:hAnsi="宋体"/>
          <w:color w:val="auto"/>
          <w:sz w:val="24"/>
        </w:rPr>
      </w:pP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rPr>
        <w:t xml:space="preserve"> 签约双方中任何一方由于不可抗力影响合同执行时，发生不可抗力一方应尽快将事故通知另一方。 在此情况下，乙方仍然有责任采取必要的措施加速供货，双方应通过友好协商尽快解决本合同的执行问题。</w:t>
      </w:r>
    </w:p>
    <w:p>
      <w:pPr>
        <w:spacing w:line="440" w:lineRule="exact"/>
        <w:rPr>
          <w:rFonts w:ascii="宋体" w:hAnsi="宋体"/>
          <w:b/>
          <w:bCs/>
          <w:color w:val="auto"/>
          <w:sz w:val="24"/>
        </w:rPr>
      </w:pPr>
      <w:r>
        <w:rPr>
          <w:rFonts w:ascii="宋体" w:hAnsi="宋体"/>
          <w:b/>
          <w:bCs/>
          <w:color w:val="auto"/>
          <w:sz w:val="24"/>
        </w:rPr>
        <w:t>9</w:t>
      </w:r>
      <w:r>
        <w:rPr>
          <w:rFonts w:hint="eastAsia" w:ascii="宋体" w:hAnsi="宋体"/>
          <w:b/>
          <w:bCs/>
          <w:color w:val="auto"/>
          <w:sz w:val="24"/>
        </w:rPr>
        <w:t>、索赔</w:t>
      </w:r>
    </w:p>
    <w:p>
      <w:pPr>
        <w:spacing w:line="440" w:lineRule="exact"/>
        <w:ind w:firstLine="480" w:firstLineChars="200"/>
        <w:rPr>
          <w:rFonts w:ascii="宋体" w:hAnsi="宋体"/>
          <w:color w:val="auto"/>
          <w:sz w:val="24"/>
        </w:rPr>
      </w:pPr>
      <w:r>
        <w:rPr>
          <w:rFonts w:hint="eastAsia" w:ascii="宋体" w:hAnsi="宋体"/>
          <w:color w:val="auto"/>
          <w:sz w:val="24"/>
        </w:rPr>
        <w:t>9</w:t>
      </w:r>
      <w:r>
        <w:rPr>
          <w:rFonts w:ascii="宋体" w:hAnsi="宋体"/>
          <w:color w:val="auto"/>
          <w:sz w:val="24"/>
        </w:rPr>
        <w:t xml:space="preserve">.1 </w:t>
      </w:r>
      <w:r>
        <w:rPr>
          <w:rFonts w:hint="eastAsia" w:ascii="宋体" w:hAnsi="宋体"/>
          <w:color w:val="auto"/>
          <w:sz w:val="24"/>
        </w:rPr>
        <w:t>如有异议，甲方有权根据有关政府部门的检验结果向乙方提出索赔。</w:t>
      </w:r>
    </w:p>
    <w:p>
      <w:pPr>
        <w:spacing w:line="440" w:lineRule="exact"/>
        <w:ind w:left="0" w:leftChars="0" w:firstLine="420" w:firstLineChars="175"/>
        <w:rPr>
          <w:rFonts w:ascii="宋体" w:hAnsi="宋体"/>
          <w:color w:val="auto"/>
          <w:sz w:val="24"/>
        </w:rPr>
      </w:pPr>
      <w:r>
        <w:rPr>
          <w:rFonts w:hint="eastAsia" w:ascii="宋体" w:hAnsi="宋体"/>
          <w:color w:val="auto"/>
          <w:sz w:val="24"/>
        </w:rPr>
        <w:t>9</w:t>
      </w:r>
      <w:r>
        <w:rPr>
          <w:rFonts w:ascii="宋体" w:hAnsi="宋体"/>
          <w:color w:val="auto"/>
          <w:sz w:val="24"/>
        </w:rPr>
        <w:t xml:space="preserve">.2 </w:t>
      </w:r>
      <w:r>
        <w:rPr>
          <w:rFonts w:hint="eastAsia" w:ascii="宋体" w:hAnsi="宋体"/>
          <w:color w:val="auto"/>
          <w:sz w:val="24"/>
        </w:rPr>
        <w:t>在合同执行期间，如果乙方对甲方提出的索赔和差异负有责任，乙方应按照甲方同意的下列一种或多种方式解决索赔事宜：</w:t>
      </w:r>
    </w:p>
    <w:p>
      <w:pPr>
        <w:spacing w:line="440" w:lineRule="exact"/>
        <w:ind w:left="9" w:leftChars="0" w:firstLine="410" w:firstLineChars="171"/>
        <w:rPr>
          <w:rFonts w:ascii="宋体" w:hAnsi="宋体"/>
          <w:color w:val="auto"/>
          <w:sz w:val="24"/>
        </w:rPr>
      </w:pPr>
      <w:r>
        <w:rPr>
          <w:rFonts w:ascii="宋体" w:hAnsi="宋体"/>
          <w:color w:val="auto"/>
          <w:sz w:val="24"/>
        </w:rPr>
        <w:t>1</w:t>
      </w:r>
      <w:r>
        <w:rPr>
          <w:rFonts w:hint="eastAsia" w:ascii="宋体" w:hAnsi="宋体"/>
          <w:color w:val="auto"/>
          <w:sz w:val="24"/>
        </w:rPr>
        <w:t>）乙方同意退货，并按合同规定的同种货币将货款退还给甲方，并承担由此发生的一切损失和费用。</w:t>
      </w:r>
    </w:p>
    <w:p>
      <w:pPr>
        <w:spacing w:line="440" w:lineRule="exact"/>
        <w:ind w:left="0" w:leftChars="0"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）根据货物低劣程度、损坏程度以及甲方所遭受损失的数额甲乙双方商定降低货物的价格。</w:t>
      </w:r>
    </w:p>
    <w:p>
      <w:pPr>
        <w:spacing w:line="440" w:lineRule="exact"/>
        <w:ind w:left="0" w:leftChars="0" w:firstLine="420" w:firstLineChars="175"/>
        <w:rPr>
          <w:rFonts w:ascii="宋体" w:hAnsi="宋体"/>
          <w:color w:val="auto"/>
          <w:sz w:val="24"/>
        </w:rPr>
      </w:pPr>
      <w:r>
        <w:rPr>
          <w:rFonts w:ascii="宋体" w:hAnsi="宋体"/>
          <w:color w:val="auto"/>
          <w:sz w:val="24"/>
        </w:rPr>
        <w:t>3</w:t>
      </w:r>
      <w:r>
        <w:rPr>
          <w:rFonts w:hint="eastAsia" w:ascii="宋体" w:hAnsi="宋体"/>
          <w:color w:val="auto"/>
          <w:sz w:val="24"/>
        </w:rPr>
        <w:t>）用符合规格、质量和性能要求的新零件、部件或货物来更换有缺陷的部分或修补缺陷的部分，乙方应承担一切费用和风险并负有甲方所发生的一切直接费用。同时，相应延长质量保证期。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17" w:leftChars="8" w:firstLine="400" w:firstLineChars="167"/>
        <w:rPr>
          <w:rFonts w:ascii="宋体" w:hAnsi="宋体"/>
          <w:color w:val="auto"/>
          <w:sz w:val="24"/>
        </w:rPr>
      </w:pPr>
      <w:r>
        <w:rPr>
          <w:rFonts w:hint="eastAsia" w:ascii="宋体" w:hAnsi="宋体"/>
          <w:color w:val="auto"/>
          <w:sz w:val="24"/>
        </w:rPr>
        <w:t>9</w:t>
      </w:r>
      <w:r>
        <w:rPr>
          <w:rFonts w:ascii="宋体" w:hAnsi="宋体"/>
          <w:color w:val="auto"/>
          <w:sz w:val="24"/>
        </w:rPr>
        <w:t xml:space="preserve">.3 </w:t>
      </w:r>
      <w:r>
        <w:rPr>
          <w:rFonts w:hint="eastAsia" w:ascii="宋体" w:hAnsi="宋体"/>
          <w:color w:val="auto"/>
          <w:sz w:val="24"/>
        </w:rPr>
        <w:t>如果在甲方发出索赔通知后</w:t>
      </w:r>
      <w:r>
        <w:rPr>
          <w:rFonts w:ascii="宋体" w:hAnsi="宋体"/>
          <w:color w:val="auto"/>
          <w:sz w:val="24"/>
          <w:shd w:val="clear" w:color="auto" w:fill="FFFFFF"/>
        </w:rPr>
        <w:t>30</w:t>
      </w:r>
      <w:r>
        <w:rPr>
          <w:rFonts w:hint="eastAsia" w:ascii="宋体" w:hAnsi="宋体"/>
          <w:color w:val="auto"/>
          <w:sz w:val="24"/>
        </w:rPr>
        <w:t>天内，乙方未作答复，上述索赔应视为已被乙方接受。甲方将从合同款项中扣回索赔金额。如果这些金额不足以补偿索赔金额，甲方有权向乙方提出不足部分的补偿。</w:t>
      </w:r>
    </w:p>
    <w:p>
      <w:pPr>
        <w:spacing w:line="440" w:lineRule="exact"/>
        <w:rPr>
          <w:rFonts w:ascii="宋体" w:hAnsi="宋体"/>
          <w:b/>
          <w:bCs/>
          <w:color w:val="auto"/>
          <w:sz w:val="24"/>
        </w:rPr>
      </w:pPr>
      <w:r>
        <w:rPr>
          <w:rFonts w:hint="eastAsia" w:ascii="宋体" w:hAnsi="宋体"/>
          <w:b/>
          <w:bCs/>
          <w:color w:val="auto"/>
          <w:sz w:val="24"/>
        </w:rPr>
        <w:t>10、违约与处罚</w:t>
      </w:r>
    </w:p>
    <w:p>
      <w:pPr>
        <w:spacing w:line="440" w:lineRule="exact"/>
        <w:ind w:left="17" w:leftChars="8" w:firstLine="400" w:firstLineChars="167"/>
        <w:rPr>
          <w:rFonts w:ascii="宋体" w:hAnsi="宋体"/>
          <w:color w:val="auto"/>
          <w:sz w:val="24"/>
        </w:rPr>
      </w:pPr>
      <w:r>
        <w:rPr>
          <w:rFonts w:ascii="宋体" w:hAnsi="宋体"/>
          <w:color w:val="auto"/>
          <w:sz w:val="24"/>
        </w:rPr>
        <w:t xml:space="preserve">10.1 </w:t>
      </w:r>
      <w:r>
        <w:rPr>
          <w:rFonts w:hint="eastAsia" w:ascii="宋体" w:hAnsi="宋体"/>
          <w:color w:val="auto"/>
          <w:sz w:val="24"/>
        </w:rPr>
        <w:t>甲方应依合同规定时间内，向乙方支付货款，每拖延一天乙方可向甲方加收合同金额的</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w:t>
      </w:r>
    </w:p>
    <w:p>
      <w:pPr>
        <w:spacing w:line="440" w:lineRule="exact"/>
        <w:ind w:firstLine="420" w:firstLineChars="175"/>
        <w:rPr>
          <w:rFonts w:ascii="宋体" w:hAnsi="宋体"/>
          <w:color w:val="auto"/>
          <w:sz w:val="24"/>
        </w:rPr>
      </w:pPr>
      <w:r>
        <w:rPr>
          <w:rFonts w:ascii="宋体" w:hAnsi="宋体"/>
          <w:color w:val="auto"/>
          <w:sz w:val="24"/>
        </w:rPr>
        <w:t xml:space="preserve">10.2 </w:t>
      </w:r>
      <w:r>
        <w:rPr>
          <w:rFonts w:hint="eastAsia" w:ascii="宋体" w:hAnsi="宋体"/>
          <w:color w:val="auto"/>
          <w:sz w:val="24"/>
        </w:rPr>
        <w:t>乙方未能按时交货，每拖延一天，须向甲方支付合同金额的</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的违约金，此部份金额从乙方履约保证金中扣除，不足部份，甲方有权向乙方提出追偿。</w:t>
      </w:r>
    </w:p>
    <w:p>
      <w:pPr>
        <w:spacing w:line="440" w:lineRule="exact"/>
        <w:ind w:firstLine="420" w:firstLineChars="175"/>
        <w:rPr>
          <w:rFonts w:ascii="宋体" w:hAnsi="宋体"/>
          <w:color w:val="auto"/>
          <w:sz w:val="24"/>
        </w:rPr>
      </w:pPr>
      <w:r>
        <w:rPr>
          <w:rFonts w:ascii="宋体" w:hAnsi="宋体"/>
          <w:color w:val="auto"/>
          <w:sz w:val="24"/>
        </w:rPr>
        <w:t xml:space="preserve">10.3 </w:t>
      </w:r>
      <w:r>
        <w:rPr>
          <w:rFonts w:hint="eastAsia" w:ascii="宋体" w:hAnsi="宋体"/>
          <w:color w:val="auto"/>
          <w:sz w:val="24"/>
        </w:rPr>
        <w:t>乙方交付的货物不符合合同规定的，甲方有权拒收，乙方向甲方支付合同金额的</w:t>
      </w:r>
      <w:r>
        <w:rPr>
          <w:rFonts w:ascii="宋体" w:hAnsi="宋体"/>
          <w:color w:val="auto"/>
          <w:sz w:val="24"/>
          <w:shd w:val="clear" w:color="auto" w:fill="FFFFFF"/>
        </w:rPr>
        <w:t>5%</w:t>
      </w:r>
      <w:r>
        <w:rPr>
          <w:rFonts w:hint="eastAsia" w:ascii="宋体" w:hAnsi="宋体"/>
          <w:color w:val="auto"/>
          <w:sz w:val="24"/>
        </w:rPr>
        <w:t>的违约金，此部份金额从乙方履约保证金中扣除。</w:t>
      </w:r>
    </w:p>
    <w:p>
      <w:pPr>
        <w:spacing w:line="440" w:lineRule="exact"/>
        <w:ind w:left="660" w:leftChars="200" w:hanging="240" w:hangingChars="100"/>
        <w:rPr>
          <w:rFonts w:ascii="宋体" w:hAnsi="宋体"/>
          <w:color w:val="auto"/>
          <w:sz w:val="24"/>
        </w:rPr>
      </w:pPr>
      <w:r>
        <w:rPr>
          <w:rFonts w:ascii="宋体" w:hAnsi="宋体"/>
          <w:color w:val="auto"/>
          <w:sz w:val="24"/>
        </w:rPr>
        <w:t xml:space="preserve">10.4 </w:t>
      </w:r>
      <w:r>
        <w:rPr>
          <w:rFonts w:hint="eastAsia" w:ascii="宋体" w:hAnsi="宋体"/>
          <w:color w:val="auto"/>
          <w:sz w:val="24"/>
        </w:rPr>
        <w:t>甲方无正当理由拒收货物的，甲方向乙方支付合同金额的</w:t>
      </w:r>
      <w:r>
        <w:rPr>
          <w:rFonts w:ascii="宋体" w:hAnsi="宋体"/>
          <w:color w:val="auto"/>
          <w:sz w:val="24"/>
          <w:shd w:val="clear" w:color="auto" w:fill="FFFFFF"/>
        </w:rPr>
        <w:t>5%</w:t>
      </w:r>
      <w:r>
        <w:rPr>
          <w:rFonts w:hint="eastAsia" w:ascii="宋体" w:hAnsi="宋体"/>
          <w:color w:val="auto"/>
          <w:sz w:val="24"/>
        </w:rPr>
        <w:t>的违约金。</w:t>
      </w:r>
    </w:p>
    <w:p>
      <w:pPr>
        <w:spacing w:line="440" w:lineRule="exact"/>
        <w:ind w:firstLine="420" w:firstLineChars="175"/>
        <w:rPr>
          <w:rFonts w:ascii="宋体" w:hAnsi="宋体"/>
          <w:color w:val="auto"/>
          <w:sz w:val="24"/>
        </w:rPr>
      </w:pPr>
      <w:r>
        <w:rPr>
          <w:rFonts w:ascii="宋体" w:hAnsi="宋体"/>
          <w:color w:val="auto"/>
          <w:sz w:val="24"/>
        </w:rPr>
        <w:t xml:space="preserve">10.5 </w:t>
      </w:r>
      <w:r>
        <w:rPr>
          <w:rFonts w:hint="eastAsia" w:ascii="宋体" w:hAnsi="宋体"/>
          <w:color w:val="auto"/>
          <w:sz w:val="24"/>
        </w:rPr>
        <w:t>乙方未能交付货物，则须向甲方支付合同采购金额</w:t>
      </w:r>
      <w:r>
        <w:rPr>
          <w:rFonts w:hint="eastAsia" w:ascii="宋体" w:hAnsi="宋体"/>
          <w:color w:val="auto"/>
          <w:sz w:val="24"/>
          <w:shd w:val="clear" w:color="auto" w:fill="FFFFFF"/>
        </w:rPr>
        <w:t>5</w:t>
      </w:r>
      <w:r>
        <w:rPr>
          <w:rFonts w:ascii="宋体" w:hAnsi="宋体"/>
          <w:color w:val="auto"/>
          <w:sz w:val="24"/>
          <w:shd w:val="clear" w:color="auto" w:fill="FFFFFF"/>
        </w:rPr>
        <w:t>%</w:t>
      </w:r>
      <w:r>
        <w:rPr>
          <w:rFonts w:hint="eastAsia" w:ascii="宋体" w:hAnsi="宋体"/>
          <w:color w:val="auto"/>
          <w:sz w:val="24"/>
        </w:rPr>
        <w:t>的违约金，此部份金额从乙方履约保证金中扣除。在乙方未能交货</w:t>
      </w:r>
      <w:r>
        <w:rPr>
          <w:rFonts w:hint="eastAsia" w:ascii="宋体" w:hAnsi="宋体"/>
          <w:color w:val="auto"/>
          <w:sz w:val="24"/>
          <w:u w:val="single"/>
        </w:rPr>
        <w:t xml:space="preserve">   </w:t>
      </w:r>
      <w:r>
        <w:rPr>
          <w:rFonts w:hint="eastAsia" w:ascii="宋体" w:hAnsi="宋体"/>
          <w:color w:val="auto"/>
          <w:sz w:val="24"/>
        </w:rPr>
        <w:t>天后，视为其不能交付货物，甲方将有权终止合同并提出进一步索赔的权力。</w:t>
      </w:r>
    </w:p>
    <w:p>
      <w:pPr>
        <w:spacing w:line="440" w:lineRule="exact"/>
        <w:rPr>
          <w:rFonts w:ascii="宋体" w:hAnsi="宋体"/>
          <w:b/>
          <w:bCs/>
          <w:color w:val="auto"/>
          <w:sz w:val="24"/>
        </w:rPr>
      </w:pPr>
      <w:r>
        <w:rPr>
          <w:rFonts w:ascii="宋体" w:hAnsi="宋体"/>
          <w:b/>
          <w:bCs/>
          <w:color w:val="auto"/>
          <w:sz w:val="24"/>
        </w:rPr>
        <w:t>11</w:t>
      </w:r>
      <w:r>
        <w:rPr>
          <w:rFonts w:hint="eastAsia" w:ascii="宋体" w:hAnsi="宋体"/>
          <w:b/>
          <w:bCs/>
          <w:color w:val="auto"/>
          <w:sz w:val="24"/>
        </w:rPr>
        <w:t>、合同终止</w:t>
      </w:r>
    </w:p>
    <w:p>
      <w:pPr>
        <w:spacing w:line="440" w:lineRule="exact"/>
        <w:ind w:firstLine="420" w:firstLineChars="175"/>
        <w:rPr>
          <w:rFonts w:ascii="宋体" w:hAnsi="宋体"/>
          <w:color w:val="auto"/>
          <w:sz w:val="24"/>
        </w:rPr>
      </w:pPr>
      <w:r>
        <w:rPr>
          <w:rFonts w:hint="eastAsia" w:ascii="宋体" w:hAnsi="宋体"/>
          <w:color w:val="auto"/>
          <w:sz w:val="24"/>
        </w:rPr>
        <w:t>如果一方严重违反合同，并在收到对方违约通知书后在</w:t>
      </w:r>
      <w:r>
        <w:rPr>
          <w:rFonts w:ascii="宋体" w:hAnsi="宋体"/>
          <w:color w:val="auto"/>
          <w:sz w:val="24"/>
          <w:shd w:val="clear" w:color="auto" w:fill="FFFFFF"/>
        </w:rPr>
        <w:t>30</w:t>
      </w:r>
      <w:r>
        <w:rPr>
          <w:rFonts w:hint="eastAsia" w:ascii="宋体" w:hAnsi="宋体"/>
          <w:color w:val="auto"/>
          <w:sz w:val="24"/>
        </w:rPr>
        <w:t>天内仍未能改正违约的，另一方可立即终止本合同。</w:t>
      </w:r>
    </w:p>
    <w:p>
      <w:pPr>
        <w:spacing w:line="440" w:lineRule="exact"/>
        <w:rPr>
          <w:rFonts w:ascii="宋体" w:hAnsi="宋体"/>
          <w:b/>
          <w:bCs/>
          <w:color w:val="auto"/>
          <w:sz w:val="24"/>
        </w:rPr>
      </w:pPr>
      <w:r>
        <w:rPr>
          <w:rFonts w:ascii="宋体" w:hAnsi="宋体"/>
          <w:b/>
          <w:bCs/>
          <w:color w:val="auto"/>
          <w:sz w:val="24"/>
        </w:rPr>
        <w:t>12</w:t>
      </w:r>
      <w:r>
        <w:rPr>
          <w:rFonts w:hint="eastAsia" w:ascii="宋体" w:hAnsi="宋体"/>
          <w:b/>
          <w:bCs/>
          <w:color w:val="auto"/>
          <w:sz w:val="24"/>
        </w:rPr>
        <w:t>、法律诉讼</w:t>
      </w:r>
    </w:p>
    <w:p>
      <w:pPr>
        <w:spacing w:line="440" w:lineRule="exact"/>
        <w:ind w:left="10" w:firstLine="619" w:firstLineChars="258"/>
        <w:rPr>
          <w:rFonts w:ascii="宋体" w:hAnsi="宋体"/>
          <w:color w:val="auto"/>
          <w:sz w:val="24"/>
        </w:rPr>
      </w:pPr>
      <w:r>
        <w:rPr>
          <w:rFonts w:hint="eastAsia" w:ascii="宋体" w:hAnsi="宋体"/>
          <w:color w:val="auto"/>
          <w:sz w:val="24"/>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ascii="宋体" w:hAnsi="宋体"/>
          <w:b/>
          <w:bCs/>
          <w:color w:val="auto"/>
          <w:sz w:val="24"/>
        </w:rPr>
      </w:pPr>
      <w:r>
        <w:rPr>
          <w:rFonts w:ascii="宋体" w:hAnsi="宋体"/>
          <w:b/>
          <w:bCs/>
          <w:color w:val="auto"/>
          <w:sz w:val="24"/>
        </w:rPr>
        <w:t>13</w:t>
      </w:r>
      <w:r>
        <w:rPr>
          <w:rFonts w:hint="eastAsia" w:ascii="宋体" w:hAnsi="宋体"/>
          <w:b/>
          <w:bCs/>
          <w:color w:val="auto"/>
          <w:sz w:val="24"/>
        </w:rPr>
        <w:t>、其它</w:t>
      </w:r>
    </w:p>
    <w:p>
      <w:pPr>
        <w:spacing w:line="440" w:lineRule="exact"/>
        <w:ind w:left="5" w:firstLine="412" w:firstLineChars="172"/>
        <w:rPr>
          <w:rFonts w:ascii="宋体" w:hAnsi="宋体"/>
          <w:color w:val="auto"/>
          <w:sz w:val="24"/>
        </w:rPr>
      </w:pPr>
      <w:r>
        <w:rPr>
          <w:rFonts w:ascii="宋体" w:hAnsi="宋体"/>
          <w:color w:val="auto"/>
          <w:sz w:val="24"/>
        </w:rPr>
        <w:t xml:space="preserve">13.1 </w:t>
      </w:r>
      <w:r>
        <w:rPr>
          <w:rFonts w:hint="eastAsia" w:ascii="宋体" w:hAnsi="宋体"/>
          <w:color w:val="auto"/>
          <w:sz w:val="24"/>
        </w:rPr>
        <w:t>本合同正本四份，具有同等法律效力，甲、乙双方各执一份，财政局一份，采购代理机构一份。合同自签字之日起即时生效。</w:t>
      </w:r>
    </w:p>
    <w:p>
      <w:pPr>
        <w:snapToGrid w:val="0"/>
        <w:spacing w:line="400" w:lineRule="exact"/>
        <w:ind w:firstLine="420" w:firstLineChars="175"/>
        <w:rPr>
          <w:rFonts w:ascii="宋体" w:hAnsi="宋体"/>
          <w:color w:val="auto"/>
          <w:sz w:val="24"/>
        </w:rPr>
      </w:pPr>
      <w:r>
        <w:rPr>
          <w:rFonts w:ascii="宋体" w:hAnsi="宋体"/>
          <w:color w:val="auto"/>
          <w:sz w:val="24"/>
        </w:rPr>
        <w:t>13.2</w:t>
      </w:r>
      <w:r>
        <w:rPr>
          <w:rFonts w:hint="eastAsia" w:ascii="宋体" w:hAnsi="宋体"/>
          <w:color w:val="auto"/>
          <w:sz w:val="24"/>
        </w:rPr>
        <w:t>下列文件是本合同的一部分，并与本合同一起阅读和解释</w:t>
      </w:r>
    </w:p>
    <w:p>
      <w:pPr>
        <w:snapToGrid w:val="0"/>
        <w:spacing w:line="400" w:lineRule="exact"/>
        <w:ind w:firstLine="1080" w:firstLineChars="450"/>
        <w:rPr>
          <w:rFonts w:ascii="宋体" w:hAnsi="宋体"/>
          <w:color w:val="auto"/>
          <w:sz w:val="24"/>
        </w:rPr>
      </w:pPr>
      <w:r>
        <w:rPr>
          <w:rFonts w:hint="eastAsia" w:ascii="宋体" w:hAnsi="宋体"/>
          <w:color w:val="auto"/>
          <w:sz w:val="24"/>
        </w:rPr>
        <w:t>13.2.1 中标人提交的投标函和投标一览表；</w:t>
      </w:r>
    </w:p>
    <w:p>
      <w:pPr>
        <w:snapToGrid w:val="0"/>
        <w:spacing w:line="400" w:lineRule="exact"/>
        <w:ind w:firstLine="1056" w:firstLineChars="440"/>
        <w:rPr>
          <w:rFonts w:ascii="宋体" w:hAnsi="宋体"/>
          <w:color w:val="auto"/>
          <w:sz w:val="24"/>
        </w:rPr>
      </w:pPr>
      <w:r>
        <w:rPr>
          <w:rFonts w:hint="eastAsia" w:ascii="宋体" w:hAnsi="宋体"/>
          <w:color w:val="auto"/>
          <w:sz w:val="24"/>
        </w:rPr>
        <w:t>13.2.2 资格声明函；</w:t>
      </w:r>
    </w:p>
    <w:p>
      <w:pPr>
        <w:snapToGrid w:val="0"/>
        <w:spacing w:line="400" w:lineRule="exact"/>
        <w:ind w:firstLine="1056" w:firstLineChars="440"/>
        <w:rPr>
          <w:rFonts w:ascii="宋体" w:hAnsi="宋体"/>
          <w:color w:val="auto"/>
          <w:sz w:val="24"/>
        </w:rPr>
      </w:pPr>
      <w:r>
        <w:rPr>
          <w:rFonts w:hint="eastAsia" w:ascii="宋体" w:hAnsi="宋体"/>
          <w:color w:val="auto"/>
          <w:sz w:val="24"/>
        </w:rPr>
        <w:t>13.2.3 中标通知书；</w:t>
      </w:r>
    </w:p>
    <w:p>
      <w:pPr>
        <w:snapToGrid w:val="0"/>
        <w:spacing w:line="400" w:lineRule="exact"/>
        <w:ind w:firstLine="1058" w:firstLineChars="441"/>
        <w:rPr>
          <w:rFonts w:ascii="宋体" w:hAnsi="宋体"/>
          <w:color w:val="auto"/>
          <w:sz w:val="24"/>
        </w:rPr>
      </w:pPr>
      <w:r>
        <w:rPr>
          <w:rFonts w:hint="eastAsia" w:ascii="宋体" w:hAnsi="宋体"/>
          <w:color w:val="auto"/>
          <w:sz w:val="24"/>
        </w:rPr>
        <w:t>13.2.4 其他相关投标文件。</w:t>
      </w:r>
      <w:r>
        <w:rPr>
          <w:rFonts w:ascii="宋体" w:hAnsi="宋体"/>
          <w:color w:val="auto"/>
          <w:sz w:val="24"/>
        </w:rPr>
        <w:t xml:space="preserve"> </w:t>
      </w:r>
    </w:p>
    <w:p>
      <w:pPr>
        <w:spacing w:line="440" w:lineRule="exact"/>
        <w:ind w:left="0" w:leftChars="0" w:firstLine="420" w:firstLineChars="175"/>
        <w:rPr>
          <w:rFonts w:ascii="宋体" w:hAnsi="宋体"/>
          <w:color w:val="auto"/>
          <w:sz w:val="24"/>
        </w:rPr>
      </w:pPr>
      <w:r>
        <w:rPr>
          <w:rFonts w:hint="eastAsia" w:ascii="宋体" w:hAnsi="宋体"/>
          <w:color w:val="auto"/>
          <w:sz w:val="24"/>
        </w:rPr>
        <w:t>13.3 本合同未尽事宜，由双方协商处理。</w:t>
      </w:r>
    </w:p>
    <w:p>
      <w:pPr>
        <w:spacing w:line="440" w:lineRule="exact"/>
        <w:ind w:firstLine="600" w:firstLineChars="250"/>
        <w:rPr>
          <w:rFonts w:ascii="宋体" w:hAnsi="宋体"/>
          <w:color w:val="auto"/>
          <w:sz w:val="24"/>
        </w:rPr>
      </w:pPr>
    </w:p>
    <w:p>
      <w:pPr>
        <w:spacing w:line="440" w:lineRule="exact"/>
        <w:rPr>
          <w:rFonts w:ascii="宋体" w:hAnsi="宋体"/>
          <w:color w:val="auto"/>
          <w:sz w:val="24"/>
        </w:rPr>
      </w:pPr>
    </w:p>
    <w:p>
      <w:pPr>
        <w:spacing w:line="500" w:lineRule="exact"/>
        <w:ind w:firstLine="360" w:firstLineChars="150"/>
        <w:rPr>
          <w:rFonts w:ascii="宋体" w:hAnsi="宋体"/>
          <w:color w:val="auto"/>
          <w:sz w:val="24"/>
        </w:rPr>
      </w:pPr>
      <w:r>
        <w:rPr>
          <w:rFonts w:hint="eastAsia" w:ascii="宋体" w:hAnsi="宋体"/>
          <w:color w:val="auto"/>
          <w:sz w:val="24"/>
        </w:rPr>
        <w:t>甲方：</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乙方：</w:t>
      </w:r>
    </w:p>
    <w:p>
      <w:pPr>
        <w:spacing w:line="500" w:lineRule="exact"/>
        <w:ind w:firstLine="360" w:firstLineChars="150"/>
        <w:rPr>
          <w:rFonts w:ascii="宋体" w:hAnsi="宋体"/>
          <w:color w:val="auto"/>
          <w:sz w:val="24"/>
        </w:rPr>
      </w:pPr>
      <w:r>
        <w:rPr>
          <w:rFonts w:hint="eastAsia" w:ascii="宋体" w:hAnsi="宋体"/>
          <w:color w:val="auto"/>
          <w:sz w:val="24"/>
        </w:rPr>
        <w:t>签约代表：</w:t>
      </w:r>
      <w:r>
        <w:rPr>
          <w:rFonts w:ascii="宋体" w:hAnsi="宋体"/>
          <w:color w:val="auto"/>
          <w:sz w:val="24"/>
        </w:rPr>
        <w:t xml:space="preserve">                             </w:t>
      </w:r>
      <w:r>
        <w:rPr>
          <w:rFonts w:hint="eastAsia" w:ascii="宋体" w:hAnsi="宋体"/>
          <w:color w:val="auto"/>
          <w:sz w:val="24"/>
        </w:rPr>
        <w:t xml:space="preserve">                 签约代表：</w:t>
      </w:r>
    </w:p>
    <w:p>
      <w:pPr>
        <w:spacing w:line="500" w:lineRule="exact"/>
        <w:ind w:firstLine="360" w:firstLineChars="150"/>
        <w:rPr>
          <w:rFonts w:ascii="宋体" w:hAnsi="宋体"/>
          <w:color w:val="auto"/>
          <w:sz w:val="24"/>
        </w:rPr>
      </w:pPr>
      <w:r>
        <w:rPr>
          <w:rFonts w:hint="eastAsia" w:ascii="宋体" w:hAnsi="宋体"/>
          <w:color w:val="auto"/>
          <w:sz w:val="24"/>
        </w:rPr>
        <w:t>地址：</w:t>
      </w:r>
      <w:r>
        <w:rPr>
          <w:rFonts w:ascii="宋体" w:hAnsi="宋体"/>
          <w:color w:val="auto"/>
          <w:sz w:val="24"/>
        </w:rPr>
        <w:t xml:space="preserve">                                 </w:t>
      </w:r>
      <w:r>
        <w:rPr>
          <w:rFonts w:hint="eastAsia" w:ascii="宋体" w:hAnsi="宋体"/>
          <w:color w:val="auto"/>
          <w:sz w:val="24"/>
        </w:rPr>
        <w:t xml:space="preserve">                 地址：</w:t>
      </w:r>
    </w:p>
    <w:p>
      <w:pPr>
        <w:spacing w:line="500" w:lineRule="exact"/>
        <w:ind w:firstLine="360" w:firstLineChars="150"/>
        <w:rPr>
          <w:rFonts w:ascii="宋体" w:hAnsi="宋体"/>
          <w:color w:val="auto"/>
          <w:sz w:val="24"/>
        </w:rPr>
      </w:pPr>
      <w:r>
        <w:rPr>
          <w:rFonts w:hint="eastAsia" w:ascii="宋体" w:hAnsi="宋体"/>
          <w:color w:val="auto"/>
          <w:sz w:val="24"/>
        </w:rPr>
        <w:t>电话：　　　</w:t>
      </w:r>
      <w:r>
        <w:rPr>
          <w:rFonts w:ascii="宋体" w:hAnsi="宋体"/>
          <w:color w:val="auto"/>
          <w:sz w:val="24"/>
        </w:rPr>
        <w:t xml:space="preserve">                           </w:t>
      </w:r>
      <w:r>
        <w:rPr>
          <w:rFonts w:hint="eastAsia" w:ascii="宋体" w:hAnsi="宋体"/>
          <w:color w:val="auto"/>
          <w:sz w:val="24"/>
        </w:rPr>
        <w:t xml:space="preserve">                 电话：</w:t>
      </w:r>
    </w:p>
    <w:p>
      <w:pPr>
        <w:spacing w:line="500" w:lineRule="exact"/>
        <w:ind w:firstLine="360" w:firstLineChars="150"/>
        <w:rPr>
          <w:rFonts w:ascii="宋体" w:hAnsi="宋体"/>
          <w:color w:val="auto"/>
          <w:sz w:val="24"/>
        </w:rPr>
      </w:pPr>
      <w:r>
        <w:rPr>
          <w:rFonts w:hint="eastAsia" w:ascii="宋体" w:hAnsi="宋体"/>
          <w:color w:val="auto"/>
          <w:sz w:val="24"/>
        </w:rPr>
        <w:t>传真：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传真：</w:t>
      </w:r>
    </w:p>
    <w:p>
      <w:pPr>
        <w:spacing w:line="500" w:lineRule="exact"/>
        <w:rPr>
          <w:rFonts w:ascii="宋体" w:hAnsi="宋体"/>
          <w:color w:val="auto"/>
          <w:sz w:val="24"/>
        </w:rPr>
      </w:pPr>
      <w:r>
        <w:rPr>
          <w:rFonts w:hint="eastAsia" w:ascii="宋体" w:hAnsi="宋体"/>
          <w:color w:val="auto"/>
          <w:sz w:val="24"/>
        </w:rPr>
        <w:t>签约日期：202</w:t>
      </w:r>
      <w:r>
        <w:rPr>
          <w:rFonts w:hint="eastAsia" w:ascii="宋体" w:hAnsi="宋体"/>
          <w:color w:val="auto"/>
          <w:sz w:val="24"/>
          <w:lang w:val="en-US" w:eastAsia="zh-CN"/>
        </w:rPr>
        <w:t>3</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 xml:space="preserve"> 签约日期：202</w:t>
      </w:r>
      <w:r>
        <w:rPr>
          <w:rFonts w:hint="eastAsia" w:ascii="宋体" w:hAnsi="宋体"/>
          <w:color w:val="auto"/>
          <w:sz w:val="24"/>
          <w:lang w:val="en-US" w:eastAsia="zh-CN"/>
        </w:rPr>
        <w:t>3</w:t>
      </w:r>
      <w:r>
        <w:rPr>
          <w:rFonts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pPr>
        <w:spacing w:line="500" w:lineRule="exact"/>
        <w:ind w:firstLine="360" w:firstLineChars="150"/>
        <w:rPr>
          <w:rFonts w:ascii="宋体" w:hAnsi="宋体"/>
          <w:color w:val="auto"/>
          <w:sz w:val="24"/>
        </w:rPr>
      </w:pPr>
    </w:p>
    <w:p>
      <w:pPr>
        <w:spacing w:line="320" w:lineRule="exact"/>
        <w:jc w:val="center"/>
        <w:rPr>
          <w:rFonts w:ascii="宋体" w:hAnsi="宋体"/>
          <w:b/>
          <w:bCs/>
          <w:color w:val="auto"/>
          <w:sz w:val="32"/>
          <w:szCs w:val="32"/>
        </w:rPr>
      </w:pPr>
      <w:r>
        <w:rPr>
          <w:rFonts w:ascii="宋体" w:hAnsi="宋体"/>
          <w:b/>
          <w:bCs/>
          <w:color w:val="auto"/>
        </w:rPr>
        <w:br w:type="page"/>
      </w:r>
    </w:p>
    <w:p>
      <w:pPr>
        <w:spacing w:line="320" w:lineRule="exact"/>
        <w:jc w:val="center"/>
        <w:rPr>
          <w:rFonts w:ascii="宋体" w:hAnsi="宋体"/>
          <w:b/>
          <w:bCs/>
          <w:color w:val="auto"/>
        </w:rPr>
      </w:pPr>
      <w:bookmarkStart w:id="61" w:name="_Toc43264514"/>
      <w:bookmarkStart w:id="62" w:name="_Toc50691026"/>
      <w:bookmarkStart w:id="63" w:name="_Toc50737324"/>
      <w:bookmarkStart w:id="64" w:name="_Toc50736472"/>
      <w:bookmarkStart w:id="65" w:name="_Toc251236127"/>
      <w:bookmarkStart w:id="66" w:name="_Toc50737292"/>
      <w:r>
        <w:rPr>
          <w:rFonts w:hint="eastAsia" w:ascii="宋体" w:hAnsi="宋体"/>
          <w:b/>
          <w:bCs/>
          <w:color w:val="auto"/>
          <w:sz w:val="32"/>
          <w:szCs w:val="32"/>
        </w:rPr>
        <w:t>第</w:t>
      </w:r>
      <w:r>
        <w:rPr>
          <w:rFonts w:hint="eastAsia" w:ascii="宋体" w:hAnsi="宋体"/>
          <w:b/>
          <w:bCs/>
          <w:color w:val="auto"/>
          <w:sz w:val="32"/>
          <w:szCs w:val="32"/>
          <w:lang w:eastAsia="zh-CN"/>
        </w:rPr>
        <w:t>五</w:t>
      </w:r>
      <w:r>
        <w:rPr>
          <w:rFonts w:hint="eastAsia" w:ascii="宋体" w:hAnsi="宋体"/>
          <w:b/>
          <w:bCs/>
          <w:color w:val="auto"/>
          <w:sz w:val="32"/>
          <w:szCs w:val="32"/>
        </w:rPr>
        <w:t>章</w:t>
      </w:r>
      <w:r>
        <w:rPr>
          <w:rFonts w:ascii="宋体" w:hAnsi="宋体"/>
          <w:b/>
          <w:bCs/>
          <w:color w:val="auto"/>
          <w:sz w:val="32"/>
          <w:szCs w:val="32"/>
        </w:rPr>
        <w:t xml:space="preserve">  </w:t>
      </w:r>
      <w:bookmarkEnd w:id="61"/>
      <w:r>
        <w:rPr>
          <w:rFonts w:hint="eastAsia" w:ascii="宋体" w:hAnsi="宋体"/>
          <w:b/>
          <w:bCs/>
          <w:color w:val="auto"/>
          <w:sz w:val="32"/>
          <w:szCs w:val="32"/>
        </w:rPr>
        <w:t>投标文件组成及参考格式</w:t>
      </w:r>
      <w:bookmarkEnd w:id="62"/>
      <w:bookmarkEnd w:id="63"/>
      <w:bookmarkEnd w:id="64"/>
      <w:bookmarkEnd w:id="65"/>
      <w:bookmarkEnd w:id="66"/>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4998" w:type="pct"/>
        <w:tblInd w:w="0" w:type="dxa"/>
        <w:tblLayout w:type="autofit"/>
        <w:tblCellMar>
          <w:top w:w="0" w:type="dxa"/>
          <w:left w:w="108" w:type="dxa"/>
          <w:bottom w:w="0" w:type="dxa"/>
          <w:right w:w="108" w:type="dxa"/>
        </w:tblCellMar>
      </w:tblPr>
      <w:tblGrid>
        <w:gridCol w:w="570"/>
        <w:gridCol w:w="8028"/>
        <w:gridCol w:w="707"/>
        <w:gridCol w:w="651"/>
        <w:gridCol w:w="722"/>
      </w:tblGrid>
      <w:tr>
        <w:tblPrEx>
          <w:tblCellMar>
            <w:top w:w="0" w:type="dxa"/>
            <w:left w:w="108" w:type="dxa"/>
            <w:bottom w:w="0" w:type="dxa"/>
            <w:right w:w="108" w:type="dxa"/>
          </w:tblCellMar>
        </w:tblPrEx>
        <w:trPr>
          <w:trHeight w:val="309" w:hRule="atLeast"/>
        </w:trPr>
        <w:tc>
          <w:tcPr>
            <w:tcW w:w="267" w:type="pct"/>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3759" w:type="pct"/>
            <w:vMerge w:val="restart"/>
            <w:tcBorders>
              <w:top w:val="single" w:color="auto" w:sz="8" w:space="0"/>
              <w:left w:val="single" w:color="auto" w:sz="4" w:space="0"/>
              <w:bottom w:val="single" w:color="auto" w:sz="4" w:space="0"/>
              <w:right w:val="single" w:color="auto" w:sz="4" w:space="0"/>
            </w:tcBorders>
            <w:vAlign w:val="center"/>
          </w:tcPr>
          <w:p>
            <w:pPr>
              <w:widowControl/>
              <w:ind w:left="-619" w:leftChars="-295" w:firstLine="0" w:firstLineChars="0"/>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636" w:type="pct"/>
            <w:gridSpan w:val="2"/>
            <w:tcBorders>
              <w:top w:val="single" w:color="auto" w:sz="8"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提交</w:t>
            </w:r>
          </w:p>
          <w:p>
            <w:pPr>
              <w:widowControl/>
              <w:jc w:val="center"/>
              <w:rPr>
                <w:rFonts w:ascii="宋体" w:hAnsi="宋体" w:cs="宋体"/>
                <w:b/>
                <w:bCs/>
                <w:color w:val="auto"/>
                <w:kern w:val="0"/>
                <w:sz w:val="24"/>
              </w:rPr>
            </w:pPr>
            <w:r>
              <w:rPr>
                <w:rFonts w:hint="eastAsia" w:ascii="宋体" w:hAnsi="宋体" w:cs="宋体"/>
                <w:b/>
                <w:bCs/>
                <w:color w:val="auto"/>
                <w:kern w:val="0"/>
                <w:sz w:val="24"/>
              </w:rPr>
              <w:t>情况</w:t>
            </w:r>
          </w:p>
        </w:tc>
        <w:tc>
          <w:tcPr>
            <w:tcW w:w="336" w:type="pct"/>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267" w:type="pct"/>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3759" w:type="pct"/>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336" w:type="pct"/>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267" w:type="pct"/>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（3）营业执照副本复印件</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w:t>
            </w:r>
            <w:r>
              <w:rPr>
                <w:rFonts w:hint="eastAsia" w:ascii="宋体" w:hAnsi="宋体" w:cs="宋体"/>
                <w:color w:val="auto"/>
                <w:kern w:val="0"/>
                <w:sz w:val="24"/>
                <w:lang w:val="en-US" w:eastAsia="zh-CN"/>
              </w:rPr>
              <w:t>和</w:t>
            </w:r>
            <w:r>
              <w:rPr>
                <w:rFonts w:hint="eastAsia" w:ascii="宋体" w:hAnsi="宋体" w:cs="宋体"/>
                <w:color w:val="auto"/>
                <w:kern w:val="0"/>
                <w:sz w:val="24"/>
              </w:rPr>
              <w:t>中国政府采购网（www.ccgp.gov. cn）政府采购严重违法失信行为记录名单的查询信用记录，查询结果截图并加盖公章（发布公告之后至投标截止时间之前查询结果有效）</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（8）资格文件声明函</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（9）投标单位基本情况</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12"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）近三年同类项目业绩</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）最近三年企业牵涉的主要诉讼案件、处分或处罚（如有）</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267" w:type="pct"/>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）近6个月的完税证明</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）社保局出具的法人代表及委托人在本公司缴纳的近</w:t>
            </w:r>
            <w:r>
              <w:rPr>
                <w:rFonts w:hint="eastAsia" w:ascii="宋体" w:hAnsi="宋体" w:cs="宋体"/>
                <w:color w:val="auto"/>
                <w:kern w:val="0"/>
                <w:sz w:val="24"/>
                <w:lang w:val="en-US" w:eastAsia="zh-CN"/>
              </w:rPr>
              <w:t>6</w:t>
            </w:r>
            <w:r>
              <w:rPr>
                <w:rFonts w:hint="eastAsia" w:ascii="宋体" w:hAnsi="宋体" w:cs="宋体"/>
                <w:color w:val="auto"/>
                <w:kern w:val="0"/>
                <w:sz w:val="24"/>
              </w:rPr>
              <w:t>个月社保明细</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267" w:type="pct"/>
            <w:vMerge w:val="restart"/>
            <w:tcBorders>
              <w:top w:val="single" w:color="auto" w:sz="4" w:space="0"/>
              <w:left w:val="single" w:color="auto" w:sz="8"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3759" w:type="pct"/>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）服务方案</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22" w:hRule="atLeast"/>
        </w:trPr>
        <w:tc>
          <w:tcPr>
            <w:tcW w:w="267" w:type="pct"/>
            <w:vMerge w:val="continue"/>
            <w:tcBorders>
              <w:left w:val="single" w:color="auto" w:sz="8" w:space="0"/>
              <w:right w:val="single" w:color="auto" w:sz="4" w:space="0"/>
            </w:tcBorders>
            <w:vAlign w:val="center"/>
          </w:tcPr>
          <w:p>
            <w:pPr>
              <w:widowControl/>
              <w:jc w:val="center"/>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）投标货物的性能及技术指标</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267" w:type="pct"/>
            <w:vMerge w:val="continue"/>
            <w:tcBorders>
              <w:left w:val="single" w:color="auto" w:sz="8" w:space="0"/>
              <w:right w:val="single" w:color="auto" w:sz="4" w:space="0"/>
            </w:tcBorders>
            <w:vAlign w:val="center"/>
          </w:tcPr>
          <w:p>
            <w:pPr>
              <w:widowControl/>
              <w:jc w:val="center"/>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）售后服务承诺</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8"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17</w:t>
            </w:r>
            <w:r>
              <w:rPr>
                <w:rFonts w:hint="eastAsia" w:ascii="宋体" w:hAnsi="宋体" w:cs="宋体"/>
                <w:color w:val="auto"/>
                <w:kern w:val="0"/>
                <w:sz w:val="24"/>
              </w:rPr>
              <w:t>）货物供应的可靠性</w:t>
            </w:r>
          </w:p>
        </w:tc>
        <w:tc>
          <w:tcPr>
            <w:tcW w:w="331"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04" w:type="pct"/>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336" w:type="pct"/>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97" w:hRule="atLeast"/>
        </w:trPr>
        <w:tc>
          <w:tcPr>
            <w:tcW w:w="267" w:type="pct"/>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3759"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18</w:t>
            </w:r>
            <w:r>
              <w:rPr>
                <w:rFonts w:hint="eastAsia" w:ascii="宋体" w:hAnsi="宋体" w:cs="宋体"/>
                <w:color w:val="auto"/>
                <w:kern w:val="0"/>
                <w:sz w:val="24"/>
                <w:lang w:eastAsia="zh-CN"/>
              </w:rPr>
              <w:t>）安装方案</w:t>
            </w:r>
          </w:p>
        </w:tc>
        <w:tc>
          <w:tcPr>
            <w:tcW w:w="331"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rPr>
            </w:pPr>
          </w:p>
        </w:tc>
        <w:tc>
          <w:tcPr>
            <w:tcW w:w="304" w:type="pct"/>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24"/>
              </w:rPr>
            </w:pPr>
          </w:p>
        </w:tc>
        <w:tc>
          <w:tcPr>
            <w:tcW w:w="336" w:type="pct"/>
            <w:tcBorders>
              <w:top w:val="nil"/>
              <w:left w:val="nil"/>
              <w:bottom w:val="single" w:color="auto" w:sz="4" w:space="0"/>
              <w:right w:val="single" w:color="auto" w:sz="8" w:space="0"/>
            </w:tcBorders>
            <w:vAlign w:val="center"/>
          </w:tcPr>
          <w:p>
            <w:pPr>
              <w:widowControl/>
              <w:jc w:val="left"/>
              <w:rPr>
                <w:rFonts w:hint="eastAsia"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5000" w:type="pct"/>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rPr>
          <w:rFonts w:hint="eastAsia" w:ascii="宋体" w:hAnsi="宋体"/>
          <w:b/>
          <w:bCs/>
          <w:color w:val="auto"/>
          <w:sz w:val="28"/>
        </w:rPr>
      </w:pPr>
      <w:bookmarkStart w:id="67" w:name="_Toc50703720"/>
      <w:bookmarkStart w:id="68" w:name="_Toc50691027"/>
      <w:bookmarkStart w:id="69" w:name="_Toc43264515"/>
    </w:p>
    <w:p>
      <w:pPr>
        <w:spacing w:line="400" w:lineRule="exact"/>
        <w:rPr>
          <w:rFonts w:hint="eastAsia" w:ascii="宋体" w:hAnsi="宋体"/>
          <w:b/>
          <w:bCs/>
          <w:color w:val="auto"/>
          <w:sz w:val="28"/>
        </w:rPr>
      </w:pPr>
    </w:p>
    <w:p>
      <w:pPr>
        <w:rPr>
          <w:rFonts w:hint="eastAsia" w:ascii="宋体" w:hAnsi="宋体"/>
          <w:b/>
          <w:bCs/>
          <w:color w:val="auto"/>
          <w:sz w:val="28"/>
        </w:rPr>
      </w:pPr>
      <w:r>
        <w:rPr>
          <w:rFonts w:hint="eastAsia" w:ascii="宋体" w:hAnsi="宋体"/>
          <w:b/>
          <w:bCs/>
          <w:color w:val="auto"/>
          <w:sz w:val="28"/>
        </w:rPr>
        <w:br w:type="page"/>
      </w:r>
    </w:p>
    <w:p>
      <w:pPr>
        <w:spacing w:line="400" w:lineRule="exact"/>
        <w:rPr>
          <w:rFonts w:ascii="宋体" w:hAnsi="宋体"/>
          <w:b/>
          <w:bCs/>
          <w:color w:val="auto"/>
          <w:sz w:val="28"/>
        </w:rPr>
      </w:pPr>
      <w:r>
        <w:rPr>
          <w:rFonts w:hint="eastAsia" w:ascii="宋体" w:hAnsi="宋体"/>
          <w:b/>
          <w:bCs/>
          <w:color w:val="auto"/>
          <w:sz w:val="28"/>
        </w:rPr>
        <w:t>参考格式</w:t>
      </w:r>
      <w:r>
        <w:rPr>
          <w:rFonts w:ascii="宋体" w:hAnsi="宋体"/>
          <w:b/>
          <w:bCs/>
          <w:color w:val="auto"/>
          <w:sz w:val="28"/>
        </w:rPr>
        <w:t>1</w:t>
      </w:r>
      <w:bookmarkEnd w:id="67"/>
      <w:bookmarkEnd w:id="68"/>
      <w:r>
        <w:rPr>
          <w:rFonts w:hint="eastAsia" w:ascii="宋体" w:hAnsi="宋体"/>
          <w:b/>
          <w:bCs/>
          <w:color w:val="auto"/>
          <w:sz w:val="28"/>
        </w:rPr>
        <w:t xml:space="preserve"> </w:t>
      </w:r>
      <w:r>
        <w:rPr>
          <w:rFonts w:ascii="宋体" w:hAnsi="宋体"/>
          <w:b/>
          <w:bCs/>
          <w:color w:val="auto"/>
          <w:sz w:val="28"/>
        </w:rPr>
        <w:t xml:space="preserve"> </w:t>
      </w:r>
    </w:p>
    <w:p>
      <w:pPr>
        <w:pStyle w:val="4"/>
        <w:numPr>
          <w:ilvl w:val="1"/>
          <w:numId w:val="0"/>
        </w:numPr>
        <w:spacing w:before="20" w:after="20"/>
        <w:jc w:val="center"/>
        <w:rPr>
          <w:rFonts w:ascii="宋体" w:hAnsi="宋体" w:eastAsia="宋体"/>
          <w:color w:val="auto"/>
        </w:rPr>
      </w:pPr>
      <w:bookmarkStart w:id="70" w:name="_Toc251236128"/>
      <w:bookmarkStart w:id="71" w:name="_Toc50737293"/>
      <w:bookmarkStart w:id="72" w:name="_Toc50737325"/>
      <w:bookmarkStart w:id="73" w:name="_Toc50736473"/>
      <w:bookmarkStart w:id="74" w:name="_Toc50691028"/>
      <w:bookmarkStart w:id="75" w:name="_Toc52165077"/>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9"/>
      <w:r>
        <w:rPr>
          <w:rFonts w:hint="eastAsia" w:ascii="宋体" w:hAnsi="宋体" w:eastAsia="宋体"/>
          <w:color w:val="auto"/>
        </w:rPr>
        <w:t xml:space="preserve"> 函</w:t>
      </w:r>
      <w:bookmarkEnd w:id="70"/>
      <w:bookmarkEnd w:id="71"/>
      <w:bookmarkEnd w:id="72"/>
      <w:bookmarkEnd w:id="73"/>
      <w:bookmarkEnd w:id="74"/>
      <w:bookmarkEnd w:id="75"/>
    </w:p>
    <w:p>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s="宋体"/>
          <w:color w:val="auto"/>
          <w:sz w:val="24"/>
          <w:highlight w:val="none"/>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（标段名称）的产品招标文件要求，________________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6"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（一）全部货物之供应和有关服务的报价都包含在投标总价内（详见投标报价表）；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lang w:val="en-US" w:eastAsia="zh-CN"/>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rPr>
          <w:rFonts w:hint="eastAsia" w:ascii="宋体" w:hAnsi="宋体"/>
          <w:b/>
          <w:bCs/>
          <w:color w:val="auto"/>
          <w:sz w:val="28"/>
        </w:rPr>
      </w:pPr>
      <w:bookmarkStart w:id="77" w:name="_Toc50703722"/>
      <w:bookmarkStart w:id="78" w:name="_Toc50691029"/>
      <w:r>
        <w:rPr>
          <w:rFonts w:hint="eastAsia" w:ascii="宋体" w:hAnsi="宋体"/>
          <w:b/>
          <w:bCs/>
          <w:color w:val="auto"/>
          <w:sz w:val="28"/>
        </w:rPr>
        <w:br w:type="page"/>
      </w:r>
    </w:p>
    <w:p>
      <w:pPr>
        <w:rPr>
          <w:rFonts w:ascii="宋体" w:hAnsi="宋体"/>
          <w:b/>
          <w:bCs/>
          <w:color w:val="auto"/>
          <w:sz w:val="28"/>
        </w:rPr>
      </w:pPr>
      <w:r>
        <w:rPr>
          <w:rFonts w:hint="eastAsia" w:ascii="宋体" w:hAnsi="宋体"/>
          <w:b/>
          <w:bCs/>
          <w:color w:val="auto"/>
          <w:sz w:val="28"/>
        </w:rPr>
        <w:t>参考格式</w:t>
      </w:r>
      <w:r>
        <w:rPr>
          <w:rFonts w:ascii="宋体" w:hAnsi="宋体"/>
          <w:b/>
          <w:bCs/>
          <w:color w:val="auto"/>
          <w:sz w:val="28"/>
        </w:rPr>
        <w:t>2</w:t>
      </w:r>
      <w:bookmarkEnd w:id="77"/>
      <w:bookmarkEnd w:id="78"/>
      <w:r>
        <w:rPr>
          <w:rFonts w:ascii="宋体" w:hAnsi="宋体"/>
          <w:b/>
          <w:bCs/>
          <w:color w:val="auto"/>
          <w:sz w:val="28"/>
        </w:rPr>
        <w:t xml:space="preserve">  </w:t>
      </w:r>
      <w:bookmarkEnd w:id="76"/>
    </w:p>
    <w:p>
      <w:pPr>
        <w:pStyle w:val="4"/>
        <w:numPr>
          <w:ilvl w:val="1"/>
          <w:numId w:val="0"/>
        </w:numPr>
        <w:spacing w:before="60" w:after="60"/>
        <w:jc w:val="center"/>
        <w:rPr>
          <w:rFonts w:ascii="宋体" w:hAnsi="宋体" w:eastAsia="宋体"/>
          <w:color w:val="auto"/>
        </w:rPr>
      </w:pPr>
      <w:bookmarkStart w:id="79" w:name="_Toc251236129"/>
      <w:bookmarkStart w:id="80" w:name="_Toc50736474"/>
      <w:bookmarkStart w:id="81" w:name="_Toc50737294"/>
      <w:bookmarkStart w:id="82" w:name="_Toc50737326"/>
      <w:bookmarkStart w:id="83" w:name="_Toc50691030"/>
      <w:bookmarkStart w:id="84" w:name="_Toc160510647"/>
      <w:bookmarkStart w:id="85" w:name="_Toc52165078"/>
      <w:r>
        <w:rPr>
          <w:rFonts w:hint="eastAsia" w:ascii="宋体" w:hAnsi="宋体" w:eastAsia="宋体"/>
          <w:color w:val="auto"/>
        </w:rPr>
        <w:t>投标报价一览表</w:t>
      </w:r>
      <w:bookmarkEnd w:id="79"/>
      <w:bookmarkEnd w:id="80"/>
      <w:bookmarkEnd w:id="81"/>
      <w:bookmarkEnd w:id="82"/>
      <w:bookmarkEnd w:id="83"/>
      <w:bookmarkEnd w:id="84"/>
      <w:bookmarkEnd w:id="85"/>
    </w:p>
    <w:p>
      <w:pPr>
        <w:spacing w:line="400" w:lineRule="exact"/>
        <w:rPr>
          <w:rFonts w:ascii="宋体" w:hAnsi="宋体"/>
          <w:color w:val="auto"/>
          <w:sz w:val="24"/>
          <w:u w:val="single"/>
        </w:rPr>
      </w:pPr>
      <w:r>
        <w:rPr>
          <w:rFonts w:hint="eastAsia" w:ascii="宋体" w:hAnsi="宋体"/>
          <w:color w:val="auto"/>
          <w:sz w:val="24"/>
        </w:rPr>
        <w:t xml:space="preserve">项目名称：                                                                                                     </w:t>
      </w:r>
    </w:p>
    <w:tbl>
      <w:tblPr>
        <w:tblStyle w:val="19"/>
        <w:tblpPr w:leftFromText="180" w:rightFromText="180" w:vertAnchor="text" w:horzAnchor="page" w:tblpX="1084" w:tblpY="477"/>
        <w:tblOverlap w:val="never"/>
        <w:tblW w:w="9835" w:type="dxa"/>
        <w:tblInd w:w="0" w:type="dxa"/>
        <w:tblLayout w:type="fixed"/>
        <w:tblCellMar>
          <w:top w:w="0" w:type="dxa"/>
          <w:left w:w="108" w:type="dxa"/>
          <w:bottom w:w="0" w:type="dxa"/>
          <w:right w:w="108" w:type="dxa"/>
        </w:tblCellMar>
      </w:tblPr>
      <w:tblGrid>
        <w:gridCol w:w="1151"/>
        <w:gridCol w:w="1127"/>
        <w:gridCol w:w="334"/>
        <w:gridCol w:w="805"/>
        <w:gridCol w:w="668"/>
        <w:gridCol w:w="238"/>
        <w:gridCol w:w="303"/>
        <w:gridCol w:w="498"/>
        <w:gridCol w:w="829"/>
        <w:gridCol w:w="976"/>
        <w:gridCol w:w="9"/>
        <w:gridCol w:w="976"/>
        <w:gridCol w:w="84"/>
        <w:gridCol w:w="861"/>
        <w:gridCol w:w="115"/>
        <w:gridCol w:w="861"/>
      </w:tblGrid>
      <w:tr>
        <w:tblPrEx>
          <w:tblCellMar>
            <w:top w:w="0" w:type="dxa"/>
            <w:left w:w="108" w:type="dxa"/>
            <w:bottom w:w="0" w:type="dxa"/>
            <w:right w:w="108" w:type="dxa"/>
          </w:tblCellMar>
        </w:tblPrEx>
        <w:trPr>
          <w:cantSplit/>
          <w:trHeight w:val="672" w:hRule="atLeast"/>
        </w:trPr>
        <w:tc>
          <w:tcPr>
            <w:tcW w:w="11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226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lang w:val="en-US" w:eastAsia="zh-CN"/>
              </w:rPr>
              <w:t>货物</w:t>
            </w:r>
            <w:r>
              <w:rPr>
                <w:rFonts w:hint="eastAsia" w:ascii="宋体" w:hAnsi="宋体" w:cs="宋体"/>
                <w:color w:val="auto"/>
                <w:kern w:val="0"/>
                <w:sz w:val="24"/>
              </w:rPr>
              <w:t>名称</w:t>
            </w:r>
          </w:p>
        </w:tc>
        <w:tc>
          <w:tcPr>
            <w:tcW w:w="90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8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180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投标报价</w:t>
            </w:r>
          </w:p>
          <w:p>
            <w:pPr>
              <w:widowControl/>
              <w:jc w:val="center"/>
              <w:rPr>
                <w:rFonts w:ascii="宋体" w:hAnsi="宋体" w:cs="宋体"/>
                <w:color w:val="auto"/>
                <w:kern w:val="0"/>
                <w:sz w:val="24"/>
              </w:rPr>
            </w:pPr>
            <w:r>
              <w:rPr>
                <w:rFonts w:hint="eastAsia" w:ascii="宋体" w:hAnsi="宋体" w:cs="宋体"/>
                <w:color w:val="auto"/>
                <w:kern w:val="0"/>
                <w:sz w:val="24"/>
              </w:rPr>
              <w:t>（单位：元）</w:t>
            </w:r>
          </w:p>
        </w:tc>
        <w:tc>
          <w:tcPr>
            <w:tcW w:w="985"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规格</w:t>
            </w:r>
          </w:p>
          <w:p>
            <w:pPr>
              <w:widowControl/>
              <w:jc w:val="center"/>
              <w:rPr>
                <w:rFonts w:ascii="宋体" w:hAnsi="宋体" w:cs="宋体"/>
                <w:color w:val="auto"/>
                <w:kern w:val="0"/>
                <w:sz w:val="24"/>
              </w:rPr>
            </w:pPr>
            <w:r>
              <w:rPr>
                <w:rFonts w:hint="eastAsia" w:ascii="宋体" w:hAnsi="宋体" w:cs="宋体"/>
                <w:color w:val="auto"/>
                <w:kern w:val="0"/>
                <w:sz w:val="24"/>
              </w:rPr>
              <w:t>型号</w:t>
            </w:r>
          </w:p>
        </w:tc>
        <w:tc>
          <w:tcPr>
            <w:tcW w:w="106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供货期</w:t>
            </w:r>
          </w:p>
        </w:tc>
        <w:tc>
          <w:tcPr>
            <w:tcW w:w="8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cantSplit/>
          <w:trHeight w:val="341" w:hRule="atLeast"/>
        </w:trPr>
        <w:tc>
          <w:tcPr>
            <w:tcW w:w="11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226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90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8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1805" w:type="dxa"/>
            <w:gridSpan w:val="2"/>
            <w:tcBorders>
              <w:top w:val="nil"/>
              <w:left w:val="nil"/>
              <w:bottom w:val="single" w:color="auto" w:sz="4" w:space="0"/>
              <w:right w:val="single" w:color="auto" w:sz="4" w:space="0"/>
            </w:tcBorders>
          </w:tcPr>
          <w:p>
            <w:pPr>
              <w:widowControl/>
              <w:jc w:val="center"/>
              <w:rPr>
                <w:rFonts w:ascii="宋体" w:hAnsi="宋体" w:cs="宋体"/>
                <w:color w:val="auto"/>
                <w:kern w:val="0"/>
                <w:sz w:val="24"/>
              </w:rPr>
            </w:pPr>
            <w:r>
              <w:rPr>
                <w:rFonts w:hint="eastAsia" w:ascii="宋体" w:hAnsi="宋体" w:cs="宋体"/>
                <w:color w:val="auto"/>
                <w:kern w:val="0"/>
                <w:sz w:val="24"/>
              </w:rPr>
              <w:t>单价</w:t>
            </w:r>
          </w:p>
        </w:tc>
        <w:tc>
          <w:tcPr>
            <w:tcW w:w="98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4"/>
              </w:rPr>
            </w:pPr>
          </w:p>
        </w:tc>
        <w:tc>
          <w:tcPr>
            <w:tcW w:w="10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72" w:hRule="atLeast"/>
        </w:trPr>
        <w:tc>
          <w:tcPr>
            <w:tcW w:w="1151"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2266" w:type="dxa"/>
            <w:gridSpan w:val="3"/>
            <w:tcBorders>
              <w:top w:val="nil"/>
              <w:left w:val="single" w:color="auto" w:sz="4" w:space="0"/>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　</w:t>
            </w:r>
          </w:p>
        </w:tc>
        <w:tc>
          <w:tcPr>
            <w:tcW w:w="90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0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p>
            <w:pPr>
              <w:widowControl/>
              <w:jc w:val="left"/>
              <w:rPr>
                <w:rFonts w:ascii="宋体" w:hAnsi="宋体"/>
                <w:color w:val="auto"/>
                <w:kern w:val="0"/>
                <w:sz w:val="24"/>
              </w:rPr>
            </w:pPr>
            <w:r>
              <w:rPr>
                <w:rFonts w:ascii="宋体" w:hAnsi="宋体"/>
                <w:color w:val="auto"/>
                <w:kern w:val="0"/>
                <w:sz w:val="24"/>
              </w:rPr>
              <w:t>　</w:t>
            </w:r>
          </w:p>
        </w:tc>
        <w:tc>
          <w:tcPr>
            <w:tcW w:w="98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1060" w:type="dxa"/>
            <w:gridSpan w:val="3"/>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861"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672" w:hRule="atLeast"/>
        </w:trPr>
        <w:tc>
          <w:tcPr>
            <w:tcW w:w="1151"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2266"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90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0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p>
            <w:pPr>
              <w:widowControl/>
              <w:jc w:val="left"/>
              <w:rPr>
                <w:rFonts w:ascii="宋体" w:hAnsi="宋体"/>
                <w:color w:val="auto"/>
                <w:kern w:val="0"/>
                <w:sz w:val="24"/>
              </w:rPr>
            </w:pPr>
            <w:r>
              <w:rPr>
                <w:rFonts w:ascii="宋体" w:hAnsi="宋体"/>
                <w:color w:val="auto"/>
                <w:kern w:val="0"/>
                <w:sz w:val="24"/>
              </w:rPr>
              <w:t>　</w:t>
            </w:r>
          </w:p>
        </w:tc>
        <w:tc>
          <w:tcPr>
            <w:tcW w:w="98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1060" w:type="dxa"/>
            <w:gridSpan w:val="3"/>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861"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672" w:hRule="atLeast"/>
        </w:trPr>
        <w:tc>
          <w:tcPr>
            <w:tcW w:w="1151"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2266"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90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0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p>
            <w:pPr>
              <w:widowControl/>
              <w:jc w:val="left"/>
              <w:rPr>
                <w:rFonts w:ascii="宋体" w:hAnsi="宋体"/>
                <w:color w:val="auto"/>
                <w:kern w:val="0"/>
                <w:sz w:val="24"/>
              </w:rPr>
            </w:pPr>
            <w:r>
              <w:rPr>
                <w:rFonts w:ascii="宋体" w:hAnsi="宋体"/>
                <w:color w:val="auto"/>
                <w:kern w:val="0"/>
                <w:sz w:val="24"/>
              </w:rPr>
              <w:t>　</w:t>
            </w:r>
          </w:p>
        </w:tc>
        <w:tc>
          <w:tcPr>
            <w:tcW w:w="98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1060" w:type="dxa"/>
            <w:gridSpan w:val="3"/>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861"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672" w:hRule="atLeast"/>
        </w:trPr>
        <w:tc>
          <w:tcPr>
            <w:tcW w:w="1151"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2266"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90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0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p>
            <w:pPr>
              <w:widowControl/>
              <w:jc w:val="left"/>
              <w:rPr>
                <w:rFonts w:ascii="宋体" w:hAnsi="宋体"/>
                <w:color w:val="auto"/>
                <w:kern w:val="0"/>
                <w:sz w:val="24"/>
              </w:rPr>
            </w:pPr>
            <w:r>
              <w:rPr>
                <w:rFonts w:ascii="宋体" w:hAnsi="宋体"/>
                <w:color w:val="auto"/>
                <w:kern w:val="0"/>
                <w:sz w:val="24"/>
              </w:rPr>
              <w:t>　</w:t>
            </w:r>
          </w:p>
        </w:tc>
        <w:tc>
          <w:tcPr>
            <w:tcW w:w="98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1060" w:type="dxa"/>
            <w:gridSpan w:val="3"/>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861"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672" w:hRule="atLeast"/>
        </w:trPr>
        <w:tc>
          <w:tcPr>
            <w:tcW w:w="1151" w:type="dxa"/>
            <w:tcBorders>
              <w:top w:val="nil"/>
              <w:left w:val="single" w:color="auto" w:sz="4" w:space="0"/>
              <w:bottom w:val="single" w:color="auto" w:sz="4" w:space="0"/>
              <w:right w:val="nil"/>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2266" w:type="dxa"/>
            <w:gridSpan w:val="3"/>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90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0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0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p>
            <w:pPr>
              <w:widowControl/>
              <w:jc w:val="left"/>
              <w:rPr>
                <w:rFonts w:ascii="宋体" w:hAnsi="宋体"/>
                <w:color w:val="auto"/>
                <w:kern w:val="0"/>
                <w:sz w:val="24"/>
              </w:rPr>
            </w:pPr>
            <w:r>
              <w:rPr>
                <w:rFonts w:ascii="宋体" w:hAnsi="宋体"/>
                <w:color w:val="auto"/>
                <w:kern w:val="0"/>
                <w:sz w:val="24"/>
              </w:rPr>
              <w:t>　</w:t>
            </w:r>
          </w:p>
        </w:tc>
        <w:tc>
          <w:tcPr>
            <w:tcW w:w="985" w:type="dxa"/>
            <w:gridSpan w:val="2"/>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1060" w:type="dxa"/>
            <w:gridSpan w:val="3"/>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c>
          <w:tcPr>
            <w:tcW w:w="861" w:type="dxa"/>
            <w:tcBorders>
              <w:top w:val="nil"/>
              <w:left w:val="nil"/>
              <w:bottom w:val="single" w:color="auto" w:sz="4" w:space="0"/>
              <w:right w:val="single" w:color="auto" w:sz="4" w:space="0"/>
            </w:tcBorders>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341" w:hRule="atLeast"/>
        </w:trPr>
        <w:tc>
          <w:tcPr>
            <w:tcW w:w="2612" w:type="dxa"/>
            <w:gridSpan w:val="3"/>
            <w:tcBorders>
              <w:top w:val="nil"/>
              <w:left w:val="nil"/>
              <w:bottom w:val="nil"/>
              <w:right w:val="nil"/>
            </w:tcBorders>
            <w:vAlign w:val="center"/>
          </w:tcPr>
          <w:p>
            <w:pPr>
              <w:widowControl/>
              <w:jc w:val="left"/>
              <w:rPr>
                <w:rFonts w:ascii="宋体" w:hAnsi="宋体" w:cs="宋体"/>
                <w:color w:val="auto"/>
                <w:kern w:val="0"/>
                <w:sz w:val="24"/>
              </w:rPr>
            </w:pPr>
          </w:p>
        </w:tc>
        <w:tc>
          <w:tcPr>
            <w:tcW w:w="1473"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541"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498" w:type="dxa"/>
            <w:tcBorders>
              <w:top w:val="nil"/>
              <w:left w:val="nil"/>
              <w:bottom w:val="nil"/>
              <w:right w:val="nil"/>
            </w:tcBorders>
            <w:vAlign w:val="center"/>
          </w:tcPr>
          <w:p>
            <w:pPr>
              <w:widowControl/>
              <w:jc w:val="left"/>
              <w:rPr>
                <w:rFonts w:ascii="宋体" w:hAnsi="宋体" w:cs="宋体"/>
                <w:color w:val="auto"/>
                <w:kern w:val="0"/>
                <w:sz w:val="24"/>
              </w:rPr>
            </w:pPr>
          </w:p>
        </w:tc>
        <w:tc>
          <w:tcPr>
            <w:tcW w:w="829" w:type="dxa"/>
            <w:tcBorders>
              <w:top w:val="nil"/>
              <w:left w:val="nil"/>
              <w:bottom w:val="nil"/>
              <w:right w:val="nil"/>
            </w:tcBorders>
            <w:vAlign w:val="center"/>
          </w:tcPr>
          <w:p>
            <w:pPr>
              <w:widowControl/>
              <w:jc w:val="left"/>
              <w:rPr>
                <w:rFonts w:ascii="宋体" w:hAnsi="宋体" w:cs="宋体"/>
                <w:color w:val="auto"/>
                <w:kern w:val="0"/>
                <w:sz w:val="24"/>
              </w:rPr>
            </w:pPr>
          </w:p>
        </w:tc>
        <w:tc>
          <w:tcPr>
            <w:tcW w:w="976" w:type="dxa"/>
            <w:tcBorders>
              <w:top w:val="nil"/>
              <w:left w:val="nil"/>
              <w:bottom w:val="nil"/>
              <w:right w:val="nil"/>
            </w:tcBorders>
            <w:vAlign w:val="center"/>
          </w:tcPr>
          <w:p>
            <w:pPr>
              <w:widowControl/>
              <w:jc w:val="left"/>
              <w:rPr>
                <w:rFonts w:ascii="宋体" w:hAnsi="宋体" w:cs="宋体"/>
                <w:color w:val="auto"/>
                <w:kern w:val="0"/>
                <w:sz w:val="24"/>
              </w:rPr>
            </w:pPr>
          </w:p>
        </w:tc>
        <w:tc>
          <w:tcPr>
            <w:tcW w:w="985"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1060" w:type="dxa"/>
            <w:gridSpan w:val="3"/>
            <w:tcBorders>
              <w:top w:val="nil"/>
              <w:left w:val="nil"/>
              <w:bottom w:val="nil"/>
              <w:right w:val="nil"/>
            </w:tcBorders>
            <w:vAlign w:val="center"/>
          </w:tcPr>
          <w:p>
            <w:pPr>
              <w:widowControl/>
              <w:jc w:val="left"/>
              <w:rPr>
                <w:rFonts w:ascii="宋体" w:hAnsi="宋体" w:cs="宋体"/>
                <w:color w:val="auto"/>
                <w:kern w:val="0"/>
                <w:sz w:val="24"/>
              </w:rPr>
            </w:pPr>
          </w:p>
        </w:tc>
        <w:tc>
          <w:tcPr>
            <w:tcW w:w="861" w:type="dxa"/>
            <w:tcBorders>
              <w:top w:val="nil"/>
              <w:left w:val="nil"/>
              <w:bottom w:val="nil"/>
              <w:right w:val="nil"/>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gridAfter w:val="2"/>
          <w:wAfter w:w="976" w:type="dxa"/>
          <w:trHeight w:val="365" w:hRule="atLeast"/>
        </w:trPr>
        <w:tc>
          <w:tcPr>
            <w:tcW w:w="5953" w:type="dxa"/>
            <w:gridSpan w:val="9"/>
            <w:tcBorders>
              <w:top w:val="nil"/>
              <w:left w:val="nil"/>
              <w:bottom w:val="nil"/>
              <w:right w:val="nil"/>
            </w:tcBorders>
            <w:vAlign w:val="center"/>
          </w:tcPr>
          <w:p>
            <w:pPr>
              <w:widowControl/>
              <w:rPr>
                <w:rFonts w:ascii="宋体" w:hAnsi="宋体" w:cs="宋体"/>
                <w:color w:val="auto"/>
                <w:kern w:val="0"/>
                <w:sz w:val="24"/>
              </w:rPr>
            </w:pPr>
            <w:r>
              <w:rPr>
                <w:rFonts w:hint="eastAsia" w:ascii="宋体" w:hAnsi="宋体" w:cs="宋体"/>
                <w:color w:val="auto"/>
                <w:kern w:val="0"/>
                <w:sz w:val="24"/>
              </w:rPr>
              <w:t>投标人全称：（盖公章）</w:t>
            </w:r>
          </w:p>
        </w:tc>
        <w:tc>
          <w:tcPr>
            <w:tcW w:w="985"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1060" w:type="dxa"/>
            <w:gridSpan w:val="2"/>
            <w:tcBorders>
              <w:top w:val="nil"/>
              <w:left w:val="nil"/>
              <w:bottom w:val="nil"/>
              <w:right w:val="nil"/>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职务：         </w:t>
            </w:r>
          </w:p>
        </w:tc>
        <w:tc>
          <w:tcPr>
            <w:tcW w:w="861" w:type="dxa"/>
            <w:tcBorders>
              <w:top w:val="nil"/>
              <w:left w:val="nil"/>
              <w:bottom w:val="nil"/>
              <w:right w:val="nil"/>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0" w:hRule="atLeast"/>
        </w:trPr>
        <w:tc>
          <w:tcPr>
            <w:tcW w:w="2278" w:type="dxa"/>
            <w:gridSpan w:val="2"/>
            <w:tcBorders>
              <w:top w:val="nil"/>
              <w:left w:val="nil"/>
              <w:bottom w:val="nil"/>
              <w:right w:val="nil"/>
            </w:tcBorders>
            <w:vAlign w:val="center"/>
          </w:tcPr>
          <w:p>
            <w:pPr>
              <w:widowControl/>
              <w:rPr>
                <w:rFonts w:ascii="宋体" w:hAnsi="宋体" w:cs="宋体"/>
                <w:color w:val="auto"/>
                <w:kern w:val="0"/>
                <w:sz w:val="24"/>
              </w:rPr>
            </w:pPr>
          </w:p>
        </w:tc>
        <w:tc>
          <w:tcPr>
            <w:tcW w:w="1807" w:type="dxa"/>
            <w:gridSpan w:val="3"/>
            <w:tcBorders>
              <w:top w:val="nil"/>
              <w:left w:val="nil"/>
              <w:bottom w:val="nil"/>
              <w:right w:val="nil"/>
            </w:tcBorders>
            <w:vAlign w:val="center"/>
          </w:tcPr>
          <w:p>
            <w:pPr>
              <w:widowControl/>
              <w:jc w:val="left"/>
              <w:rPr>
                <w:rFonts w:ascii="宋体" w:hAnsi="宋体" w:cs="宋体"/>
                <w:color w:val="auto"/>
                <w:kern w:val="0"/>
                <w:sz w:val="24"/>
              </w:rPr>
            </w:pPr>
          </w:p>
        </w:tc>
        <w:tc>
          <w:tcPr>
            <w:tcW w:w="541"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498" w:type="dxa"/>
            <w:tcBorders>
              <w:top w:val="nil"/>
              <w:left w:val="nil"/>
              <w:bottom w:val="nil"/>
              <w:right w:val="nil"/>
            </w:tcBorders>
            <w:vAlign w:val="center"/>
          </w:tcPr>
          <w:p>
            <w:pPr>
              <w:widowControl/>
              <w:jc w:val="left"/>
              <w:rPr>
                <w:rFonts w:ascii="宋体" w:hAnsi="宋体" w:cs="宋体"/>
                <w:color w:val="auto"/>
                <w:kern w:val="0"/>
                <w:sz w:val="24"/>
              </w:rPr>
            </w:pPr>
          </w:p>
        </w:tc>
        <w:tc>
          <w:tcPr>
            <w:tcW w:w="829" w:type="dxa"/>
            <w:tcBorders>
              <w:top w:val="nil"/>
              <w:left w:val="nil"/>
              <w:bottom w:val="nil"/>
              <w:right w:val="nil"/>
            </w:tcBorders>
            <w:vAlign w:val="center"/>
          </w:tcPr>
          <w:p>
            <w:pPr>
              <w:widowControl/>
              <w:jc w:val="left"/>
              <w:rPr>
                <w:rFonts w:ascii="宋体" w:hAnsi="宋体" w:cs="宋体"/>
                <w:color w:val="auto"/>
                <w:kern w:val="0"/>
                <w:sz w:val="24"/>
              </w:rPr>
            </w:pPr>
          </w:p>
        </w:tc>
        <w:tc>
          <w:tcPr>
            <w:tcW w:w="976" w:type="dxa"/>
            <w:tcBorders>
              <w:top w:val="nil"/>
              <w:left w:val="nil"/>
              <w:bottom w:val="nil"/>
              <w:right w:val="nil"/>
            </w:tcBorders>
            <w:vAlign w:val="center"/>
          </w:tcPr>
          <w:p>
            <w:pPr>
              <w:widowControl/>
              <w:jc w:val="left"/>
              <w:rPr>
                <w:rFonts w:ascii="宋体" w:hAnsi="宋体" w:cs="宋体"/>
                <w:color w:val="auto"/>
                <w:kern w:val="0"/>
                <w:sz w:val="24"/>
              </w:rPr>
            </w:pPr>
          </w:p>
        </w:tc>
        <w:tc>
          <w:tcPr>
            <w:tcW w:w="985"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1060" w:type="dxa"/>
            <w:gridSpan w:val="3"/>
            <w:tcBorders>
              <w:top w:val="nil"/>
              <w:left w:val="nil"/>
              <w:bottom w:val="nil"/>
              <w:right w:val="nil"/>
            </w:tcBorders>
            <w:vAlign w:val="center"/>
          </w:tcPr>
          <w:p>
            <w:pPr>
              <w:widowControl/>
              <w:jc w:val="left"/>
              <w:rPr>
                <w:rFonts w:ascii="宋体" w:hAnsi="宋体" w:cs="宋体"/>
                <w:color w:val="auto"/>
                <w:kern w:val="0"/>
                <w:sz w:val="24"/>
              </w:rPr>
            </w:pPr>
          </w:p>
        </w:tc>
        <w:tc>
          <w:tcPr>
            <w:tcW w:w="861" w:type="dxa"/>
            <w:tcBorders>
              <w:top w:val="nil"/>
              <w:left w:val="nil"/>
              <w:bottom w:val="nil"/>
              <w:right w:val="nil"/>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77" w:hRule="atLeast"/>
        </w:trPr>
        <w:tc>
          <w:tcPr>
            <w:tcW w:w="4085" w:type="dxa"/>
            <w:gridSpan w:val="5"/>
            <w:tcBorders>
              <w:top w:val="nil"/>
              <w:left w:val="nil"/>
              <w:bottom w:val="nil"/>
              <w:right w:val="nil"/>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日期：                   </w:t>
            </w:r>
          </w:p>
        </w:tc>
        <w:tc>
          <w:tcPr>
            <w:tcW w:w="541"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498" w:type="dxa"/>
            <w:tcBorders>
              <w:top w:val="nil"/>
              <w:left w:val="nil"/>
              <w:bottom w:val="nil"/>
              <w:right w:val="nil"/>
            </w:tcBorders>
            <w:vAlign w:val="center"/>
          </w:tcPr>
          <w:p>
            <w:pPr>
              <w:widowControl/>
              <w:jc w:val="left"/>
              <w:rPr>
                <w:rFonts w:ascii="宋体" w:hAnsi="宋体" w:cs="宋体"/>
                <w:color w:val="auto"/>
                <w:kern w:val="0"/>
                <w:sz w:val="24"/>
              </w:rPr>
            </w:pPr>
          </w:p>
        </w:tc>
        <w:tc>
          <w:tcPr>
            <w:tcW w:w="829" w:type="dxa"/>
            <w:tcBorders>
              <w:top w:val="nil"/>
              <w:left w:val="nil"/>
              <w:bottom w:val="nil"/>
              <w:right w:val="nil"/>
            </w:tcBorders>
            <w:vAlign w:val="center"/>
          </w:tcPr>
          <w:p>
            <w:pPr>
              <w:widowControl/>
              <w:jc w:val="left"/>
              <w:rPr>
                <w:rFonts w:ascii="宋体" w:hAnsi="宋体" w:cs="宋体"/>
                <w:color w:val="auto"/>
                <w:kern w:val="0"/>
                <w:sz w:val="24"/>
              </w:rPr>
            </w:pPr>
          </w:p>
        </w:tc>
        <w:tc>
          <w:tcPr>
            <w:tcW w:w="976" w:type="dxa"/>
            <w:tcBorders>
              <w:top w:val="nil"/>
              <w:left w:val="nil"/>
              <w:bottom w:val="nil"/>
              <w:right w:val="nil"/>
            </w:tcBorders>
            <w:vAlign w:val="center"/>
          </w:tcPr>
          <w:p>
            <w:pPr>
              <w:widowControl/>
              <w:jc w:val="left"/>
              <w:rPr>
                <w:rFonts w:ascii="宋体" w:hAnsi="宋体" w:cs="宋体"/>
                <w:color w:val="auto"/>
                <w:kern w:val="0"/>
                <w:sz w:val="24"/>
              </w:rPr>
            </w:pPr>
          </w:p>
        </w:tc>
        <w:tc>
          <w:tcPr>
            <w:tcW w:w="985" w:type="dxa"/>
            <w:gridSpan w:val="2"/>
            <w:tcBorders>
              <w:top w:val="nil"/>
              <w:left w:val="nil"/>
              <w:bottom w:val="nil"/>
              <w:right w:val="nil"/>
            </w:tcBorders>
            <w:vAlign w:val="center"/>
          </w:tcPr>
          <w:p>
            <w:pPr>
              <w:widowControl/>
              <w:jc w:val="left"/>
              <w:rPr>
                <w:rFonts w:ascii="宋体" w:hAnsi="宋体" w:cs="宋体"/>
                <w:color w:val="auto"/>
                <w:kern w:val="0"/>
                <w:sz w:val="24"/>
              </w:rPr>
            </w:pPr>
          </w:p>
        </w:tc>
        <w:tc>
          <w:tcPr>
            <w:tcW w:w="1060" w:type="dxa"/>
            <w:gridSpan w:val="3"/>
            <w:tcBorders>
              <w:top w:val="nil"/>
              <w:left w:val="nil"/>
              <w:bottom w:val="nil"/>
              <w:right w:val="nil"/>
            </w:tcBorders>
            <w:vAlign w:val="center"/>
          </w:tcPr>
          <w:p>
            <w:pPr>
              <w:widowControl/>
              <w:jc w:val="left"/>
              <w:rPr>
                <w:rFonts w:ascii="宋体" w:hAnsi="宋体" w:cs="宋体"/>
                <w:color w:val="auto"/>
                <w:kern w:val="0"/>
                <w:sz w:val="24"/>
              </w:rPr>
            </w:pPr>
          </w:p>
        </w:tc>
        <w:tc>
          <w:tcPr>
            <w:tcW w:w="861" w:type="dxa"/>
            <w:tcBorders>
              <w:top w:val="nil"/>
              <w:left w:val="nil"/>
              <w:bottom w:val="nil"/>
              <w:right w:val="nil"/>
            </w:tcBorders>
            <w:vAlign w:val="center"/>
          </w:tcPr>
          <w:p>
            <w:pPr>
              <w:widowControl/>
              <w:jc w:val="left"/>
              <w:rPr>
                <w:rFonts w:ascii="宋体" w:hAnsi="宋体" w:cs="宋体"/>
                <w:color w:val="auto"/>
                <w:kern w:val="0"/>
                <w:sz w:val="24"/>
              </w:rPr>
            </w:pPr>
          </w:p>
        </w:tc>
      </w:tr>
    </w:tbl>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w:t>
      </w:r>
      <w:r>
        <w:rPr>
          <w:rFonts w:hint="eastAsia" w:ascii="宋体" w:hAnsi="宋体"/>
          <w:color w:val="auto"/>
          <w:sz w:val="24"/>
          <w:lang w:val="en-US" w:eastAsia="zh-CN"/>
        </w:rPr>
        <w:t>字</w:t>
      </w:r>
      <w:r>
        <w:rPr>
          <w:rFonts w:hint="eastAsia" w:ascii="宋体" w:hAnsi="宋体"/>
          <w:color w:val="auto"/>
          <w:sz w:val="24"/>
        </w:rPr>
        <w:t>）：</w:t>
      </w:r>
    </w:p>
    <w:p>
      <w:pPr>
        <w:spacing w:line="400" w:lineRule="exact"/>
        <w:ind w:firstLine="5688" w:firstLineChars="237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6" w:name="_Toc50703724"/>
      <w:bookmarkStart w:id="87" w:name="_Toc50691031"/>
      <w:bookmarkStart w:id="88" w:name="_Toc43264517"/>
      <w:r>
        <w:rPr>
          <w:rFonts w:hint="eastAsia" w:ascii="宋体" w:hAnsi="宋体"/>
          <w:b/>
          <w:bCs/>
          <w:color w:val="auto"/>
          <w:sz w:val="28"/>
        </w:rPr>
        <w:t>参考格式</w:t>
      </w:r>
      <w:r>
        <w:rPr>
          <w:rFonts w:ascii="宋体" w:hAnsi="宋体"/>
          <w:b/>
          <w:bCs/>
          <w:color w:val="auto"/>
          <w:sz w:val="28"/>
        </w:rPr>
        <w:t>3</w:t>
      </w:r>
      <w:bookmarkEnd w:id="86"/>
      <w:bookmarkEnd w:id="87"/>
      <w:r>
        <w:rPr>
          <w:rFonts w:ascii="宋体" w:hAnsi="宋体"/>
          <w:b/>
          <w:bCs/>
          <w:color w:val="auto"/>
          <w:sz w:val="28"/>
        </w:rPr>
        <w:t xml:space="preserve">  </w:t>
      </w:r>
    </w:p>
    <w:bookmarkEnd w:id="88"/>
    <w:p>
      <w:pPr>
        <w:spacing w:line="360" w:lineRule="auto"/>
        <w:rPr>
          <w:rFonts w:ascii="宋体" w:hAnsi="宋体"/>
          <w:b/>
          <w:bCs/>
          <w:color w:val="auto"/>
          <w:sz w:val="32"/>
          <w:szCs w:val="32"/>
        </w:rPr>
      </w:pPr>
      <w:r>
        <w:rPr>
          <w:rFonts w:hint="eastAsia" w:ascii="宋体" w:hAnsi="宋体" w:cs="宋体"/>
          <w:color w:val="auto"/>
          <w:kern w:val="0"/>
          <w:sz w:val="24"/>
        </w:rPr>
        <w:t>营业执照、开户许可证复印件</w:t>
      </w:r>
    </w:p>
    <w:p>
      <w:pPr>
        <w:pStyle w:val="4"/>
        <w:numPr>
          <w:ilvl w:val="1"/>
          <w:numId w:val="0"/>
        </w:numPr>
        <w:spacing w:before="60" w:after="60"/>
        <w:rPr>
          <w:rFonts w:ascii="宋体" w:hAnsi="宋体" w:eastAsia="宋体"/>
          <w:color w:val="auto"/>
        </w:rPr>
      </w:pPr>
    </w:p>
    <w:p>
      <w:pPr>
        <w:pStyle w:val="4"/>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8"/>
        <w:rPr>
          <w:rFonts w:ascii="宋体" w:hAnsi="宋体"/>
          <w:b/>
          <w:bCs/>
          <w:color w:val="auto"/>
          <w:sz w:val="32"/>
          <w:szCs w:val="32"/>
        </w:rPr>
      </w:pPr>
    </w:p>
    <w:p>
      <w:pPr>
        <w:rPr>
          <w:color w:val="auto"/>
        </w:rPr>
      </w:pPr>
    </w:p>
    <w:p>
      <w:pPr>
        <w:rPr>
          <w:rFonts w:hint="eastAsia" w:ascii="宋体" w:hAnsi="宋体"/>
          <w:b/>
          <w:bCs/>
          <w:color w:val="auto"/>
          <w:sz w:val="28"/>
        </w:rPr>
      </w:pPr>
      <w:r>
        <w:rPr>
          <w:rFonts w:hint="eastAsia" w:ascii="宋体" w:hAnsi="宋体"/>
          <w:b/>
          <w:bCs/>
          <w:color w:val="auto"/>
          <w:sz w:val="28"/>
        </w:rPr>
        <w:br w:type="page"/>
      </w: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“信用中国”网站和“中国政府采购网”</w:t>
      </w:r>
      <w:r>
        <w:rPr>
          <w:rFonts w:hint="eastAsia" w:ascii="宋体" w:hAnsi="宋体" w:cs="宋体"/>
          <w:color w:val="auto"/>
          <w:kern w:val="0"/>
          <w:sz w:val="24"/>
          <w:lang w:val="en-US" w:eastAsia="zh-CN"/>
        </w:rPr>
        <w:t>国家企业信息公示系统查询彩页</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8"/>
        <w:rPr>
          <w:rFonts w:ascii="宋体" w:hAnsi="宋体"/>
          <w:b/>
          <w:bCs/>
          <w:color w:val="auto"/>
          <w:sz w:val="32"/>
          <w:szCs w:val="32"/>
        </w:rPr>
      </w:pPr>
    </w:p>
    <w:p>
      <w:pPr>
        <w:pStyle w:val="18"/>
        <w:rPr>
          <w:rFonts w:ascii="宋体" w:hAnsi="宋体"/>
          <w:b/>
          <w:bCs/>
          <w:color w:val="auto"/>
          <w:sz w:val="32"/>
          <w:szCs w:val="32"/>
        </w:rPr>
      </w:pPr>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4"/>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0288" behindDoc="1" locked="0" layoutInCell="1" allowOverlap="1">
                <wp:simplePos x="0" y="0"/>
                <wp:positionH relativeFrom="column">
                  <wp:posOffset>756920</wp:posOffset>
                </wp:positionH>
                <wp:positionV relativeFrom="paragraph">
                  <wp:posOffset>3810</wp:posOffset>
                </wp:positionV>
                <wp:extent cx="4932045" cy="3101975"/>
                <wp:effectExtent l="7620" t="7620" r="13335" b="14605"/>
                <wp:wrapTight wrapText="bothSides">
                  <wp:wrapPolygon>
                    <wp:start x="-33" y="-53"/>
                    <wp:lineTo x="-33" y="21596"/>
                    <wp:lineTo x="21592" y="21596"/>
                    <wp:lineTo x="21592" y="-53"/>
                    <wp:lineTo x="-33" y="-53"/>
                  </wp:wrapPolygon>
                </wp:wrapTight>
                <wp:docPr id="2" name="文本框 7"/>
                <wp:cNvGraphicFramePr/>
                <a:graphic xmlns:a="http://schemas.openxmlformats.org/drawingml/2006/main">
                  <a:graphicData uri="http://schemas.microsoft.com/office/word/2010/wordprocessingShape">
                    <wps:wsp>
                      <wps:cNvSpPr txBox="1"/>
                      <wps:spPr>
                        <a:xfrm>
                          <a:off x="0" y="0"/>
                          <a:ext cx="493204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59.6pt;margin-top:0.3pt;height:244.25pt;width:388.35pt;mso-wrap-distance-left:9pt;mso-wrap-distance-right:9pt;z-index:-251656192;mso-width-relative:page;mso-height-relative:page;" filled="f" stroked="t" coordsize="21600,21600" wrapcoords="-33 -53 -33 21596 21592 21596 21592 -53 -33 -53" o:gfxdata="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cze/NQAAAAIAQAADwAAAAAAAAABACAAAAAiAAAAZHJz&#10;L2Rvd25yZXYueG1sUEsBAhQAFAAAAAgAh07iQFIyZe4IAgAADwQAAA4AAAAAAAAAAQAgAAAAIwEA&#10;AGRycy9lMm9Eb2MueG1sUEsFBgAAAAAGAAYAWQEAAJ0FA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w10:wrap type="tight"/>
              </v:shape>
            </w:pict>
          </mc:Fallback>
        </mc:AlternateContent>
      </w:r>
    </w:p>
    <w:p>
      <w:pPr>
        <w:pStyle w:val="4"/>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4"/>
        <w:numPr>
          <w:ilvl w:val="1"/>
          <w:numId w:val="0"/>
        </w:numPr>
        <w:spacing w:before="60" w:after="60"/>
        <w:jc w:val="center"/>
        <w:rPr>
          <w:rFonts w:ascii="宋体" w:hAnsi="宋体" w:eastAsia="宋体"/>
          <w:color w:val="auto"/>
        </w:rPr>
      </w:pPr>
      <w:bookmarkStart w:id="89" w:name="_Toc50691034"/>
      <w:bookmarkStart w:id="90" w:name="_Toc251236133"/>
      <w:bookmarkStart w:id="91" w:name="_Toc52165080"/>
      <w:bookmarkStart w:id="92" w:name="_Toc50737296"/>
      <w:bookmarkStart w:id="93" w:name="_Toc50736476"/>
      <w:bookmarkStart w:id="94" w:name="_Toc43264522"/>
      <w:bookmarkStart w:id="95" w:name="_Toc50737328"/>
      <w:r>
        <w:rPr>
          <w:rFonts w:hint="eastAsia" w:ascii="宋体" w:hAnsi="宋体" w:eastAsia="宋体"/>
          <w:color w:val="auto"/>
        </w:rPr>
        <w:t>法定代表人证明书</w:t>
      </w:r>
      <w:bookmarkEnd w:id="89"/>
      <w:bookmarkEnd w:id="90"/>
      <w:bookmarkEnd w:id="91"/>
      <w:bookmarkEnd w:id="92"/>
      <w:bookmarkEnd w:id="93"/>
      <w:bookmarkEnd w:id="94"/>
      <w:bookmarkEnd w:id="95"/>
    </w:p>
    <w:p>
      <w:pPr>
        <w:spacing w:line="400" w:lineRule="exact"/>
        <w:rPr>
          <w:rFonts w:ascii="宋体" w:hAnsi="宋体"/>
          <w:b/>
          <w:bCs/>
          <w:color w:val="auto"/>
          <w:sz w:val="28"/>
        </w:rPr>
      </w:pPr>
      <w:bookmarkStart w:id="96" w:name="_Toc50691037"/>
      <w:bookmarkStart w:id="97" w:name="_Toc50703730"/>
      <w:bookmarkStart w:id="98"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tbl>
      <w:tblPr>
        <w:tblStyle w:val="19"/>
        <w:tblpPr w:leftFromText="180" w:rightFromText="180" w:vertAnchor="text" w:horzAnchor="page" w:tblpX="1330" w:tblpY="484"/>
        <w:tblOverlap w:val="never"/>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5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5"/>
        <w:rPr>
          <w:rFonts w:ascii="宋体"/>
          <w:color w:val="auto"/>
          <w:sz w:val="24"/>
        </w:rPr>
      </w:pPr>
    </w:p>
    <w:p>
      <w:pPr>
        <w:rPr>
          <w:rFonts w:ascii="宋体" w:hAnsi="宋体"/>
          <w:color w:val="auto"/>
          <w:sz w:val="24"/>
        </w:rPr>
      </w:pPr>
    </w:p>
    <w:p>
      <w:pPr>
        <w:pStyle w:val="5"/>
        <w:rPr>
          <w:rFonts w:ascii="宋体"/>
          <w:color w:val="auto"/>
          <w:sz w:val="24"/>
        </w:rPr>
      </w:pPr>
    </w:p>
    <w:p>
      <w:pPr>
        <w:rPr>
          <w:rFonts w:ascii="宋体" w:hAnsi="宋体"/>
          <w:color w:val="auto"/>
          <w:sz w:val="24"/>
        </w:rPr>
      </w:pPr>
    </w:p>
    <w:p>
      <w:pPr>
        <w:pStyle w:val="5"/>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hint="eastAsia" w:ascii="宋体" w:hAnsi="宋体"/>
          <w:b/>
          <w:bCs/>
          <w:color w:val="auto"/>
          <w:sz w:val="28"/>
        </w:rPr>
      </w:pPr>
      <w:r>
        <w:rPr>
          <w:rFonts w:hint="eastAsia" w:ascii="宋体" w:hAnsi="宋体"/>
          <w:b/>
          <w:bCs/>
          <w:color w:val="auto"/>
          <w:sz w:val="28"/>
        </w:rPr>
        <w:br w:type="page"/>
      </w:r>
    </w:p>
    <w:p>
      <w:pPr>
        <w:rPr>
          <w:rFonts w:ascii="宋体" w:hAnsi="宋体"/>
          <w:b/>
          <w:bCs/>
          <w:color w:val="auto"/>
          <w:sz w:val="28"/>
        </w:rPr>
      </w:pPr>
      <w:r>
        <w:rPr>
          <w:rFonts w:hint="eastAsia" w:ascii="宋体" w:hAnsi="宋体"/>
          <w:b/>
          <w:bCs/>
          <w:color w:val="auto"/>
          <w:sz w:val="28"/>
        </w:rPr>
        <w:t>参考格式7</w:t>
      </w:r>
    </w:p>
    <w:p>
      <w:pPr>
        <w:pStyle w:val="4"/>
        <w:numPr>
          <w:ilvl w:val="1"/>
          <w:numId w:val="0"/>
        </w:numPr>
        <w:spacing w:before="60" w:after="60"/>
        <w:jc w:val="center"/>
        <w:rPr>
          <w:rFonts w:ascii="宋体" w:hAnsi="宋体" w:eastAsia="宋体"/>
          <w:color w:val="auto"/>
        </w:rPr>
      </w:pPr>
      <w:bookmarkStart w:id="99" w:name="_Toc251236134"/>
      <w:bookmarkStart w:id="100" w:name="_Toc50737329"/>
      <w:bookmarkStart w:id="101" w:name="_Toc50736477"/>
      <w:bookmarkStart w:id="102" w:name="_Toc50737297"/>
      <w:bookmarkStart w:id="103" w:name="_Toc52165081"/>
      <w:r>
        <w:rPr>
          <w:rFonts w:hint="eastAsia"/>
          <w:color w:val="auto"/>
        </w:rPr>
        <w:t>法定代表人授权委托书</w:t>
      </w:r>
      <w:bookmarkEnd w:id="99"/>
      <w:bookmarkEnd w:id="100"/>
      <w:bookmarkEnd w:id="101"/>
      <w:bookmarkEnd w:id="102"/>
      <w:bookmarkEnd w:id="103"/>
    </w:p>
    <w:bookmarkEnd w:id="96"/>
    <w:bookmarkEnd w:id="97"/>
    <w:tbl>
      <w:tblPr>
        <w:tblStyle w:val="19"/>
        <w:tblpPr w:leftFromText="180" w:rightFromText="180" w:vertAnchor="text" w:horzAnchor="page" w:tblpX="1640" w:tblpY="13"/>
        <w:tblOverlap w:val="never"/>
        <w:tblW w:w="8900" w:type="dxa"/>
        <w:tblInd w:w="0" w:type="dxa"/>
        <w:tblLayout w:type="fixed"/>
        <w:tblCellMar>
          <w:top w:w="0" w:type="dxa"/>
          <w:left w:w="108" w:type="dxa"/>
          <w:bottom w:w="0" w:type="dxa"/>
          <w:right w:w="108" w:type="dxa"/>
        </w:tblCellMar>
      </w:tblPr>
      <w:tblGrid>
        <w:gridCol w:w="2570"/>
        <w:gridCol w:w="1725"/>
        <w:gridCol w:w="2535"/>
        <w:gridCol w:w="2070"/>
      </w:tblGrid>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330"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330"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1725" w:type="dxa"/>
            <w:vAlign w:val="center"/>
          </w:tcPr>
          <w:p>
            <w:pPr>
              <w:spacing w:after="120" w:line="480" w:lineRule="auto"/>
              <w:rPr>
                <w:rFonts w:ascii="宋体" w:hAnsi="宋体"/>
                <w:color w:val="auto"/>
                <w:sz w:val="24"/>
              </w:rPr>
            </w:pPr>
          </w:p>
        </w:tc>
        <w:tc>
          <w:tcPr>
            <w:tcW w:w="2535" w:type="dxa"/>
            <w:vAlign w:val="center"/>
          </w:tcPr>
          <w:p>
            <w:pPr>
              <w:spacing w:after="120" w:line="480" w:lineRule="auto"/>
              <w:rPr>
                <w:rFonts w:ascii="宋体" w:hAnsi="宋体"/>
                <w:color w:val="auto"/>
                <w:sz w:val="24"/>
              </w:rPr>
            </w:pPr>
          </w:p>
        </w:tc>
        <w:tc>
          <w:tcPr>
            <w:tcW w:w="2070"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1725" w:type="dxa"/>
            <w:vAlign w:val="center"/>
          </w:tcPr>
          <w:p>
            <w:pPr>
              <w:spacing w:after="120" w:line="480" w:lineRule="auto"/>
              <w:rPr>
                <w:rFonts w:ascii="宋体" w:hAnsi="宋体"/>
                <w:color w:val="auto"/>
                <w:sz w:val="24"/>
              </w:rPr>
            </w:pPr>
          </w:p>
        </w:tc>
        <w:tc>
          <w:tcPr>
            <w:tcW w:w="2535"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2070"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1725" w:type="dxa"/>
            <w:vAlign w:val="center"/>
          </w:tcPr>
          <w:p>
            <w:pPr>
              <w:spacing w:after="120" w:line="480" w:lineRule="auto"/>
              <w:ind w:right="105"/>
              <w:rPr>
                <w:rFonts w:ascii="宋体" w:hAnsi="宋体"/>
                <w:color w:val="auto"/>
                <w:sz w:val="24"/>
              </w:rPr>
            </w:pPr>
          </w:p>
        </w:tc>
        <w:tc>
          <w:tcPr>
            <w:tcW w:w="2535"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2070"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1725" w:type="dxa"/>
            <w:vAlign w:val="center"/>
          </w:tcPr>
          <w:p>
            <w:pPr>
              <w:spacing w:after="120" w:line="480" w:lineRule="auto"/>
              <w:rPr>
                <w:rFonts w:ascii="宋体" w:hAnsi="宋体"/>
                <w:color w:val="auto"/>
                <w:sz w:val="24"/>
              </w:rPr>
            </w:pPr>
          </w:p>
        </w:tc>
        <w:tc>
          <w:tcPr>
            <w:tcW w:w="2535"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2070"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5"/>
        <w:rPr>
          <w:color w:val="auto"/>
        </w:rPr>
      </w:pPr>
    </w:p>
    <w:p>
      <w:pPr>
        <w:pStyle w:val="5"/>
        <w:jc w:val="center"/>
        <w:rPr>
          <w:b w:val="0"/>
          <w:bCs w:val="0"/>
          <w:color w:val="auto"/>
        </w:rPr>
      </w:pPr>
      <w:r>
        <w:rPr>
          <w:rFonts w:hint="eastAsia"/>
          <w:b w:val="0"/>
          <w:bCs w:val="0"/>
          <w:color w:val="auto"/>
        </w:rPr>
        <w:t>(附法人代表身份证以及被授权代表身份证复印件)</w:t>
      </w:r>
    </w:p>
    <w:p>
      <w:pPr>
        <w:pStyle w:val="5"/>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5"/>
        <w:rPr>
          <w:color w:val="auto"/>
        </w:rPr>
      </w:pPr>
    </w:p>
    <w:p>
      <w:pPr>
        <w:spacing w:line="460" w:lineRule="exact"/>
        <w:rPr>
          <w:rFonts w:ascii="宋体" w:hAnsi="宋体"/>
          <w:color w:val="auto"/>
          <w:sz w:val="24"/>
        </w:rPr>
      </w:pPr>
      <w:r>
        <w:rPr>
          <w:rFonts w:hint="eastAsia" w:ascii="宋体" w:hAnsi="宋体"/>
          <w:color w:val="auto"/>
          <w:sz w:val="24"/>
        </w:rPr>
        <w:t>法定代表人（签</w:t>
      </w:r>
      <w:r>
        <w:rPr>
          <w:rFonts w:hint="eastAsia" w:ascii="宋体" w:hAnsi="宋体"/>
          <w:color w:val="auto"/>
          <w:sz w:val="24"/>
          <w:lang w:val="en-US" w:eastAsia="zh-CN"/>
        </w:rPr>
        <w:t>字</w:t>
      </w:r>
      <w:r>
        <w:rPr>
          <w:rFonts w:hint="eastAsia" w:ascii="宋体" w:hAnsi="宋体"/>
          <w:color w:val="auto"/>
          <w:sz w:val="24"/>
        </w:rPr>
        <w:t>）：</w:t>
      </w:r>
    </w:p>
    <w:p>
      <w:pPr>
        <w:pStyle w:val="5"/>
        <w:rPr>
          <w:color w:val="auto"/>
        </w:rPr>
      </w:pPr>
    </w:p>
    <w:p>
      <w:pPr>
        <w:spacing w:line="480" w:lineRule="exact"/>
        <w:rPr>
          <w:rFonts w:ascii="宋体" w:hAnsi="宋体"/>
          <w:color w:val="auto"/>
          <w:sz w:val="24"/>
        </w:rPr>
      </w:pPr>
      <w:r>
        <w:rPr>
          <w:rFonts w:hint="eastAsia" w:ascii="宋体" w:hAnsi="宋体"/>
          <w:color w:val="auto"/>
          <w:sz w:val="24"/>
        </w:rPr>
        <w:t>授权代表人（签</w:t>
      </w:r>
      <w:r>
        <w:rPr>
          <w:rFonts w:hint="eastAsia" w:ascii="宋体" w:hAnsi="宋体"/>
          <w:color w:val="auto"/>
          <w:sz w:val="24"/>
          <w:lang w:val="en-US" w:eastAsia="zh-CN"/>
        </w:rPr>
        <w:t>字</w:t>
      </w:r>
      <w:r>
        <w:rPr>
          <w:rFonts w:hint="eastAsia" w:ascii="宋体" w:hAnsi="宋体"/>
          <w:color w:val="auto"/>
          <w:sz w:val="24"/>
        </w:rPr>
        <w:t>）：</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hint="eastAsia" w:ascii="宋体" w:hAnsi="宋体"/>
          <w:b/>
          <w:bCs/>
          <w:color w:val="auto"/>
          <w:sz w:val="28"/>
        </w:rPr>
      </w:pPr>
      <w:bookmarkStart w:id="104" w:name="_Toc50703732"/>
      <w:bookmarkStart w:id="105" w:name="_Toc50691039"/>
      <w:bookmarkStart w:id="106" w:name="_Toc43264528"/>
      <w:r>
        <w:rPr>
          <w:rFonts w:hint="eastAsia" w:ascii="宋体" w:hAnsi="宋体"/>
          <w:b/>
          <w:bCs/>
          <w:color w:val="auto"/>
          <w:sz w:val="28"/>
        </w:rPr>
        <w:br w:type="page"/>
      </w:r>
    </w:p>
    <w:p>
      <w:pPr>
        <w:rPr>
          <w:rFonts w:ascii="宋体" w:hAnsi="宋体"/>
          <w:b/>
          <w:bCs/>
          <w:color w:val="auto"/>
          <w:sz w:val="28"/>
        </w:rPr>
      </w:pPr>
      <w:r>
        <w:rPr>
          <w:rFonts w:hint="eastAsia" w:ascii="宋体" w:hAnsi="宋体"/>
          <w:b/>
          <w:bCs/>
          <w:color w:val="auto"/>
          <w:sz w:val="28"/>
        </w:rPr>
        <w:t>参考格式</w:t>
      </w:r>
      <w:bookmarkEnd w:id="104"/>
      <w:bookmarkEnd w:id="105"/>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7" w:name="_Toc50736479"/>
      <w:bookmarkStart w:id="108" w:name="_Toc251236135"/>
      <w:bookmarkStart w:id="109" w:name="_Toc50737331"/>
      <w:bookmarkStart w:id="110" w:name="_Toc50691040"/>
      <w:bookmarkStart w:id="111" w:name="_Toc52165083"/>
      <w:bookmarkStart w:id="112" w:name="_Toc50737299"/>
    </w:p>
    <w:p>
      <w:pPr>
        <w:pStyle w:val="4"/>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6"/>
      <w:bookmarkEnd w:id="107"/>
      <w:bookmarkEnd w:id="108"/>
      <w:bookmarkEnd w:id="109"/>
      <w:bookmarkEnd w:id="110"/>
      <w:bookmarkEnd w:id="111"/>
      <w:bookmarkEnd w:id="112"/>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提供采购货物表中规定的产品，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eastAsia="宋体"/>
          <w:b/>
          <w:bCs/>
          <w:color w:val="auto"/>
          <w:sz w:val="28"/>
          <w:lang w:eastAsia="zh-CN"/>
        </w:rPr>
      </w:pPr>
      <w:r>
        <w:rPr>
          <w:rFonts w:ascii="宋体" w:hAnsi="宋体"/>
          <w:color w:val="auto"/>
        </w:rPr>
        <w:br w:type="page"/>
      </w:r>
      <w:bookmarkStart w:id="113" w:name="_Toc50703734"/>
      <w:bookmarkStart w:id="114" w:name="_Toc50691041"/>
      <w:r>
        <w:rPr>
          <w:rFonts w:hint="eastAsia" w:ascii="宋体" w:hAnsi="宋体"/>
          <w:b/>
          <w:bCs/>
          <w:color w:val="auto"/>
          <w:sz w:val="28"/>
        </w:rPr>
        <w:t>参考格式</w:t>
      </w:r>
      <w:bookmarkEnd w:id="113"/>
      <w:bookmarkEnd w:id="114"/>
      <w:r>
        <w:rPr>
          <w:rFonts w:hint="eastAsia" w:ascii="宋体" w:hAnsi="宋体"/>
          <w:b/>
          <w:bCs/>
          <w:color w:val="auto"/>
          <w:sz w:val="28"/>
          <w:lang w:val="en-US" w:eastAsia="zh-CN"/>
        </w:rPr>
        <w:t>9</w:t>
      </w:r>
    </w:p>
    <w:p>
      <w:pPr>
        <w:pStyle w:val="4"/>
        <w:numPr>
          <w:ilvl w:val="1"/>
          <w:numId w:val="0"/>
        </w:numPr>
        <w:jc w:val="center"/>
        <w:rPr>
          <w:rFonts w:ascii="宋体" w:hAnsi="宋体" w:eastAsia="宋体"/>
          <w:bCs w:val="0"/>
          <w:color w:val="auto"/>
        </w:rPr>
      </w:pPr>
      <w:bookmarkStart w:id="115" w:name="_Toc219708134"/>
      <w:bookmarkStart w:id="116" w:name="_Toc251236136"/>
      <w:bookmarkStart w:id="117" w:name="_Toc234656243"/>
      <w:r>
        <w:rPr>
          <w:rFonts w:hint="eastAsia" w:ascii="宋体" w:hAnsi="宋体" w:eastAsia="宋体"/>
          <w:bCs w:val="0"/>
          <w:color w:val="auto"/>
        </w:rPr>
        <w:t>投标</w:t>
      </w:r>
      <w:bookmarkEnd w:id="115"/>
      <w:r>
        <w:rPr>
          <w:rFonts w:hint="eastAsia" w:ascii="宋体" w:hAnsi="宋体" w:eastAsia="宋体"/>
          <w:bCs w:val="0"/>
          <w:color w:val="auto"/>
        </w:rPr>
        <w:t>单位基本情况</w:t>
      </w:r>
      <w:bookmarkEnd w:id="116"/>
      <w:bookmarkEnd w:id="117"/>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3263"/>
        <w:gridCol w:w="767"/>
        <w:gridCol w:w="1506"/>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1528" w:type="pct"/>
            <w:vAlign w:val="center"/>
          </w:tcPr>
          <w:p>
            <w:pPr>
              <w:pStyle w:val="12"/>
              <w:adjustRightInd w:val="0"/>
              <w:snapToGrid w:val="0"/>
              <w:jc w:val="center"/>
              <w:rPr>
                <w:rFonts w:hAnsi="宋体"/>
                <w:snapToGrid w:val="0"/>
                <w:color w:val="auto"/>
                <w:kern w:val="0"/>
                <w:sz w:val="24"/>
                <w:szCs w:val="24"/>
              </w:rPr>
            </w:pPr>
          </w:p>
        </w:tc>
        <w:tc>
          <w:tcPr>
            <w:tcW w:w="1064" w:type="pct"/>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1544" w:type="pc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1528" w:type="pct"/>
            <w:vAlign w:val="center"/>
          </w:tcPr>
          <w:p>
            <w:pPr>
              <w:pStyle w:val="12"/>
              <w:adjustRightInd w:val="0"/>
              <w:snapToGrid w:val="0"/>
              <w:jc w:val="center"/>
              <w:rPr>
                <w:rFonts w:hAnsi="宋体"/>
                <w:snapToGrid w:val="0"/>
                <w:color w:val="auto"/>
                <w:kern w:val="0"/>
                <w:sz w:val="24"/>
                <w:szCs w:val="24"/>
              </w:rPr>
            </w:pPr>
          </w:p>
        </w:tc>
        <w:tc>
          <w:tcPr>
            <w:tcW w:w="1064" w:type="pct"/>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1544" w:type="pc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1528" w:type="pct"/>
            <w:vAlign w:val="center"/>
          </w:tcPr>
          <w:p>
            <w:pPr>
              <w:pStyle w:val="12"/>
              <w:adjustRightInd w:val="0"/>
              <w:snapToGrid w:val="0"/>
              <w:jc w:val="center"/>
              <w:rPr>
                <w:rFonts w:hAnsi="宋体"/>
                <w:snapToGrid w:val="0"/>
                <w:color w:val="auto"/>
                <w:kern w:val="0"/>
                <w:sz w:val="24"/>
                <w:szCs w:val="24"/>
              </w:rPr>
            </w:pPr>
          </w:p>
        </w:tc>
        <w:tc>
          <w:tcPr>
            <w:tcW w:w="1064" w:type="pct"/>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1544" w:type="pct"/>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1528" w:type="pct"/>
            <w:vAlign w:val="center"/>
          </w:tcPr>
          <w:p>
            <w:pPr>
              <w:pStyle w:val="12"/>
              <w:adjustRightInd w:val="0"/>
              <w:snapToGrid w:val="0"/>
              <w:jc w:val="center"/>
              <w:rPr>
                <w:rFonts w:hAnsi="宋体"/>
                <w:snapToGrid w:val="0"/>
                <w:color w:val="auto"/>
                <w:kern w:val="0"/>
                <w:sz w:val="24"/>
                <w:szCs w:val="24"/>
              </w:rPr>
            </w:pPr>
          </w:p>
        </w:tc>
        <w:tc>
          <w:tcPr>
            <w:tcW w:w="1064" w:type="pct"/>
            <w:gridSpan w:val="2"/>
            <w:vMerge w:val="continue"/>
            <w:vAlign w:val="center"/>
          </w:tcPr>
          <w:p>
            <w:pPr>
              <w:pStyle w:val="12"/>
              <w:adjustRightInd w:val="0"/>
              <w:snapToGrid w:val="0"/>
              <w:jc w:val="center"/>
              <w:rPr>
                <w:rFonts w:hAnsi="宋体"/>
                <w:snapToGrid w:val="0"/>
                <w:color w:val="auto"/>
                <w:kern w:val="0"/>
                <w:sz w:val="24"/>
                <w:szCs w:val="24"/>
              </w:rPr>
            </w:pPr>
          </w:p>
        </w:tc>
        <w:tc>
          <w:tcPr>
            <w:tcW w:w="1544" w:type="pct"/>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1528" w:type="pct"/>
            <w:vAlign w:val="center"/>
          </w:tcPr>
          <w:p>
            <w:pPr>
              <w:pStyle w:val="12"/>
              <w:adjustRightInd w:val="0"/>
              <w:snapToGrid w:val="0"/>
              <w:jc w:val="center"/>
              <w:rPr>
                <w:rFonts w:hAnsi="宋体"/>
                <w:snapToGrid w:val="0"/>
                <w:color w:val="auto"/>
                <w:kern w:val="0"/>
                <w:sz w:val="24"/>
                <w:szCs w:val="24"/>
              </w:rPr>
            </w:pPr>
          </w:p>
        </w:tc>
        <w:tc>
          <w:tcPr>
            <w:tcW w:w="1064" w:type="pct"/>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1544" w:type="pc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1528" w:type="pct"/>
            <w:vAlign w:val="center"/>
          </w:tcPr>
          <w:p>
            <w:pPr>
              <w:pStyle w:val="12"/>
              <w:adjustRightInd w:val="0"/>
              <w:snapToGrid w:val="0"/>
              <w:jc w:val="center"/>
              <w:rPr>
                <w:rFonts w:hAnsi="宋体"/>
                <w:snapToGrid w:val="0"/>
                <w:color w:val="auto"/>
                <w:kern w:val="0"/>
                <w:sz w:val="24"/>
                <w:szCs w:val="24"/>
              </w:rPr>
            </w:pPr>
          </w:p>
        </w:tc>
        <w:tc>
          <w:tcPr>
            <w:tcW w:w="359" w:type="pct"/>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704"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1544" w:type="pc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2"/>
              <w:adjustRightInd w:val="0"/>
              <w:snapToGrid w:val="0"/>
              <w:jc w:val="center"/>
              <w:rPr>
                <w:rFonts w:hAnsi="宋体"/>
                <w:snapToGrid w:val="0"/>
                <w:color w:val="auto"/>
                <w:kern w:val="0"/>
                <w:sz w:val="24"/>
                <w:szCs w:val="24"/>
              </w:rPr>
            </w:pPr>
          </w:p>
        </w:tc>
        <w:tc>
          <w:tcPr>
            <w:tcW w:w="1528" w:type="pct"/>
            <w:vAlign w:val="center"/>
          </w:tcPr>
          <w:p>
            <w:pPr>
              <w:pStyle w:val="12"/>
              <w:adjustRightInd w:val="0"/>
              <w:snapToGrid w:val="0"/>
              <w:jc w:val="center"/>
              <w:rPr>
                <w:rFonts w:hAnsi="宋体"/>
                <w:snapToGrid w:val="0"/>
                <w:color w:val="auto"/>
                <w:kern w:val="0"/>
                <w:sz w:val="24"/>
                <w:szCs w:val="24"/>
              </w:rPr>
            </w:pPr>
          </w:p>
        </w:tc>
        <w:tc>
          <w:tcPr>
            <w:tcW w:w="359" w:type="pct"/>
            <w:vMerge w:val="continue"/>
            <w:vAlign w:val="center"/>
          </w:tcPr>
          <w:p>
            <w:pPr>
              <w:pStyle w:val="12"/>
              <w:adjustRightInd w:val="0"/>
              <w:snapToGrid w:val="0"/>
              <w:jc w:val="center"/>
              <w:rPr>
                <w:rFonts w:hAnsi="宋体"/>
                <w:snapToGrid w:val="0"/>
                <w:color w:val="auto"/>
                <w:kern w:val="0"/>
                <w:sz w:val="24"/>
                <w:szCs w:val="24"/>
              </w:rPr>
            </w:pPr>
          </w:p>
        </w:tc>
        <w:tc>
          <w:tcPr>
            <w:tcW w:w="704"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1544" w:type="pc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2"/>
              <w:adjustRightInd w:val="0"/>
              <w:snapToGrid w:val="0"/>
              <w:jc w:val="center"/>
              <w:rPr>
                <w:rFonts w:hAnsi="宋体"/>
                <w:snapToGrid w:val="0"/>
                <w:color w:val="auto"/>
                <w:kern w:val="0"/>
                <w:sz w:val="24"/>
                <w:szCs w:val="24"/>
              </w:rPr>
            </w:pPr>
          </w:p>
        </w:tc>
        <w:tc>
          <w:tcPr>
            <w:tcW w:w="1528" w:type="pct"/>
            <w:vAlign w:val="center"/>
          </w:tcPr>
          <w:p>
            <w:pPr>
              <w:pStyle w:val="12"/>
              <w:adjustRightInd w:val="0"/>
              <w:snapToGrid w:val="0"/>
              <w:jc w:val="center"/>
              <w:rPr>
                <w:rFonts w:hAnsi="宋体"/>
                <w:snapToGrid w:val="0"/>
                <w:color w:val="auto"/>
                <w:kern w:val="0"/>
                <w:sz w:val="24"/>
                <w:szCs w:val="24"/>
              </w:rPr>
            </w:pPr>
          </w:p>
        </w:tc>
        <w:tc>
          <w:tcPr>
            <w:tcW w:w="359" w:type="pct"/>
            <w:vMerge w:val="continue"/>
            <w:vAlign w:val="center"/>
          </w:tcPr>
          <w:p>
            <w:pPr>
              <w:pStyle w:val="12"/>
              <w:adjustRightInd w:val="0"/>
              <w:snapToGrid w:val="0"/>
              <w:jc w:val="center"/>
              <w:rPr>
                <w:rFonts w:hAnsi="宋体"/>
                <w:snapToGrid w:val="0"/>
                <w:color w:val="auto"/>
                <w:kern w:val="0"/>
                <w:sz w:val="24"/>
                <w:szCs w:val="24"/>
              </w:rPr>
            </w:pPr>
          </w:p>
        </w:tc>
        <w:tc>
          <w:tcPr>
            <w:tcW w:w="704"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1544" w:type="pc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1528"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1064" w:type="pct"/>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1544" w:type="pct"/>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2"/>
              <w:adjustRightInd w:val="0"/>
              <w:snapToGrid w:val="0"/>
              <w:jc w:val="center"/>
              <w:rPr>
                <w:rFonts w:hAnsi="宋体"/>
                <w:snapToGrid w:val="0"/>
                <w:color w:val="auto"/>
                <w:kern w:val="0"/>
                <w:sz w:val="24"/>
                <w:szCs w:val="24"/>
              </w:rPr>
            </w:pPr>
          </w:p>
        </w:tc>
        <w:tc>
          <w:tcPr>
            <w:tcW w:w="1528"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1064" w:type="pct"/>
            <w:gridSpan w:val="2"/>
            <w:vMerge w:val="continue"/>
            <w:vAlign w:val="center"/>
          </w:tcPr>
          <w:p>
            <w:pPr>
              <w:pStyle w:val="12"/>
              <w:adjustRightInd w:val="0"/>
              <w:snapToGrid w:val="0"/>
              <w:jc w:val="center"/>
              <w:rPr>
                <w:rFonts w:hAnsi="宋体"/>
                <w:snapToGrid w:val="0"/>
                <w:color w:val="auto"/>
                <w:kern w:val="0"/>
                <w:sz w:val="24"/>
                <w:szCs w:val="24"/>
              </w:rPr>
            </w:pPr>
          </w:p>
        </w:tc>
        <w:tc>
          <w:tcPr>
            <w:tcW w:w="1544" w:type="pct"/>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4137" w:type="pct"/>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2"/>
              <w:adjustRightInd w:val="0"/>
              <w:snapToGrid w:val="0"/>
              <w:jc w:val="center"/>
              <w:rPr>
                <w:rFonts w:hAnsi="宋体"/>
                <w:snapToGrid w:val="0"/>
                <w:color w:val="auto"/>
                <w:kern w:val="0"/>
                <w:sz w:val="24"/>
                <w:szCs w:val="24"/>
              </w:rPr>
            </w:pPr>
          </w:p>
        </w:tc>
        <w:tc>
          <w:tcPr>
            <w:tcW w:w="4137" w:type="pct"/>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862" w:type="pc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4137" w:type="pct"/>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w:t>
      </w:r>
      <w:r>
        <w:rPr>
          <w:rFonts w:hint="eastAsia" w:ascii="宋体" w:hAnsi="宋体"/>
          <w:color w:val="auto"/>
          <w:sz w:val="24"/>
          <w:lang w:val="en-US" w:eastAsia="zh-CN"/>
        </w:rPr>
        <w:t>3</w:t>
      </w:r>
      <w:r>
        <w:rPr>
          <w:rFonts w:hint="eastAsia" w:ascii="宋体" w:hAnsi="宋体"/>
          <w:color w:val="auto"/>
          <w:sz w:val="24"/>
        </w:rPr>
        <w:t>年   月   日</w:t>
      </w:r>
    </w:p>
    <w:p>
      <w:pPr>
        <w:rPr>
          <w:rFonts w:ascii="宋体" w:hAnsi="宋体"/>
          <w:b/>
          <w:bCs/>
          <w:color w:val="auto"/>
          <w:sz w:val="28"/>
        </w:rPr>
      </w:pPr>
    </w:p>
    <w:p>
      <w:pPr>
        <w:spacing w:line="240" w:lineRule="atLeast"/>
        <w:rPr>
          <w:rFonts w:hint="eastAsia" w:ascii="宋体" w:hAnsi="宋体" w:eastAsia="宋体"/>
          <w:b/>
          <w:bCs/>
          <w:color w:val="auto"/>
          <w:sz w:val="28"/>
          <w:lang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0</w:t>
      </w:r>
    </w:p>
    <w:p>
      <w:pPr>
        <w:pStyle w:val="4"/>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注：★此业绩指的是投标单位的销售业绩,其他代理商销售的业绩不予认可,须同时附上合同复印件作为证明材料。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r>
        <w:rPr>
          <w:rFonts w:hint="eastAsia" w:ascii="宋体" w:hAnsi="宋体" w:cs="宋体"/>
          <w:color w:val="auto"/>
          <w:sz w:val="24"/>
          <w:lang w:eastAsia="zh-CN"/>
        </w:rPr>
        <w:t>（</w:t>
      </w:r>
      <w:r>
        <w:rPr>
          <w:rFonts w:hint="eastAsia" w:ascii="宋体" w:hAnsi="宋体" w:cs="宋体"/>
          <w:color w:val="auto"/>
          <w:sz w:val="24"/>
          <w:lang w:val="en-US" w:eastAsia="zh-CN"/>
        </w:rPr>
        <w:t>签字</w:t>
      </w:r>
      <w:r>
        <w:rPr>
          <w:rFonts w:hint="eastAsia" w:ascii="宋体" w:hAnsi="宋体" w:cs="宋体"/>
          <w:color w:val="auto"/>
          <w:sz w:val="24"/>
          <w:lang w:eastAsia="zh-CN"/>
        </w:rPr>
        <w:t>）</w:t>
      </w:r>
      <w:r>
        <w:rPr>
          <w:rFonts w:hint="eastAsia" w:ascii="宋体" w:hAnsi="宋体" w:cs="宋体"/>
          <w:color w:val="auto"/>
          <w:sz w:val="24"/>
        </w:rPr>
        <w:t>：</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eastAsia" w:ascii="宋体" w:hAnsi="宋体" w:eastAsia="宋体"/>
          <w:b/>
          <w:bCs/>
          <w:color w:val="auto"/>
          <w:sz w:val="28"/>
          <w:lang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1</w:t>
      </w:r>
    </w:p>
    <w:p>
      <w:pPr>
        <w:pStyle w:val="3"/>
        <w:jc w:val="center"/>
        <w:rPr>
          <w:rFonts w:ascii="宋体" w:hAnsi="宋体"/>
          <w:color w:val="auto"/>
          <w:sz w:val="32"/>
          <w:szCs w:val="32"/>
        </w:rPr>
      </w:pPr>
      <w:bookmarkStart w:id="118" w:name="_Toc219708141"/>
      <w:bookmarkStart w:id="119" w:name="_Toc251236142"/>
      <w:r>
        <w:rPr>
          <w:rFonts w:hint="eastAsia" w:ascii="宋体" w:hAnsi="宋体"/>
          <w:color w:val="auto"/>
          <w:sz w:val="32"/>
          <w:szCs w:val="32"/>
        </w:rPr>
        <w:t>投标人受处分或处罚史</w:t>
      </w:r>
      <w:bookmarkEnd w:id="118"/>
      <w:bookmarkEnd w:id="119"/>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346"/>
        <w:gridCol w:w="2604"/>
        <w:gridCol w:w="2213"/>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70" w:type="pct"/>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1098" w:type="pct"/>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1219" w:type="pct"/>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1036" w:type="pct"/>
            <w:vAlign w:val="center"/>
          </w:tcPr>
          <w:p>
            <w:pPr>
              <w:jc w:val="center"/>
              <w:rPr>
                <w:rFonts w:ascii="宋体" w:hAnsi="宋体"/>
                <w:color w:val="auto"/>
                <w:sz w:val="24"/>
              </w:rPr>
            </w:pPr>
            <w:r>
              <w:rPr>
                <w:rFonts w:hint="eastAsia" w:ascii="宋体" w:hAnsi="宋体"/>
                <w:color w:val="auto"/>
                <w:sz w:val="24"/>
              </w:rPr>
              <w:t>处分/处罚结果</w:t>
            </w:r>
          </w:p>
        </w:tc>
        <w:tc>
          <w:tcPr>
            <w:tcW w:w="975" w:type="pct"/>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ascii="宋体" w:hAnsi="宋体"/>
                <w:color w:val="auto"/>
                <w:sz w:val="24"/>
              </w:rPr>
            </w:pPr>
          </w:p>
        </w:tc>
        <w:tc>
          <w:tcPr>
            <w:tcW w:w="1098" w:type="pct"/>
          </w:tcPr>
          <w:p>
            <w:pPr>
              <w:tabs>
                <w:tab w:val="left" w:pos="8364"/>
              </w:tabs>
              <w:snapToGrid w:val="0"/>
              <w:spacing w:line="240" w:lineRule="atLeast"/>
              <w:ind w:right="-57"/>
              <w:rPr>
                <w:rFonts w:ascii="宋体" w:hAnsi="宋体"/>
                <w:color w:val="auto"/>
                <w:sz w:val="24"/>
              </w:rPr>
            </w:pPr>
          </w:p>
        </w:tc>
        <w:tc>
          <w:tcPr>
            <w:tcW w:w="1219" w:type="pct"/>
          </w:tcPr>
          <w:p>
            <w:pPr>
              <w:tabs>
                <w:tab w:val="left" w:pos="8364"/>
              </w:tabs>
              <w:snapToGrid w:val="0"/>
              <w:spacing w:line="240" w:lineRule="atLeast"/>
              <w:ind w:right="-57"/>
              <w:rPr>
                <w:rFonts w:ascii="宋体" w:hAnsi="宋体"/>
                <w:color w:val="auto"/>
                <w:sz w:val="24"/>
              </w:rPr>
            </w:pPr>
          </w:p>
        </w:tc>
        <w:tc>
          <w:tcPr>
            <w:tcW w:w="1036" w:type="pct"/>
          </w:tcPr>
          <w:p>
            <w:pPr>
              <w:tabs>
                <w:tab w:val="left" w:pos="8364"/>
              </w:tabs>
              <w:snapToGrid w:val="0"/>
              <w:spacing w:line="240" w:lineRule="atLeast"/>
              <w:ind w:right="-57"/>
              <w:rPr>
                <w:rFonts w:ascii="宋体" w:hAnsi="宋体"/>
                <w:color w:val="auto"/>
                <w:sz w:val="24"/>
              </w:rPr>
            </w:pPr>
          </w:p>
        </w:tc>
        <w:tc>
          <w:tcPr>
            <w:tcW w:w="975" w:type="pct"/>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0" w:type="pct"/>
          </w:tcPr>
          <w:p>
            <w:pPr>
              <w:tabs>
                <w:tab w:val="left" w:pos="8364"/>
              </w:tabs>
              <w:snapToGrid w:val="0"/>
              <w:spacing w:line="240" w:lineRule="atLeast"/>
              <w:ind w:right="-57"/>
              <w:rPr>
                <w:rFonts w:ascii="宋体" w:hAnsi="宋体"/>
                <w:color w:val="auto"/>
                <w:sz w:val="24"/>
              </w:rPr>
            </w:pPr>
          </w:p>
        </w:tc>
        <w:tc>
          <w:tcPr>
            <w:tcW w:w="1098" w:type="pct"/>
          </w:tcPr>
          <w:p>
            <w:pPr>
              <w:tabs>
                <w:tab w:val="left" w:pos="8364"/>
              </w:tabs>
              <w:snapToGrid w:val="0"/>
              <w:spacing w:line="240" w:lineRule="atLeast"/>
              <w:ind w:right="-57"/>
              <w:rPr>
                <w:rFonts w:ascii="宋体" w:hAnsi="宋体"/>
                <w:color w:val="auto"/>
                <w:sz w:val="24"/>
              </w:rPr>
            </w:pPr>
          </w:p>
        </w:tc>
        <w:tc>
          <w:tcPr>
            <w:tcW w:w="1219" w:type="pct"/>
          </w:tcPr>
          <w:p>
            <w:pPr>
              <w:tabs>
                <w:tab w:val="left" w:pos="8364"/>
              </w:tabs>
              <w:snapToGrid w:val="0"/>
              <w:spacing w:line="240" w:lineRule="atLeast"/>
              <w:ind w:right="-57"/>
              <w:rPr>
                <w:rFonts w:ascii="宋体" w:hAnsi="宋体"/>
                <w:color w:val="auto"/>
                <w:sz w:val="24"/>
              </w:rPr>
            </w:pPr>
          </w:p>
        </w:tc>
        <w:tc>
          <w:tcPr>
            <w:tcW w:w="1036" w:type="pct"/>
          </w:tcPr>
          <w:p>
            <w:pPr>
              <w:tabs>
                <w:tab w:val="left" w:pos="8364"/>
              </w:tabs>
              <w:snapToGrid w:val="0"/>
              <w:spacing w:line="240" w:lineRule="atLeast"/>
              <w:ind w:right="-57"/>
              <w:rPr>
                <w:rFonts w:ascii="宋体" w:hAnsi="宋体"/>
                <w:color w:val="auto"/>
                <w:sz w:val="24"/>
              </w:rPr>
            </w:pPr>
          </w:p>
        </w:tc>
        <w:tc>
          <w:tcPr>
            <w:tcW w:w="975" w:type="pct"/>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ascii="宋体" w:hAnsi="宋体"/>
                <w:color w:val="auto"/>
                <w:sz w:val="24"/>
              </w:rPr>
            </w:pPr>
          </w:p>
        </w:tc>
        <w:tc>
          <w:tcPr>
            <w:tcW w:w="1098" w:type="pct"/>
          </w:tcPr>
          <w:p>
            <w:pPr>
              <w:tabs>
                <w:tab w:val="left" w:pos="8364"/>
              </w:tabs>
              <w:snapToGrid w:val="0"/>
              <w:spacing w:line="240" w:lineRule="atLeast"/>
              <w:ind w:right="-57"/>
              <w:rPr>
                <w:rFonts w:ascii="宋体" w:hAnsi="宋体"/>
                <w:color w:val="auto"/>
                <w:sz w:val="24"/>
              </w:rPr>
            </w:pPr>
          </w:p>
        </w:tc>
        <w:tc>
          <w:tcPr>
            <w:tcW w:w="1219" w:type="pct"/>
          </w:tcPr>
          <w:p>
            <w:pPr>
              <w:tabs>
                <w:tab w:val="left" w:pos="8364"/>
              </w:tabs>
              <w:snapToGrid w:val="0"/>
              <w:spacing w:line="240" w:lineRule="atLeast"/>
              <w:ind w:right="-57"/>
              <w:rPr>
                <w:rFonts w:ascii="宋体" w:hAnsi="宋体"/>
                <w:color w:val="auto"/>
                <w:sz w:val="24"/>
              </w:rPr>
            </w:pPr>
          </w:p>
        </w:tc>
        <w:tc>
          <w:tcPr>
            <w:tcW w:w="1036" w:type="pct"/>
          </w:tcPr>
          <w:p>
            <w:pPr>
              <w:tabs>
                <w:tab w:val="left" w:pos="8364"/>
              </w:tabs>
              <w:snapToGrid w:val="0"/>
              <w:spacing w:line="240" w:lineRule="atLeast"/>
              <w:ind w:right="-57"/>
              <w:rPr>
                <w:rFonts w:ascii="宋体" w:hAnsi="宋体"/>
                <w:color w:val="auto"/>
                <w:sz w:val="24"/>
              </w:rPr>
            </w:pPr>
          </w:p>
        </w:tc>
        <w:tc>
          <w:tcPr>
            <w:tcW w:w="975" w:type="pct"/>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0" w:type="pct"/>
          </w:tcPr>
          <w:p>
            <w:pPr>
              <w:tabs>
                <w:tab w:val="left" w:pos="8364"/>
              </w:tabs>
              <w:snapToGrid w:val="0"/>
              <w:spacing w:line="240" w:lineRule="atLeast"/>
              <w:ind w:right="-57"/>
              <w:rPr>
                <w:rFonts w:ascii="宋体" w:hAnsi="宋体"/>
                <w:color w:val="auto"/>
                <w:sz w:val="24"/>
              </w:rPr>
            </w:pPr>
          </w:p>
        </w:tc>
        <w:tc>
          <w:tcPr>
            <w:tcW w:w="1098" w:type="pct"/>
          </w:tcPr>
          <w:p>
            <w:pPr>
              <w:tabs>
                <w:tab w:val="left" w:pos="8364"/>
              </w:tabs>
              <w:snapToGrid w:val="0"/>
              <w:spacing w:line="240" w:lineRule="atLeast"/>
              <w:ind w:right="-57"/>
              <w:rPr>
                <w:rFonts w:ascii="宋体" w:hAnsi="宋体"/>
                <w:color w:val="auto"/>
                <w:sz w:val="24"/>
              </w:rPr>
            </w:pPr>
          </w:p>
        </w:tc>
        <w:tc>
          <w:tcPr>
            <w:tcW w:w="1219" w:type="pct"/>
          </w:tcPr>
          <w:p>
            <w:pPr>
              <w:tabs>
                <w:tab w:val="left" w:pos="8364"/>
              </w:tabs>
              <w:snapToGrid w:val="0"/>
              <w:spacing w:line="240" w:lineRule="atLeast"/>
              <w:ind w:right="-57"/>
              <w:rPr>
                <w:rFonts w:ascii="宋体" w:hAnsi="宋体"/>
                <w:color w:val="auto"/>
                <w:sz w:val="24"/>
              </w:rPr>
            </w:pPr>
          </w:p>
        </w:tc>
        <w:tc>
          <w:tcPr>
            <w:tcW w:w="1036" w:type="pct"/>
          </w:tcPr>
          <w:p>
            <w:pPr>
              <w:tabs>
                <w:tab w:val="left" w:pos="8364"/>
              </w:tabs>
              <w:snapToGrid w:val="0"/>
              <w:spacing w:line="240" w:lineRule="atLeast"/>
              <w:ind w:right="-57"/>
              <w:rPr>
                <w:rFonts w:ascii="宋体" w:hAnsi="宋体"/>
                <w:color w:val="auto"/>
                <w:sz w:val="24"/>
              </w:rPr>
            </w:pPr>
          </w:p>
        </w:tc>
        <w:tc>
          <w:tcPr>
            <w:tcW w:w="975" w:type="pct"/>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4"/>
        <w:numPr>
          <w:ilvl w:val="1"/>
          <w:numId w:val="0"/>
        </w:numPr>
        <w:spacing w:before="60" w:after="60"/>
        <w:rPr>
          <w:rFonts w:ascii="宋体" w:hAnsi="宋体" w:eastAsia="宋体"/>
          <w:color w:val="auto"/>
        </w:rPr>
      </w:pPr>
      <w:bookmarkStart w:id="120" w:name="_Toc50691043"/>
      <w:bookmarkStart w:id="121" w:name="_Toc50703736"/>
      <w:bookmarkStart w:id="122" w:name="_Toc251226079"/>
      <w:bookmarkStart w:id="123" w:name="_Toc43264525"/>
      <w:bookmarkStart w:id="124" w:name="_Toc224708938"/>
      <w:bookmarkStart w:id="125" w:name="_Toc251236144"/>
      <w:bookmarkStart w:id="126" w:name="_Toc219778809"/>
      <w:bookmarkStart w:id="127" w:name="_Toc241577074"/>
      <w:bookmarkStart w:id="128" w:name="_Toc236452431"/>
      <w:bookmarkStart w:id="129" w:name="_Toc230152371"/>
      <w:r>
        <w:rPr>
          <w:rFonts w:hint="eastAsia" w:ascii="宋体" w:hAnsi="宋体" w:eastAsia="宋体"/>
          <w:color w:val="auto"/>
        </w:rPr>
        <w:t>参考格式</w:t>
      </w:r>
      <w:bookmarkEnd w:id="120"/>
      <w:bookmarkEnd w:id="121"/>
      <w:r>
        <w:rPr>
          <w:rFonts w:hint="eastAsia" w:ascii="宋体" w:hAnsi="宋体" w:eastAsia="宋体"/>
          <w:color w:val="auto"/>
        </w:rPr>
        <w:t>1</w:t>
      </w:r>
      <w:bookmarkEnd w:id="122"/>
      <w:bookmarkEnd w:id="123"/>
      <w:bookmarkEnd w:id="124"/>
      <w:bookmarkEnd w:id="125"/>
      <w:bookmarkEnd w:id="126"/>
      <w:bookmarkEnd w:id="127"/>
      <w:bookmarkEnd w:id="128"/>
      <w:bookmarkEnd w:id="129"/>
      <w:r>
        <w:rPr>
          <w:rFonts w:hint="eastAsia" w:ascii="宋体" w:hAnsi="宋体" w:eastAsia="宋体"/>
          <w:color w:val="auto"/>
          <w:lang w:val="en-US" w:eastAsia="zh-CN"/>
        </w:rPr>
        <w:t>2</w:t>
      </w:r>
      <w:r>
        <w:rPr>
          <w:rFonts w:hint="eastAsia" w:ascii="宋体" w:hAnsi="宋体" w:eastAsia="宋体"/>
          <w:color w:val="auto"/>
          <w:sz w:val="28"/>
        </w:rPr>
        <w:t xml:space="preserve"> </w:t>
      </w:r>
    </w:p>
    <w:p>
      <w:pPr>
        <w:pStyle w:val="4"/>
        <w:numPr>
          <w:ilvl w:val="1"/>
          <w:numId w:val="0"/>
        </w:numPr>
        <w:spacing w:before="60" w:after="60"/>
        <w:jc w:val="center"/>
        <w:rPr>
          <w:rFonts w:ascii="宋体" w:hAnsi="宋体" w:eastAsia="宋体"/>
          <w:color w:val="auto"/>
        </w:rPr>
      </w:pPr>
      <w:bookmarkStart w:id="130" w:name="_Toc50737303"/>
      <w:bookmarkStart w:id="131" w:name="_Toc251236145"/>
      <w:bookmarkStart w:id="132" w:name="_Toc52165087"/>
      <w:bookmarkStart w:id="133" w:name="_Toc50736483"/>
      <w:bookmarkStart w:id="134" w:name="_Toc50691047"/>
      <w:bookmarkStart w:id="135" w:name="_Toc50737335"/>
      <w:r>
        <w:rPr>
          <w:rFonts w:hint="eastAsia" w:ascii="宋体" w:hAnsi="宋体" w:eastAsia="宋体"/>
          <w:color w:val="auto"/>
        </w:rPr>
        <w:t>近6个月的完税证明</w:t>
      </w: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jc w:val="center"/>
        <w:rPr>
          <w:rFonts w:ascii="宋体" w:hAnsi="宋体" w:eastAsia="宋体"/>
          <w:color w:val="auto"/>
        </w:rPr>
      </w:pPr>
    </w:p>
    <w:p>
      <w:pPr>
        <w:pStyle w:val="4"/>
        <w:numPr>
          <w:ilvl w:val="1"/>
          <w:numId w:val="0"/>
        </w:numPr>
        <w:spacing w:before="60" w:after="60"/>
        <w:rPr>
          <w:rFonts w:ascii="宋体" w:hAnsi="宋体" w:eastAsia="宋体"/>
          <w:color w:val="auto"/>
        </w:rPr>
      </w:pPr>
    </w:p>
    <w:p>
      <w:pPr>
        <w:rPr>
          <w:rFonts w:hint="eastAsia" w:ascii="宋体" w:hAnsi="宋体" w:eastAsia="宋体"/>
          <w:color w:val="auto"/>
          <w:sz w:val="28"/>
          <w:szCs w:val="28"/>
        </w:rPr>
      </w:pPr>
      <w:r>
        <w:rPr>
          <w:rFonts w:hint="eastAsia" w:ascii="宋体" w:hAnsi="宋体" w:eastAsia="宋体"/>
          <w:color w:val="auto"/>
          <w:sz w:val="28"/>
          <w:szCs w:val="28"/>
        </w:rPr>
        <w:br w:type="page"/>
      </w:r>
    </w:p>
    <w:p>
      <w:pPr>
        <w:pStyle w:val="4"/>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3</w:t>
      </w:r>
      <w:r>
        <w:rPr>
          <w:rFonts w:hint="eastAsia" w:ascii="宋体" w:hAnsi="宋体" w:eastAsia="宋体"/>
          <w:color w:val="auto"/>
          <w:sz w:val="28"/>
          <w:szCs w:val="28"/>
        </w:rPr>
        <w:t xml:space="preserve"> </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社保局出具的法人代表及委托人在本公司缴纳的近6个月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8"/>
        <w:rPr>
          <w:rFonts w:ascii="宋体" w:hAnsi="宋体"/>
          <w:color w:val="auto"/>
        </w:rPr>
      </w:pPr>
    </w:p>
    <w:p>
      <w:pPr>
        <w:rPr>
          <w:rFonts w:ascii="宋体" w:hAnsi="宋体"/>
          <w:color w:val="auto"/>
        </w:rPr>
      </w:pPr>
    </w:p>
    <w:p>
      <w:pPr>
        <w:pStyle w:val="4"/>
        <w:numPr>
          <w:ilvl w:val="1"/>
          <w:numId w:val="0"/>
        </w:numPr>
        <w:spacing w:before="0" w:after="0"/>
        <w:jc w:val="left"/>
        <w:rPr>
          <w:rFonts w:hint="eastAsia" w:ascii="宋体" w:hAnsi="宋体" w:eastAsia="宋体"/>
          <w:color w:val="auto"/>
          <w:lang w:eastAsia="zh-CN"/>
        </w:rPr>
      </w:pPr>
      <w:r>
        <w:rPr>
          <w:rFonts w:hint="eastAsia" w:ascii="宋体" w:hAnsi="宋体" w:eastAsia="宋体"/>
          <w:color w:val="auto"/>
        </w:rPr>
        <w:t>参考格式1</w:t>
      </w:r>
      <w:r>
        <w:rPr>
          <w:rFonts w:hint="eastAsia" w:ascii="宋体" w:hAnsi="宋体" w:eastAsia="宋体"/>
          <w:color w:val="auto"/>
          <w:lang w:val="en-US" w:eastAsia="zh-CN"/>
        </w:rPr>
        <w:t>4</w:t>
      </w:r>
    </w:p>
    <w:p>
      <w:pPr>
        <w:pStyle w:val="4"/>
        <w:numPr>
          <w:ilvl w:val="1"/>
          <w:numId w:val="0"/>
        </w:numPr>
        <w:spacing w:before="0" w:after="0"/>
        <w:jc w:val="center"/>
        <w:rPr>
          <w:rFonts w:hint="eastAsia" w:ascii="宋体" w:hAnsi="宋体" w:eastAsia="宋体"/>
          <w:color w:val="auto"/>
        </w:rPr>
      </w:pPr>
      <w:r>
        <w:rPr>
          <w:rFonts w:hint="eastAsia" w:ascii="宋体" w:hAnsi="宋体" w:eastAsia="宋体"/>
          <w:color w:val="auto"/>
        </w:rPr>
        <w:t>服务方案</w:t>
      </w: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rPr>
          <w:rFonts w:hint="eastAsia" w:ascii="宋体" w:hAnsi="宋体" w:eastAsia="宋体"/>
          <w:color w:val="auto"/>
        </w:rPr>
      </w:pPr>
      <w:r>
        <w:rPr>
          <w:rFonts w:hint="eastAsia" w:ascii="宋体" w:hAnsi="宋体" w:eastAsia="宋体"/>
          <w:color w:val="auto"/>
        </w:rPr>
        <w:br w:type="page"/>
      </w:r>
    </w:p>
    <w:p>
      <w:pPr>
        <w:pStyle w:val="4"/>
        <w:numPr>
          <w:ilvl w:val="1"/>
          <w:numId w:val="0"/>
        </w:numPr>
        <w:spacing w:before="0" w:after="0"/>
        <w:jc w:val="left"/>
        <w:rPr>
          <w:rFonts w:hint="eastAsia" w:ascii="宋体" w:hAnsi="宋体" w:eastAsia="宋体"/>
          <w:color w:val="auto"/>
          <w:lang w:val="en-US" w:eastAsia="zh-CN"/>
        </w:rPr>
      </w:pPr>
      <w:r>
        <w:rPr>
          <w:rFonts w:hint="eastAsia" w:ascii="宋体" w:hAnsi="宋体" w:eastAsia="宋体"/>
          <w:color w:val="auto"/>
        </w:rPr>
        <w:t>参考格式1</w:t>
      </w:r>
      <w:r>
        <w:rPr>
          <w:rFonts w:hint="eastAsia" w:ascii="宋体" w:hAnsi="宋体" w:eastAsia="宋体"/>
          <w:color w:val="auto"/>
          <w:lang w:val="en-US" w:eastAsia="zh-CN"/>
        </w:rPr>
        <w:t>5</w:t>
      </w:r>
    </w:p>
    <w:p>
      <w:pPr>
        <w:pStyle w:val="4"/>
        <w:numPr>
          <w:ilvl w:val="1"/>
          <w:numId w:val="0"/>
        </w:numPr>
        <w:spacing w:before="0" w:after="0"/>
        <w:jc w:val="center"/>
        <w:rPr>
          <w:rFonts w:hint="eastAsia" w:ascii="宋体" w:hAnsi="宋体" w:eastAsia="宋体"/>
          <w:color w:val="auto"/>
        </w:rPr>
      </w:pPr>
      <w:r>
        <w:rPr>
          <w:rFonts w:hint="eastAsia" w:ascii="宋体" w:hAnsi="宋体" w:eastAsia="宋体"/>
          <w:color w:val="auto"/>
        </w:rPr>
        <w:t>投标货物的性能及技术指标</w:t>
      </w: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pStyle w:val="4"/>
        <w:numPr>
          <w:ilvl w:val="1"/>
          <w:numId w:val="0"/>
        </w:numPr>
        <w:spacing w:before="0" w:after="0"/>
        <w:jc w:val="center"/>
        <w:rPr>
          <w:rFonts w:hint="eastAsia" w:ascii="宋体" w:hAnsi="宋体" w:eastAsia="宋体"/>
          <w:color w:val="auto"/>
        </w:rPr>
      </w:pPr>
    </w:p>
    <w:p>
      <w:pPr>
        <w:rPr>
          <w:rFonts w:hint="eastAsia" w:ascii="宋体" w:hAnsi="宋体" w:eastAsia="宋体"/>
          <w:color w:val="auto"/>
        </w:rPr>
      </w:pPr>
      <w:r>
        <w:rPr>
          <w:rFonts w:hint="eastAsia" w:ascii="宋体" w:hAnsi="宋体" w:eastAsia="宋体"/>
          <w:color w:val="auto"/>
        </w:rPr>
        <w:br w:type="page"/>
      </w:r>
    </w:p>
    <w:p>
      <w:pPr>
        <w:pStyle w:val="4"/>
        <w:numPr>
          <w:ilvl w:val="1"/>
          <w:numId w:val="0"/>
        </w:numPr>
        <w:spacing w:before="0" w:after="0"/>
        <w:jc w:val="left"/>
        <w:rPr>
          <w:rFonts w:hint="eastAsia" w:ascii="宋体" w:hAnsi="宋体" w:eastAsia="宋体"/>
          <w:color w:val="auto"/>
          <w:lang w:val="en-US" w:eastAsia="zh-CN"/>
        </w:rPr>
      </w:pPr>
      <w:r>
        <w:rPr>
          <w:rFonts w:hint="eastAsia" w:ascii="宋体" w:hAnsi="宋体" w:eastAsia="宋体"/>
          <w:color w:val="auto"/>
        </w:rPr>
        <w:t>参考格式1</w:t>
      </w:r>
      <w:r>
        <w:rPr>
          <w:rFonts w:hint="eastAsia" w:ascii="宋体" w:hAnsi="宋体" w:eastAsia="宋体"/>
          <w:color w:val="auto"/>
          <w:lang w:val="en-US" w:eastAsia="zh-CN"/>
        </w:rPr>
        <w:t>6</w:t>
      </w:r>
    </w:p>
    <w:p>
      <w:pPr>
        <w:pStyle w:val="4"/>
        <w:numPr>
          <w:ilvl w:val="1"/>
          <w:numId w:val="0"/>
        </w:numPr>
        <w:spacing w:before="0" w:after="0"/>
        <w:jc w:val="center"/>
        <w:rPr>
          <w:rFonts w:ascii="宋体" w:hAnsi="宋体"/>
          <w:b/>
          <w:bCs/>
          <w:color w:val="auto"/>
          <w:sz w:val="28"/>
        </w:rPr>
      </w:pPr>
      <w:r>
        <w:rPr>
          <w:rFonts w:hint="default" w:ascii="宋体" w:hAnsi="宋体" w:eastAsia="宋体"/>
          <w:color w:val="auto"/>
          <w:lang w:val="en-US" w:eastAsia="zh-CN"/>
        </w:rPr>
        <w:t>售后服务承诺</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p>
    <w:p>
      <w:pPr>
        <w:pStyle w:val="5"/>
        <w:rPr>
          <w:color w:val="auto"/>
        </w:rPr>
      </w:pPr>
    </w:p>
    <w:p>
      <w:pPr>
        <w:spacing w:line="400" w:lineRule="exact"/>
        <w:rPr>
          <w:rFonts w:ascii="宋体" w:hAnsi="宋体"/>
          <w:b/>
          <w:bCs/>
          <w:color w:val="auto"/>
          <w:sz w:val="28"/>
        </w:rPr>
      </w:pPr>
    </w:p>
    <w:p>
      <w:pPr>
        <w:spacing w:line="400" w:lineRule="exact"/>
        <w:rPr>
          <w:rFonts w:ascii="宋体" w:hAnsi="宋体"/>
          <w:b/>
          <w:bCs/>
          <w:color w:val="auto"/>
          <w:sz w:val="28"/>
        </w:rPr>
      </w:pPr>
    </w:p>
    <w:p>
      <w:pPr>
        <w:rPr>
          <w:rFonts w:hint="eastAsia" w:ascii="宋体" w:hAnsi="宋体"/>
          <w:b/>
          <w:bCs/>
          <w:color w:val="auto"/>
          <w:sz w:val="28"/>
        </w:rPr>
      </w:pPr>
      <w:r>
        <w:rPr>
          <w:rFonts w:hint="eastAsia" w:ascii="宋体" w:hAnsi="宋体"/>
          <w:b/>
          <w:bCs/>
          <w:color w:val="auto"/>
          <w:sz w:val="28"/>
        </w:rPr>
        <w:br w:type="page"/>
      </w:r>
    </w:p>
    <w:p>
      <w:pPr>
        <w:spacing w:line="400" w:lineRule="exac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7</w:t>
      </w:r>
    </w:p>
    <w:p>
      <w:pPr>
        <w:rPr>
          <w:rFonts w:ascii="宋体" w:hAnsi="宋体"/>
          <w:color w:val="auto"/>
        </w:rPr>
      </w:pPr>
    </w:p>
    <w:bookmarkEnd w:id="98"/>
    <w:bookmarkEnd w:id="130"/>
    <w:bookmarkEnd w:id="131"/>
    <w:bookmarkEnd w:id="132"/>
    <w:bookmarkEnd w:id="133"/>
    <w:bookmarkEnd w:id="134"/>
    <w:bookmarkEnd w:id="135"/>
    <w:p>
      <w:pPr>
        <w:ind w:firstLine="643" w:firstLineChars="200"/>
        <w:jc w:val="center"/>
        <w:rPr>
          <w:rFonts w:hint="default"/>
          <w:lang w:val="en-US" w:eastAsia="zh-CN"/>
        </w:rPr>
      </w:pPr>
      <w:r>
        <w:rPr>
          <w:rFonts w:hint="default" w:ascii="宋体" w:hAnsi="宋体" w:eastAsia="宋体" w:cs="Times New Roman"/>
          <w:b/>
          <w:bCs/>
          <w:color w:val="auto"/>
          <w:kern w:val="2"/>
          <w:sz w:val="32"/>
          <w:szCs w:val="32"/>
          <w:lang w:val="en-US" w:eastAsia="zh-CN" w:bidi="ar-SA"/>
        </w:rPr>
        <w:t>货物供应的可靠性</w:t>
      </w: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pStyle w:val="8"/>
        <w:jc w:val="both"/>
        <w:rPr>
          <w:rFonts w:hint="eastAsia" w:ascii="宋体" w:hAnsi="宋体"/>
          <w:b/>
          <w:bCs/>
          <w:color w:val="auto"/>
          <w:sz w:val="28"/>
          <w:szCs w:val="28"/>
        </w:rPr>
      </w:pPr>
    </w:p>
    <w:p>
      <w:pPr>
        <w:rPr>
          <w:rFonts w:hint="eastAsia" w:ascii="宋体" w:hAnsi="宋体"/>
          <w:b/>
          <w:bCs/>
          <w:color w:val="auto"/>
          <w:sz w:val="28"/>
          <w:szCs w:val="28"/>
        </w:rPr>
      </w:pPr>
      <w:r>
        <w:rPr>
          <w:rFonts w:hint="eastAsia" w:ascii="宋体" w:hAnsi="宋体"/>
          <w:b/>
          <w:bCs/>
          <w:color w:val="auto"/>
          <w:sz w:val="28"/>
          <w:szCs w:val="28"/>
        </w:rPr>
        <w:br w:type="page"/>
      </w:r>
    </w:p>
    <w:p>
      <w:pPr>
        <w:pStyle w:val="8"/>
        <w:jc w:val="both"/>
        <w:rPr>
          <w:rFonts w:hint="eastAsia" w:ascii="宋体" w:hAnsi="宋体" w:eastAsia="宋体"/>
          <w:b/>
          <w:bCs/>
          <w:color w:val="auto"/>
          <w:sz w:val="32"/>
          <w:szCs w:val="32"/>
          <w:lang w:val="en-US" w:eastAsia="zh-CN"/>
        </w:rPr>
      </w:pPr>
      <w:r>
        <w:rPr>
          <w:rFonts w:hint="eastAsia" w:ascii="宋体" w:hAnsi="宋体"/>
          <w:b/>
          <w:bCs/>
          <w:color w:val="auto"/>
          <w:sz w:val="28"/>
          <w:szCs w:val="28"/>
        </w:rPr>
        <w:t>参考格式1</w:t>
      </w:r>
      <w:r>
        <w:rPr>
          <w:rFonts w:hint="eastAsia" w:ascii="宋体" w:hAnsi="宋体"/>
          <w:b/>
          <w:bCs/>
          <w:color w:val="auto"/>
          <w:sz w:val="28"/>
          <w:szCs w:val="28"/>
          <w:lang w:val="en-US" w:eastAsia="zh-CN"/>
        </w:rPr>
        <w:t>8</w:t>
      </w:r>
    </w:p>
    <w:p>
      <w:pPr>
        <w:pStyle w:val="8"/>
        <w:jc w:val="center"/>
        <w:rPr>
          <w:rFonts w:hint="eastAsia" w:ascii="宋体" w:hAnsi="宋体"/>
          <w:b/>
          <w:bCs/>
          <w:color w:val="auto"/>
          <w:sz w:val="32"/>
          <w:szCs w:val="32"/>
        </w:rPr>
      </w:pPr>
      <w:r>
        <w:rPr>
          <w:rFonts w:hint="eastAsia" w:ascii="宋体" w:hAnsi="宋体"/>
          <w:b/>
          <w:bCs/>
          <w:color w:val="auto"/>
          <w:sz w:val="32"/>
          <w:szCs w:val="32"/>
        </w:rPr>
        <w:t>安装方案</w:t>
      </w:r>
    </w:p>
    <w:p>
      <w:pPr>
        <w:rPr>
          <w:rFonts w:hint="eastAsia" w:ascii="宋体" w:hAnsi="宋体"/>
          <w:b/>
          <w:bCs/>
          <w:color w:val="auto"/>
          <w:sz w:val="32"/>
          <w:szCs w:val="32"/>
        </w:rPr>
      </w:pPr>
    </w:p>
    <w:p>
      <w:pPr>
        <w:pStyle w:val="9"/>
        <w:rPr>
          <w:rFonts w:hint="eastAsia" w:ascii="宋体" w:hAnsi="宋体"/>
          <w:b/>
          <w:bCs/>
          <w:color w:val="auto"/>
          <w:sz w:val="32"/>
          <w:szCs w:val="32"/>
        </w:rPr>
      </w:pPr>
    </w:p>
    <w:p>
      <w:pPr>
        <w:pStyle w:val="10"/>
        <w:rPr>
          <w:rFonts w:hint="eastAsia" w:ascii="宋体" w:hAnsi="宋体"/>
          <w:b/>
          <w:bCs/>
          <w:color w:val="auto"/>
          <w:sz w:val="32"/>
          <w:szCs w:val="32"/>
        </w:rPr>
      </w:pPr>
    </w:p>
    <w:p>
      <w:pPr>
        <w:rPr>
          <w:rFonts w:hint="eastAsia" w:ascii="宋体" w:hAnsi="宋体"/>
          <w:b/>
          <w:bCs/>
          <w:color w:val="auto"/>
          <w:sz w:val="32"/>
          <w:szCs w:val="32"/>
        </w:rPr>
      </w:pPr>
    </w:p>
    <w:p>
      <w:pPr>
        <w:pStyle w:val="9"/>
        <w:rPr>
          <w:rFonts w:hint="eastAsia" w:ascii="宋体" w:hAnsi="宋体"/>
          <w:b/>
          <w:bCs/>
          <w:color w:val="auto"/>
          <w:sz w:val="32"/>
          <w:szCs w:val="32"/>
        </w:rPr>
      </w:pPr>
    </w:p>
    <w:p>
      <w:pPr>
        <w:pStyle w:val="10"/>
        <w:rPr>
          <w:rFonts w:hint="eastAsia" w:ascii="宋体" w:hAnsi="宋体"/>
          <w:b/>
          <w:bCs/>
          <w:color w:val="auto"/>
          <w:sz w:val="32"/>
          <w:szCs w:val="32"/>
        </w:rPr>
      </w:pPr>
    </w:p>
    <w:p>
      <w:pPr>
        <w:rPr>
          <w:rFonts w:hint="eastAsia" w:ascii="宋体" w:hAnsi="宋体"/>
          <w:b/>
          <w:bCs/>
          <w:color w:val="auto"/>
          <w:sz w:val="32"/>
          <w:szCs w:val="32"/>
        </w:rPr>
      </w:pPr>
    </w:p>
    <w:p>
      <w:pPr>
        <w:pStyle w:val="9"/>
        <w:rPr>
          <w:rFonts w:hint="eastAsia" w:ascii="宋体" w:hAnsi="宋体"/>
          <w:b/>
          <w:bCs/>
          <w:color w:val="auto"/>
          <w:sz w:val="32"/>
          <w:szCs w:val="32"/>
        </w:rPr>
      </w:pPr>
    </w:p>
    <w:p>
      <w:pPr>
        <w:pStyle w:val="10"/>
        <w:rPr>
          <w:rFonts w:hint="eastAsia" w:ascii="宋体" w:hAnsi="宋体"/>
          <w:b/>
          <w:bCs/>
          <w:color w:val="auto"/>
          <w:sz w:val="32"/>
          <w:szCs w:val="32"/>
        </w:rPr>
      </w:pPr>
    </w:p>
    <w:p>
      <w:pPr>
        <w:rPr>
          <w:rFonts w:hint="eastAsia" w:ascii="宋体" w:hAnsi="宋体"/>
          <w:b/>
          <w:bCs/>
          <w:color w:val="auto"/>
          <w:sz w:val="32"/>
          <w:szCs w:val="32"/>
        </w:rPr>
      </w:pPr>
    </w:p>
    <w:p>
      <w:pPr>
        <w:pStyle w:val="9"/>
        <w:rPr>
          <w:rFonts w:hint="eastAsia" w:ascii="宋体" w:hAnsi="宋体"/>
          <w:b/>
          <w:bCs/>
          <w:color w:val="auto"/>
          <w:sz w:val="32"/>
          <w:szCs w:val="32"/>
        </w:rPr>
      </w:pPr>
    </w:p>
    <w:p>
      <w:pPr>
        <w:pStyle w:val="10"/>
        <w:rPr>
          <w:rFonts w:hint="eastAsia" w:ascii="宋体" w:hAnsi="宋体"/>
          <w:b/>
          <w:bCs/>
          <w:color w:val="auto"/>
          <w:sz w:val="32"/>
          <w:szCs w:val="32"/>
        </w:rPr>
      </w:pPr>
    </w:p>
    <w:p>
      <w:pPr>
        <w:rPr>
          <w:rFonts w:hint="eastAsia" w:ascii="宋体" w:hAnsi="宋体"/>
          <w:b/>
          <w:bCs/>
          <w:color w:val="auto"/>
          <w:sz w:val="32"/>
          <w:szCs w:val="32"/>
        </w:rPr>
      </w:pPr>
    </w:p>
    <w:p>
      <w:pPr>
        <w:pStyle w:val="9"/>
        <w:rPr>
          <w:rFonts w:hint="eastAsia" w:ascii="宋体" w:hAnsi="宋体"/>
          <w:b/>
          <w:bCs/>
          <w:color w:val="auto"/>
          <w:sz w:val="32"/>
          <w:szCs w:val="32"/>
        </w:rPr>
      </w:pPr>
    </w:p>
    <w:p>
      <w:pPr>
        <w:pStyle w:val="10"/>
        <w:rPr>
          <w:rFonts w:hint="eastAsia" w:ascii="宋体" w:hAnsi="宋体"/>
          <w:b/>
          <w:bCs/>
          <w:color w:val="auto"/>
          <w:sz w:val="32"/>
          <w:szCs w:val="32"/>
        </w:rPr>
      </w:pPr>
    </w:p>
    <w:p>
      <w:pPr>
        <w:rPr>
          <w:rFonts w:hint="eastAsia" w:ascii="宋体" w:hAnsi="宋体"/>
          <w:b/>
          <w:bCs/>
          <w:color w:val="auto"/>
          <w:sz w:val="32"/>
          <w:szCs w:val="32"/>
        </w:rPr>
      </w:pPr>
    </w:p>
    <w:p>
      <w:pPr>
        <w:pStyle w:val="9"/>
        <w:rPr>
          <w:rFonts w:hint="eastAsia" w:ascii="宋体" w:hAnsi="宋体"/>
          <w:b/>
          <w:bCs/>
          <w:color w:val="auto"/>
          <w:sz w:val="32"/>
          <w:szCs w:val="32"/>
        </w:rPr>
      </w:pPr>
    </w:p>
    <w:p>
      <w:pPr>
        <w:pStyle w:val="10"/>
        <w:rPr>
          <w:rFonts w:hint="eastAsia" w:ascii="宋体" w:hAnsi="宋体"/>
          <w:b/>
          <w:bCs/>
          <w:color w:val="auto"/>
          <w:sz w:val="32"/>
          <w:szCs w:val="32"/>
        </w:rPr>
      </w:pPr>
    </w:p>
    <w:p>
      <w:pPr>
        <w:rPr>
          <w:rFonts w:hint="eastAsia" w:ascii="宋体" w:hAnsi="宋体"/>
          <w:b/>
          <w:bCs/>
          <w:color w:val="auto"/>
          <w:sz w:val="32"/>
          <w:szCs w:val="32"/>
        </w:rPr>
      </w:pPr>
    </w:p>
    <w:p>
      <w:pPr>
        <w:pStyle w:val="9"/>
        <w:rPr>
          <w:rFonts w:hint="eastAsia" w:ascii="宋体" w:hAnsi="宋体"/>
          <w:b/>
          <w:bCs/>
          <w:color w:val="auto"/>
          <w:sz w:val="32"/>
          <w:szCs w:val="32"/>
        </w:rPr>
      </w:pPr>
    </w:p>
    <w:p>
      <w:pPr>
        <w:rPr>
          <w:rFonts w:hint="eastAsia" w:ascii="宋体" w:hAnsi="宋体"/>
          <w:b/>
          <w:bCs/>
          <w:color w:val="auto"/>
          <w:sz w:val="28"/>
          <w:szCs w:val="28"/>
        </w:rPr>
      </w:pPr>
      <w:r>
        <w:rPr>
          <w:rFonts w:hint="eastAsia" w:ascii="宋体" w:hAnsi="宋体"/>
          <w:b/>
          <w:bCs/>
          <w:color w:val="auto"/>
          <w:sz w:val="28"/>
          <w:szCs w:val="28"/>
        </w:rPr>
        <w:br w:type="page"/>
      </w:r>
    </w:p>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19</w:t>
      </w:r>
    </w:p>
    <w:p>
      <w:pPr>
        <w:pStyle w:val="88"/>
        <w:widowControl w:val="0"/>
        <w:snapToGrid w:val="0"/>
        <w:spacing w:line="500" w:lineRule="exact"/>
        <w:jc w:val="center"/>
        <w:rPr>
          <w:rFonts w:hint="eastAsia"/>
          <w:b/>
          <w:bCs/>
          <w:color w:val="auto"/>
          <w:sz w:val="36"/>
          <w:szCs w:val="36"/>
        </w:rPr>
      </w:pPr>
      <w:r>
        <w:rPr>
          <w:rFonts w:hint="eastAsia"/>
          <w:b/>
          <w:bCs/>
          <w:color w:val="auto"/>
          <w:sz w:val="36"/>
          <w:szCs w:val="36"/>
        </w:rPr>
        <w:t>中小企业声明函（货物)</w:t>
      </w:r>
    </w:p>
    <w:p>
      <w:pPr>
        <w:pStyle w:val="88"/>
        <w:widowControl w:val="0"/>
        <w:snapToGrid w:val="0"/>
        <w:spacing w:line="500" w:lineRule="exact"/>
        <w:ind w:firstLine="560" w:firstLineChars="200"/>
        <w:jc w:val="both"/>
        <w:rPr>
          <w:rFonts w:hint="eastAsia"/>
          <w:color w:val="auto"/>
          <w:sz w:val="28"/>
          <w:szCs w:val="28"/>
        </w:rPr>
      </w:pPr>
    </w:p>
    <w:p>
      <w:pPr>
        <w:pStyle w:val="88"/>
        <w:widowControl w:val="0"/>
        <w:snapToGrid w:val="0"/>
        <w:spacing w:line="500" w:lineRule="exact"/>
        <w:ind w:firstLine="480" w:firstLineChars="200"/>
        <w:jc w:val="both"/>
        <w:rPr>
          <w:rFonts w:hint="eastAsia" w:ascii="宋体" w:hAnsi="宋体"/>
          <w:color w:val="auto"/>
          <w:kern w:val="1"/>
          <w:sz w:val="24"/>
          <w:szCs w:val="24"/>
          <w:lang w:val="en-US" w:eastAsia="ar-SA" w:bidi="ar-SA"/>
        </w:rPr>
      </w:pPr>
      <w:r>
        <w:rPr>
          <w:rFonts w:hint="eastAsia" w:ascii="宋体" w:hAnsi="宋体"/>
          <w:color w:val="auto"/>
          <w:kern w:val="1"/>
          <w:sz w:val="24"/>
          <w:szCs w:val="24"/>
          <w:lang w:val="en-US" w:eastAsia="ar-SA" w:bidi="ar-SA"/>
        </w:rPr>
        <w:t>本公司(联合体）郑重声明，根据《政府采购促进中小企业发展管理办法》(财库</w:t>
      </w:r>
      <w:r>
        <w:rPr>
          <w:rFonts w:hint="eastAsia" w:ascii="宋体" w:hAnsi="宋体"/>
          <w:color w:val="auto"/>
          <w:kern w:val="1"/>
          <w:sz w:val="24"/>
          <w:szCs w:val="24"/>
          <w:lang w:val="en-US" w:eastAsia="zh-CN" w:bidi="ar-SA"/>
        </w:rPr>
        <w:t>[</w:t>
      </w:r>
      <w:r>
        <w:rPr>
          <w:rFonts w:hint="eastAsia" w:ascii="宋体" w:hAnsi="宋体"/>
          <w:color w:val="auto"/>
          <w:kern w:val="1"/>
          <w:sz w:val="24"/>
          <w:szCs w:val="24"/>
          <w:lang w:val="en-US" w:eastAsia="ar-SA" w:bidi="ar-SA"/>
        </w:rPr>
        <w:t>2020</w:t>
      </w:r>
      <w:r>
        <w:rPr>
          <w:rFonts w:hint="eastAsia" w:ascii="宋体" w:hAnsi="宋体"/>
          <w:color w:val="auto"/>
          <w:kern w:val="1"/>
          <w:sz w:val="24"/>
          <w:szCs w:val="24"/>
          <w:lang w:val="en-US" w:eastAsia="zh-CN" w:bidi="ar-SA"/>
        </w:rPr>
        <w:t>]</w:t>
      </w:r>
      <w:r>
        <w:rPr>
          <w:rFonts w:hint="eastAsia" w:ascii="宋体" w:hAnsi="宋体"/>
          <w:color w:val="auto"/>
          <w:kern w:val="1"/>
          <w:sz w:val="24"/>
          <w:szCs w:val="24"/>
          <w:lang w:val="en-US" w:eastAsia="ar-SA" w:bidi="ar-SA"/>
        </w:rPr>
        <w:t xml:space="preserve"> 46号）的规定，本公司(联合体）参加</w:t>
      </w:r>
      <w:r>
        <w:rPr>
          <w:rFonts w:hint="eastAsia" w:ascii="宋体" w:hAnsi="宋体"/>
          <w:color w:val="auto"/>
          <w:kern w:val="1"/>
          <w:sz w:val="24"/>
          <w:szCs w:val="24"/>
          <w:u w:val="single"/>
          <w:lang w:val="en-US" w:eastAsia="zh-CN" w:bidi="ar-SA"/>
        </w:rPr>
        <w:t xml:space="preserve">                    </w:t>
      </w:r>
      <w:r>
        <w:rPr>
          <w:rFonts w:hint="eastAsia" w:ascii="宋体" w:hAnsi="宋体"/>
          <w:color w:val="auto"/>
          <w:kern w:val="1"/>
          <w:sz w:val="24"/>
          <w:szCs w:val="24"/>
          <w:u w:val="single"/>
          <w:lang w:val="en-US" w:eastAsia="ar-SA" w:bidi="ar-SA"/>
        </w:rPr>
        <w:t>(单位名称）</w:t>
      </w:r>
      <w:r>
        <w:rPr>
          <w:rFonts w:hint="eastAsia" w:ascii="宋体" w:hAnsi="宋体"/>
          <w:color w:val="auto"/>
          <w:kern w:val="1"/>
          <w:sz w:val="24"/>
          <w:szCs w:val="24"/>
          <w:lang w:val="en-US" w:eastAsia="ar-SA" w:bidi="ar-SA"/>
        </w:rPr>
        <w:t>的</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(项目名称）采购活动，提供的货物全部由符合政策要求的中小企业制造。相关企业(含联合体中的中小企业、签订分包意向协议的中小企业)的具体情况如下:</w:t>
      </w: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ar-SA" w:bidi="ar-SA"/>
        </w:rPr>
        <w:t>1.</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(标的名称），属于（采购文件中明确的所属行业&gt;行业</w:t>
      </w:r>
      <w:r>
        <w:rPr>
          <w:rFonts w:hint="eastAsia" w:ascii="宋体" w:hAnsi="宋体"/>
          <w:color w:val="auto"/>
          <w:kern w:val="1"/>
          <w:sz w:val="24"/>
          <w:szCs w:val="24"/>
          <w:lang w:val="en-US" w:eastAsia="zh-CN" w:bidi="ar-SA"/>
        </w:rPr>
        <w:t>；</w:t>
      </w:r>
      <w:r>
        <w:rPr>
          <w:rFonts w:hint="eastAsia" w:ascii="宋体" w:hAnsi="宋体"/>
          <w:color w:val="auto"/>
          <w:kern w:val="1"/>
          <w:sz w:val="24"/>
          <w:szCs w:val="24"/>
          <w:lang w:val="en-US" w:eastAsia="ar-SA" w:bidi="ar-SA"/>
        </w:rPr>
        <w:t>制造商为</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（企业名称)，从业人员</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人，营业收入为</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万元，资产总额为</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万元</w:t>
      </w:r>
      <w:r>
        <w:rPr>
          <w:rFonts w:hint="eastAsia" w:ascii="宋体" w:hAnsi="宋体"/>
          <w:color w:val="auto"/>
          <w:kern w:val="1"/>
          <w:sz w:val="24"/>
          <w:szCs w:val="24"/>
          <w:lang w:val="en-US" w:eastAsia="zh-CN" w:bidi="ar-SA"/>
        </w:rPr>
        <w:t>1</w:t>
      </w:r>
      <w:r>
        <w:rPr>
          <w:rFonts w:hint="eastAsia" w:ascii="宋体" w:hAnsi="宋体"/>
          <w:color w:val="auto"/>
          <w:kern w:val="1"/>
          <w:sz w:val="24"/>
          <w:szCs w:val="24"/>
          <w:lang w:val="en-US" w:eastAsia="ar-SA" w:bidi="ar-SA"/>
        </w:rPr>
        <w:t>，属于（中型企业、小型企业、微型企业)</w:t>
      </w:r>
      <w:r>
        <w:rPr>
          <w:rFonts w:hint="eastAsia" w:ascii="宋体" w:hAnsi="宋体"/>
          <w:color w:val="auto"/>
          <w:kern w:val="1"/>
          <w:sz w:val="24"/>
          <w:szCs w:val="24"/>
          <w:lang w:val="en-US" w:eastAsia="zh-CN" w:bidi="ar-SA"/>
        </w:rPr>
        <w:t>；</w:t>
      </w: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ar-SA" w:bidi="ar-SA"/>
        </w:rPr>
        <w:t>2.</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（标的名称），属于（采购文件中明确的所属行业)行业</w:t>
      </w:r>
      <w:r>
        <w:rPr>
          <w:rFonts w:hint="eastAsia" w:ascii="宋体" w:hAnsi="宋体"/>
          <w:color w:val="auto"/>
          <w:kern w:val="1"/>
          <w:sz w:val="24"/>
          <w:szCs w:val="24"/>
          <w:lang w:val="en-US" w:eastAsia="zh-CN" w:bidi="ar-SA"/>
        </w:rPr>
        <w:t>；</w:t>
      </w:r>
      <w:r>
        <w:rPr>
          <w:rFonts w:hint="eastAsia" w:ascii="宋体" w:hAnsi="宋体"/>
          <w:color w:val="auto"/>
          <w:kern w:val="1"/>
          <w:sz w:val="24"/>
          <w:szCs w:val="24"/>
          <w:lang w:val="en-US" w:eastAsia="ar-SA" w:bidi="ar-SA"/>
        </w:rPr>
        <w:t>制造商为</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(企业名称)，从业人员</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人，营业收入为</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万元，资产总额为</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万元，属于</w:t>
      </w:r>
      <w:r>
        <w:rPr>
          <w:rFonts w:hint="eastAsia" w:ascii="宋体" w:hAnsi="宋体"/>
          <w:color w:val="auto"/>
          <w:kern w:val="1"/>
          <w:sz w:val="24"/>
          <w:szCs w:val="24"/>
          <w:lang w:val="en-US" w:eastAsia="zh-CN" w:bidi="ar-SA"/>
        </w:rPr>
        <w:t xml:space="preserve">      </w:t>
      </w:r>
      <w:r>
        <w:rPr>
          <w:rFonts w:hint="eastAsia" w:ascii="宋体" w:hAnsi="宋体"/>
          <w:color w:val="auto"/>
          <w:kern w:val="1"/>
          <w:sz w:val="24"/>
          <w:szCs w:val="24"/>
          <w:lang w:val="en-US" w:eastAsia="ar-SA" w:bidi="ar-SA"/>
        </w:rPr>
        <w:t>（中型企业、小型企业、微型企业)</w:t>
      </w:r>
      <w:r>
        <w:rPr>
          <w:rFonts w:hint="eastAsia" w:ascii="宋体" w:hAnsi="宋体"/>
          <w:color w:val="auto"/>
          <w:kern w:val="1"/>
          <w:sz w:val="24"/>
          <w:szCs w:val="24"/>
          <w:lang w:val="en-US" w:eastAsia="zh-CN" w:bidi="ar-SA"/>
        </w:rPr>
        <w:t>；</w:t>
      </w: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zh-CN" w:bidi="ar-SA"/>
        </w:rPr>
        <w:t>以上企业，不属于大企业的分支机构，不存在控股股东为大企业的情形，也不存在与大企业的负责人为同一人的情形。</w:t>
      </w: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zh-CN" w:bidi="ar-SA"/>
        </w:rPr>
        <w:t>本企业对上述声明内容的真实性负责。如有虚假，将依法承担相应责任。</w:t>
      </w: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p>
    <w:p>
      <w:pPr>
        <w:pStyle w:val="88"/>
        <w:widowControl w:val="0"/>
        <w:snapToGrid w:val="0"/>
        <w:spacing w:line="500" w:lineRule="exact"/>
        <w:ind w:firstLine="3600" w:firstLineChars="1500"/>
        <w:jc w:val="right"/>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zh-CN" w:bidi="ar-SA"/>
        </w:rPr>
        <w:t>企业名称(盖章):</w:t>
      </w:r>
    </w:p>
    <w:p>
      <w:pPr>
        <w:pStyle w:val="88"/>
        <w:widowControl w:val="0"/>
        <w:snapToGrid w:val="0"/>
        <w:spacing w:line="500" w:lineRule="exact"/>
        <w:ind w:firstLine="3600" w:firstLineChars="1500"/>
        <w:jc w:val="right"/>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zh-CN" w:bidi="ar-SA"/>
        </w:rPr>
        <w:t>日期:</w:t>
      </w:r>
    </w:p>
    <w:p>
      <w:pPr>
        <w:pStyle w:val="88"/>
        <w:widowControl w:val="0"/>
        <w:snapToGrid w:val="0"/>
        <w:spacing w:line="500" w:lineRule="exact"/>
        <w:ind w:firstLine="480" w:firstLineChars="200"/>
        <w:jc w:val="both"/>
        <w:rPr>
          <w:rFonts w:hint="eastAsia" w:ascii="宋体" w:hAnsi="宋体"/>
          <w:color w:val="auto"/>
          <w:kern w:val="1"/>
          <w:sz w:val="24"/>
          <w:szCs w:val="24"/>
          <w:lang w:val="en-US" w:eastAsia="zh-CN" w:bidi="ar-SA"/>
        </w:rPr>
      </w:pPr>
    </w:p>
    <w:p>
      <w:pPr>
        <w:pStyle w:val="5"/>
        <w:numPr>
          <w:ilvl w:val="0"/>
          <w:numId w:val="0"/>
        </w:numPr>
        <w:tabs>
          <w:tab w:val="left" w:pos="719"/>
        </w:tabs>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zh-CN" w:bidi="ar-SA"/>
        </w:rPr>
        <w:t>1从业人员、营业收入、资产总额填报上一年度数据，无上一年度数据的新成立企业可不填报。</w:t>
      </w:r>
    </w:p>
    <w:p>
      <w:pPr>
        <w:rPr>
          <w:rFonts w:hint="eastAsia" w:ascii="宋体" w:hAnsi="宋体"/>
          <w:color w:val="auto"/>
          <w:kern w:val="1"/>
          <w:sz w:val="24"/>
          <w:szCs w:val="24"/>
          <w:lang w:val="en-US" w:eastAsia="zh-CN" w:bidi="ar-SA"/>
        </w:rPr>
      </w:pPr>
      <w:r>
        <w:rPr>
          <w:rFonts w:hint="eastAsia" w:ascii="宋体" w:hAnsi="宋体"/>
          <w:color w:val="auto"/>
          <w:kern w:val="1"/>
          <w:sz w:val="24"/>
          <w:szCs w:val="24"/>
          <w:lang w:val="en-US" w:eastAsia="zh-CN" w:bidi="ar-SA"/>
        </w:rPr>
        <w:br w:type="page"/>
      </w:r>
    </w:p>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20</w:t>
      </w:r>
    </w:p>
    <w:p>
      <w:pPr>
        <w:pStyle w:val="4"/>
        <w:numPr>
          <w:ilvl w:val="1"/>
          <w:numId w:val="0"/>
        </w:numPr>
        <w:jc w:val="center"/>
        <w:rPr>
          <w:rFonts w:ascii="宋体" w:hAnsi="宋体" w:eastAsia="宋体"/>
          <w:color w:val="auto"/>
        </w:rPr>
      </w:pPr>
      <w:r>
        <w:rPr>
          <w:rFonts w:hint="eastAsia" w:ascii="宋体" w:hAnsi="宋体" w:eastAsia="宋体"/>
          <w:color w:val="auto"/>
        </w:rPr>
        <w:t xml:space="preserve">货物技术规格差异表  </w:t>
      </w:r>
    </w:p>
    <w:p>
      <w:pPr>
        <w:spacing w:after="120"/>
        <w:ind w:left="525" w:right="292" w:rightChars="139" w:hanging="630"/>
        <w:rPr>
          <w:rFonts w:ascii="宋体" w:hAnsi="宋体"/>
          <w:color w:val="auto"/>
          <w:sz w:val="24"/>
        </w:rPr>
      </w:pPr>
      <w:r>
        <w:rPr>
          <w:rFonts w:hint="eastAsia" w:ascii="宋体" w:hAnsi="宋体"/>
          <w:color w:val="auto"/>
          <w:sz w:val="24"/>
        </w:rPr>
        <w:t>说明：投标人必须对应招标文件的第四部分“用户需求书”的内容逐条响应。如有缺漏，缺漏项视同不符合招标要求。投标人响应采购需求应具体、明确，含糊不清、不确切或伪造、变造证明材料的，按照不完全响应或者完全不响应处理。构成提供虚假材料的，移送监管部门查处。</w:t>
      </w:r>
    </w:p>
    <w:tbl>
      <w:tblPr>
        <w:tblStyle w:val="19"/>
        <w:tblpPr w:leftFromText="180" w:rightFromText="180" w:vertAnchor="text" w:horzAnchor="page" w:tblpXSpec="center" w:tblpY="452"/>
        <w:tblOverlap w:val="never"/>
        <w:tblW w:w="4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470"/>
        <w:gridCol w:w="1680"/>
        <w:gridCol w:w="1965"/>
        <w:gridCol w:w="242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99" w:type="pct"/>
            <w:vAlign w:val="center"/>
          </w:tcPr>
          <w:p>
            <w:pPr>
              <w:spacing w:line="400" w:lineRule="exact"/>
              <w:jc w:val="center"/>
              <w:rPr>
                <w:rFonts w:ascii="宋体" w:hAnsi="宋体"/>
                <w:color w:val="auto"/>
                <w:sz w:val="24"/>
              </w:rPr>
            </w:pPr>
            <w:r>
              <w:rPr>
                <w:rFonts w:hint="eastAsia" w:ascii="宋体" w:hAnsi="宋体"/>
                <w:color w:val="auto"/>
                <w:sz w:val="24"/>
              </w:rPr>
              <w:t>序号</w:t>
            </w:r>
          </w:p>
        </w:tc>
        <w:tc>
          <w:tcPr>
            <w:tcW w:w="748" w:type="pct"/>
            <w:vAlign w:val="center"/>
          </w:tcPr>
          <w:p>
            <w:pPr>
              <w:spacing w:line="400" w:lineRule="exact"/>
              <w:jc w:val="center"/>
              <w:rPr>
                <w:rFonts w:ascii="宋体" w:hAnsi="宋体"/>
                <w:color w:val="auto"/>
                <w:sz w:val="24"/>
              </w:rPr>
            </w:pPr>
            <w:r>
              <w:rPr>
                <w:rFonts w:hint="eastAsia" w:ascii="宋体" w:hAnsi="宋体"/>
                <w:color w:val="auto"/>
                <w:sz w:val="24"/>
              </w:rPr>
              <w:t>货物名称</w:t>
            </w:r>
          </w:p>
        </w:tc>
        <w:tc>
          <w:tcPr>
            <w:tcW w:w="855" w:type="pct"/>
            <w:vAlign w:val="center"/>
          </w:tcPr>
          <w:p>
            <w:pPr>
              <w:spacing w:line="400" w:lineRule="exact"/>
              <w:jc w:val="center"/>
              <w:rPr>
                <w:rFonts w:ascii="宋体" w:hAnsi="宋体"/>
                <w:color w:val="auto"/>
                <w:sz w:val="24"/>
              </w:rPr>
            </w:pPr>
            <w:r>
              <w:rPr>
                <w:rFonts w:hint="eastAsia" w:ascii="宋体" w:hAnsi="宋体"/>
                <w:color w:val="auto"/>
                <w:sz w:val="24"/>
              </w:rPr>
              <w:t>招标货物主要参数</w:t>
            </w:r>
          </w:p>
        </w:tc>
        <w:tc>
          <w:tcPr>
            <w:tcW w:w="1000" w:type="pct"/>
            <w:vAlign w:val="center"/>
          </w:tcPr>
          <w:p>
            <w:pPr>
              <w:spacing w:line="400" w:lineRule="exact"/>
              <w:jc w:val="center"/>
              <w:rPr>
                <w:rFonts w:hint="eastAsia" w:ascii="宋体" w:hAnsi="宋体"/>
                <w:color w:val="auto"/>
                <w:sz w:val="24"/>
              </w:rPr>
            </w:pPr>
          </w:p>
          <w:p>
            <w:pPr>
              <w:spacing w:line="400" w:lineRule="exact"/>
              <w:jc w:val="center"/>
              <w:rPr>
                <w:rFonts w:ascii="宋体" w:hAnsi="宋体"/>
                <w:color w:val="auto"/>
                <w:sz w:val="24"/>
              </w:rPr>
            </w:pPr>
            <w:r>
              <w:rPr>
                <w:rFonts w:hint="eastAsia" w:ascii="宋体" w:hAnsi="宋体"/>
                <w:color w:val="auto"/>
                <w:sz w:val="24"/>
              </w:rPr>
              <w:t>投标货物实际参数</w:t>
            </w:r>
          </w:p>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r>
              <w:rPr>
                <w:rFonts w:hint="eastAsia" w:ascii="宋体" w:hAnsi="宋体"/>
                <w:color w:val="auto"/>
                <w:sz w:val="24"/>
              </w:rPr>
              <w:t>是否偏离（无偏离/正偏离/负偏离）</w:t>
            </w:r>
          </w:p>
        </w:tc>
        <w:tc>
          <w:tcPr>
            <w:tcW w:w="761" w:type="pct"/>
            <w:vAlign w:val="center"/>
          </w:tcPr>
          <w:p>
            <w:pPr>
              <w:spacing w:line="400" w:lineRule="exact"/>
              <w:jc w:val="center"/>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399" w:type="pct"/>
            <w:vAlign w:val="center"/>
          </w:tcPr>
          <w:p>
            <w:pPr>
              <w:spacing w:line="400" w:lineRule="exact"/>
              <w:jc w:val="center"/>
              <w:rPr>
                <w:rFonts w:ascii="宋体" w:hAnsi="宋体"/>
                <w:color w:val="auto"/>
                <w:sz w:val="24"/>
              </w:rPr>
            </w:pPr>
          </w:p>
        </w:tc>
        <w:tc>
          <w:tcPr>
            <w:tcW w:w="748" w:type="pct"/>
            <w:vAlign w:val="center"/>
          </w:tcPr>
          <w:p>
            <w:pPr>
              <w:spacing w:line="400" w:lineRule="exact"/>
              <w:jc w:val="center"/>
              <w:rPr>
                <w:rFonts w:ascii="宋体" w:hAnsi="宋体"/>
                <w:color w:val="auto"/>
                <w:sz w:val="24"/>
              </w:rPr>
            </w:pPr>
          </w:p>
        </w:tc>
        <w:tc>
          <w:tcPr>
            <w:tcW w:w="855" w:type="pct"/>
            <w:vAlign w:val="center"/>
          </w:tcPr>
          <w:p>
            <w:pPr>
              <w:spacing w:line="400" w:lineRule="exact"/>
              <w:jc w:val="center"/>
              <w:rPr>
                <w:rFonts w:ascii="宋体" w:hAnsi="宋体"/>
                <w:color w:val="auto"/>
                <w:sz w:val="24"/>
              </w:rPr>
            </w:pPr>
          </w:p>
        </w:tc>
        <w:tc>
          <w:tcPr>
            <w:tcW w:w="1000" w:type="pct"/>
            <w:vAlign w:val="center"/>
          </w:tcPr>
          <w:p>
            <w:pPr>
              <w:spacing w:line="400" w:lineRule="exact"/>
              <w:jc w:val="center"/>
              <w:rPr>
                <w:rFonts w:ascii="宋体" w:hAnsi="宋体"/>
                <w:color w:val="auto"/>
                <w:sz w:val="24"/>
              </w:rPr>
            </w:pPr>
          </w:p>
        </w:tc>
        <w:tc>
          <w:tcPr>
            <w:tcW w:w="1234" w:type="pct"/>
            <w:vAlign w:val="center"/>
          </w:tcPr>
          <w:p>
            <w:pPr>
              <w:spacing w:line="400" w:lineRule="exact"/>
              <w:jc w:val="center"/>
              <w:rPr>
                <w:rFonts w:ascii="宋体" w:hAnsi="宋体"/>
                <w:color w:val="auto"/>
                <w:sz w:val="24"/>
              </w:rPr>
            </w:pPr>
          </w:p>
        </w:tc>
        <w:tc>
          <w:tcPr>
            <w:tcW w:w="761" w:type="pct"/>
            <w:vAlign w:val="center"/>
          </w:tcPr>
          <w:p>
            <w:pPr>
              <w:spacing w:line="400" w:lineRule="exact"/>
              <w:jc w:val="center"/>
              <w:rPr>
                <w:rFonts w:ascii="宋体" w:hAnsi="宋体"/>
                <w:color w:val="auto"/>
                <w:sz w:val="24"/>
              </w:rPr>
            </w:pPr>
          </w:p>
        </w:tc>
      </w:tr>
    </w:tbl>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授权代表（签字）：</w:t>
      </w:r>
    </w:p>
    <w:p>
      <w:pPr>
        <w:spacing w:line="400" w:lineRule="exact"/>
        <w:rPr>
          <w:rFonts w:ascii="宋体" w:hAnsi="宋体"/>
          <w:color w:val="auto"/>
          <w:sz w:val="24"/>
          <w:u w:val="single"/>
        </w:rPr>
      </w:pPr>
      <w:r>
        <w:rPr>
          <w:rFonts w:hint="eastAsia" w:ascii="宋体" w:hAnsi="宋体"/>
          <w:color w:val="auto"/>
          <w:sz w:val="24"/>
        </w:rPr>
        <w:t>职务：</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 xml:space="preserve">      </w:t>
      </w:r>
    </w:p>
    <w:p>
      <w:pPr>
        <w:rPr>
          <w:rFonts w:hint="eastAsia"/>
          <w:lang w:val="en-US" w:eastAsia="zh-CN"/>
        </w:rPr>
      </w:pPr>
    </w:p>
    <w:sectPr>
      <w:headerReference r:id="rId8" w:type="default"/>
      <w:footerReference r:id="rId9"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20"/>
    <w:multiLevelType w:val="multilevel"/>
    <w:tmpl w:val="00000020"/>
    <w:lvl w:ilvl="0" w:tentative="0">
      <w:start w:val="1"/>
      <w:numFmt w:val="decimal"/>
      <w:pStyle w:val="97"/>
      <w:suff w:val="nothing"/>
      <w:lvlText w:val="图%1　"/>
      <w:lvlJc w:val="left"/>
      <w:pPr>
        <w:ind w:left="3970" w:firstLine="0"/>
      </w:pPr>
      <w:rPr>
        <w:rFonts w:hint="eastAsia" w:ascii="黑体" w:hAnsi="Times New Roman" w:eastAsia="黑体"/>
        <w:b w:val="0"/>
        <w:i w:val="0"/>
        <w:sz w:val="21"/>
      </w:rPr>
    </w:lvl>
    <w:lvl w:ilvl="1" w:tentative="0">
      <w:start w:val="1"/>
      <w:numFmt w:val="decimal"/>
      <w:suff w:val="nothing"/>
      <w:lvlText w:val="%1%2　"/>
      <w:lvlJc w:val="left"/>
      <w:pPr>
        <w:ind w:left="-1134" w:firstLine="0"/>
      </w:pPr>
      <w:rPr>
        <w:rFonts w:hint="default" w:ascii="Times New Roman" w:hAnsi="Times New Roman" w:eastAsia="黑体"/>
        <w:b w:val="0"/>
        <w:i w:val="0"/>
        <w:sz w:val="21"/>
      </w:rPr>
    </w:lvl>
    <w:lvl w:ilvl="2" w:tentative="0">
      <w:start w:val="1"/>
      <w:numFmt w:val="decimal"/>
      <w:suff w:val="nothing"/>
      <w:lvlText w:val="%1%2.%3　"/>
      <w:lvlJc w:val="left"/>
      <w:pPr>
        <w:ind w:left="-1134" w:firstLine="0"/>
      </w:pPr>
      <w:rPr>
        <w:rFonts w:hint="default" w:ascii="Times New Roman" w:hAnsi="Times New Roman" w:eastAsia="黑体"/>
        <w:b w:val="0"/>
        <w:i w:val="0"/>
        <w:sz w:val="21"/>
      </w:rPr>
    </w:lvl>
    <w:lvl w:ilvl="3" w:tentative="0">
      <w:start w:val="1"/>
      <w:numFmt w:val="decimal"/>
      <w:suff w:val="nothing"/>
      <w:lvlText w:val="%1%2.%3.%4　"/>
      <w:lvlJc w:val="left"/>
      <w:pPr>
        <w:ind w:left="-1134" w:firstLine="0"/>
      </w:pPr>
      <w:rPr>
        <w:rFonts w:hint="default" w:ascii="Times New Roman" w:hAnsi="Times New Roman" w:eastAsia="黑体"/>
        <w:b w:val="0"/>
        <w:i w:val="0"/>
        <w:sz w:val="21"/>
      </w:rPr>
    </w:lvl>
    <w:lvl w:ilvl="4" w:tentative="0">
      <w:start w:val="1"/>
      <w:numFmt w:val="decimal"/>
      <w:suff w:val="nothing"/>
      <w:lvlText w:val="%1%2.%3.%4.%5　"/>
      <w:lvlJc w:val="left"/>
      <w:pPr>
        <w:ind w:left="-1134" w:firstLine="0"/>
      </w:pPr>
      <w:rPr>
        <w:rFonts w:hint="default" w:ascii="Times New Roman" w:hAnsi="Times New Roman" w:eastAsia="黑体"/>
        <w:b w:val="0"/>
        <w:i w:val="0"/>
        <w:sz w:val="21"/>
      </w:rPr>
    </w:lvl>
    <w:lvl w:ilvl="5" w:tentative="0">
      <w:start w:val="1"/>
      <w:numFmt w:val="decimal"/>
      <w:suff w:val="nothing"/>
      <w:lvlText w:val="%1%2.%3.%4.%5.%6　"/>
      <w:lvlJc w:val="left"/>
      <w:pPr>
        <w:ind w:left="-1134" w:firstLine="0"/>
      </w:pPr>
      <w:rPr>
        <w:rFonts w:hint="default" w:ascii="Times New Roman" w:hAnsi="Times New Roman" w:eastAsia="黑体"/>
        <w:b w:val="0"/>
        <w:i w:val="0"/>
        <w:sz w:val="21"/>
      </w:rPr>
    </w:lvl>
    <w:lvl w:ilvl="6" w:tentative="0">
      <w:start w:val="1"/>
      <w:numFmt w:val="decimal"/>
      <w:suff w:val="nothing"/>
      <w:lvlText w:val="%1%2.%3.%4.%5.%6.%7　"/>
      <w:lvlJc w:val="left"/>
      <w:pPr>
        <w:ind w:left="-1134" w:firstLine="0"/>
      </w:pPr>
      <w:rPr>
        <w:rFonts w:hint="default" w:ascii="Times New Roman" w:hAnsi="Times New Roman" w:eastAsia="黑体"/>
        <w:b w:val="0"/>
        <w:i w:val="0"/>
        <w:sz w:val="21"/>
      </w:rPr>
    </w:lvl>
    <w:lvl w:ilvl="7" w:tentative="0">
      <w:start w:val="1"/>
      <w:numFmt w:val="decimal"/>
      <w:lvlText w:val="%1.%2.%3.%4.%5.%6.%7.%8"/>
      <w:lvlJc w:val="left"/>
      <w:pPr>
        <w:tabs>
          <w:tab w:val="left" w:pos="3217"/>
        </w:tabs>
        <w:ind w:left="2835" w:hanging="1418"/>
      </w:pPr>
      <w:rPr>
        <w:rFonts w:hint="eastAsia"/>
      </w:rPr>
    </w:lvl>
    <w:lvl w:ilvl="8" w:tentative="0">
      <w:start w:val="1"/>
      <w:numFmt w:val="decimal"/>
      <w:lvlText w:val="%1.%2.%3.%4.%5.%6.%7.%8.%9"/>
      <w:lvlJc w:val="left"/>
      <w:pPr>
        <w:tabs>
          <w:tab w:val="left" w:pos="3643"/>
        </w:tabs>
        <w:ind w:left="3543" w:hanging="1700"/>
      </w:pPr>
      <w:rPr>
        <w:rFonts w:hint="eastAsia"/>
      </w:rPr>
    </w:lvl>
  </w:abstractNum>
  <w:abstractNum w:abstractNumId="3">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4"/>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4">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71A9EB8"/>
    <w:multiLevelType w:val="singleLevel"/>
    <w:tmpl w:val="271A9EB8"/>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ZDU0MzBkZGRmZDMxYjA2ZTIzY2ZjYmJiZjFlOWQifQ=="/>
  </w:docVars>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1590"/>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5089"/>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14270DF"/>
    <w:rsid w:val="035B3B72"/>
    <w:rsid w:val="049E60CD"/>
    <w:rsid w:val="05704585"/>
    <w:rsid w:val="05C31C41"/>
    <w:rsid w:val="05EA0711"/>
    <w:rsid w:val="06C171C0"/>
    <w:rsid w:val="08BE6473"/>
    <w:rsid w:val="08CB55C4"/>
    <w:rsid w:val="097C7391"/>
    <w:rsid w:val="099D3217"/>
    <w:rsid w:val="0A5B6284"/>
    <w:rsid w:val="0ACA7543"/>
    <w:rsid w:val="0C3C2A97"/>
    <w:rsid w:val="0CD95D4E"/>
    <w:rsid w:val="0E5470F3"/>
    <w:rsid w:val="0E810FCD"/>
    <w:rsid w:val="0F6E0AF9"/>
    <w:rsid w:val="0F8D16EF"/>
    <w:rsid w:val="109156E6"/>
    <w:rsid w:val="10BB33AB"/>
    <w:rsid w:val="11A334B6"/>
    <w:rsid w:val="12541815"/>
    <w:rsid w:val="12C46DEF"/>
    <w:rsid w:val="136E4A84"/>
    <w:rsid w:val="1450351C"/>
    <w:rsid w:val="14795E46"/>
    <w:rsid w:val="158E1B4A"/>
    <w:rsid w:val="16F23C88"/>
    <w:rsid w:val="172839FF"/>
    <w:rsid w:val="17B550E4"/>
    <w:rsid w:val="186310B9"/>
    <w:rsid w:val="192C0878"/>
    <w:rsid w:val="19683112"/>
    <w:rsid w:val="19866680"/>
    <w:rsid w:val="19A105C1"/>
    <w:rsid w:val="19B41D02"/>
    <w:rsid w:val="1BBF77CD"/>
    <w:rsid w:val="1BC823FE"/>
    <w:rsid w:val="1BDC7F6D"/>
    <w:rsid w:val="1D9D4AD0"/>
    <w:rsid w:val="1DAA0E9A"/>
    <w:rsid w:val="1DDA6C0B"/>
    <w:rsid w:val="1ED84B92"/>
    <w:rsid w:val="202310A9"/>
    <w:rsid w:val="209D2967"/>
    <w:rsid w:val="223B0BE3"/>
    <w:rsid w:val="236D3648"/>
    <w:rsid w:val="23BD7F2C"/>
    <w:rsid w:val="24772573"/>
    <w:rsid w:val="26580E0F"/>
    <w:rsid w:val="26F42A20"/>
    <w:rsid w:val="27021E92"/>
    <w:rsid w:val="27581AD8"/>
    <w:rsid w:val="27C50DD5"/>
    <w:rsid w:val="2866281D"/>
    <w:rsid w:val="28744B9F"/>
    <w:rsid w:val="28BB710B"/>
    <w:rsid w:val="28C56033"/>
    <w:rsid w:val="293E22EB"/>
    <w:rsid w:val="2A6170FA"/>
    <w:rsid w:val="2AD3342C"/>
    <w:rsid w:val="2B7E1B23"/>
    <w:rsid w:val="2C1A579F"/>
    <w:rsid w:val="2C590CED"/>
    <w:rsid w:val="2DC410EC"/>
    <w:rsid w:val="2F5B7E59"/>
    <w:rsid w:val="2FCC7049"/>
    <w:rsid w:val="2FD92485"/>
    <w:rsid w:val="30744337"/>
    <w:rsid w:val="30BA6D80"/>
    <w:rsid w:val="30D7655B"/>
    <w:rsid w:val="315C4DF6"/>
    <w:rsid w:val="319F76FC"/>
    <w:rsid w:val="32861565"/>
    <w:rsid w:val="332A22F7"/>
    <w:rsid w:val="33713100"/>
    <w:rsid w:val="33B51A84"/>
    <w:rsid w:val="33EB6C94"/>
    <w:rsid w:val="344D0997"/>
    <w:rsid w:val="34F067D4"/>
    <w:rsid w:val="34F368E9"/>
    <w:rsid w:val="363A354B"/>
    <w:rsid w:val="3B187779"/>
    <w:rsid w:val="3B727C56"/>
    <w:rsid w:val="3B9F7D36"/>
    <w:rsid w:val="3C705996"/>
    <w:rsid w:val="3C774E1D"/>
    <w:rsid w:val="3C85790D"/>
    <w:rsid w:val="3D8027C0"/>
    <w:rsid w:val="3E976257"/>
    <w:rsid w:val="3EAC38A6"/>
    <w:rsid w:val="3F590357"/>
    <w:rsid w:val="3FE67F82"/>
    <w:rsid w:val="404B7255"/>
    <w:rsid w:val="407E595F"/>
    <w:rsid w:val="436158E2"/>
    <w:rsid w:val="443D022B"/>
    <w:rsid w:val="44952A40"/>
    <w:rsid w:val="44CD3ECB"/>
    <w:rsid w:val="44EE2FE6"/>
    <w:rsid w:val="44F3303C"/>
    <w:rsid w:val="45136CF3"/>
    <w:rsid w:val="46477A55"/>
    <w:rsid w:val="47914BF4"/>
    <w:rsid w:val="47B413A3"/>
    <w:rsid w:val="47C30799"/>
    <w:rsid w:val="487210A2"/>
    <w:rsid w:val="48D00456"/>
    <w:rsid w:val="4AFF744D"/>
    <w:rsid w:val="4B4D0E9B"/>
    <w:rsid w:val="4CC02239"/>
    <w:rsid w:val="4D2C6605"/>
    <w:rsid w:val="4EF7349B"/>
    <w:rsid w:val="501E50F5"/>
    <w:rsid w:val="504F1FC5"/>
    <w:rsid w:val="50996184"/>
    <w:rsid w:val="50E43223"/>
    <w:rsid w:val="5188793F"/>
    <w:rsid w:val="52503D22"/>
    <w:rsid w:val="53FC461F"/>
    <w:rsid w:val="54272115"/>
    <w:rsid w:val="544927C0"/>
    <w:rsid w:val="5590370C"/>
    <w:rsid w:val="559D186D"/>
    <w:rsid w:val="55A87807"/>
    <w:rsid w:val="568630E0"/>
    <w:rsid w:val="56F943CB"/>
    <w:rsid w:val="570D2146"/>
    <w:rsid w:val="598203B2"/>
    <w:rsid w:val="599129F4"/>
    <w:rsid w:val="59F66A7C"/>
    <w:rsid w:val="59F820DA"/>
    <w:rsid w:val="5A1355E2"/>
    <w:rsid w:val="5C3B6074"/>
    <w:rsid w:val="5D812092"/>
    <w:rsid w:val="5E880D3B"/>
    <w:rsid w:val="5F1F7F5F"/>
    <w:rsid w:val="5F5A3424"/>
    <w:rsid w:val="61912CDC"/>
    <w:rsid w:val="63C97B2A"/>
    <w:rsid w:val="64A82336"/>
    <w:rsid w:val="66487045"/>
    <w:rsid w:val="6708460F"/>
    <w:rsid w:val="694B100D"/>
    <w:rsid w:val="6A2D7F31"/>
    <w:rsid w:val="6ABF02AF"/>
    <w:rsid w:val="6BA16105"/>
    <w:rsid w:val="6C31256F"/>
    <w:rsid w:val="6DC71C8E"/>
    <w:rsid w:val="6DEE41F6"/>
    <w:rsid w:val="6E1C2E71"/>
    <w:rsid w:val="6ED547AD"/>
    <w:rsid w:val="6FBC3D51"/>
    <w:rsid w:val="7184165D"/>
    <w:rsid w:val="72B146BE"/>
    <w:rsid w:val="72BC0BF0"/>
    <w:rsid w:val="72DA275D"/>
    <w:rsid w:val="73610AE2"/>
    <w:rsid w:val="73DB7639"/>
    <w:rsid w:val="76F64096"/>
    <w:rsid w:val="782B5229"/>
    <w:rsid w:val="78934E39"/>
    <w:rsid w:val="79064047"/>
    <w:rsid w:val="7A232071"/>
    <w:rsid w:val="7A6B0AD8"/>
    <w:rsid w:val="7A6E0DA1"/>
    <w:rsid w:val="7A855621"/>
    <w:rsid w:val="7AF47A12"/>
    <w:rsid w:val="7C3A42B9"/>
    <w:rsid w:val="7CE86B03"/>
    <w:rsid w:val="7E093EF5"/>
    <w:rsid w:val="7E6017DC"/>
    <w:rsid w:val="7EC27DA7"/>
    <w:rsid w:val="7EC84A37"/>
    <w:rsid w:val="7F20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link w:val="22"/>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6">
    <w:name w:val="Normal Indent"/>
    <w:basedOn w:val="1"/>
    <w:next w:val="1"/>
    <w:qFormat/>
    <w:uiPriority w:val="0"/>
    <w:pPr>
      <w:ind w:firstLine="420" w:firstLineChars="200"/>
    </w:pPr>
  </w:style>
  <w:style w:type="paragraph" w:styleId="7">
    <w:name w:val="Document Map"/>
    <w:basedOn w:val="1"/>
    <w:link w:val="30"/>
    <w:semiHidden/>
    <w:unhideWhenUsed/>
    <w:qFormat/>
    <w:uiPriority w:val="99"/>
    <w:rPr>
      <w:rFonts w:ascii="宋体"/>
      <w:sz w:val="18"/>
      <w:szCs w:val="18"/>
    </w:rPr>
  </w:style>
  <w:style w:type="paragraph" w:styleId="8">
    <w:name w:val="toa heading"/>
    <w:basedOn w:val="1"/>
    <w:next w:val="1"/>
    <w:qFormat/>
    <w:uiPriority w:val="0"/>
    <w:pPr>
      <w:spacing w:before="120"/>
    </w:pPr>
    <w:rPr>
      <w:rFonts w:ascii="Arial" w:hAnsi="Arial"/>
      <w:sz w:val="24"/>
    </w:rPr>
  </w:style>
  <w:style w:type="paragraph" w:styleId="9">
    <w:name w:val="Body Text"/>
    <w:basedOn w:val="1"/>
    <w:next w:val="10"/>
    <w:qFormat/>
    <w:uiPriority w:val="0"/>
    <w:rPr>
      <w:sz w:val="24"/>
    </w:rPr>
  </w:style>
  <w:style w:type="paragraph" w:styleId="10">
    <w:name w:val="Body Text First Indent"/>
    <w:basedOn w:val="9"/>
    <w:next w:val="1"/>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11"/>
    <w:qFormat/>
    <w:uiPriority w:val="0"/>
    <w:pPr>
      <w:spacing w:line="360" w:lineRule="auto"/>
      <w:ind w:firstLine="420" w:firstLineChars="200"/>
    </w:pPr>
    <w:rPr>
      <w:sz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w:basedOn w:val="1"/>
    <w:link w:val="21"/>
    <w:qFormat/>
    <w:uiPriority w:val="0"/>
    <w:pPr>
      <w:widowControl/>
      <w:spacing w:after="160" w:line="240" w:lineRule="exact"/>
      <w:jc w:val="left"/>
    </w:pPr>
  </w:style>
  <w:style w:type="character" w:styleId="23">
    <w:name w:val="Strong"/>
    <w:basedOn w:val="21"/>
    <w:qFormat/>
    <w:uiPriority w:val="0"/>
    <w:rPr>
      <w:b/>
      <w:bCs/>
    </w:rPr>
  </w:style>
  <w:style w:type="character" w:styleId="24">
    <w:name w:val="page number"/>
    <w:basedOn w:val="21"/>
    <w:qFormat/>
    <w:uiPriority w:val="0"/>
  </w:style>
  <w:style w:type="character" w:styleId="25">
    <w:name w:val="FollowedHyperlink"/>
    <w:basedOn w:val="21"/>
    <w:semiHidden/>
    <w:unhideWhenUsed/>
    <w:qFormat/>
    <w:uiPriority w:val="99"/>
    <w:rPr>
      <w:color w:val="800080"/>
      <w:u w:val="single"/>
    </w:rPr>
  </w:style>
  <w:style w:type="character" w:styleId="26">
    <w:name w:val="Hyperlink"/>
    <w:basedOn w:val="21"/>
    <w:semiHidden/>
    <w:unhideWhenUsed/>
    <w:qFormat/>
    <w:uiPriority w:val="99"/>
    <w:rPr>
      <w:color w:val="0000FF"/>
      <w:u w:val="single"/>
    </w:rPr>
  </w:style>
  <w:style w:type="character" w:customStyle="1" w:styleId="27">
    <w:name w:val="页眉 Char"/>
    <w:basedOn w:val="21"/>
    <w:link w:val="15"/>
    <w:semiHidden/>
    <w:qFormat/>
    <w:uiPriority w:val="99"/>
    <w:rPr>
      <w:sz w:val="18"/>
      <w:szCs w:val="18"/>
    </w:rPr>
  </w:style>
  <w:style w:type="character" w:customStyle="1" w:styleId="28">
    <w:name w:val="页脚 Char"/>
    <w:basedOn w:val="21"/>
    <w:link w:val="14"/>
    <w:semiHidden/>
    <w:qFormat/>
    <w:uiPriority w:val="99"/>
    <w:rPr>
      <w:sz w:val="18"/>
      <w:szCs w:val="18"/>
    </w:rPr>
  </w:style>
  <w:style w:type="character" w:customStyle="1" w:styleId="29">
    <w:name w:val="标题 1 Char"/>
    <w:basedOn w:val="21"/>
    <w:link w:val="3"/>
    <w:qFormat/>
    <w:uiPriority w:val="9"/>
    <w:rPr>
      <w:b/>
      <w:bCs/>
      <w:kern w:val="44"/>
      <w:sz w:val="44"/>
      <w:szCs w:val="44"/>
    </w:rPr>
  </w:style>
  <w:style w:type="character" w:customStyle="1" w:styleId="30">
    <w:name w:val="文档结构图 Char"/>
    <w:basedOn w:val="21"/>
    <w:link w:val="7"/>
    <w:semiHidden/>
    <w:qFormat/>
    <w:uiPriority w:val="99"/>
    <w:rPr>
      <w:rFonts w:ascii="宋体"/>
      <w:kern w:val="2"/>
      <w:sz w:val="18"/>
      <w:szCs w:val="18"/>
    </w:rPr>
  </w:style>
  <w:style w:type="paragraph" w:styleId="31">
    <w:name w:val="List Paragraph"/>
    <w:basedOn w:val="1"/>
    <w:unhideWhenUsed/>
    <w:qFormat/>
    <w:uiPriority w:val="99"/>
    <w:pPr>
      <w:ind w:firstLine="420" w:firstLineChars="200"/>
    </w:p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3">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7">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9">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1">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4">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5">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6">
    <w:name w:val="font71"/>
    <w:basedOn w:val="21"/>
    <w:qFormat/>
    <w:uiPriority w:val="0"/>
    <w:rPr>
      <w:rFonts w:hint="eastAsia" w:ascii="微软雅黑" w:hAnsi="微软雅黑" w:eastAsia="微软雅黑" w:cs="微软雅黑"/>
      <w:color w:val="000000"/>
      <w:sz w:val="12"/>
      <w:szCs w:val="12"/>
      <w:u w:val="none"/>
    </w:rPr>
  </w:style>
  <w:style w:type="character" w:customStyle="1" w:styleId="67">
    <w:name w:val="font41"/>
    <w:basedOn w:val="21"/>
    <w:qFormat/>
    <w:uiPriority w:val="0"/>
    <w:rPr>
      <w:rFonts w:ascii="Arial" w:hAnsi="Arial" w:cs="Arial"/>
      <w:color w:val="000000"/>
      <w:sz w:val="12"/>
      <w:szCs w:val="12"/>
      <w:u w:val="none"/>
    </w:rPr>
  </w:style>
  <w:style w:type="character" w:customStyle="1" w:styleId="68">
    <w:name w:val="font91"/>
    <w:basedOn w:val="21"/>
    <w:qFormat/>
    <w:uiPriority w:val="0"/>
    <w:rPr>
      <w:rFonts w:hint="eastAsia" w:ascii="微软雅黑" w:hAnsi="微软雅黑" w:eastAsia="微软雅黑" w:cs="微软雅黑"/>
      <w:b/>
      <w:color w:val="000000"/>
      <w:sz w:val="12"/>
      <w:szCs w:val="12"/>
      <w:u w:val="none"/>
    </w:rPr>
  </w:style>
  <w:style w:type="character" w:customStyle="1" w:styleId="69">
    <w:name w:val="font51"/>
    <w:basedOn w:val="21"/>
    <w:qFormat/>
    <w:uiPriority w:val="0"/>
    <w:rPr>
      <w:rFonts w:hint="eastAsia" w:ascii="微软雅黑" w:hAnsi="微软雅黑" w:eastAsia="微软雅黑" w:cs="微软雅黑"/>
      <w:b/>
      <w:color w:val="FF0000"/>
      <w:sz w:val="12"/>
      <w:szCs w:val="12"/>
      <w:u w:val="none"/>
    </w:rPr>
  </w:style>
  <w:style w:type="character" w:customStyle="1" w:styleId="70">
    <w:name w:val="font01"/>
    <w:basedOn w:val="21"/>
    <w:qFormat/>
    <w:uiPriority w:val="0"/>
    <w:rPr>
      <w:rFonts w:ascii="Symbol" w:hAnsi="Symbol" w:cs="Symbol"/>
      <w:color w:val="000000"/>
      <w:sz w:val="12"/>
      <w:szCs w:val="12"/>
      <w:u w:val="none"/>
    </w:rPr>
  </w:style>
  <w:style w:type="paragraph" w:customStyle="1" w:styleId="71">
    <w:name w:val="表格"/>
    <w:basedOn w:val="1"/>
    <w:qFormat/>
    <w:uiPriority w:val="0"/>
    <w:pPr>
      <w:spacing w:line="420" w:lineRule="exact"/>
      <w:ind w:left="84" w:leftChars="40"/>
      <w:jc w:val="center"/>
    </w:pPr>
    <w:rPr>
      <w:rFonts w:ascii="宋体" w:hAnsi="宋体"/>
      <w:bCs/>
      <w:spacing w:val="-12"/>
    </w:rPr>
  </w:style>
  <w:style w:type="paragraph" w:customStyle="1" w:styleId="7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3">
    <w:name w:val="TableGrid"/>
    <w:qFormat/>
    <w:uiPriority w:val="0"/>
    <w:tblPr>
      <w:tblCellMar>
        <w:top w:w="0" w:type="dxa"/>
        <w:left w:w="0" w:type="dxa"/>
        <w:bottom w:w="0" w:type="dxa"/>
        <w:right w:w="0" w:type="dxa"/>
      </w:tblCellMar>
    </w:tblPr>
  </w:style>
  <w:style w:type="paragraph" w:customStyle="1" w:styleId="74">
    <w:name w:val="WPS Plain"/>
    <w:qFormat/>
    <w:uiPriority w:val="0"/>
    <w:rPr>
      <w:rFonts w:ascii="Times New Roman" w:hAnsi="Times New Roman" w:eastAsia="宋体" w:cs="Times New Roman"/>
      <w:lang w:val="en-US" w:eastAsia="zh-CN" w:bidi="ar-SA"/>
    </w:rPr>
  </w:style>
  <w:style w:type="paragraph" w:customStyle="1" w:styleId="75">
    <w:name w:val="标书正文"/>
    <w:basedOn w:val="1"/>
    <w:qFormat/>
    <w:uiPriority w:val="0"/>
    <w:pPr>
      <w:spacing w:line="360" w:lineRule="auto"/>
      <w:ind w:firstLine="497" w:firstLineChars="207"/>
    </w:pPr>
    <w:rPr>
      <w:sz w:val="24"/>
      <w:szCs w:val="20"/>
    </w:rPr>
  </w:style>
  <w:style w:type="paragraph" w:customStyle="1" w:styleId="76">
    <w:name w:val="Default Text"/>
    <w:link w:val="7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7">
    <w:name w:val="Default Text Char"/>
    <w:link w:val="76"/>
    <w:qFormat/>
    <w:uiPriority w:val="0"/>
    <w:rPr>
      <w:color w:val="000000"/>
      <w:sz w:val="24"/>
      <w:szCs w:val="24"/>
    </w:rPr>
  </w:style>
  <w:style w:type="paragraph" w:customStyle="1" w:styleId="7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图表目录 New"/>
    <w:basedOn w:val="1"/>
    <w:next w:val="1"/>
    <w:qFormat/>
    <w:uiPriority w:val="0"/>
    <w:pPr>
      <w:numPr>
        <w:ilvl w:val="0"/>
        <w:numId w:val="2"/>
      </w:numPr>
      <w:tabs>
        <w:tab w:val="left" w:pos="920"/>
      </w:tabs>
      <w:adjustRightInd w:val="0"/>
      <w:spacing w:line="312" w:lineRule="atLeast"/>
      <w:jc w:val="center"/>
      <w:textAlignment w:val="baseline"/>
    </w:pPr>
    <w:rPr>
      <w:kern w:val="0"/>
      <w:szCs w:val="20"/>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88">
    <w:name w:val="纯文本1"/>
    <w:basedOn w:val="89"/>
    <w:qFormat/>
    <w:uiPriority w:val="0"/>
    <w:pPr>
      <w:widowControl/>
      <w:jc w:val="left"/>
    </w:pPr>
    <w:rPr>
      <w:rFonts w:ascii="宋体" w:hAnsi="Courier New"/>
    </w:rPr>
  </w:style>
  <w:style w:type="paragraph" w:customStyle="1" w:styleId="89">
    <w:name w:val="正文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0">
    <w:name w:val="默认段落字体1"/>
    <w:qFormat/>
    <w:uiPriority w:val="0"/>
  </w:style>
  <w:style w:type="paragraph" w:customStyle="1" w:styleId="91">
    <w:name w:val="Table Paragraph"/>
    <w:basedOn w:val="1"/>
    <w:qFormat/>
    <w:uiPriority w:val="1"/>
  </w:style>
  <w:style w:type="paragraph" w:customStyle="1" w:styleId="92">
    <w:name w:val="章标题"/>
    <w:basedOn w:val="1"/>
    <w:next w:val="93"/>
    <w:unhideWhenUsed/>
    <w:qFormat/>
    <w:uiPriority w:val="0"/>
    <w:pPr>
      <w:autoSpaceDE w:val="0"/>
      <w:autoSpaceDN w:val="0"/>
      <w:spacing w:beforeLines="50" w:afterLines="50"/>
      <w:outlineLvl w:val="1"/>
    </w:pPr>
    <w:rPr>
      <w:rFonts w:hint="eastAsia" w:ascii="黑体" w:hAnsi="Calibri" w:eastAsia="黑体" w:cs="Times New Roman"/>
      <w:szCs w:val="21"/>
      <w:lang w:val="zh-CN" w:bidi="zh-CN"/>
    </w:rPr>
  </w:style>
  <w:style w:type="paragraph" w:customStyle="1" w:styleId="93">
    <w:name w:val="段"/>
    <w:basedOn w:val="1"/>
    <w:next w:val="1"/>
    <w:unhideWhenUsed/>
    <w:qFormat/>
    <w:uiPriority w:val="0"/>
    <w:pPr>
      <w:autoSpaceDE w:val="0"/>
      <w:autoSpaceDN w:val="0"/>
      <w:ind w:firstLine="200" w:firstLineChars="200"/>
    </w:pPr>
    <w:rPr>
      <w:rFonts w:hint="eastAsia" w:ascii="宋体" w:hAnsi="宋体" w:eastAsia="宋体" w:cs="Times New Roman"/>
      <w:szCs w:val="21"/>
      <w:lang w:val="zh-CN" w:bidi="zh-CN"/>
    </w:rPr>
  </w:style>
  <w:style w:type="paragraph" w:customStyle="1" w:styleId="94">
    <w:name w:val="二级条标题"/>
    <w:basedOn w:val="95"/>
    <w:next w:val="93"/>
    <w:unhideWhenUsed/>
    <w:qFormat/>
    <w:uiPriority w:val="0"/>
    <w:pPr>
      <w:outlineLvl w:val="3"/>
    </w:pPr>
  </w:style>
  <w:style w:type="paragraph" w:customStyle="1" w:styleId="95">
    <w:name w:val="一级条标题"/>
    <w:basedOn w:val="92"/>
    <w:next w:val="93"/>
    <w:unhideWhenUsed/>
    <w:qFormat/>
    <w:uiPriority w:val="0"/>
    <w:pPr>
      <w:spacing w:beforeLines="0" w:afterLines="0"/>
      <w:outlineLvl w:val="2"/>
    </w:pPr>
  </w:style>
  <w:style w:type="paragraph" w:customStyle="1" w:styleId="96">
    <w:name w:val="三级条标题"/>
    <w:basedOn w:val="94"/>
    <w:next w:val="93"/>
    <w:link w:val="100"/>
    <w:unhideWhenUsed/>
    <w:qFormat/>
    <w:uiPriority w:val="0"/>
    <w:pPr>
      <w:ind w:left="3570"/>
      <w:outlineLvl w:val="4"/>
    </w:pPr>
  </w:style>
  <w:style w:type="paragraph" w:customStyle="1" w:styleId="97">
    <w:name w:val="正文图标题"/>
    <w:next w:val="1"/>
    <w:qFormat/>
    <w:uiPriority w:val="0"/>
    <w:pPr>
      <w:numPr>
        <w:ilvl w:val="0"/>
        <w:numId w:val="3"/>
      </w:numPr>
      <w:jc w:val="center"/>
    </w:pPr>
    <w:rPr>
      <w:rFonts w:ascii="黑体" w:hAnsi="黑体" w:eastAsia="黑体" w:cs="Times New Roman"/>
      <w:sz w:val="21"/>
      <w:lang w:val="en-US" w:eastAsia="zh-CN" w:bidi="ar-SA"/>
    </w:rPr>
  </w:style>
  <w:style w:type="paragraph" w:customStyle="1" w:styleId="98">
    <w:name w:val="正文公式编号制表符"/>
    <w:basedOn w:val="93"/>
    <w:next w:val="93"/>
    <w:link w:val="99"/>
    <w:qFormat/>
    <w:uiPriority w:val="0"/>
    <w:pPr>
      <w:tabs>
        <w:tab w:val="center" w:pos="4201"/>
        <w:tab w:val="right" w:leader="dot" w:pos="9298"/>
      </w:tabs>
      <w:ind w:firstLine="0" w:firstLineChars="0"/>
    </w:pPr>
  </w:style>
  <w:style w:type="character" w:customStyle="1" w:styleId="99">
    <w:name w:val="正文公式编号制表符 Char"/>
    <w:link w:val="98"/>
    <w:qFormat/>
    <w:uiPriority w:val="0"/>
  </w:style>
  <w:style w:type="character" w:customStyle="1" w:styleId="100">
    <w:name w:val="三级条标题 Char"/>
    <w:link w:val="96"/>
    <w:qFormat/>
    <w:uiPriority w:val="0"/>
  </w:style>
  <w:style w:type="paragraph" w:customStyle="1" w:styleId="101">
    <w:name w:val="三级无标题条"/>
    <w:basedOn w:val="1"/>
    <w:qFormat/>
    <w:uiPriority w:val="0"/>
    <w:rPr>
      <w:rFonts w:ascii="Calibri" w:hAnsi="Calibri" w:eastAsia="宋体" w:cs="Times New Roman"/>
      <w:szCs w:val="24"/>
    </w:rPr>
  </w:style>
  <w:style w:type="paragraph" w:customStyle="1" w:styleId="102">
    <w:name w:val="封面标准文稿编辑信息"/>
    <w:basedOn w:val="103"/>
    <w:qFormat/>
    <w:uiPriority w:val="0"/>
    <w:pPr>
      <w:spacing w:line="180" w:lineRule="exact"/>
      <w:jc w:val="center"/>
    </w:pPr>
    <w:rPr>
      <w:rFonts w:ascii="宋体" w:hAnsi="Times New Roman" w:eastAsia="宋体" w:cs="黑体"/>
      <w:sz w:val="21"/>
      <w:lang w:val="en-US" w:eastAsia="zh-CN" w:bidi="ar-SA"/>
    </w:rPr>
  </w:style>
  <w:style w:type="paragraph" w:customStyle="1" w:styleId="103">
    <w:name w:val="封面标准文稿类别"/>
    <w:basedOn w:val="104"/>
    <w:qFormat/>
    <w:uiPriority w:val="0"/>
    <w:pPr>
      <w:spacing w:after="160" w:line="240" w:lineRule="auto"/>
    </w:pPr>
    <w:rPr>
      <w:sz w:val="24"/>
    </w:rPr>
  </w:style>
  <w:style w:type="paragraph" w:customStyle="1" w:styleId="104">
    <w:name w:val="封面一致性程度标识"/>
    <w:basedOn w:val="105"/>
    <w:qFormat/>
    <w:uiPriority w:val="0"/>
    <w:pPr>
      <w:spacing w:before="440"/>
    </w:pPr>
    <w:rPr>
      <w:rFonts w:ascii="宋体" w:eastAsia="宋体"/>
    </w:rPr>
  </w:style>
  <w:style w:type="paragraph" w:customStyle="1" w:styleId="105">
    <w:name w:val="封面标准英文名称"/>
    <w:basedOn w:val="106"/>
    <w:qFormat/>
    <w:uiPriority w:val="0"/>
    <w:pPr>
      <w:spacing w:before="370" w:line="400" w:lineRule="exact"/>
    </w:pPr>
    <w:rPr>
      <w:rFonts w:ascii="Times New Roman"/>
      <w:sz w:val="28"/>
      <w:szCs w:val="28"/>
    </w:rPr>
  </w:style>
  <w:style w:type="paragraph" w:customStyle="1" w:styleId="10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107">
    <w:name w:val="font21"/>
    <w:basedOn w:val="21"/>
    <w:unhideWhenUsed/>
    <w:qFormat/>
    <w:uiPriority w:val="0"/>
    <w:rPr>
      <w:rFonts w:hint="eastAsia" w:ascii="宋体" w:hAnsi="宋体" w:eastAsia="宋体" w:cs="宋体"/>
      <w:color w:val="000000"/>
      <w:sz w:val="24"/>
      <w:szCs w:val="24"/>
      <w:vertAlign w:val="superscript"/>
    </w:rPr>
  </w:style>
  <w:style w:type="table" w:customStyle="1" w:styleId="10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0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68</Pages>
  <Words>29109</Words>
  <Characters>31126</Characters>
  <Lines>227</Lines>
  <Paragraphs>64</Paragraphs>
  <TotalTime>28</TotalTime>
  <ScaleCrop>false</ScaleCrop>
  <LinksUpToDate>false</LinksUpToDate>
  <CharactersWithSpaces>33331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        谜底、</cp:lastModifiedBy>
  <cp:lastPrinted>2021-03-10T05:43:00Z</cp:lastPrinted>
  <dcterms:modified xsi:type="dcterms:W3CDTF">2023-07-19T04:38:16Z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01BD055E64EC43D5BBC6DBF7646755D9_13</vt:lpwstr>
  </property>
</Properties>
</file>