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
          <w:bCs/>
          <w:sz w:val="28"/>
          <w:szCs w:val="28"/>
        </w:rPr>
      </w:pPr>
      <w:r>
        <w:rPr>
          <w:rFonts w:eastAsia="华文中宋"/>
          <w:sz w:val="36"/>
        </w:rPr>
        <w:drawing>
          <wp:inline distT="0" distB="0" distL="114300" distR="114300">
            <wp:extent cx="844550" cy="844550"/>
            <wp:effectExtent l="0" t="0" r="6350" b="6350"/>
            <wp:docPr id="1" name="图片 1" descr="C:\Users\Lenovo\Desktop\b0f17b7d6825d3e2e2c6f3b514171a1(1)(1).pngb0f17b7d6825d3e2e2c6f3b514171a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b0f17b7d6825d3e2e2c6f3b514171a1(1)(1).pngb0f17b7d6825d3e2e2c6f3b514171a1(1)(1)"/>
                    <pic:cNvPicPr>
                      <a:picLocks noChangeAspect="1"/>
                    </pic:cNvPicPr>
                  </pic:nvPicPr>
                  <pic:blipFill>
                    <a:blip r:embed="rId15"/>
                    <a:srcRect/>
                    <a:stretch>
                      <a:fillRect/>
                    </a:stretch>
                  </pic:blipFill>
                  <pic:spPr>
                    <a:xfrm>
                      <a:off x="0" y="0"/>
                      <a:ext cx="844550" cy="844550"/>
                    </a:xfrm>
                    <a:prstGeom prst="rect">
                      <a:avLst/>
                    </a:prstGeom>
                  </pic:spPr>
                </pic:pic>
              </a:graphicData>
            </a:graphic>
          </wp:inline>
        </w:drawing>
      </w:r>
    </w:p>
    <w:p>
      <w:pPr>
        <w:jc w:val="left"/>
        <w:rPr>
          <w:rFonts w:eastAsia="华文中宋"/>
          <w:sz w:val="36"/>
        </w:rPr>
      </w:pPr>
    </w:p>
    <w:p>
      <w:pPr>
        <w:jc w:val="both"/>
        <w:rPr>
          <w:rFonts w:eastAsia="黑体"/>
          <w:b/>
          <w:bCs/>
          <w:sz w:val="52"/>
          <w:szCs w:val="52"/>
        </w:rPr>
      </w:pPr>
    </w:p>
    <w:p>
      <w:pPr>
        <w:jc w:val="center"/>
        <w:rPr>
          <w:b/>
          <w:bCs/>
          <w:sz w:val="84"/>
        </w:rPr>
      </w:pPr>
      <w:r>
        <w:rPr>
          <w:rFonts w:hint="eastAsia" w:eastAsia="黑体"/>
          <w:b/>
          <w:bCs/>
          <w:sz w:val="52"/>
          <w:szCs w:val="52"/>
          <w:lang w:eastAsia="zh-CN"/>
        </w:rPr>
        <w:t>新疆财经大学公共管理应急虚拟仿真综合实验平台建设项目</w:t>
      </w:r>
    </w:p>
    <w:p/>
    <w:p>
      <w:pPr>
        <w:adjustRightInd w:val="0"/>
        <w:spacing w:line="360" w:lineRule="auto"/>
        <w:ind w:left="-1" w:leftChars="-1" w:hanging="1"/>
        <w:jc w:val="center"/>
        <w:textAlignment w:val="baseline"/>
        <w:rPr>
          <w:b/>
          <w:bCs/>
          <w:sz w:val="28"/>
          <w:szCs w:val="28"/>
        </w:rPr>
      </w:pPr>
    </w:p>
    <w:p>
      <w:pPr>
        <w:pStyle w:val="14"/>
        <w:rPr>
          <w:b/>
          <w:bCs/>
          <w:sz w:val="28"/>
          <w:szCs w:val="28"/>
        </w:rPr>
      </w:pPr>
    </w:p>
    <w:p>
      <w:pPr>
        <w:rPr>
          <w:b/>
          <w:bCs/>
          <w:sz w:val="28"/>
          <w:szCs w:val="28"/>
        </w:rPr>
      </w:pPr>
    </w:p>
    <w:p>
      <w:pPr>
        <w:pStyle w:val="14"/>
        <w:rPr>
          <w:b/>
          <w:bCs/>
          <w:sz w:val="28"/>
          <w:szCs w:val="28"/>
        </w:rPr>
      </w:pPr>
    </w:p>
    <w:p/>
    <w:p>
      <w:pPr>
        <w:adjustRightInd w:val="0"/>
        <w:spacing w:line="360" w:lineRule="auto"/>
        <w:ind w:left="-1" w:leftChars="-1" w:hanging="1"/>
        <w:jc w:val="center"/>
        <w:textAlignment w:val="baseline"/>
        <w:rPr>
          <w:rFonts w:hint="eastAsia" w:eastAsia="宋体"/>
          <w:b/>
          <w:bCs/>
          <w:sz w:val="32"/>
          <w:szCs w:val="32"/>
          <w:lang w:eastAsia="zh-CN"/>
        </w:rPr>
      </w:pPr>
      <w:r>
        <w:rPr>
          <w:b/>
          <w:bCs/>
          <w:sz w:val="32"/>
          <w:szCs w:val="32"/>
        </w:rPr>
        <w:t>项目编号：</w:t>
      </w:r>
      <w:r>
        <w:rPr>
          <w:rFonts w:hint="eastAsia"/>
          <w:b/>
          <w:bCs/>
          <w:sz w:val="32"/>
          <w:szCs w:val="32"/>
        </w:rPr>
        <w:t>0701-2340020110245</w:t>
      </w:r>
    </w:p>
    <w:p/>
    <w:p/>
    <w:p/>
    <w:p/>
    <w:p/>
    <w:p/>
    <w:p/>
    <w:p>
      <w:pPr>
        <w:spacing w:line="360" w:lineRule="auto"/>
        <w:jc w:val="center"/>
        <w:rPr>
          <w:kern w:val="0"/>
          <w:sz w:val="32"/>
          <w:szCs w:val="32"/>
        </w:rPr>
      </w:pPr>
      <w:r>
        <w:rPr>
          <w:rFonts w:eastAsia="黑体"/>
          <w:b/>
          <w:bCs/>
          <w:sz w:val="84"/>
        </w:rPr>
        <w:t>公开招标文件</w:t>
      </w:r>
    </w:p>
    <w:p>
      <w:pPr>
        <w:autoSpaceDE w:val="0"/>
        <w:autoSpaceDN w:val="0"/>
        <w:adjustRightInd w:val="0"/>
        <w:snapToGrid w:val="0"/>
        <w:spacing w:after="120" w:afterLines="50"/>
        <w:jc w:val="center"/>
        <w:rPr>
          <w:kern w:val="0"/>
          <w:sz w:val="32"/>
          <w:szCs w:val="32"/>
        </w:rPr>
      </w:pPr>
    </w:p>
    <w:p>
      <w:pPr>
        <w:pStyle w:val="19"/>
      </w:pPr>
    </w:p>
    <w:p>
      <w:pPr>
        <w:pStyle w:val="20"/>
      </w:pPr>
    </w:p>
    <w:p>
      <w:pPr>
        <w:pStyle w:val="20"/>
      </w:pPr>
    </w:p>
    <w:tbl>
      <w:tblPr>
        <w:tblStyle w:val="41"/>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   购   人：</w:t>
            </w:r>
          </w:p>
        </w:tc>
        <w:tc>
          <w:tcPr>
            <w:tcW w:w="4193" w:type="dxa"/>
          </w:tcPr>
          <w:p>
            <w:pPr>
              <w:autoSpaceDE w:val="0"/>
              <w:autoSpaceDN w:val="0"/>
              <w:adjustRightInd w:val="0"/>
              <w:snapToGrid w:val="0"/>
              <w:spacing w:after="120" w:afterLines="50"/>
              <w:jc w:val="left"/>
              <w:rPr>
                <w:rFonts w:hint="eastAsia" w:eastAsia="宋体"/>
                <w:b/>
                <w:bCs/>
                <w:kern w:val="0"/>
                <w:sz w:val="28"/>
                <w:szCs w:val="28"/>
                <w:lang w:eastAsia="zh-CN"/>
              </w:rPr>
            </w:pPr>
            <w:r>
              <w:rPr>
                <w:rFonts w:hint="eastAsia"/>
                <w:b/>
                <w:bCs/>
                <w:kern w:val="0"/>
                <w:sz w:val="28"/>
                <w:szCs w:val="28"/>
                <w:lang w:eastAsia="zh-CN"/>
              </w:rPr>
              <w:t>新疆财经大学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采购代理机构：</w:t>
            </w:r>
          </w:p>
        </w:tc>
        <w:tc>
          <w:tcPr>
            <w:tcW w:w="4193" w:type="dxa"/>
          </w:tcPr>
          <w:p>
            <w:pPr>
              <w:autoSpaceDE w:val="0"/>
              <w:autoSpaceDN w:val="0"/>
              <w:adjustRightInd w:val="0"/>
              <w:snapToGrid w:val="0"/>
              <w:spacing w:after="120" w:afterLines="50"/>
              <w:jc w:val="left"/>
              <w:rPr>
                <w:rFonts w:hint="eastAsia" w:eastAsia="宋体"/>
                <w:b/>
                <w:bCs/>
                <w:kern w:val="0"/>
                <w:sz w:val="28"/>
                <w:szCs w:val="28"/>
                <w:lang w:eastAsia="zh-CN"/>
              </w:rPr>
            </w:pPr>
            <w:r>
              <w:rPr>
                <w:rFonts w:hint="eastAsia"/>
                <w:b/>
                <w:bCs/>
                <w:kern w:val="0"/>
                <w:sz w:val="28"/>
                <w:szCs w:val="28"/>
                <w:lang w:eastAsia="zh-CN"/>
              </w:rPr>
              <w:t>中技国际招标有限公司</w:t>
            </w:r>
          </w:p>
        </w:tc>
      </w:tr>
    </w:tbl>
    <w:p>
      <w:pPr>
        <w:widowControl/>
        <w:jc w:val="center"/>
        <w:rPr>
          <w:kern w:val="0"/>
          <w:sz w:val="32"/>
          <w:szCs w:val="32"/>
          <w:highlight w:val="none"/>
        </w:rPr>
        <w:sectPr>
          <w:headerReference r:id="rId3" w:type="default"/>
          <w:pgSz w:w="11906" w:h="16838"/>
          <w:pgMar w:top="1440" w:right="1440" w:bottom="1440" w:left="1797" w:header="851" w:footer="992" w:gutter="0"/>
          <w:pgBorders>
            <w:top w:val="none" w:sz="0" w:space="0"/>
            <w:left w:val="none" w:sz="0" w:space="0"/>
            <w:bottom w:val="none" w:sz="0" w:space="0"/>
            <w:right w:val="none" w:sz="0" w:space="0"/>
          </w:pgBorders>
          <w:cols w:space="720" w:num="1"/>
          <w:titlePg/>
          <w:docGrid w:linePitch="312" w:charSpace="0"/>
        </w:sectPr>
      </w:pPr>
      <w:r>
        <w:rPr>
          <w:rFonts w:hint="eastAsia"/>
          <w:b/>
          <w:bCs/>
          <w:kern w:val="0"/>
          <w:sz w:val="28"/>
          <w:szCs w:val="28"/>
          <w:highlight w:val="none"/>
        </w:rPr>
        <w:t>2023年</w:t>
      </w:r>
      <w:r>
        <w:rPr>
          <w:rFonts w:hint="eastAsia"/>
          <w:b/>
          <w:bCs/>
          <w:kern w:val="0"/>
          <w:sz w:val="28"/>
          <w:szCs w:val="28"/>
          <w:highlight w:val="none"/>
          <w:lang w:val="en-US" w:eastAsia="zh-CN"/>
        </w:rPr>
        <w:t>07</w:t>
      </w:r>
      <w:r>
        <w:rPr>
          <w:rFonts w:hint="eastAsia"/>
          <w:b/>
          <w:bCs/>
          <w:kern w:val="0"/>
          <w:sz w:val="28"/>
          <w:szCs w:val="28"/>
          <w:highlight w:val="none"/>
        </w:rPr>
        <w:t>月</w:t>
      </w:r>
    </w:p>
    <w:sdt>
      <w:sdtPr>
        <w:rPr>
          <w:rFonts w:hint="eastAsia" w:ascii="宋体" w:hAnsi="宋体" w:cs="宋体"/>
          <w:sz w:val="28"/>
          <w:szCs w:val="28"/>
          <w:lang w:val="zh-CN"/>
        </w:rPr>
        <w:id w:val="772826775"/>
        <w:docPartObj>
          <w:docPartGallery w:val="Table of Contents"/>
          <w:docPartUnique/>
        </w:docPartObj>
      </w:sdtPr>
      <w:sdtEndPr>
        <w:rPr>
          <w:rFonts w:hint="eastAsia" w:ascii="宋体" w:hAnsi="宋体" w:cs="宋体"/>
          <w:sz w:val="20"/>
          <w:szCs w:val="22"/>
          <w:lang w:val="zh-CN"/>
        </w:rPr>
      </w:sdtEndPr>
      <w:sdtContent>
        <w:p>
          <w:pPr>
            <w:adjustRightInd w:val="0"/>
            <w:spacing w:line="240" w:lineRule="auto"/>
            <w:jc w:val="center"/>
            <w:rPr>
              <w:rFonts w:hint="eastAsia" w:ascii="宋体" w:hAnsi="宋体" w:eastAsia="宋体" w:cs="宋体"/>
              <w:b w:val="0"/>
              <w:bCs w:val="0"/>
              <w:snapToGrid w:val="0"/>
              <w:kern w:val="21"/>
              <w:sz w:val="18"/>
              <w:szCs w:val="18"/>
            </w:rPr>
          </w:pPr>
          <w:bookmarkStart w:id="0" w:name="_Toc7932"/>
          <w:bookmarkStart w:id="1" w:name="_Toc8825"/>
          <w:r>
            <w:rPr>
              <w:rFonts w:hint="eastAsia" w:ascii="宋体" w:hAnsi="宋体" w:eastAsia="宋体" w:cs="宋体"/>
              <w:b w:val="0"/>
              <w:bCs w:val="0"/>
              <w:snapToGrid w:val="0"/>
              <w:kern w:val="21"/>
              <w:sz w:val="18"/>
              <w:szCs w:val="18"/>
            </w:rPr>
            <w:t>目      录</w:t>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val="0"/>
              <w:caps w:val="0"/>
              <w:snapToGrid w:val="0"/>
              <w:kern w:val="21"/>
              <w:sz w:val="18"/>
              <w:szCs w:val="18"/>
            </w:rPr>
            <w:fldChar w:fldCharType="begin"/>
          </w:r>
          <w:r>
            <w:rPr>
              <w:rFonts w:hint="eastAsia" w:ascii="宋体" w:hAnsi="宋体" w:eastAsia="宋体" w:cs="宋体"/>
              <w:b w:val="0"/>
              <w:bCs w:val="0"/>
              <w:caps w:val="0"/>
              <w:snapToGrid w:val="0"/>
              <w:kern w:val="21"/>
              <w:sz w:val="18"/>
              <w:szCs w:val="18"/>
            </w:rPr>
            <w:instrText xml:space="preserve"> TOC \o "1-3" \h \z \u </w:instrText>
          </w:r>
          <w:r>
            <w:rPr>
              <w:rFonts w:hint="eastAsia" w:ascii="宋体" w:hAnsi="宋体" w:eastAsia="宋体" w:cs="宋体"/>
              <w:b w:val="0"/>
              <w:bCs w:val="0"/>
              <w:caps w:val="0"/>
              <w:snapToGrid w:val="0"/>
              <w:kern w:val="21"/>
              <w:sz w:val="18"/>
              <w:szCs w:val="18"/>
            </w:rPr>
            <w:fldChar w:fldCharType="separate"/>
          </w:r>
          <w:r>
            <w:rPr>
              <w:rFonts w:hint="eastAsia" w:ascii="宋体" w:hAnsi="宋体" w:eastAsia="宋体" w:cs="宋体"/>
              <w:b w:val="0"/>
              <w:bCs/>
              <w:caps w:val="0"/>
              <w:snapToGrid w:val="0"/>
              <w:kern w:val="21"/>
              <w:sz w:val="21"/>
              <w:szCs w:val="21"/>
            </w:rPr>
            <w:fldChar w:fldCharType="begin"/>
          </w:r>
          <w:r>
            <w:rPr>
              <w:rFonts w:hint="eastAsia" w:ascii="宋体" w:hAnsi="宋体" w:eastAsia="宋体" w:cs="宋体"/>
              <w:b w:val="0"/>
              <w:bCs/>
              <w:caps w:val="0"/>
              <w:snapToGrid w:val="0"/>
              <w:kern w:val="21"/>
              <w:sz w:val="21"/>
              <w:szCs w:val="21"/>
            </w:rPr>
            <w:instrText xml:space="preserve"> HYPERLINK \l _Toc12447 </w:instrText>
          </w:r>
          <w:r>
            <w:rPr>
              <w:rFonts w:hint="eastAsia" w:ascii="宋体" w:hAnsi="宋体" w:eastAsia="宋体" w:cs="宋体"/>
              <w:b w:val="0"/>
              <w:bCs/>
              <w:caps w:val="0"/>
              <w:snapToGrid w:val="0"/>
              <w:kern w:val="21"/>
              <w:sz w:val="21"/>
              <w:szCs w:val="21"/>
            </w:rPr>
            <w:fldChar w:fldCharType="separate"/>
          </w:r>
          <w:r>
            <w:rPr>
              <w:rFonts w:hint="eastAsia" w:ascii="宋体" w:hAnsi="宋体" w:eastAsia="宋体" w:cs="宋体"/>
              <w:b w:val="0"/>
              <w:bCs/>
              <w:kern w:val="0"/>
              <w:sz w:val="21"/>
              <w:szCs w:val="21"/>
            </w:rPr>
            <w:t>第一章  招标公告</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_Toc12447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caps w:val="0"/>
              <w:snapToGrid w:val="0"/>
              <w:kern w:val="21"/>
              <w:sz w:val="21"/>
              <w:szCs w:val="21"/>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_Toc27352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一、项目基本情况</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_Toc27352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_Toc30387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二、申请人的资格要求：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_Toc30387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_Toc5245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三、获取招标文件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_Toc5245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_Toc25666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highlight w:val="none"/>
            </w:rPr>
            <w:t>四、提交投标文件截止时间、开标时间和地点</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_Toc25666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_Toc29175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五、公告期限</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_Toc29175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_Toc10360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六、其他补充事宜</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_Toc10360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_Toc8715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七、对本次招标提出询问，请按以下方式联系。</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_Toc8715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_Toc27202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lang w:val="en-US" w:eastAsia="zh-CN"/>
            </w:rPr>
            <w:t>第二章 投标人须知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_Toc27202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_Toc3643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（一）投标人须知前附表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_Toc3643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_Toc6688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（二）投标人须知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_Toc6688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_Toc1519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1 总则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_Toc1519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_Toc28476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2 招标文件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_Toc28476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_Toc23451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3 投标文件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_Toc23451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_Toc21084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4 加密电子投标文件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_Toc21084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_Toc23658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5 开标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_Toc23658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_Toc19837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6 资格审查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_Toc19837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_Toc32251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7 评标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_Toc32251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_Toc3341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8 合同授予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_Toc3341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_Toc15142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9 纪律和监督</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_Toc15142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_Toc10266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 xml:space="preserve">10 </w:t>
          </w:r>
          <w:r>
            <w:rPr>
              <w:rFonts w:hint="eastAsia" w:ascii="宋体" w:hAnsi="宋体" w:eastAsia="宋体" w:cs="宋体"/>
              <w:b w:val="0"/>
              <w:bCs/>
              <w:kern w:val="0"/>
              <w:sz w:val="21"/>
              <w:szCs w:val="21"/>
              <w:lang w:val="en-US" w:eastAsia="zh-CN" w:bidi="ar-SA"/>
            </w:rPr>
            <w:t>是否采用电子招标投标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_Toc10266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_Toc8178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11 需要补充的其他内容</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_Toc8178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_Toc20220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第三章 资格审查、评标办法和标准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_Toc20220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_Toc17946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1 资格审查及标准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_Toc17946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_Toc15422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2 评标方法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_Toc15422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_Toc20176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3 评审标准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_Toc20176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_Toc25036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4 评审程序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_Toc25036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_Toc2989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附表一 资格审查表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_Toc23742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附表二 符合性审查表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_Toc23742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_Toc22496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附表三 详细评审表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_Toc22496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_Toc19501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第四章 合同条款</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_Toc19501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_Toc27678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第一条：合同标的</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_Toc27678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_Toc19443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第二条：合同价格及交货</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_Toc19443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_Toc6738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第三条：安装调试及培训</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_Toc6738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_Toc4131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第四条：质量保证和售后服务</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_Toc4131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_Toc26568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第五条：软件验收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_Toc26568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_Toc1532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第六条：退货与换货</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_Toc1532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_Toc2724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第七条：付款：</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_Toc2724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_Toc13008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第八条：甲方的权利和义务</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_Toc13008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_Toc23570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第九条：乙方的权利</w:t>
          </w:r>
          <w:r>
            <w:rPr>
              <w:rFonts w:hint="eastAsia" w:ascii="宋体" w:hAnsi="宋体" w:eastAsia="宋体" w:cs="宋体"/>
              <w:b w:val="0"/>
              <w:bCs/>
              <w:sz w:val="21"/>
              <w:szCs w:val="21"/>
              <w:lang w:val="en-US" w:eastAsia="zh-CN"/>
            </w:rPr>
            <w:t>和</w:t>
          </w:r>
          <w:r>
            <w:rPr>
              <w:rFonts w:hint="eastAsia" w:ascii="宋体" w:hAnsi="宋体" w:eastAsia="宋体" w:cs="宋体"/>
              <w:b w:val="0"/>
              <w:bCs/>
              <w:sz w:val="21"/>
              <w:szCs w:val="21"/>
            </w:rPr>
            <w:t>义务</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_Toc23570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_Toc28266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第十条：保证条款</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_Toc28266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_Toc29368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第十一条：保修</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_Toc29368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_Toc17083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第十二条：不可抗力</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_Toc17083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_Toc20256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第十三条：违约责任</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_Toc20256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_Toc15124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第十四条：适用法律及争议解决</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_Toc15124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_Toc28798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第十五条：其他</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_Toc28798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_Toc7774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第五章 采购需求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_Toc7774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_Toc15507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第六章 投标文件格式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_Toc15507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_Toc29671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第一部分  商务部分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_Toc29671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_Toc15292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一、投标函</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_Toc15292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_Toc28604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二、《法定代表人资格证明书》或《法定代表人授权委托书》等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_Toc28604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_Toc29296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三、资格审查证明文件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_Toc29296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_Toc2727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rPr>
            <w:t>、投标人供货业绩一览表（2020年1月1日至投标截止日）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_Toc2727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_Toc11195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rPr>
            <w:t>、商务偏差表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_Toc11195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_Toc27464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rPr>
            <w:t>、投标人基本情况表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_Toc27464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_Toc25716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rPr>
            <w:t>、投标承诺书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_Toc25716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_Toc12523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八</w:t>
          </w:r>
          <w:r>
            <w:rPr>
              <w:rFonts w:hint="eastAsia" w:ascii="宋体" w:hAnsi="宋体" w:eastAsia="宋体" w:cs="宋体"/>
              <w:b w:val="0"/>
              <w:bCs/>
              <w:sz w:val="21"/>
              <w:szCs w:val="21"/>
            </w:rPr>
            <w:t>、反商业贿赂承诺书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_Toc12523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_Toc17729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rPr>
            <w:t>、项目负责人简历表及拟投入本项目主要成员表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_Toc17729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_Toc30210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十、其他商务部分资料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_Toc30210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_Toc18856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rPr>
            <w:t>、其他补充资料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_Toc18856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_Toc20329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第二部分  报价部分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_Toc20329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_Toc25790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一、开标一览表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_Toc25790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_Toc30435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w:t>
          </w:r>
          <w:r>
            <w:rPr>
              <w:rFonts w:hint="eastAsia" w:ascii="宋体" w:hAnsi="宋体" w:eastAsia="宋体" w:cs="宋体"/>
              <w:b w:val="0"/>
              <w:bCs/>
              <w:sz w:val="21"/>
              <w:szCs w:val="21"/>
              <w:lang w:val="en-US" w:eastAsia="zh-CN"/>
            </w:rPr>
            <w:t>分项报价</w:t>
          </w:r>
          <w:r>
            <w:rPr>
              <w:rFonts w:hint="eastAsia" w:ascii="宋体" w:hAnsi="宋体" w:eastAsia="宋体" w:cs="宋体"/>
              <w:b w:val="0"/>
              <w:bCs/>
              <w:sz w:val="21"/>
              <w:szCs w:val="21"/>
            </w:rPr>
            <w:t>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_Toc30435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_Toc14389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第三部分  技术部分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_Toc14389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_Toc627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一、技术偏离表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_Toc627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_Toc22730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二、服务方案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_Toc22730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_Toc22395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软件</w:t>
          </w:r>
          <w:r>
            <w:rPr>
              <w:rFonts w:hint="eastAsia" w:ascii="宋体" w:hAnsi="宋体" w:eastAsia="宋体" w:cs="宋体"/>
              <w:b w:val="0"/>
              <w:bCs/>
              <w:sz w:val="21"/>
              <w:szCs w:val="21"/>
            </w:rPr>
            <w:t>技术支持文件（包含但不限于彩页等）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_Toc22395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_Toc13176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rPr>
            <w:t>、售后服务承诺书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_Toc13176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_Toc16322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rPr>
            <w:t>、质量保证承诺书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_Toc16322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_Toc207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rPr>
            <w:t>、其他资料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_Toc30681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第七章 其它</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_Toc30681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98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adjustRightInd w:val="0"/>
            <w:spacing w:line="240" w:lineRule="auto"/>
            <w:jc w:val="right"/>
            <w:rPr>
              <w:kern w:val="0"/>
              <w:sz w:val="28"/>
              <w:szCs w:val="28"/>
            </w:rPr>
          </w:pPr>
          <w:r>
            <w:rPr>
              <w:rFonts w:hint="eastAsia" w:ascii="宋体" w:hAnsi="宋体" w:eastAsia="宋体" w:cs="宋体"/>
              <w:bCs w:val="0"/>
              <w:snapToGrid w:val="0"/>
              <w:kern w:val="21"/>
              <w:szCs w:val="18"/>
              <w:lang w:val="zh-CN"/>
            </w:rPr>
            <w:fldChar w:fldCharType="end"/>
          </w:r>
        </w:p>
      </w:sdtContent>
    </w:sdt>
    <w:p>
      <w:pPr>
        <w:autoSpaceDE w:val="0"/>
        <w:autoSpaceDN w:val="0"/>
        <w:adjustRightInd w:val="0"/>
        <w:snapToGrid w:val="0"/>
        <w:spacing w:after="120" w:afterLines="50"/>
        <w:jc w:val="center"/>
        <w:outlineLvl w:val="0"/>
        <w:rPr>
          <w:rFonts w:eastAsia="黑体"/>
          <w:kern w:val="0"/>
          <w:sz w:val="28"/>
          <w:szCs w:val="28"/>
        </w:rPr>
        <w:sectPr>
          <w:footerReference r:id="rId4" w:type="default"/>
          <w:pgSz w:w="11906" w:h="16838"/>
          <w:pgMar w:top="1440" w:right="1440" w:bottom="1440" w:left="1797" w:header="851" w:footer="992" w:gutter="0"/>
          <w:pgBorders>
            <w:top w:val="none" w:sz="0" w:space="0"/>
            <w:left w:val="none" w:sz="0" w:space="0"/>
            <w:bottom w:val="none" w:sz="0" w:space="0"/>
            <w:right w:val="none" w:sz="0" w:space="0"/>
          </w:pgBorders>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 w:name="_Toc12447"/>
      <w:r>
        <w:rPr>
          <w:rFonts w:eastAsia="黑体"/>
          <w:kern w:val="0"/>
          <w:sz w:val="32"/>
          <w:szCs w:val="32"/>
        </w:rPr>
        <w:t xml:space="preserve">第一章  </w:t>
      </w:r>
      <w:bookmarkEnd w:id="0"/>
      <w:r>
        <w:rPr>
          <w:rFonts w:eastAsia="黑体"/>
          <w:kern w:val="0"/>
          <w:sz w:val="32"/>
          <w:szCs w:val="32"/>
        </w:rPr>
        <w:t>招标公告</w:t>
      </w:r>
      <w:bookmarkEnd w:id="1"/>
      <w:bookmarkEnd w:id="2"/>
    </w:p>
    <w:p>
      <w:pPr>
        <w:jc w:val="center"/>
        <w:rPr>
          <w:sz w:val="24"/>
        </w:rPr>
      </w:pPr>
    </w:p>
    <w:p>
      <w:pPr>
        <w:pBdr>
          <w:top w:val="single" w:color="auto" w:sz="4" w:space="1"/>
          <w:left w:val="single" w:color="auto" w:sz="4" w:space="4"/>
          <w:bottom w:val="single" w:color="auto" w:sz="4" w:space="1"/>
          <w:right w:val="single" w:color="auto" w:sz="4" w:space="4"/>
        </w:pBdr>
        <w:spacing w:line="360" w:lineRule="auto"/>
        <w:rPr>
          <w:sz w:val="24"/>
        </w:rPr>
      </w:pPr>
      <w:bookmarkStart w:id="3" w:name="_Toc31486"/>
      <w:r>
        <w:rPr>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highlight w:val="none"/>
        </w:rPr>
      </w:pPr>
      <w:r>
        <w:rPr>
          <w:rFonts w:hint="eastAsia"/>
          <w:sz w:val="24"/>
          <w:u w:val="single"/>
          <w:lang w:eastAsia="zh-CN"/>
        </w:rPr>
        <w:t>新疆财经大学公共管理应急虚拟仿真综合实验平台建设项目</w:t>
      </w:r>
      <w:r>
        <w:rPr>
          <w:sz w:val="24"/>
        </w:rPr>
        <w:t>招标项目的潜在投标人应在</w:t>
      </w:r>
      <w:r>
        <w:rPr>
          <w:rFonts w:hint="eastAsia"/>
          <w:sz w:val="24"/>
          <w:u w:val="single"/>
        </w:rPr>
        <w:t>政府采购云平台</w:t>
      </w:r>
      <w:r>
        <w:rPr>
          <w:sz w:val="24"/>
        </w:rPr>
        <w:t>获取招标文件，并</w:t>
      </w:r>
      <w:r>
        <w:rPr>
          <w:sz w:val="24"/>
          <w:highlight w:val="none"/>
        </w:rPr>
        <w:t>于</w:t>
      </w:r>
      <w:r>
        <w:rPr>
          <w:sz w:val="24"/>
          <w:highlight w:val="none"/>
          <w:u w:val="single"/>
        </w:rPr>
        <w:t xml:space="preserve"> 202</w:t>
      </w:r>
      <w:r>
        <w:rPr>
          <w:rFonts w:hint="eastAsia"/>
          <w:sz w:val="24"/>
          <w:highlight w:val="none"/>
          <w:u w:val="single"/>
        </w:rPr>
        <w:t>3</w:t>
      </w:r>
      <w:r>
        <w:rPr>
          <w:bCs/>
          <w:sz w:val="24"/>
          <w:highlight w:val="none"/>
          <w:u w:val="single"/>
        </w:rPr>
        <w:t>年</w:t>
      </w:r>
      <w:r>
        <w:rPr>
          <w:rFonts w:hint="eastAsia"/>
          <w:bCs/>
          <w:color w:val="auto"/>
          <w:sz w:val="24"/>
          <w:highlight w:val="none"/>
          <w:u w:val="single"/>
        </w:rPr>
        <w:t>0</w:t>
      </w:r>
      <w:r>
        <w:rPr>
          <w:rFonts w:hint="eastAsia"/>
          <w:bCs/>
          <w:color w:val="auto"/>
          <w:sz w:val="24"/>
          <w:highlight w:val="none"/>
          <w:u w:val="single"/>
          <w:lang w:val="en-US" w:eastAsia="zh-CN"/>
        </w:rPr>
        <w:t>8</w:t>
      </w:r>
      <w:r>
        <w:rPr>
          <w:bCs/>
          <w:color w:val="auto"/>
          <w:sz w:val="24"/>
          <w:highlight w:val="none"/>
          <w:u w:val="single"/>
        </w:rPr>
        <w:t>月</w:t>
      </w:r>
      <w:r>
        <w:rPr>
          <w:rFonts w:hint="eastAsia"/>
          <w:bCs/>
          <w:color w:val="auto"/>
          <w:sz w:val="24"/>
          <w:highlight w:val="none"/>
          <w:u w:val="single"/>
          <w:lang w:val="en-US" w:eastAsia="zh-CN"/>
        </w:rPr>
        <w:t>09</w:t>
      </w:r>
      <w:r>
        <w:rPr>
          <w:bCs/>
          <w:color w:val="auto"/>
          <w:sz w:val="24"/>
          <w:highlight w:val="none"/>
          <w:u w:val="single"/>
        </w:rPr>
        <w:t>日11</w:t>
      </w:r>
      <w:r>
        <w:rPr>
          <w:bCs/>
          <w:sz w:val="24"/>
          <w:highlight w:val="none"/>
          <w:u w:val="single"/>
        </w:rPr>
        <w:t>点00分（</w:t>
      </w:r>
      <w:r>
        <w:rPr>
          <w:bCs/>
          <w:sz w:val="24"/>
          <w:highlight w:val="none"/>
        </w:rPr>
        <w:t>北京时间）前递交投标文件</w:t>
      </w:r>
      <w:r>
        <w:rPr>
          <w:sz w:val="24"/>
          <w:highlight w:val="none"/>
        </w:rPr>
        <w:t>。</w:t>
      </w:r>
    </w:p>
    <w:p>
      <w:pPr>
        <w:rPr>
          <w:sz w:val="28"/>
          <w:szCs w:val="28"/>
        </w:rPr>
      </w:pPr>
    </w:p>
    <w:p>
      <w:pPr>
        <w:pStyle w:val="4"/>
        <w:spacing w:before="0" w:after="0" w:line="360" w:lineRule="auto"/>
        <w:rPr>
          <w:rFonts w:ascii="Times New Roman" w:hAnsi="Times New Roman"/>
          <w:b w:val="0"/>
          <w:sz w:val="28"/>
          <w:szCs w:val="28"/>
        </w:rPr>
      </w:pPr>
      <w:bookmarkStart w:id="4" w:name="_Toc27352"/>
      <w:bookmarkStart w:id="5" w:name="_Toc35393621"/>
      <w:bookmarkStart w:id="6" w:name="_Toc28359079"/>
      <w:bookmarkStart w:id="7" w:name="_Toc28359002"/>
      <w:bookmarkStart w:id="8" w:name="_Toc25017"/>
      <w:bookmarkStart w:id="9" w:name="_Toc35393790"/>
      <w:bookmarkStart w:id="10" w:name="_Hlk24379207"/>
      <w:r>
        <w:rPr>
          <w:rFonts w:hint="eastAsia" w:ascii="Times New Roman" w:hAnsi="Times New Roman"/>
          <w:b w:val="0"/>
          <w:sz w:val="28"/>
          <w:szCs w:val="28"/>
        </w:rPr>
        <w:t>一、项目</w:t>
      </w:r>
      <w:r>
        <w:rPr>
          <w:rFonts w:ascii="Times New Roman" w:hAnsi="Times New Roman"/>
          <w:b w:val="0"/>
          <w:sz w:val="28"/>
          <w:szCs w:val="28"/>
        </w:rPr>
        <w:t>基本情况</w:t>
      </w:r>
      <w:bookmarkEnd w:id="4"/>
      <w:bookmarkEnd w:id="5"/>
      <w:bookmarkEnd w:id="6"/>
      <w:bookmarkEnd w:id="7"/>
      <w:bookmarkEnd w:id="8"/>
      <w:bookmarkEnd w:id="9"/>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项目编号：</w:t>
      </w:r>
      <w:r>
        <w:rPr>
          <w:rFonts w:hint="eastAsia"/>
          <w:shd w:val="clear" w:color="auto" w:fill="FFFFFF"/>
        </w:rPr>
        <w:t>0701-2340020110245</w:t>
      </w:r>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项目名称：</w:t>
      </w:r>
      <w:r>
        <w:rPr>
          <w:rFonts w:hint="eastAsia"/>
          <w:shd w:val="clear" w:color="auto" w:fill="FFFFFF"/>
          <w:lang w:eastAsia="zh-CN"/>
        </w:rPr>
        <w:t>新疆财经大学公共管理应急虚拟仿真综合实验平台建设项目</w:t>
      </w:r>
    </w:p>
    <w:p>
      <w:pPr>
        <w:pStyle w:val="37"/>
        <w:widowControl/>
        <w:spacing w:beforeAutospacing="0" w:afterAutospacing="0" w:line="360" w:lineRule="auto"/>
        <w:ind w:firstLine="480" w:firstLineChars="200"/>
        <w:jc w:val="both"/>
        <w:rPr>
          <w:shd w:val="clear" w:color="auto" w:fill="FFFFFF"/>
        </w:rPr>
      </w:pPr>
      <w:r>
        <w:rPr>
          <w:rFonts w:hint="eastAsia"/>
          <w:shd w:val="clear" w:color="auto" w:fill="FFFFFF"/>
        </w:rPr>
        <w:t>采购方式：公开招标</w:t>
      </w:r>
    </w:p>
    <w:p>
      <w:pPr>
        <w:pStyle w:val="37"/>
        <w:widowControl/>
        <w:spacing w:beforeAutospacing="0" w:afterAutospacing="0" w:line="360" w:lineRule="auto"/>
        <w:ind w:firstLine="480" w:firstLineChars="200"/>
        <w:jc w:val="both"/>
        <w:rPr>
          <w:shd w:val="clear" w:color="auto" w:fill="FFFFFF"/>
        </w:rPr>
      </w:pPr>
      <w:r>
        <w:rPr>
          <w:shd w:val="clear" w:color="auto" w:fill="FFFFFF"/>
        </w:rPr>
        <w:t>预算金额</w:t>
      </w:r>
      <w:r>
        <w:rPr>
          <w:rFonts w:hint="eastAsia"/>
          <w:shd w:val="clear" w:color="auto" w:fill="FFFFFF"/>
        </w:rPr>
        <w:t>（元）</w:t>
      </w:r>
      <w:r>
        <w:rPr>
          <w:shd w:val="clear" w:color="auto" w:fill="FFFFFF"/>
        </w:rPr>
        <w:t>：</w:t>
      </w:r>
      <w:r>
        <w:rPr>
          <w:rFonts w:hint="eastAsia" w:cs="Times New Roman"/>
          <w:kern w:val="0"/>
          <w:sz w:val="24"/>
          <w:szCs w:val="24"/>
          <w:lang w:val="en-US" w:eastAsia="zh-CN" w:bidi="ar-SA"/>
        </w:rPr>
        <w:t>8</w:t>
      </w:r>
      <w:r>
        <w:rPr>
          <w:rFonts w:hint="eastAsia" w:ascii="Times New Roman" w:hAnsi="Times New Roman" w:eastAsia="宋体" w:cs="Times New Roman"/>
          <w:kern w:val="0"/>
          <w:sz w:val="24"/>
          <w:szCs w:val="24"/>
          <w:lang w:val="en-US" w:eastAsia="zh-CN" w:bidi="ar-SA"/>
        </w:rPr>
        <w:t>00,000.00</w:t>
      </w:r>
    </w:p>
    <w:bookmarkEnd w:id="10"/>
    <w:p>
      <w:pPr>
        <w:pStyle w:val="37"/>
        <w:widowControl/>
        <w:spacing w:beforeAutospacing="0" w:afterAutospacing="0" w:line="360" w:lineRule="auto"/>
        <w:ind w:firstLine="480" w:firstLineChars="200"/>
        <w:jc w:val="both"/>
        <w:rPr>
          <w:rFonts w:hint="eastAsia"/>
          <w:highlight w:val="none"/>
        </w:rPr>
      </w:pPr>
      <w:r>
        <w:rPr>
          <w:shd w:val="clear" w:color="auto" w:fill="FFFFFF"/>
        </w:rPr>
        <w:t>最高限价</w:t>
      </w:r>
      <w:r>
        <w:rPr>
          <w:rFonts w:hint="eastAsia"/>
          <w:shd w:val="clear" w:color="auto" w:fill="FFFFFF"/>
        </w:rPr>
        <w:t>（元</w:t>
      </w:r>
      <w:r>
        <w:rPr>
          <w:rFonts w:hint="eastAsia"/>
          <w:highlight w:val="none"/>
          <w:shd w:val="clear" w:color="auto" w:fill="FFFFFF"/>
        </w:rPr>
        <w:t>）：</w:t>
      </w:r>
      <w:r>
        <w:rPr>
          <w:rFonts w:hint="eastAsia" w:cs="Times New Roman"/>
          <w:kern w:val="0"/>
          <w:sz w:val="24"/>
          <w:szCs w:val="24"/>
          <w:lang w:val="en-US" w:eastAsia="zh-CN" w:bidi="ar-SA"/>
        </w:rPr>
        <w:t>8</w:t>
      </w:r>
      <w:r>
        <w:rPr>
          <w:rFonts w:hint="eastAsia" w:ascii="Times New Roman" w:hAnsi="Times New Roman" w:eastAsia="宋体" w:cs="Times New Roman"/>
          <w:kern w:val="0"/>
          <w:sz w:val="24"/>
          <w:szCs w:val="24"/>
          <w:lang w:val="en-US" w:eastAsia="zh-CN" w:bidi="ar-SA"/>
        </w:rPr>
        <w:t>00,000.00</w:t>
      </w:r>
    </w:p>
    <w:p>
      <w:pPr>
        <w:pStyle w:val="37"/>
        <w:widowControl/>
        <w:spacing w:beforeAutospacing="0" w:afterAutospacing="0" w:line="360" w:lineRule="auto"/>
        <w:ind w:firstLine="480" w:firstLineChars="200"/>
        <w:jc w:val="both"/>
        <w:rPr>
          <w:shd w:val="clear" w:color="auto" w:fill="FFFFFF"/>
        </w:rPr>
      </w:pPr>
      <w:r>
        <w:rPr>
          <w:shd w:val="clear" w:color="auto" w:fill="FFFFFF"/>
        </w:rPr>
        <w:t>采购需求：</w:t>
      </w:r>
      <w:r>
        <w:rPr>
          <w:rFonts w:hint="eastAsia"/>
          <w:shd w:val="clear" w:color="auto" w:fill="FFFFFF"/>
        </w:rPr>
        <w:t>详见招标文件第五章采购需求。</w:t>
      </w:r>
    </w:p>
    <w:p>
      <w:pPr>
        <w:pStyle w:val="37"/>
        <w:widowControl/>
        <w:spacing w:beforeAutospacing="0" w:afterAutospacing="0" w:line="360" w:lineRule="auto"/>
        <w:ind w:left="1142" w:hanging="1142" w:hangingChars="474"/>
        <w:rPr>
          <w:rFonts w:hint="eastAsia" w:ascii="Times New Roman" w:hAnsi="Times New Roman" w:eastAsia="宋体" w:cs="Times New Roman"/>
          <w:kern w:val="2"/>
          <w:sz w:val="24"/>
          <w:szCs w:val="24"/>
          <w:shd w:val="clear" w:color="auto" w:fill="FFFFFF"/>
          <w:lang w:val="en-US" w:eastAsia="zh-CN" w:bidi="ar-SA"/>
        </w:rPr>
      </w:pPr>
      <w:r>
        <w:rPr>
          <w:rFonts w:hint="eastAsia"/>
          <w:b/>
          <w:bCs/>
          <w:shd w:val="clear" w:color="auto" w:fill="FFFFFF"/>
        </w:rPr>
        <w:t>标项一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szCs w:val="24"/>
          <w:shd w:val="clear" w:color="auto" w:fill="FFFFFF"/>
          <w:lang w:val="en-US" w:eastAsia="zh-CN" w:bidi="ar-SA"/>
        </w:rPr>
      </w:pPr>
      <w:r>
        <w:rPr>
          <w:rFonts w:hint="eastAsia" w:ascii="Times New Roman" w:hAnsi="Times New Roman" w:eastAsia="宋体" w:cs="Times New Roman"/>
          <w:kern w:val="2"/>
          <w:sz w:val="24"/>
          <w:szCs w:val="24"/>
          <w:shd w:val="clear" w:color="auto" w:fill="FFFFFF"/>
          <w:lang w:val="en-US" w:eastAsia="zh-CN" w:bidi="ar-SA"/>
        </w:rPr>
        <w:t>标项名称：</w:t>
      </w:r>
      <w:r>
        <w:rPr>
          <w:rFonts w:hint="eastAsia" w:cs="Times New Roman"/>
          <w:kern w:val="2"/>
          <w:sz w:val="24"/>
          <w:szCs w:val="24"/>
          <w:shd w:val="clear" w:color="auto" w:fill="FFFFFF"/>
          <w:lang w:val="en-US" w:eastAsia="zh-CN" w:bidi="ar-SA"/>
        </w:rPr>
        <w:t>新疆财经大学公共管理应急虚拟仿真综合实验平台建设项目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hd w:val="clear" w:color="auto" w:fill="FFFFFF"/>
          <w:lang w:val="en-US" w:eastAsia="zh-CN"/>
        </w:rPr>
      </w:pPr>
      <w:r>
        <w:rPr>
          <w:rFonts w:hint="eastAsia"/>
          <w:sz w:val="24"/>
          <w:shd w:val="clear" w:color="auto" w:fill="FFFFFF"/>
        </w:rPr>
        <w:t xml:space="preserve">数量: </w:t>
      </w:r>
      <w:r>
        <w:rPr>
          <w:rFonts w:hint="eastAsia"/>
          <w:sz w:val="24"/>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0"/>
          <w:sz w:val="24"/>
          <w:szCs w:val="24"/>
          <w:lang w:val="en-US" w:eastAsia="zh-CN" w:bidi="ar-SA"/>
        </w:rPr>
      </w:pPr>
      <w:r>
        <w:rPr>
          <w:rFonts w:hint="eastAsia"/>
          <w:sz w:val="24"/>
          <w:shd w:val="clear" w:color="auto" w:fill="FFFFFF"/>
        </w:rPr>
        <w:t>预算金额（元</w:t>
      </w:r>
      <w:r>
        <w:rPr>
          <w:rFonts w:hint="eastAsia" w:ascii="Times New Roman" w:hAnsi="Times New Roman" w:eastAsia="宋体" w:cs="Times New Roman"/>
          <w:kern w:val="0"/>
          <w:sz w:val="24"/>
          <w:szCs w:val="24"/>
          <w:lang w:val="en-US" w:eastAsia="zh-CN" w:bidi="ar-SA"/>
        </w:rPr>
        <w:t xml:space="preserve">）: </w:t>
      </w:r>
      <w:r>
        <w:rPr>
          <w:rFonts w:hint="eastAsia" w:cs="Times New Roman"/>
          <w:kern w:val="0"/>
          <w:sz w:val="24"/>
          <w:szCs w:val="24"/>
          <w:lang w:val="en-US" w:eastAsia="zh-CN" w:bidi="ar-SA"/>
        </w:rPr>
        <w:t>8</w:t>
      </w:r>
      <w:r>
        <w:rPr>
          <w:rFonts w:hint="eastAsia" w:ascii="Times New Roman" w:hAnsi="Times New Roman" w:eastAsia="宋体" w:cs="Times New Roman"/>
          <w:kern w:val="0"/>
          <w:sz w:val="24"/>
          <w:szCs w:val="24"/>
          <w:lang w:val="en-US" w:eastAsia="zh-CN" w:bidi="ar-SA"/>
        </w:rPr>
        <w:t>00,000.00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szCs w:val="24"/>
          <w:shd w:val="clear" w:color="auto" w:fill="FFFFFF"/>
          <w:lang w:val="en-US" w:eastAsia="zh-CN" w:bidi="ar-SA"/>
        </w:rPr>
      </w:pPr>
      <w:r>
        <w:rPr>
          <w:rFonts w:hint="eastAsia" w:ascii="Times New Roman" w:hAnsi="Times New Roman" w:eastAsia="宋体" w:cs="Times New Roman"/>
          <w:kern w:val="2"/>
          <w:sz w:val="24"/>
          <w:szCs w:val="24"/>
          <w:shd w:val="clear" w:color="auto" w:fill="FFFFFF"/>
          <w:lang w:val="en-US" w:eastAsia="zh-CN" w:bidi="ar-SA"/>
        </w:rPr>
        <w:t>单位：批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szCs w:val="24"/>
          <w:highlight w:val="none"/>
          <w:shd w:val="clear" w:color="auto" w:fill="FFFFFF"/>
          <w:lang w:val="en-US" w:eastAsia="zh-CN" w:bidi="ar-SA"/>
        </w:rPr>
      </w:pPr>
      <w:r>
        <w:rPr>
          <w:rFonts w:hint="eastAsia" w:ascii="Times New Roman" w:hAnsi="Times New Roman" w:eastAsia="宋体" w:cs="Times New Roman"/>
          <w:kern w:val="2"/>
          <w:sz w:val="24"/>
          <w:szCs w:val="24"/>
          <w:shd w:val="clear" w:color="auto" w:fill="FFFFFF"/>
          <w:lang w:val="en-US" w:eastAsia="zh-CN" w:bidi="ar-SA"/>
        </w:rPr>
        <w:t>简要规格描述：</w:t>
      </w:r>
      <w:r>
        <w:rPr>
          <w:rFonts w:hint="eastAsia" w:cs="Times New Roman"/>
          <w:kern w:val="2"/>
          <w:sz w:val="24"/>
          <w:szCs w:val="24"/>
          <w:shd w:val="clear" w:color="auto" w:fill="FFFFFF"/>
          <w:lang w:val="en-US" w:eastAsia="zh-CN" w:bidi="ar-SA"/>
        </w:rPr>
        <w:t>平台建设</w:t>
      </w:r>
      <w:r>
        <w:rPr>
          <w:rFonts w:hint="eastAsia" w:ascii="Times New Roman" w:hAnsi="Times New Roman" w:eastAsia="宋体" w:cs="Times New Roman"/>
          <w:kern w:val="2"/>
          <w:sz w:val="24"/>
          <w:szCs w:val="24"/>
          <w:shd w:val="clear" w:color="auto" w:fill="FFFFFF"/>
          <w:lang w:val="en-US" w:eastAsia="zh-CN" w:bidi="ar-SA"/>
        </w:rPr>
        <w:t>包括：</w:t>
      </w:r>
      <w:r>
        <w:rPr>
          <w:rFonts w:hint="eastAsia" w:cs="Times New Roman"/>
          <w:kern w:val="2"/>
          <w:sz w:val="24"/>
          <w:szCs w:val="24"/>
          <w:shd w:val="clear" w:color="auto" w:fill="FFFFFF"/>
          <w:lang w:val="en-US" w:eastAsia="zh-CN" w:bidi="ar-SA"/>
        </w:rPr>
        <w:t>1、公共管理决策演练沙盘对抗比赛平台软件；2、公共政策智能场景化互动教学实训平台软件；3、智慧政务实验教学平台软件；4、公</w:t>
      </w:r>
      <w:r>
        <w:rPr>
          <w:rFonts w:hint="eastAsia" w:cs="Times New Roman"/>
          <w:kern w:val="2"/>
          <w:sz w:val="24"/>
          <w:szCs w:val="24"/>
          <w:highlight w:val="none"/>
          <w:shd w:val="clear" w:color="auto" w:fill="FFFFFF"/>
          <w:lang w:val="en-US" w:eastAsia="zh-CN" w:bidi="ar-SA"/>
        </w:rPr>
        <w:t>共部门人力资源平台软件，</w:t>
      </w:r>
      <w:r>
        <w:rPr>
          <w:rFonts w:hint="eastAsia" w:ascii="Times New Roman" w:hAnsi="Times New Roman" w:eastAsia="宋体" w:cs="Times New Roman"/>
          <w:kern w:val="2"/>
          <w:sz w:val="24"/>
          <w:szCs w:val="24"/>
          <w:highlight w:val="none"/>
          <w:shd w:val="clear" w:color="auto" w:fill="FFFFFF"/>
          <w:lang w:val="en-US" w:eastAsia="zh-CN" w:bidi="ar-SA"/>
        </w:rPr>
        <w:t>具体内容及要求详见招标文件第五章采购需求。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2"/>
          <w:sz w:val="24"/>
          <w:szCs w:val="24"/>
          <w:highlight w:val="none"/>
          <w:shd w:val="clear" w:color="auto" w:fill="FFFFFF"/>
          <w:lang w:val="en-US" w:eastAsia="zh-CN" w:bidi="ar-SA"/>
        </w:rPr>
      </w:pPr>
      <w:r>
        <w:rPr>
          <w:rFonts w:hint="eastAsia" w:ascii="Times New Roman" w:hAnsi="Times New Roman" w:eastAsia="宋体" w:cs="Times New Roman"/>
          <w:kern w:val="2"/>
          <w:sz w:val="24"/>
          <w:szCs w:val="24"/>
          <w:highlight w:val="none"/>
          <w:shd w:val="clear" w:color="auto" w:fill="FFFFFF"/>
          <w:lang w:val="en-US" w:eastAsia="zh-CN" w:bidi="ar-SA"/>
        </w:rPr>
        <w:t>备注： </w:t>
      </w:r>
      <w:r>
        <w:rPr>
          <w:rFonts w:hint="eastAsia" w:cs="Times New Roman"/>
          <w:kern w:val="2"/>
          <w:sz w:val="24"/>
          <w:szCs w:val="24"/>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szCs w:val="24"/>
          <w:highlight w:val="none"/>
          <w:shd w:val="clear" w:color="auto" w:fill="FFFFFF"/>
          <w:lang w:val="en-US" w:eastAsia="zh-CN" w:bidi="ar-SA"/>
        </w:rPr>
      </w:pPr>
      <w:r>
        <w:rPr>
          <w:rFonts w:hint="eastAsia" w:ascii="Times New Roman" w:hAnsi="Times New Roman" w:eastAsia="宋体" w:cs="Times New Roman"/>
          <w:kern w:val="2"/>
          <w:sz w:val="24"/>
          <w:szCs w:val="24"/>
          <w:highlight w:val="none"/>
          <w:shd w:val="clear" w:color="auto" w:fill="FFFFFF"/>
          <w:lang w:val="en-US" w:eastAsia="zh-CN" w:bidi="ar-SA"/>
        </w:rPr>
        <w:t>合同履约期限：签订合同后20个自然日内完成安装部署工作</w:t>
      </w:r>
      <w:r>
        <w:rPr>
          <w:rFonts w:hint="eastAsia" w:cs="Times New Roman"/>
          <w:kern w:val="2"/>
          <w:sz w:val="24"/>
          <w:szCs w:val="24"/>
          <w:highlight w:val="none"/>
          <w:shd w:val="clear" w:color="auto" w:fill="FFFFFF"/>
          <w:lang w:val="en-US" w:eastAsia="zh-CN" w:bidi="ar-SA"/>
        </w:rPr>
        <w:t>。</w:t>
      </w:r>
      <w:r>
        <w:rPr>
          <w:rFonts w:hint="eastAsia" w:ascii="Times New Roman" w:hAnsi="Times New Roman" w:eastAsia="宋体" w:cs="Times New Roman"/>
          <w:kern w:val="2"/>
          <w:sz w:val="24"/>
          <w:szCs w:val="24"/>
          <w:highlight w:val="none"/>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hd w:val="clear" w:color="auto" w:fill="FFFFFF"/>
        </w:rPr>
      </w:pPr>
      <w:r>
        <w:rPr>
          <w:rFonts w:hint="eastAsia" w:ascii="Times New Roman" w:hAnsi="Times New Roman" w:eastAsia="宋体" w:cs="Times New Roman"/>
          <w:kern w:val="2"/>
          <w:sz w:val="24"/>
          <w:szCs w:val="24"/>
          <w:shd w:val="clear" w:color="auto" w:fill="FFFFFF"/>
          <w:lang w:val="en-US" w:eastAsia="zh-CN" w:bidi="ar-SA"/>
        </w:rPr>
        <w:t> 本项目（否）接受联合体投标。</w:t>
      </w:r>
    </w:p>
    <w:p>
      <w:pPr>
        <w:pStyle w:val="4"/>
        <w:spacing w:before="0" w:after="0" w:line="360" w:lineRule="auto"/>
        <w:rPr>
          <w:rFonts w:ascii="Times New Roman" w:hAnsi="Times New Roman"/>
          <w:b w:val="0"/>
          <w:sz w:val="28"/>
          <w:szCs w:val="28"/>
        </w:rPr>
      </w:pPr>
      <w:bookmarkStart w:id="11" w:name="_Toc35393791"/>
      <w:bookmarkStart w:id="12" w:name="_Toc35393622"/>
      <w:bookmarkStart w:id="13" w:name="_Toc28359080"/>
      <w:bookmarkStart w:id="14" w:name="_Toc30387"/>
      <w:bookmarkStart w:id="15" w:name="_Toc28359003"/>
      <w:r>
        <w:rPr>
          <w:rFonts w:hint="eastAsia" w:ascii="Times New Roman" w:hAnsi="Times New Roman"/>
          <w:b w:val="0"/>
          <w:sz w:val="28"/>
          <w:szCs w:val="28"/>
        </w:rPr>
        <w:t>二、</w:t>
      </w:r>
      <w:r>
        <w:rPr>
          <w:rFonts w:ascii="Times New Roman" w:hAnsi="Times New Roman"/>
          <w:b w:val="0"/>
          <w:sz w:val="28"/>
          <w:szCs w:val="28"/>
        </w:rPr>
        <w:t>申请人的资格要求：</w:t>
      </w:r>
      <w:bookmarkEnd w:id="11"/>
      <w:bookmarkEnd w:id="12"/>
      <w:bookmarkEnd w:id="13"/>
      <w:bookmarkEnd w:id="14"/>
      <w:bookmarkEnd w:id="15"/>
    </w:p>
    <w:p>
      <w:pPr>
        <w:spacing w:line="360" w:lineRule="auto"/>
        <w:ind w:firstLine="480" w:firstLineChars="200"/>
        <w:rPr>
          <w:sz w:val="24"/>
        </w:rPr>
      </w:pPr>
      <w:r>
        <w:rPr>
          <w:sz w:val="24"/>
        </w:rPr>
        <w:t>1.满足《中华人民共和国政府采购法》第二十二条规定；</w:t>
      </w:r>
    </w:p>
    <w:p>
      <w:pPr>
        <w:pStyle w:val="37"/>
        <w:adjustRightInd w:val="0"/>
        <w:snapToGrid w:val="0"/>
        <w:spacing w:beforeAutospacing="0" w:afterAutospacing="0" w:line="360" w:lineRule="auto"/>
        <w:ind w:firstLine="480" w:firstLineChars="200"/>
        <w:jc w:val="both"/>
        <w:rPr>
          <w:rFonts w:hint="eastAsia" w:eastAsia="宋体"/>
          <w:lang w:eastAsia="zh-CN"/>
        </w:rPr>
      </w:pPr>
      <w:r>
        <w:t>2.落实政府采购政策需满足的资格要求：标项1：</w:t>
      </w:r>
      <w:r>
        <w:rPr>
          <w:rFonts w:hint="eastAsia"/>
          <w:b/>
          <w:bCs/>
        </w:rPr>
        <w:t>本项目专门面向中小企业</w:t>
      </w:r>
      <w:r>
        <w:rPr>
          <w:rFonts w:hint="eastAsia"/>
          <w:b/>
          <w:bCs/>
          <w:lang w:eastAsia="zh-CN"/>
        </w:rPr>
        <w:t>。</w:t>
      </w:r>
    </w:p>
    <w:p>
      <w:pPr>
        <w:spacing w:line="360" w:lineRule="auto"/>
        <w:ind w:firstLine="480" w:firstLineChars="200"/>
        <w:rPr>
          <w:rFonts w:hint="eastAsia" w:eastAsia="宋体"/>
          <w:sz w:val="24"/>
          <w:lang w:val="en-US" w:eastAsia="zh-CN"/>
        </w:rPr>
      </w:pPr>
      <w:r>
        <w:rPr>
          <w:sz w:val="24"/>
        </w:rPr>
        <w:t>3.本项目的特定资格要求：</w:t>
      </w:r>
      <w:r>
        <w:rPr>
          <w:rFonts w:hint="eastAsia"/>
          <w:sz w:val="24"/>
          <w:lang w:val="en-US" w:eastAsia="zh-CN"/>
        </w:rPr>
        <w:t>无</w:t>
      </w:r>
    </w:p>
    <w:p>
      <w:pPr>
        <w:pStyle w:val="4"/>
        <w:spacing w:before="0" w:after="0" w:line="360" w:lineRule="auto"/>
        <w:rPr>
          <w:rFonts w:ascii="Times New Roman" w:hAnsi="Times New Roman"/>
          <w:b w:val="0"/>
          <w:sz w:val="28"/>
          <w:szCs w:val="28"/>
          <w:highlight w:val="none"/>
        </w:rPr>
      </w:pPr>
      <w:bookmarkStart w:id="16" w:name="_Toc5245"/>
      <w:bookmarkStart w:id="17" w:name="_Toc28359004"/>
      <w:bookmarkStart w:id="18" w:name="_Toc35393792"/>
      <w:bookmarkStart w:id="19" w:name="_Toc28359081"/>
      <w:bookmarkStart w:id="20" w:name="_Toc35393623"/>
      <w:bookmarkStart w:id="21" w:name="_Toc7091"/>
      <w:r>
        <w:rPr>
          <w:rFonts w:hint="eastAsia" w:ascii="Times New Roman" w:hAnsi="Times New Roman"/>
          <w:b w:val="0"/>
          <w:sz w:val="28"/>
          <w:szCs w:val="28"/>
          <w:highlight w:val="none"/>
        </w:rPr>
        <w:t>三、</w:t>
      </w:r>
      <w:r>
        <w:rPr>
          <w:rFonts w:ascii="Times New Roman" w:hAnsi="Times New Roman"/>
          <w:b w:val="0"/>
          <w:sz w:val="28"/>
          <w:szCs w:val="28"/>
          <w:highlight w:val="none"/>
        </w:rPr>
        <w:t>获取招标文件</w:t>
      </w:r>
      <w:bookmarkEnd w:id="16"/>
      <w:bookmarkEnd w:id="17"/>
      <w:bookmarkEnd w:id="18"/>
      <w:bookmarkEnd w:id="19"/>
      <w:bookmarkEnd w:id="20"/>
      <w:bookmarkEnd w:id="21"/>
    </w:p>
    <w:p>
      <w:pPr>
        <w:spacing w:line="360" w:lineRule="auto"/>
        <w:ind w:firstLine="540"/>
        <w:rPr>
          <w:sz w:val="24"/>
          <w:highlight w:val="none"/>
        </w:rPr>
      </w:pPr>
      <w:r>
        <w:rPr>
          <w:sz w:val="24"/>
          <w:highlight w:val="none"/>
        </w:rPr>
        <w:t>时间：</w:t>
      </w:r>
      <w:r>
        <w:rPr>
          <w:sz w:val="24"/>
          <w:highlight w:val="none"/>
          <w:u w:val="single"/>
        </w:rPr>
        <w:t xml:space="preserve"> </w:t>
      </w:r>
      <w:r>
        <w:rPr>
          <w:color w:val="auto"/>
          <w:sz w:val="24"/>
          <w:highlight w:val="none"/>
          <w:u w:val="single"/>
        </w:rPr>
        <w:t>202</w:t>
      </w:r>
      <w:r>
        <w:rPr>
          <w:rFonts w:hint="eastAsia"/>
          <w:color w:val="auto"/>
          <w:sz w:val="24"/>
          <w:highlight w:val="none"/>
          <w:u w:val="single"/>
        </w:rPr>
        <w:t>3</w:t>
      </w:r>
      <w:r>
        <w:rPr>
          <w:color w:val="auto"/>
          <w:sz w:val="24"/>
          <w:highlight w:val="none"/>
          <w:u w:val="single"/>
        </w:rPr>
        <w:t>年</w:t>
      </w:r>
      <w:r>
        <w:rPr>
          <w:rFonts w:hint="eastAsia"/>
          <w:color w:val="auto"/>
          <w:sz w:val="24"/>
          <w:highlight w:val="none"/>
          <w:u w:val="single"/>
          <w:lang w:val="en-US" w:eastAsia="zh-CN"/>
        </w:rPr>
        <w:t>07</w:t>
      </w:r>
      <w:r>
        <w:rPr>
          <w:color w:val="auto"/>
          <w:sz w:val="24"/>
          <w:highlight w:val="none"/>
          <w:u w:val="single"/>
        </w:rPr>
        <w:t>月</w:t>
      </w:r>
      <w:r>
        <w:rPr>
          <w:rFonts w:hint="eastAsia"/>
          <w:color w:val="auto"/>
          <w:sz w:val="24"/>
          <w:highlight w:val="none"/>
          <w:u w:val="single"/>
          <w:lang w:val="en-US" w:eastAsia="zh-CN"/>
        </w:rPr>
        <w:t>19</w:t>
      </w:r>
      <w:r>
        <w:rPr>
          <w:color w:val="auto"/>
          <w:sz w:val="24"/>
          <w:highlight w:val="none"/>
          <w:u w:val="single"/>
        </w:rPr>
        <w:t>日</w:t>
      </w:r>
      <w:r>
        <w:rPr>
          <w:color w:val="auto"/>
          <w:sz w:val="24"/>
          <w:highlight w:val="none"/>
        </w:rPr>
        <w:t>至</w:t>
      </w:r>
      <w:r>
        <w:rPr>
          <w:color w:val="auto"/>
          <w:sz w:val="24"/>
          <w:highlight w:val="none"/>
          <w:u w:val="single"/>
        </w:rPr>
        <w:t xml:space="preserve"> 202</w:t>
      </w:r>
      <w:r>
        <w:rPr>
          <w:rFonts w:hint="eastAsia"/>
          <w:color w:val="auto"/>
          <w:sz w:val="24"/>
          <w:highlight w:val="none"/>
          <w:u w:val="single"/>
        </w:rPr>
        <w:t>3</w:t>
      </w:r>
      <w:r>
        <w:rPr>
          <w:color w:val="auto"/>
          <w:sz w:val="24"/>
          <w:highlight w:val="none"/>
          <w:u w:val="single"/>
        </w:rPr>
        <w:t>年</w:t>
      </w:r>
      <w:r>
        <w:rPr>
          <w:rFonts w:hint="eastAsia"/>
          <w:color w:val="auto"/>
          <w:sz w:val="24"/>
          <w:highlight w:val="none"/>
          <w:u w:val="single"/>
          <w:lang w:val="en-US" w:eastAsia="zh-CN"/>
        </w:rPr>
        <w:t>07</w:t>
      </w:r>
      <w:r>
        <w:rPr>
          <w:color w:val="auto"/>
          <w:sz w:val="24"/>
          <w:highlight w:val="none"/>
          <w:u w:val="single"/>
        </w:rPr>
        <w:t>月</w:t>
      </w:r>
      <w:r>
        <w:rPr>
          <w:rFonts w:hint="eastAsia"/>
          <w:color w:val="auto"/>
          <w:sz w:val="24"/>
          <w:highlight w:val="none"/>
          <w:u w:val="single"/>
          <w:lang w:val="en-US" w:eastAsia="zh-CN"/>
        </w:rPr>
        <w:t>26</w:t>
      </w:r>
      <w:r>
        <w:rPr>
          <w:color w:val="auto"/>
          <w:sz w:val="24"/>
          <w:highlight w:val="none"/>
          <w:u w:val="single"/>
        </w:rPr>
        <w:t>日</w:t>
      </w:r>
      <w:r>
        <w:rPr>
          <w:sz w:val="24"/>
          <w:highlight w:val="none"/>
        </w:rPr>
        <w:t>，每天上午</w:t>
      </w:r>
      <w:r>
        <w:rPr>
          <w:rFonts w:hint="eastAsia"/>
          <w:sz w:val="24"/>
          <w:highlight w:val="none"/>
          <w:u w:val="single"/>
          <w:lang w:val="en-US" w:eastAsia="zh-CN"/>
        </w:rPr>
        <w:t>10</w:t>
      </w:r>
      <w:r>
        <w:rPr>
          <w:sz w:val="24"/>
          <w:highlight w:val="none"/>
          <w:u w:val="single"/>
        </w:rPr>
        <w:t>：</w:t>
      </w:r>
      <w:r>
        <w:rPr>
          <w:rFonts w:hint="eastAsia"/>
          <w:sz w:val="24"/>
          <w:highlight w:val="none"/>
          <w:u w:val="single"/>
          <w:lang w:val="en-US" w:eastAsia="zh-CN"/>
        </w:rPr>
        <w:t>30</w:t>
      </w:r>
      <w:r>
        <w:rPr>
          <w:sz w:val="24"/>
          <w:highlight w:val="none"/>
        </w:rPr>
        <w:t>至</w:t>
      </w:r>
      <w:r>
        <w:rPr>
          <w:rFonts w:hint="eastAsia"/>
          <w:sz w:val="24"/>
          <w:highlight w:val="none"/>
          <w:u w:val="single"/>
          <w:lang w:val="en-US" w:eastAsia="zh-CN"/>
        </w:rPr>
        <w:t>13</w:t>
      </w:r>
      <w:r>
        <w:rPr>
          <w:sz w:val="24"/>
          <w:highlight w:val="none"/>
          <w:u w:val="single"/>
        </w:rPr>
        <w:t>：</w:t>
      </w:r>
      <w:r>
        <w:rPr>
          <w:rFonts w:hint="eastAsia"/>
          <w:sz w:val="24"/>
          <w:highlight w:val="none"/>
          <w:u w:val="single"/>
          <w:lang w:val="en-US" w:eastAsia="zh-CN"/>
        </w:rPr>
        <w:t>3</w:t>
      </w:r>
      <w:r>
        <w:rPr>
          <w:sz w:val="24"/>
          <w:highlight w:val="none"/>
          <w:u w:val="single"/>
        </w:rPr>
        <w:t>0</w:t>
      </w:r>
      <w:r>
        <w:rPr>
          <w:sz w:val="24"/>
          <w:highlight w:val="none"/>
        </w:rPr>
        <w:t>，下午</w:t>
      </w:r>
      <w:r>
        <w:rPr>
          <w:rFonts w:hint="eastAsia"/>
          <w:sz w:val="24"/>
          <w:highlight w:val="none"/>
          <w:u w:val="single"/>
        </w:rPr>
        <w:t>1</w:t>
      </w:r>
      <w:r>
        <w:rPr>
          <w:rFonts w:hint="eastAsia"/>
          <w:sz w:val="24"/>
          <w:highlight w:val="none"/>
          <w:u w:val="single"/>
          <w:lang w:val="en-US" w:eastAsia="zh-CN"/>
        </w:rPr>
        <w:t>5</w:t>
      </w:r>
      <w:r>
        <w:rPr>
          <w:sz w:val="24"/>
          <w:highlight w:val="none"/>
          <w:u w:val="single"/>
        </w:rPr>
        <w:t>：</w:t>
      </w:r>
      <w:r>
        <w:rPr>
          <w:rFonts w:hint="eastAsia"/>
          <w:sz w:val="24"/>
          <w:highlight w:val="none"/>
          <w:u w:val="single"/>
          <w:lang w:val="en-US" w:eastAsia="zh-CN"/>
        </w:rPr>
        <w:t>3</w:t>
      </w:r>
      <w:r>
        <w:rPr>
          <w:sz w:val="24"/>
          <w:highlight w:val="none"/>
          <w:u w:val="single"/>
        </w:rPr>
        <w:t>0</w:t>
      </w:r>
      <w:r>
        <w:rPr>
          <w:sz w:val="24"/>
          <w:highlight w:val="none"/>
        </w:rPr>
        <w:t>至</w:t>
      </w:r>
      <w:r>
        <w:rPr>
          <w:sz w:val="24"/>
          <w:highlight w:val="none"/>
          <w:u w:val="single"/>
        </w:rPr>
        <w:t>18</w:t>
      </w:r>
      <w:r>
        <w:rPr>
          <w:rFonts w:hint="eastAsia"/>
          <w:sz w:val="24"/>
          <w:highlight w:val="none"/>
          <w:u w:val="single"/>
          <w:lang w:eastAsia="zh-CN"/>
        </w:rPr>
        <w:t>：</w:t>
      </w:r>
      <w:r>
        <w:rPr>
          <w:rFonts w:hint="eastAsia"/>
          <w:sz w:val="24"/>
          <w:highlight w:val="none"/>
          <w:u w:val="single"/>
          <w:lang w:val="en-US" w:eastAsia="zh-CN"/>
        </w:rPr>
        <w:t>3</w:t>
      </w:r>
      <w:r>
        <w:rPr>
          <w:sz w:val="24"/>
          <w:highlight w:val="none"/>
          <w:u w:val="single"/>
        </w:rPr>
        <w:t>0</w:t>
      </w:r>
      <w:r>
        <w:rPr>
          <w:sz w:val="24"/>
          <w:highlight w:val="none"/>
        </w:rPr>
        <w:t>（北京时间，法定节假日除外）</w:t>
      </w:r>
    </w:p>
    <w:p>
      <w:pPr>
        <w:spacing w:line="360" w:lineRule="auto"/>
        <w:ind w:firstLine="540"/>
        <w:rPr>
          <w:sz w:val="24"/>
          <w:highlight w:val="none"/>
        </w:rPr>
      </w:pPr>
      <w:r>
        <w:rPr>
          <w:rFonts w:hint="eastAsia"/>
          <w:sz w:val="24"/>
          <w:highlight w:val="none"/>
        </w:rPr>
        <w:t>地点</w:t>
      </w:r>
      <w:r>
        <w:rPr>
          <w:sz w:val="24"/>
          <w:highlight w:val="none"/>
        </w:rPr>
        <w:t>：政采云平台https://www.zcygov.cn/</w:t>
      </w:r>
    </w:p>
    <w:p>
      <w:pPr>
        <w:spacing w:line="360" w:lineRule="auto"/>
        <w:ind w:firstLine="540"/>
        <w:rPr>
          <w:sz w:val="24"/>
          <w:highlight w:val="none"/>
        </w:rPr>
      </w:pPr>
      <w:r>
        <w:rPr>
          <w:sz w:val="24"/>
          <w:highlight w:val="none"/>
        </w:rPr>
        <w:t>方式：线上获取。</w:t>
      </w:r>
      <w:r>
        <w:rPr>
          <w:rFonts w:hint="eastAsia"/>
          <w:sz w:val="24"/>
          <w:highlight w:val="none"/>
        </w:rPr>
        <w:t>供应商登录政采云平台https://www.zcygov.cn/在线申请获取采购文件（进入“项目采购”应用，在获取采购文件菜单中选择项目，申请获取采购文件）</w:t>
      </w:r>
    </w:p>
    <w:p>
      <w:pPr>
        <w:spacing w:line="360" w:lineRule="auto"/>
        <w:ind w:firstLine="540"/>
        <w:rPr>
          <w:rFonts w:hint="eastAsia" w:eastAsia="宋体"/>
          <w:sz w:val="24"/>
          <w:highlight w:val="none"/>
          <w:lang w:val="en-US" w:eastAsia="zh-CN"/>
        </w:rPr>
      </w:pPr>
      <w:r>
        <w:rPr>
          <w:sz w:val="24"/>
          <w:highlight w:val="none"/>
        </w:rPr>
        <w:t>售价：</w:t>
      </w:r>
      <w:r>
        <w:rPr>
          <w:rFonts w:hint="eastAsia"/>
          <w:sz w:val="24"/>
          <w:highlight w:val="none"/>
          <w:lang w:val="en-US" w:eastAsia="zh-CN"/>
        </w:rPr>
        <w:t>0</w:t>
      </w:r>
    </w:p>
    <w:p>
      <w:pPr>
        <w:rPr>
          <w:highlight w:val="none"/>
        </w:rPr>
      </w:pPr>
    </w:p>
    <w:p>
      <w:pPr>
        <w:pStyle w:val="4"/>
        <w:spacing w:before="0" w:after="0" w:line="360" w:lineRule="auto"/>
        <w:rPr>
          <w:rFonts w:ascii="Times New Roman" w:hAnsi="Times New Roman"/>
          <w:b w:val="0"/>
          <w:sz w:val="28"/>
          <w:szCs w:val="28"/>
          <w:highlight w:val="none"/>
        </w:rPr>
      </w:pPr>
      <w:bookmarkStart w:id="22" w:name="_Toc28359082"/>
      <w:bookmarkStart w:id="23" w:name="_Toc28359005"/>
      <w:bookmarkStart w:id="24" w:name="_Toc25666"/>
      <w:bookmarkStart w:id="25" w:name="_Toc35393624"/>
      <w:bookmarkStart w:id="26" w:name="_Toc35393793"/>
      <w:bookmarkStart w:id="27" w:name="_Toc31684"/>
      <w:r>
        <w:rPr>
          <w:rFonts w:ascii="Times New Roman" w:hAnsi="Times New Roman"/>
          <w:b w:val="0"/>
          <w:sz w:val="28"/>
          <w:szCs w:val="28"/>
          <w:highlight w:val="none"/>
        </w:rPr>
        <w:t>四、提交投标文件</w:t>
      </w:r>
      <w:bookmarkEnd w:id="22"/>
      <w:bookmarkEnd w:id="23"/>
      <w:r>
        <w:rPr>
          <w:rFonts w:ascii="Times New Roman" w:hAnsi="Times New Roman"/>
          <w:b w:val="0"/>
          <w:sz w:val="28"/>
          <w:szCs w:val="28"/>
          <w:highlight w:val="none"/>
        </w:rPr>
        <w:t>截止时间、开标时间和地点</w:t>
      </w:r>
      <w:bookmarkEnd w:id="24"/>
      <w:bookmarkEnd w:id="25"/>
      <w:bookmarkEnd w:id="26"/>
      <w:bookmarkEnd w:id="27"/>
    </w:p>
    <w:p>
      <w:pPr>
        <w:spacing w:line="360" w:lineRule="auto"/>
        <w:ind w:firstLine="540"/>
        <w:rPr>
          <w:sz w:val="24"/>
          <w:highlight w:val="none"/>
        </w:rPr>
      </w:pPr>
      <w:r>
        <w:rPr>
          <w:rFonts w:hint="eastAsia"/>
          <w:sz w:val="24"/>
          <w:highlight w:val="none"/>
        </w:rPr>
        <w:t>提交投标文件截止时间：2023年08月0</w:t>
      </w:r>
      <w:r>
        <w:rPr>
          <w:rFonts w:hint="eastAsia"/>
          <w:sz w:val="24"/>
          <w:highlight w:val="none"/>
          <w:lang w:val="en-US" w:eastAsia="zh-CN"/>
        </w:rPr>
        <w:t>9</w:t>
      </w:r>
      <w:r>
        <w:rPr>
          <w:rFonts w:hint="eastAsia"/>
          <w:sz w:val="24"/>
          <w:highlight w:val="none"/>
        </w:rPr>
        <w:t>日 11:00（北京时间）</w:t>
      </w:r>
    </w:p>
    <w:p>
      <w:pPr>
        <w:spacing w:line="360" w:lineRule="auto"/>
        <w:ind w:firstLine="540"/>
        <w:rPr>
          <w:rFonts w:hint="eastAsia"/>
          <w:sz w:val="24"/>
          <w:highlight w:val="none"/>
        </w:rPr>
      </w:pPr>
      <w:r>
        <w:rPr>
          <w:rFonts w:hint="eastAsia"/>
          <w:sz w:val="24"/>
          <w:highlight w:val="none"/>
        </w:rPr>
        <w:t>投标地点：政采云平台（https://www.zcygov.cn/），本项目采用不见面开标，加密的电子投标文件在投标截止时间前通过CA在政采云平台上传。</w:t>
      </w:r>
    </w:p>
    <w:p>
      <w:pPr>
        <w:spacing w:line="360" w:lineRule="auto"/>
        <w:ind w:firstLine="540"/>
        <w:rPr>
          <w:rFonts w:hint="eastAsia"/>
          <w:sz w:val="24"/>
          <w:highlight w:val="none"/>
        </w:rPr>
      </w:pPr>
      <w:r>
        <w:rPr>
          <w:rFonts w:hint="eastAsia"/>
          <w:sz w:val="24"/>
          <w:highlight w:val="none"/>
        </w:rPr>
        <w:t>开标时间：2023年08月</w:t>
      </w:r>
      <w:r>
        <w:rPr>
          <w:rFonts w:hint="eastAsia"/>
          <w:sz w:val="24"/>
          <w:highlight w:val="none"/>
          <w:lang w:val="en-US" w:eastAsia="zh-CN"/>
        </w:rPr>
        <w:t>09</w:t>
      </w:r>
      <w:r>
        <w:rPr>
          <w:rFonts w:hint="eastAsia"/>
          <w:sz w:val="24"/>
          <w:highlight w:val="none"/>
        </w:rPr>
        <w:t>日 11:00（北京时间）</w:t>
      </w:r>
    </w:p>
    <w:p>
      <w:pPr>
        <w:spacing w:line="360" w:lineRule="auto"/>
        <w:ind w:firstLine="540"/>
        <w:rPr>
          <w:bCs/>
          <w:sz w:val="24"/>
          <w:u w:val="single"/>
        </w:rPr>
      </w:pPr>
      <w:r>
        <w:rPr>
          <w:rFonts w:hint="eastAsia"/>
          <w:sz w:val="24"/>
        </w:rPr>
        <w:t>开标地点：政采云平台（https://www.zcygov.cn/）</w:t>
      </w:r>
    </w:p>
    <w:p>
      <w:pPr>
        <w:pStyle w:val="4"/>
        <w:spacing w:before="0" w:after="0" w:line="360" w:lineRule="auto"/>
        <w:rPr>
          <w:rFonts w:ascii="Times New Roman" w:hAnsi="Times New Roman"/>
          <w:b w:val="0"/>
          <w:sz w:val="28"/>
          <w:szCs w:val="28"/>
        </w:rPr>
      </w:pPr>
      <w:bookmarkStart w:id="28" w:name="_Toc35393794"/>
      <w:bookmarkStart w:id="29" w:name="_Toc28359007"/>
      <w:bookmarkStart w:id="30" w:name="_Toc29175"/>
      <w:bookmarkStart w:id="31" w:name="_Toc35393625"/>
      <w:bookmarkStart w:id="32" w:name="_Toc28359084"/>
      <w:bookmarkStart w:id="33" w:name="_Toc4615"/>
      <w:r>
        <w:rPr>
          <w:rFonts w:ascii="Times New Roman" w:hAnsi="Times New Roman"/>
          <w:b w:val="0"/>
          <w:sz w:val="28"/>
          <w:szCs w:val="28"/>
        </w:rPr>
        <w:t>五、公告期限</w:t>
      </w:r>
      <w:bookmarkEnd w:id="28"/>
      <w:bookmarkEnd w:id="29"/>
      <w:bookmarkEnd w:id="30"/>
      <w:bookmarkEnd w:id="31"/>
      <w:bookmarkEnd w:id="32"/>
      <w:bookmarkEnd w:id="33"/>
    </w:p>
    <w:p>
      <w:pPr>
        <w:spacing w:line="360" w:lineRule="auto"/>
        <w:ind w:firstLine="480" w:firstLineChars="200"/>
        <w:rPr>
          <w:kern w:val="0"/>
          <w:sz w:val="24"/>
        </w:rPr>
      </w:pPr>
      <w:r>
        <w:rPr>
          <w:kern w:val="0"/>
          <w:sz w:val="24"/>
        </w:rPr>
        <w:t>自本公告发布之日起5个工作日。</w:t>
      </w:r>
    </w:p>
    <w:p/>
    <w:p>
      <w:pPr>
        <w:pStyle w:val="4"/>
        <w:spacing w:before="0" w:after="0" w:line="360" w:lineRule="auto"/>
        <w:rPr>
          <w:rFonts w:ascii="Times New Roman" w:hAnsi="Times New Roman"/>
          <w:b w:val="0"/>
          <w:sz w:val="28"/>
          <w:szCs w:val="28"/>
        </w:rPr>
      </w:pPr>
      <w:bookmarkStart w:id="34" w:name="_Toc19078"/>
      <w:bookmarkStart w:id="35" w:name="_Toc35393795"/>
      <w:bookmarkStart w:id="36" w:name="_Toc10360"/>
      <w:bookmarkStart w:id="37" w:name="_Toc35393626"/>
      <w:r>
        <w:rPr>
          <w:rFonts w:ascii="Times New Roman" w:hAnsi="Times New Roman"/>
          <w:b w:val="0"/>
          <w:sz w:val="28"/>
          <w:szCs w:val="28"/>
        </w:rPr>
        <w:t>六、其他补充事宜</w:t>
      </w:r>
      <w:bookmarkEnd w:id="34"/>
      <w:bookmarkEnd w:id="35"/>
      <w:bookmarkEnd w:id="36"/>
      <w:bookmarkEnd w:id="37"/>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、单位负责人为同一人或者直接控股、管理关系的不同单位，不得同时参加本项目的投标</w:t>
      </w:r>
      <w:r>
        <w:rPr>
          <w:rFonts w:hint="eastAsia" w:ascii="Times New Roman" w:hAnsi="Times New Roman" w:cs="Times New Roman"/>
          <w:sz w:val="24"/>
          <w:szCs w:val="24"/>
          <w:lang w:eastAsia="zh-CN"/>
        </w:rPr>
        <w:t>；</w:t>
      </w:r>
    </w:p>
    <w:p>
      <w:pPr>
        <w:pStyle w:val="25"/>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2、本项目实行电子招投标，供应商须登录政采云平台申请获取招标文件，并通过政采云电子投标客户端制作投标文件，同时自行承担与投标有关的一切费用；</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kern w:val="0"/>
          <w:sz w:val="24"/>
          <w:lang w:eastAsia="zh-CN"/>
        </w:rPr>
      </w:pPr>
      <w:r>
        <w:rPr>
          <w:rFonts w:hint="eastAsia"/>
          <w:kern w:val="0"/>
          <w:sz w:val="24"/>
          <w:lang w:val="en-US" w:eastAsia="zh-CN"/>
        </w:rPr>
        <w:t>3</w:t>
      </w:r>
      <w:r>
        <w:rPr>
          <w:rFonts w:hint="eastAsia"/>
          <w:kern w:val="0"/>
          <w:sz w:val="24"/>
        </w:rPr>
        <w:t>、各供应商在开标前应确保成为新疆政府采购网正式注册入库供应商，并完成CA数字证书（符合国密标准）申领。因未注册入库、未办理CA数字证书等原因造成无法投标或投标失败等后果由供应商自行承担。有意向参与投标的供应商，可访问新疆数字证书认证中心官方网站（https://www.xjca.com.cn/）或下载“新疆政务通”APP自行申领。如需咨询，请联系新疆CA服务热线0991-2819290</w:t>
      </w:r>
      <w:r>
        <w:rPr>
          <w:rFonts w:hint="eastAsia"/>
          <w:kern w:val="0"/>
          <w:sz w:val="24"/>
          <w:lang w:eastAsia="zh-CN"/>
        </w:rPr>
        <w:t>。</w:t>
      </w:r>
    </w:p>
    <w:p>
      <w:pPr>
        <w:pStyle w:val="4"/>
        <w:spacing w:before="0" w:after="0" w:line="360" w:lineRule="auto"/>
        <w:rPr>
          <w:rFonts w:ascii="Times New Roman" w:hAnsi="Times New Roman"/>
          <w:b w:val="0"/>
          <w:sz w:val="28"/>
          <w:szCs w:val="28"/>
        </w:rPr>
      </w:pPr>
      <w:bookmarkStart w:id="38" w:name="_Toc28359085"/>
      <w:bookmarkStart w:id="39" w:name="_Toc28359008"/>
      <w:bookmarkStart w:id="40" w:name="_Toc8715"/>
      <w:bookmarkStart w:id="41" w:name="_Toc35393627"/>
      <w:bookmarkStart w:id="42" w:name="_Toc35393796"/>
      <w:bookmarkStart w:id="43" w:name="_Toc4898"/>
      <w:r>
        <w:rPr>
          <w:rFonts w:ascii="Times New Roman" w:hAnsi="Times New Roman"/>
          <w:b w:val="0"/>
          <w:sz w:val="28"/>
          <w:szCs w:val="28"/>
        </w:rPr>
        <w:t>七、对本次招标提出询问，请按以下方式联系。</w:t>
      </w:r>
      <w:bookmarkEnd w:id="38"/>
      <w:bookmarkEnd w:id="39"/>
      <w:bookmarkEnd w:id="40"/>
      <w:bookmarkEnd w:id="41"/>
      <w:bookmarkEnd w:id="42"/>
      <w:bookmarkEnd w:id="43"/>
    </w:p>
    <w:bookmarkEnd w:id="3"/>
    <w:p>
      <w:pPr>
        <w:widowControl/>
        <w:adjustRightInd w:val="0"/>
        <w:snapToGrid w:val="0"/>
        <w:spacing w:line="360" w:lineRule="auto"/>
        <w:ind w:left="2" w:firstLine="480" w:firstLineChars="200"/>
        <w:rPr>
          <w:rFonts w:hint="eastAsia"/>
          <w:kern w:val="0"/>
          <w:sz w:val="24"/>
        </w:rPr>
      </w:pPr>
      <w:bookmarkStart w:id="44" w:name="_Toc22518"/>
      <w:r>
        <w:rPr>
          <w:rFonts w:hint="eastAsia"/>
          <w:kern w:val="0"/>
          <w:sz w:val="24"/>
        </w:rPr>
        <w:t>1.采购人信息：</w:t>
      </w:r>
    </w:p>
    <w:p>
      <w:pPr>
        <w:widowControl/>
        <w:adjustRightInd w:val="0"/>
        <w:snapToGrid w:val="0"/>
        <w:spacing w:line="360" w:lineRule="auto"/>
        <w:ind w:left="2" w:firstLine="480" w:firstLineChars="200"/>
        <w:rPr>
          <w:rFonts w:hint="eastAsia"/>
          <w:kern w:val="0"/>
          <w:sz w:val="24"/>
        </w:rPr>
      </w:pPr>
      <w:r>
        <w:rPr>
          <w:rFonts w:hint="eastAsia"/>
          <w:kern w:val="0"/>
          <w:sz w:val="24"/>
        </w:rPr>
        <w:t>名 称：新疆财经大学</w:t>
      </w:r>
    </w:p>
    <w:p>
      <w:pPr>
        <w:widowControl/>
        <w:adjustRightInd w:val="0"/>
        <w:snapToGrid w:val="0"/>
        <w:spacing w:line="360" w:lineRule="auto"/>
        <w:ind w:left="2" w:firstLine="480" w:firstLineChars="200"/>
        <w:rPr>
          <w:rFonts w:hint="eastAsia"/>
          <w:kern w:val="0"/>
          <w:sz w:val="24"/>
        </w:rPr>
      </w:pPr>
      <w:r>
        <w:rPr>
          <w:rFonts w:hint="eastAsia"/>
          <w:kern w:val="0"/>
          <w:sz w:val="24"/>
        </w:rPr>
        <w:t>地 址：乌鲁木齐市高新区北京中路449号</w:t>
      </w:r>
    </w:p>
    <w:p>
      <w:pPr>
        <w:widowControl/>
        <w:adjustRightInd w:val="0"/>
        <w:snapToGrid w:val="0"/>
        <w:spacing w:line="360" w:lineRule="auto"/>
        <w:ind w:left="2" w:firstLine="480" w:firstLineChars="200"/>
        <w:rPr>
          <w:rFonts w:hint="eastAsia"/>
          <w:kern w:val="0"/>
          <w:sz w:val="24"/>
        </w:rPr>
      </w:pPr>
      <w:r>
        <w:rPr>
          <w:rFonts w:hint="eastAsia"/>
          <w:kern w:val="0"/>
          <w:sz w:val="24"/>
        </w:rPr>
        <w:t>联系人：罗老师</w:t>
      </w:r>
    </w:p>
    <w:p>
      <w:pPr>
        <w:widowControl/>
        <w:adjustRightInd w:val="0"/>
        <w:snapToGrid w:val="0"/>
        <w:spacing w:line="360" w:lineRule="auto"/>
        <w:ind w:left="2" w:firstLine="480" w:firstLineChars="200"/>
        <w:rPr>
          <w:rFonts w:hint="eastAsia"/>
          <w:kern w:val="0"/>
          <w:sz w:val="24"/>
        </w:rPr>
      </w:pPr>
      <w:r>
        <w:rPr>
          <w:rFonts w:hint="eastAsia"/>
          <w:kern w:val="0"/>
          <w:sz w:val="24"/>
        </w:rPr>
        <w:t>联系电话：0991-7843541</w:t>
      </w:r>
    </w:p>
    <w:p>
      <w:pPr>
        <w:widowControl/>
        <w:adjustRightInd w:val="0"/>
        <w:snapToGrid w:val="0"/>
        <w:spacing w:line="360" w:lineRule="auto"/>
        <w:ind w:left="2" w:firstLine="480" w:firstLineChars="200"/>
        <w:rPr>
          <w:rFonts w:hint="eastAsia"/>
          <w:kern w:val="0"/>
          <w:sz w:val="24"/>
        </w:rPr>
      </w:pPr>
      <w:r>
        <w:rPr>
          <w:rFonts w:hint="eastAsia"/>
          <w:kern w:val="0"/>
          <w:sz w:val="24"/>
        </w:rPr>
        <w:t>2.采购代理机构信息：</w:t>
      </w:r>
    </w:p>
    <w:p>
      <w:pPr>
        <w:widowControl/>
        <w:adjustRightInd w:val="0"/>
        <w:snapToGrid w:val="0"/>
        <w:spacing w:line="360" w:lineRule="auto"/>
        <w:ind w:left="2" w:firstLine="480" w:firstLineChars="200"/>
        <w:rPr>
          <w:rFonts w:hint="default" w:eastAsia="宋体"/>
          <w:kern w:val="0"/>
          <w:sz w:val="24"/>
          <w:lang w:val="en-US" w:eastAsia="zh-CN"/>
        </w:rPr>
      </w:pPr>
      <w:r>
        <w:rPr>
          <w:rFonts w:hint="eastAsia"/>
          <w:kern w:val="0"/>
          <w:sz w:val="24"/>
        </w:rPr>
        <w:t>招标代理：</w:t>
      </w:r>
      <w:r>
        <w:rPr>
          <w:rFonts w:hint="eastAsia"/>
          <w:kern w:val="0"/>
          <w:sz w:val="24"/>
          <w:lang w:val="en-US" w:eastAsia="zh-CN"/>
        </w:rPr>
        <w:t>中技国际招标有限公司</w:t>
      </w:r>
    </w:p>
    <w:p>
      <w:pPr>
        <w:widowControl/>
        <w:adjustRightInd w:val="0"/>
        <w:snapToGrid w:val="0"/>
        <w:spacing w:line="360" w:lineRule="auto"/>
        <w:ind w:left="2" w:firstLine="480" w:firstLineChars="200"/>
        <w:rPr>
          <w:rFonts w:hint="eastAsia"/>
          <w:kern w:val="0"/>
          <w:sz w:val="24"/>
        </w:rPr>
      </w:pPr>
      <w:r>
        <w:rPr>
          <w:rFonts w:hint="eastAsia"/>
          <w:kern w:val="0"/>
          <w:sz w:val="24"/>
        </w:rPr>
        <w:t>地 址： 1、北京市丰台区西营街1号院通用时代中心C座</w:t>
      </w:r>
    </w:p>
    <w:p>
      <w:pPr>
        <w:widowControl/>
        <w:adjustRightInd w:val="0"/>
        <w:snapToGrid w:val="0"/>
        <w:spacing w:line="360" w:lineRule="auto"/>
        <w:ind w:left="2" w:firstLine="480" w:firstLineChars="200"/>
        <w:rPr>
          <w:rFonts w:hint="default" w:eastAsia="宋体"/>
          <w:kern w:val="0"/>
          <w:sz w:val="24"/>
          <w:lang w:val="en-US" w:eastAsia="zh-CN"/>
        </w:rPr>
      </w:pPr>
      <w:r>
        <w:rPr>
          <w:rFonts w:hint="eastAsia"/>
          <w:kern w:val="0"/>
          <w:sz w:val="24"/>
        </w:rPr>
        <w:t>2、新疆乌鲁木齐市天山区红山路26号时代广场C座</w:t>
      </w:r>
      <w:r>
        <w:rPr>
          <w:rFonts w:hint="eastAsia"/>
          <w:kern w:val="0"/>
          <w:sz w:val="24"/>
          <w:lang w:val="en-US" w:eastAsia="zh-CN"/>
        </w:rPr>
        <w:t>10楼O室。</w:t>
      </w:r>
    </w:p>
    <w:p>
      <w:pPr>
        <w:widowControl/>
        <w:adjustRightInd w:val="0"/>
        <w:snapToGrid w:val="0"/>
        <w:spacing w:line="360" w:lineRule="auto"/>
        <w:ind w:left="2" w:firstLine="480" w:firstLineChars="200"/>
        <w:rPr>
          <w:rFonts w:hint="eastAsia"/>
          <w:kern w:val="0"/>
          <w:sz w:val="24"/>
        </w:rPr>
      </w:pPr>
      <w:r>
        <w:rPr>
          <w:rFonts w:hint="eastAsia"/>
          <w:kern w:val="0"/>
          <w:sz w:val="24"/>
        </w:rPr>
        <w:t>项目联系人：张卓远 、</w:t>
      </w:r>
      <w:r>
        <w:rPr>
          <w:rFonts w:hint="eastAsia"/>
          <w:kern w:val="0"/>
          <w:sz w:val="24"/>
          <w:lang w:val="en-US" w:eastAsia="zh-CN"/>
        </w:rPr>
        <w:t>周梦娇</w:t>
      </w:r>
      <w:r>
        <w:rPr>
          <w:rFonts w:hint="eastAsia"/>
          <w:kern w:val="0"/>
          <w:sz w:val="24"/>
        </w:rPr>
        <w:t>、张喜阅</w:t>
      </w:r>
    </w:p>
    <w:p>
      <w:pPr>
        <w:widowControl/>
        <w:adjustRightInd w:val="0"/>
        <w:snapToGrid w:val="0"/>
        <w:spacing w:line="360" w:lineRule="auto"/>
        <w:ind w:left="2" w:firstLine="480" w:firstLineChars="200"/>
        <w:rPr>
          <w:rFonts w:hint="eastAsia"/>
          <w:kern w:val="0"/>
          <w:sz w:val="24"/>
        </w:rPr>
      </w:pPr>
      <w:r>
        <w:rPr>
          <w:rFonts w:hint="eastAsia"/>
          <w:kern w:val="0"/>
          <w:sz w:val="24"/>
        </w:rPr>
        <w:t>联系电话：010-81168532、0991-8833358</w:t>
      </w:r>
      <w:r>
        <w:rPr>
          <w:rFonts w:hint="eastAsia"/>
          <w:kern w:val="0"/>
          <w:sz w:val="24"/>
          <w:lang w:eastAsia="zh-CN"/>
        </w:rPr>
        <w:t>、</w:t>
      </w:r>
      <w:r>
        <w:rPr>
          <w:rFonts w:hint="eastAsia"/>
          <w:kern w:val="0"/>
          <w:sz w:val="24"/>
        </w:rPr>
        <w:t>16699228844</w:t>
      </w:r>
      <w:r>
        <w:rPr>
          <w:rFonts w:hint="eastAsia"/>
          <w:kern w:val="0"/>
          <w:sz w:val="24"/>
          <w:lang w:eastAsia="zh-CN"/>
        </w:rPr>
        <w:t>、</w:t>
      </w:r>
      <w:r>
        <w:rPr>
          <w:rFonts w:hint="eastAsia"/>
          <w:kern w:val="0"/>
          <w:sz w:val="24"/>
        </w:rPr>
        <w:t>13009665716</w:t>
      </w:r>
    </w:p>
    <w:p>
      <w:pPr>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br w:type="page"/>
      </w:r>
    </w:p>
    <w:p>
      <w:pPr>
        <w:pStyle w:val="37"/>
        <w:keepNext w:val="0"/>
        <w:keepLines w:val="0"/>
        <w:widowControl/>
        <w:suppressLineNumbers w:val="0"/>
        <w:spacing w:line="290" w:lineRule="atLeast"/>
        <w:ind w:left="0" w:firstLine="320"/>
        <w:rPr>
          <w:rFonts w:hint="eastAsia" w:ascii="宋体" w:hAnsi="宋体" w:eastAsia="宋体" w:cs="宋体"/>
          <w:i w:val="0"/>
          <w:iCs w:val="0"/>
          <w:caps w:val="0"/>
          <w:color w:val="000000"/>
          <w:spacing w:val="0"/>
          <w:sz w:val="16"/>
          <w:szCs w:val="16"/>
        </w:rPr>
      </w:pPr>
    </w:p>
    <w:p>
      <w:pPr>
        <w:numPr>
          <w:ilvl w:val="0"/>
          <w:numId w:val="2"/>
        </w:numPr>
        <w:autoSpaceDE w:val="0"/>
        <w:autoSpaceDN w:val="0"/>
        <w:adjustRightInd w:val="0"/>
        <w:snapToGrid w:val="0"/>
        <w:spacing w:after="120" w:afterLines="50"/>
        <w:jc w:val="center"/>
        <w:outlineLvl w:val="0"/>
        <w:rPr>
          <w:rFonts w:hint="eastAsia" w:eastAsia="黑体"/>
          <w:kern w:val="0"/>
          <w:sz w:val="32"/>
          <w:szCs w:val="32"/>
          <w:lang w:val="en-US" w:eastAsia="zh-CN"/>
        </w:rPr>
      </w:pPr>
      <w:bookmarkStart w:id="45" w:name="_Toc27202"/>
      <w:r>
        <w:rPr>
          <w:rFonts w:hint="eastAsia" w:eastAsia="黑体"/>
          <w:kern w:val="0"/>
          <w:sz w:val="32"/>
          <w:szCs w:val="32"/>
          <w:lang w:val="en-US" w:eastAsia="zh-CN"/>
        </w:rPr>
        <w:t>投标人须知</w:t>
      </w:r>
      <w:bookmarkEnd w:id="45"/>
    </w:p>
    <w:p>
      <w:pPr>
        <w:autoSpaceDE w:val="0"/>
        <w:autoSpaceDN w:val="0"/>
        <w:adjustRightInd w:val="0"/>
        <w:snapToGrid w:val="0"/>
        <w:spacing w:after="120" w:afterLines="50"/>
        <w:jc w:val="center"/>
        <w:outlineLvl w:val="0"/>
        <w:rPr>
          <w:kern w:val="0"/>
          <w:sz w:val="28"/>
          <w:szCs w:val="28"/>
        </w:rPr>
      </w:pPr>
      <w:bookmarkStart w:id="46" w:name="_Toc3643"/>
      <w:r>
        <w:rPr>
          <w:kern w:val="0"/>
          <w:sz w:val="28"/>
          <w:szCs w:val="28"/>
        </w:rPr>
        <w:t>（一）投标人须知前附表</w:t>
      </w:r>
      <w:bookmarkEnd w:id="46"/>
    </w:p>
    <w:tbl>
      <w:tblPr>
        <w:tblStyle w:val="4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349"/>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b/>
                <w:bCs/>
                <w:kern w:val="0"/>
                <w:sz w:val="24"/>
              </w:rPr>
            </w:pPr>
            <w:r>
              <w:rPr>
                <w:b/>
                <w:bCs/>
                <w:kern w:val="0"/>
                <w:sz w:val="24"/>
              </w:rPr>
              <w:t>条款号</w:t>
            </w:r>
          </w:p>
        </w:tc>
        <w:tc>
          <w:tcPr>
            <w:tcW w:w="2349" w:type="dxa"/>
            <w:vAlign w:val="center"/>
          </w:tcPr>
          <w:p>
            <w:pPr>
              <w:autoSpaceDE w:val="0"/>
              <w:autoSpaceDN w:val="0"/>
              <w:adjustRightInd w:val="0"/>
              <w:snapToGrid w:val="0"/>
              <w:jc w:val="center"/>
              <w:rPr>
                <w:b/>
                <w:bCs/>
                <w:kern w:val="0"/>
                <w:sz w:val="24"/>
              </w:rPr>
            </w:pPr>
            <w:r>
              <w:rPr>
                <w:b/>
                <w:bCs/>
                <w:kern w:val="0"/>
                <w:sz w:val="24"/>
              </w:rPr>
              <w:t>条款名称</w:t>
            </w:r>
          </w:p>
        </w:tc>
        <w:tc>
          <w:tcPr>
            <w:tcW w:w="5352" w:type="dxa"/>
            <w:vAlign w:val="center"/>
          </w:tcPr>
          <w:p>
            <w:pPr>
              <w:autoSpaceDE w:val="0"/>
              <w:autoSpaceDN w:val="0"/>
              <w:adjustRightInd w:val="0"/>
              <w:snapToGrid w:val="0"/>
              <w:jc w:val="center"/>
              <w:rPr>
                <w:b/>
                <w:bCs/>
                <w:kern w:val="0"/>
                <w:sz w:val="24"/>
              </w:rPr>
            </w:pPr>
            <w:r>
              <w:rPr>
                <w:b/>
                <w:bCs/>
                <w:kern w:val="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rFonts w:eastAsiaTheme="minorEastAsia"/>
                <w:kern w:val="0"/>
                <w:sz w:val="24"/>
              </w:rPr>
            </w:pPr>
            <w:r>
              <w:rPr>
                <w:rFonts w:eastAsiaTheme="minorEastAsia"/>
                <w:kern w:val="0"/>
                <w:sz w:val="24"/>
              </w:rPr>
              <w:t>1.1.5</w:t>
            </w:r>
          </w:p>
        </w:tc>
        <w:tc>
          <w:tcPr>
            <w:tcW w:w="2349" w:type="dxa"/>
            <w:vAlign w:val="center"/>
          </w:tcPr>
          <w:p>
            <w:pPr>
              <w:autoSpaceDE w:val="0"/>
              <w:autoSpaceDN w:val="0"/>
              <w:adjustRightInd w:val="0"/>
              <w:snapToGrid w:val="0"/>
              <w:jc w:val="left"/>
              <w:rPr>
                <w:rFonts w:eastAsiaTheme="minorEastAsia"/>
                <w:b/>
                <w:bCs/>
                <w:kern w:val="0"/>
                <w:sz w:val="24"/>
                <w:highlight w:val="none"/>
              </w:rPr>
            </w:pPr>
            <w:r>
              <w:rPr>
                <w:rFonts w:eastAsiaTheme="minorEastAsia"/>
                <w:b/>
                <w:bCs/>
                <w:sz w:val="24"/>
                <w:highlight w:val="none"/>
              </w:rPr>
              <w:t>采购标的对应的中小企业划分标准所属行业</w:t>
            </w:r>
          </w:p>
        </w:tc>
        <w:tc>
          <w:tcPr>
            <w:tcW w:w="5352" w:type="dxa"/>
            <w:vAlign w:val="center"/>
          </w:tcPr>
          <w:p>
            <w:pPr>
              <w:autoSpaceDE w:val="0"/>
              <w:autoSpaceDN w:val="0"/>
              <w:adjustRightInd w:val="0"/>
              <w:snapToGrid w:val="0"/>
              <w:jc w:val="left"/>
              <w:rPr>
                <w:rFonts w:eastAsiaTheme="minorEastAsia"/>
                <w:kern w:val="0"/>
                <w:sz w:val="24"/>
                <w:highlight w:val="none"/>
              </w:rPr>
            </w:pPr>
            <w:r>
              <w:rPr>
                <w:rFonts w:eastAsiaTheme="minorEastAsia"/>
                <w:kern w:val="0"/>
                <w:sz w:val="24"/>
                <w:highlight w:val="none"/>
              </w:rPr>
              <w:t>所属行业为：</w:t>
            </w:r>
            <w:r>
              <w:rPr>
                <w:rFonts w:hint="eastAsia" w:eastAsiaTheme="minorEastAsia"/>
                <w:kern w:val="0"/>
                <w:sz w:val="24"/>
                <w:highlight w:val="none"/>
                <w:lang w:val="en-US" w:eastAsia="zh-CN"/>
              </w:rPr>
              <w:t>软件和信息技术服务业</w:t>
            </w:r>
            <w:r>
              <w:rPr>
                <w:rFonts w:eastAsiaTheme="minorEastAsia"/>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4</w:t>
            </w:r>
          </w:p>
        </w:tc>
        <w:tc>
          <w:tcPr>
            <w:tcW w:w="2349" w:type="dxa"/>
            <w:vAlign w:val="center"/>
          </w:tcPr>
          <w:p>
            <w:pPr>
              <w:autoSpaceDE w:val="0"/>
              <w:autoSpaceDN w:val="0"/>
              <w:adjustRightInd w:val="0"/>
              <w:snapToGrid w:val="0"/>
              <w:jc w:val="left"/>
              <w:rPr>
                <w:b/>
                <w:bCs/>
                <w:kern w:val="0"/>
                <w:sz w:val="24"/>
              </w:rPr>
            </w:pPr>
            <w:r>
              <w:rPr>
                <w:rFonts w:hint="eastAsia"/>
                <w:b/>
                <w:bCs/>
                <w:kern w:val="0"/>
                <w:sz w:val="24"/>
              </w:rPr>
              <w:t>招标范围</w:t>
            </w:r>
          </w:p>
        </w:tc>
        <w:tc>
          <w:tcPr>
            <w:tcW w:w="5352" w:type="dxa"/>
            <w:vAlign w:val="center"/>
          </w:tcPr>
          <w:p>
            <w:pPr>
              <w:autoSpaceDE w:val="0"/>
              <w:autoSpaceDN w:val="0"/>
              <w:adjustRightInd w:val="0"/>
              <w:snapToGrid w:val="0"/>
              <w:jc w:val="left"/>
              <w:rPr>
                <w:rFonts w:hint="eastAsia" w:eastAsia="宋体"/>
                <w:kern w:val="0"/>
                <w:sz w:val="24"/>
                <w:lang w:eastAsia="zh-CN"/>
              </w:rPr>
            </w:pPr>
            <w:r>
              <w:rPr>
                <w:rFonts w:hint="eastAsia"/>
                <w:kern w:val="0"/>
                <w:sz w:val="24"/>
              </w:rPr>
              <w:t>见第五章采购需求</w:t>
            </w:r>
            <w:r>
              <w:rPr>
                <w:rFonts w:hint="eastAsia"/>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b/>
                <w:bCs/>
                <w:sz w:val="24"/>
                <w:highlight w:val="none"/>
              </w:rPr>
            </w:pPr>
            <w:r>
              <w:rPr>
                <w:rFonts w:hint="eastAsia"/>
                <w:b/>
                <w:bCs/>
                <w:sz w:val="24"/>
                <w:highlight w:val="none"/>
              </w:rPr>
              <w:t>交货地点</w:t>
            </w:r>
          </w:p>
        </w:tc>
        <w:tc>
          <w:tcPr>
            <w:tcW w:w="5352" w:type="dxa"/>
            <w:vAlign w:val="center"/>
          </w:tcPr>
          <w:p>
            <w:pPr>
              <w:rPr>
                <w:sz w:val="24"/>
                <w:highlight w:val="none"/>
              </w:rPr>
            </w:pPr>
            <w:r>
              <w:rPr>
                <w:rFonts w:hint="eastAsia"/>
                <w:sz w:val="24"/>
                <w:highlight w:val="none"/>
              </w:rPr>
              <w:t>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rFonts w:hint="default" w:eastAsia="宋体"/>
                <w:b/>
                <w:bCs/>
                <w:sz w:val="24"/>
                <w:highlight w:val="none"/>
                <w:lang w:val="en-US" w:eastAsia="zh-CN"/>
              </w:rPr>
            </w:pPr>
            <w:r>
              <w:rPr>
                <w:rFonts w:hint="eastAsia"/>
                <w:b/>
                <w:bCs/>
                <w:sz w:val="24"/>
                <w:highlight w:val="none"/>
                <w:lang w:val="en-US" w:eastAsia="zh-CN"/>
              </w:rPr>
              <w:t>交货期</w:t>
            </w:r>
          </w:p>
        </w:tc>
        <w:tc>
          <w:tcPr>
            <w:tcW w:w="5352" w:type="dxa"/>
            <w:vAlign w:val="center"/>
          </w:tcPr>
          <w:p>
            <w:pPr>
              <w:rPr>
                <w:sz w:val="24"/>
                <w:highlight w:val="none"/>
              </w:rPr>
            </w:pPr>
            <w:r>
              <w:rPr>
                <w:rFonts w:hint="eastAsia" w:ascii="宋体" w:hAnsi="宋体" w:eastAsia="宋体" w:cs="宋体"/>
                <w:color w:val="000000"/>
                <w:kern w:val="0"/>
                <w:sz w:val="24"/>
                <w:highlight w:val="none"/>
                <w:lang w:val="en-US" w:eastAsia="zh-CN"/>
              </w:rPr>
              <w:t>签订合同后20个自然日内完成安装部署工作</w:t>
            </w:r>
            <w:r>
              <w:rPr>
                <w:rFonts w:hint="eastAsia" w:ascii="宋体" w:hAnsi="宋体" w:cs="宋体"/>
                <w:color w:val="000000"/>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18" w:type="dxa"/>
            <w:vAlign w:val="center"/>
          </w:tcPr>
          <w:p>
            <w:pPr>
              <w:autoSpaceDE w:val="0"/>
              <w:autoSpaceDN w:val="0"/>
              <w:adjustRightInd w:val="0"/>
              <w:snapToGrid w:val="0"/>
              <w:jc w:val="center"/>
              <w:rPr>
                <w:kern w:val="0"/>
                <w:sz w:val="24"/>
              </w:rPr>
            </w:pPr>
            <w:r>
              <w:rPr>
                <w:kern w:val="0"/>
                <w:sz w:val="24"/>
              </w:rPr>
              <w:t>1.5.2</w:t>
            </w:r>
          </w:p>
        </w:tc>
        <w:tc>
          <w:tcPr>
            <w:tcW w:w="2349" w:type="dxa"/>
            <w:vAlign w:val="center"/>
          </w:tcPr>
          <w:p>
            <w:pPr>
              <w:autoSpaceDE w:val="0"/>
              <w:autoSpaceDN w:val="0"/>
              <w:adjustRightInd w:val="0"/>
              <w:snapToGrid w:val="0"/>
              <w:jc w:val="left"/>
              <w:rPr>
                <w:b/>
                <w:bCs/>
                <w:kern w:val="0"/>
                <w:sz w:val="24"/>
              </w:rPr>
            </w:pPr>
            <w:r>
              <w:rPr>
                <w:b/>
                <w:bCs/>
                <w:kern w:val="0"/>
                <w:sz w:val="24"/>
              </w:rPr>
              <w:t>是否专门面向中小企业或小型、微型企业采购</w:t>
            </w:r>
          </w:p>
        </w:tc>
        <w:tc>
          <w:tcPr>
            <w:tcW w:w="5352" w:type="dxa"/>
            <w:vAlign w:val="center"/>
          </w:tcPr>
          <w:p>
            <w:pPr>
              <w:autoSpaceDE w:val="0"/>
              <w:autoSpaceDN w:val="0"/>
              <w:adjustRightInd w:val="0"/>
              <w:snapToGrid w:val="0"/>
              <w:jc w:val="left"/>
              <w:rPr>
                <w:kern w:val="0"/>
                <w:sz w:val="24"/>
              </w:rPr>
            </w:pPr>
            <w:r>
              <w:rPr>
                <w:rFonts w:hint="eastAsia"/>
                <w:kern w:val="0"/>
                <w:sz w:val="24"/>
                <w:lang w:eastAsia="zh-CN"/>
              </w:rPr>
              <w:t>☑</w:t>
            </w:r>
            <w:r>
              <w:rPr>
                <w:kern w:val="0"/>
                <w:sz w:val="24"/>
              </w:rPr>
              <w:t>是</w:t>
            </w:r>
          </w:p>
          <w:p>
            <w:pPr>
              <w:autoSpaceDE w:val="0"/>
              <w:autoSpaceDN w:val="0"/>
              <w:adjustRightInd w:val="0"/>
              <w:snapToGrid w:val="0"/>
              <w:jc w:val="left"/>
              <w:rPr>
                <w:kern w:val="0"/>
                <w:sz w:val="24"/>
              </w:rPr>
            </w:pPr>
            <w:r>
              <w:rPr>
                <w:rFonts w:hint="eastAsia"/>
                <w:kern w:val="0"/>
                <w:sz w:val="24"/>
                <w:lang w:eastAsia="zh-CN"/>
              </w:rPr>
              <w:t>□</w:t>
            </w: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1.6</w:t>
            </w:r>
          </w:p>
        </w:tc>
        <w:tc>
          <w:tcPr>
            <w:tcW w:w="2349" w:type="dxa"/>
            <w:vAlign w:val="center"/>
          </w:tcPr>
          <w:p>
            <w:pPr>
              <w:autoSpaceDE w:val="0"/>
              <w:autoSpaceDN w:val="0"/>
              <w:adjustRightInd w:val="0"/>
              <w:snapToGrid w:val="0"/>
              <w:jc w:val="left"/>
              <w:rPr>
                <w:b/>
                <w:bCs/>
                <w:kern w:val="0"/>
                <w:sz w:val="24"/>
              </w:rPr>
            </w:pPr>
            <w:r>
              <w:rPr>
                <w:b/>
                <w:bCs/>
                <w:kern w:val="0"/>
                <w:sz w:val="24"/>
              </w:rPr>
              <w:t>是否允许采用分包方式履行合同</w:t>
            </w:r>
          </w:p>
        </w:tc>
        <w:tc>
          <w:tcPr>
            <w:tcW w:w="5352" w:type="dxa"/>
            <w:vAlign w:val="center"/>
          </w:tcPr>
          <w:p>
            <w:pPr>
              <w:autoSpaceDE w:val="0"/>
              <w:autoSpaceDN w:val="0"/>
              <w:adjustRightInd w:val="0"/>
              <w:snapToGrid w:val="0"/>
              <w:jc w:val="left"/>
              <w:rPr>
                <w:kern w:val="0"/>
                <w:sz w:val="24"/>
              </w:rPr>
            </w:pPr>
            <w:r>
              <w:rPr>
                <w:rFonts w:hint="eastAsia"/>
                <w:kern w:val="0"/>
                <w:sz w:val="24"/>
                <w:lang w:eastAsia="zh-CN"/>
              </w:rPr>
              <w:t>☑</w:t>
            </w:r>
            <w:r>
              <w:rPr>
                <w:kern w:val="0"/>
                <w:sz w:val="24"/>
              </w:rPr>
              <w:t>不允许</w:t>
            </w:r>
          </w:p>
          <w:p>
            <w:pPr>
              <w:autoSpaceDE w:val="0"/>
              <w:autoSpaceDN w:val="0"/>
              <w:adjustRightInd w:val="0"/>
              <w:snapToGrid w:val="0"/>
              <w:jc w:val="left"/>
              <w:rPr>
                <w:kern w:val="0"/>
                <w:sz w:val="24"/>
              </w:rPr>
            </w:pPr>
            <w:r>
              <w:rPr>
                <w:rFonts w:hint="eastAsia"/>
                <w:kern w:val="0"/>
                <w:sz w:val="24"/>
                <w:lang w:eastAsia="zh-CN"/>
              </w:rPr>
              <w:t>□</w:t>
            </w:r>
            <w:r>
              <w:rPr>
                <w:kern w:val="0"/>
                <w:sz w:val="24"/>
              </w:rPr>
              <w:t>允许，分包要求</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2.2</w:t>
            </w:r>
          </w:p>
        </w:tc>
        <w:tc>
          <w:tcPr>
            <w:tcW w:w="2349" w:type="dxa"/>
            <w:vAlign w:val="center"/>
          </w:tcPr>
          <w:p>
            <w:pPr>
              <w:autoSpaceDE w:val="0"/>
              <w:autoSpaceDN w:val="0"/>
              <w:adjustRightInd w:val="0"/>
              <w:snapToGrid w:val="0"/>
              <w:jc w:val="left"/>
              <w:rPr>
                <w:b/>
                <w:bCs/>
                <w:kern w:val="0"/>
                <w:sz w:val="24"/>
                <w:highlight w:val="none"/>
              </w:rPr>
            </w:pPr>
            <w:r>
              <w:rPr>
                <w:b/>
                <w:bCs/>
                <w:kern w:val="0"/>
                <w:sz w:val="24"/>
                <w:highlight w:val="none"/>
              </w:rPr>
              <w:t>核心产品</w:t>
            </w:r>
          </w:p>
        </w:tc>
        <w:tc>
          <w:tcPr>
            <w:tcW w:w="5352" w:type="dxa"/>
            <w:vAlign w:val="center"/>
          </w:tcPr>
          <w:p>
            <w:pPr>
              <w:autoSpaceDE w:val="0"/>
              <w:autoSpaceDN w:val="0"/>
              <w:adjustRightInd w:val="0"/>
              <w:snapToGrid w:val="0"/>
              <w:jc w:val="left"/>
              <w:rPr>
                <w:rFonts w:ascii="Times New Roman" w:hAnsi="Times New Roman" w:eastAsia="宋体" w:cs="Times New Roman"/>
                <w:kern w:val="0"/>
                <w:sz w:val="24"/>
                <w:highlight w:val="none"/>
              </w:rPr>
            </w:pPr>
            <w:r>
              <w:rPr>
                <w:rFonts w:hint="eastAsia"/>
                <w:highlight w:val="none"/>
              </w:rPr>
              <w:t>□</w:t>
            </w:r>
            <w:r>
              <w:rPr>
                <w:rFonts w:hint="eastAsia" w:ascii="Times New Roman" w:hAnsi="Times New Roman" w:eastAsia="宋体" w:cs="Times New Roman"/>
                <w:kern w:val="0"/>
                <w:sz w:val="24"/>
                <w:highlight w:val="none"/>
              </w:rPr>
              <w:t>服务采购</w:t>
            </w:r>
          </w:p>
          <w:p>
            <w:pPr>
              <w:autoSpaceDE w:val="0"/>
              <w:autoSpaceDN w:val="0"/>
              <w:adjustRightInd w:val="0"/>
              <w:snapToGrid w:val="0"/>
              <w:jc w:val="left"/>
              <w:rPr>
                <w:rFonts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lang w:eastAsia="zh-CN"/>
              </w:rPr>
              <w:t>□</w:t>
            </w:r>
            <w:r>
              <w:rPr>
                <w:rFonts w:hint="eastAsia" w:ascii="Times New Roman" w:hAnsi="Times New Roman" w:eastAsia="宋体" w:cs="Times New Roman"/>
                <w:kern w:val="0"/>
                <w:sz w:val="24"/>
                <w:highlight w:val="none"/>
              </w:rPr>
              <w:t>单一产品采购</w:t>
            </w:r>
          </w:p>
          <w:p>
            <w:pPr>
              <w:autoSpaceDE w:val="0"/>
              <w:autoSpaceDN w:val="0"/>
              <w:adjustRightInd w:val="0"/>
              <w:snapToGrid w:val="0"/>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lang w:eastAsia="zh-CN"/>
              </w:rPr>
              <w:t>☑</w:t>
            </w:r>
            <w:r>
              <w:rPr>
                <w:rFonts w:hint="eastAsia" w:ascii="Times New Roman" w:hAnsi="Times New Roman" w:eastAsia="宋体" w:cs="Times New Roman"/>
                <w:kern w:val="0"/>
                <w:sz w:val="24"/>
                <w:highlight w:val="none"/>
              </w:rPr>
              <w:t>非单一产品采购，核心产品为：</w:t>
            </w:r>
          </w:p>
          <w:p>
            <w:pPr>
              <w:autoSpaceDE w:val="0"/>
              <w:autoSpaceDN w:val="0"/>
              <w:adjustRightInd w:val="0"/>
              <w:snapToGrid w:val="0"/>
              <w:jc w:val="left"/>
              <w:rPr>
                <w:rFonts w:hint="default" w:eastAsia="宋体"/>
                <w:highlight w:val="none"/>
                <w:lang w:val="en-US" w:eastAsia="zh-CN"/>
              </w:rPr>
            </w:pPr>
            <w:r>
              <w:rPr>
                <w:rFonts w:hint="eastAsia" w:ascii="Times New Roman" w:hAnsi="Times New Roman" w:eastAsia="宋体" w:cs="Times New Roman"/>
                <w:kern w:val="0"/>
                <w:sz w:val="24"/>
                <w:highlight w:val="none"/>
                <w:lang w:val="en-US" w:eastAsia="zh-CN"/>
              </w:rPr>
              <w:t>标项一：序号1：公共管理决策演练沙盘对抗比赛平台软件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2.3.3</w:t>
            </w:r>
          </w:p>
        </w:tc>
        <w:tc>
          <w:tcPr>
            <w:tcW w:w="2349" w:type="dxa"/>
            <w:vAlign w:val="center"/>
          </w:tcPr>
          <w:p>
            <w:pPr>
              <w:autoSpaceDE w:val="0"/>
              <w:autoSpaceDN w:val="0"/>
              <w:adjustRightInd w:val="0"/>
              <w:snapToGrid w:val="0"/>
              <w:jc w:val="left"/>
              <w:rPr>
                <w:b/>
                <w:bCs/>
                <w:kern w:val="0"/>
                <w:sz w:val="24"/>
              </w:rPr>
            </w:pPr>
            <w:r>
              <w:rPr>
                <w:b/>
                <w:bCs/>
                <w:kern w:val="0"/>
                <w:sz w:val="24"/>
              </w:rPr>
              <w:t>采购人发出澄清文件时间</w:t>
            </w:r>
          </w:p>
        </w:tc>
        <w:tc>
          <w:tcPr>
            <w:tcW w:w="5352" w:type="dxa"/>
            <w:vAlign w:val="center"/>
          </w:tcPr>
          <w:p>
            <w:pPr>
              <w:autoSpaceDE w:val="0"/>
              <w:autoSpaceDN w:val="0"/>
              <w:adjustRightInd w:val="0"/>
              <w:snapToGrid w:val="0"/>
              <w:jc w:val="left"/>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2.4.1</w:t>
            </w:r>
          </w:p>
        </w:tc>
        <w:tc>
          <w:tcPr>
            <w:tcW w:w="2349" w:type="dxa"/>
            <w:vAlign w:val="center"/>
          </w:tcPr>
          <w:p>
            <w:pPr>
              <w:rPr>
                <w:b/>
                <w:bCs/>
                <w:sz w:val="24"/>
              </w:rPr>
            </w:pPr>
            <w:bookmarkStart w:id="47" w:name="_Toc4365"/>
            <w:bookmarkStart w:id="48" w:name="_Toc8477"/>
            <w:bookmarkStart w:id="49" w:name="_Toc26077"/>
            <w:bookmarkStart w:id="50" w:name="_Toc20949"/>
            <w:r>
              <w:rPr>
                <w:b/>
                <w:bCs/>
                <w:sz w:val="24"/>
              </w:rPr>
              <w:t>采购人发出修改文件时间</w:t>
            </w:r>
            <w:bookmarkEnd w:id="47"/>
            <w:bookmarkEnd w:id="48"/>
            <w:bookmarkEnd w:id="49"/>
            <w:bookmarkEnd w:id="50"/>
          </w:p>
        </w:tc>
        <w:tc>
          <w:tcPr>
            <w:tcW w:w="5352" w:type="dxa"/>
            <w:vAlign w:val="center"/>
          </w:tcPr>
          <w:p>
            <w:pPr>
              <w:autoSpaceDE w:val="0"/>
              <w:autoSpaceDN w:val="0"/>
              <w:adjustRightInd w:val="0"/>
              <w:snapToGrid w:val="0"/>
              <w:spacing w:after="120" w:afterLines="50"/>
              <w:ind w:left="281" w:hanging="280" w:hangingChars="117"/>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2.5</w:t>
            </w:r>
          </w:p>
        </w:tc>
        <w:tc>
          <w:tcPr>
            <w:tcW w:w="2349" w:type="dxa"/>
            <w:vAlign w:val="center"/>
          </w:tcPr>
          <w:p>
            <w:pPr>
              <w:rPr>
                <w:b/>
                <w:bCs/>
                <w:sz w:val="24"/>
              </w:rPr>
            </w:pPr>
            <w:bookmarkStart w:id="51" w:name="_Toc15622"/>
            <w:bookmarkStart w:id="52" w:name="_Toc20336"/>
            <w:bookmarkStart w:id="53" w:name="_Toc31338"/>
            <w:bookmarkStart w:id="54" w:name="_Toc5691"/>
            <w:r>
              <w:rPr>
                <w:b/>
                <w:bCs/>
                <w:sz w:val="24"/>
              </w:rPr>
              <w:t>接收质疑函的方式和联系方式</w:t>
            </w:r>
            <w:bookmarkEnd w:id="51"/>
            <w:bookmarkEnd w:id="52"/>
            <w:bookmarkEnd w:id="53"/>
            <w:bookmarkEnd w:id="54"/>
          </w:p>
        </w:tc>
        <w:tc>
          <w:tcPr>
            <w:tcW w:w="5352" w:type="dxa"/>
            <w:vAlign w:val="center"/>
          </w:tcPr>
          <w:p>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pPr>
              <w:autoSpaceDE w:val="0"/>
              <w:autoSpaceDN w:val="0"/>
              <w:adjustRightInd w:val="0"/>
              <w:snapToGrid w:val="0"/>
              <w:jc w:val="left"/>
              <w:rPr>
                <w:rFonts w:hint="eastAsia" w:eastAsia="宋体"/>
                <w:kern w:val="0"/>
                <w:sz w:val="24"/>
                <w:lang w:eastAsia="zh-CN"/>
              </w:rPr>
            </w:pPr>
            <w:r>
              <w:rPr>
                <w:kern w:val="0"/>
                <w:sz w:val="24"/>
              </w:rPr>
              <w:t>联系部门：</w:t>
            </w:r>
            <w:r>
              <w:rPr>
                <w:rFonts w:hint="eastAsia"/>
                <w:kern w:val="0"/>
                <w:sz w:val="24"/>
                <w:lang w:eastAsia="zh-CN"/>
              </w:rPr>
              <w:t>中技国际招标有限公司</w:t>
            </w:r>
          </w:p>
          <w:p>
            <w:pPr>
              <w:autoSpaceDE w:val="0"/>
              <w:autoSpaceDN w:val="0"/>
              <w:adjustRightInd w:val="0"/>
              <w:snapToGrid w:val="0"/>
              <w:jc w:val="left"/>
              <w:rPr>
                <w:rFonts w:hint="eastAsia" w:eastAsia="宋体"/>
                <w:kern w:val="0"/>
                <w:sz w:val="24"/>
                <w:lang w:eastAsia="zh-CN"/>
              </w:rPr>
            </w:pPr>
            <w:r>
              <w:rPr>
                <w:kern w:val="0"/>
                <w:sz w:val="24"/>
              </w:rPr>
              <w:t>联系人：</w:t>
            </w:r>
            <w:r>
              <w:rPr>
                <w:rFonts w:hint="eastAsia"/>
                <w:kern w:val="0"/>
                <w:sz w:val="24"/>
                <w:lang w:val="en-US" w:eastAsia="zh-CN"/>
              </w:rPr>
              <w:t>张喜阅</w:t>
            </w:r>
          </w:p>
          <w:p>
            <w:pPr>
              <w:autoSpaceDE w:val="0"/>
              <w:autoSpaceDN w:val="0"/>
              <w:adjustRightInd w:val="0"/>
              <w:snapToGrid w:val="0"/>
              <w:jc w:val="left"/>
              <w:rPr>
                <w:rFonts w:hint="default" w:eastAsia="宋体"/>
                <w:kern w:val="0"/>
                <w:sz w:val="24"/>
                <w:lang w:val="en-US" w:eastAsia="zh-CN"/>
              </w:rPr>
            </w:pPr>
            <w:r>
              <w:rPr>
                <w:kern w:val="0"/>
                <w:sz w:val="24"/>
              </w:rPr>
              <w:t>联系电话：</w:t>
            </w:r>
            <w:r>
              <w:rPr>
                <w:rFonts w:hint="eastAsia"/>
                <w:kern w:val="0"/>
                <w:sz w:val="24"/>
                <w:lang w:val="en-US" w:eastAsia="zh-CN"/>
              </w:rPr>
              <w:t>13009665716</w:t>
            </w:r>
          </w:p>
          <w:p>
            <w:pPr>
              <w:autoSpaceDE w:val="0"/>
              <w:autoSpaceDN w:val="0"/>
              <w:adjustRightInd w:val="0"/>
              <w:snapToGrid w:val="0"/>
              <w:jc w:val="left"/>
              <w:rPr>
                <w:rFonts w:hint="default" w:eastAsia="宋体"/>
                <w:kern w:val="0"/>
                <w:sz w:val="24"/>
                <w:lang w:val="en-US" w:eastAsia="zh-CN"/>
              </w:rPr>
            </w:pPr>
            <w:r>
              <w:rPr>
                <w:kern w:val="0"/>
                <w:sz w:val="24"/>
              </w:rPr>
              <w:t>通讯地址：新疆乌鲁木齐市天山区</w:t>
            </w:r>
            <w:r>
              <w:rPr>
                <w:rFonts w:hint="eastAsia"/>
                <w:kern w:val="0"/>
                <w:sz w:val="24"/>
                <w:lang w:val="en-US" w:eastAsia="zh-CN"/>
              </w:rPr>
              <w:t>红山路26号时代广场C座10楼O室</w:t>
            </w:r>
          </w:p>
          <w:p>
            <w:pPr>
              <w:autoSpaceDE w:val="0"/>
              <w:autoSpaceDN w:val="0"/>
              <w:adjustRightInd w:val="0"/>
              <w:snapToGrid w:val="0"/>
              <w:jc w:val="left"/>
              <w:rPr>
                <w:rFonts w:hint="default" w:eastAsia="宋体"/>
                <w:kern w:val="0"/>
                <w:sz w:val="24"/>
                <w:lang w:val="en-US" w:eastAsia="zh-CN"/>
              </w:rPr>
            </w:pPr>
            <w:r>
              <w:rPr>
                <w:kern w:val="0"/>
                <w:sz w:val="24"/>
              </w:rPr>
              <w:t>邮箱：</w:t>
            </w:r>
            <w:r>
              <w:rPr>
                <w:rFonts w:hint="eastAsia"/>
                <w:kern w:val="0"/>
                <w:sz w:val="24"/>
                <w:lang w:val="en-US" w:eastAsia="zh-CN"/>
              </w:rPr>
              <w:t>459861681@qq.com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3.6.2</w:t>
            </w:r>
          </w:p>
        </w:tc>
        <w:tc>
          <w:tcPr>
            <w:tcW w:w="2349" w:type="dxa"/>
            <w:vAlign w:val="center"/>
          </w:tcPr>
          <w:p>
            <w:pPr>
              <w:rPr>
                <w:b/>
                <w:bCs/>
                <w:sz w:val="24"/>
              </w:rPr>
            </w:pPr>
            <w:bookmarkStart w:id="55" w:name="_Toc5055"/>
            <w:bookmarkStart w:id="56" w:name="_Toc1731"/>
            <w:bookmarkStart w:id="57" w:name="_Toc28365"/>
            <w:bookmarkStart w:id="58" w:name="_Toc195921788"/>
            <w:bookmarkStart w:id="59" w:name="_Toc10933"/>
            <w:r>
              <w:rPr>
                <w:b/>
                <w:bCs/>
                <w:sz w:val="24"/>
              </w:rPr>
              <w:t>投标有效期</w:t>
            </w:r>
            <w:bookmarkEnd w:id="55"/>
            <w:bookmarkEnd w:id="56"/>
            <w:bookmarkEnd w:id="57"/>
            <w:bookmarkEnd w:id="58"/>
            <w:bookmarkEnd w:id="59"/>
          </w:p>
        </w:tc>
        <w:tc>
          <w:tcPr>
            <w:tcW w:w="5352" w:type="dxa"/>
            <w:vAlign w:val="center"/>
          </w:tcPr>
          <w:p>
            <w:pPr>
              <w:autoSpaceDE w:val="0"/>
              <w:autoSpaceDN w:val="0"/>
              <w:adjustRightInd w:val="0"/>
              <w:snapToGrid w:val="0"/>
              <w:spacing w:after="120" w:afterLines="50"/>
              <w:rPr>
                <w:kern w:val="0"/>
                <w:sz w:val="24"/>
              </w:rPr>
            </w:pPr>
            <w:r>
              <w:rPr>
                <w:kern w:val="0"/>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3.7.1</w:t>
            </w:r>
          </w:p>
        </w:tc>
        <w:tc>
          <w:tcPr>
            <w:tcW w:w="2349" w:type="dxa"/>
            <w:vAlign w:val="center"/>
          </w:tcPr>
          <w:p>
            <w:pPr>
              <w:rPr>
                <w:b/>
                <w:bCs/>
                <w:sz w:val="24"/>
              </w:rPr>
            </w:pPr>
            <w:bookmarkStart w:id="60" w:name="_Toc5482"/>
            <w:bookmarkStart w:id="61" w:name="_Toc21352"/>
            <w:bookmarkStart w:id="62" w:name="_Toc12380"/>
            <w:bookmarkStart w:id="63" w:name="_Toc12209"/>
            <w:bookmarkStart w:id="64" w:name="_Toc195921789"/>
            <w:r>
              <w:rPr>
                <w:b/>
                <w:bCs/>
                <w:sz w:val="24"/>
              </w:rPr>
              <w:t>投标保证金</w:t>
            </w:r>
            <w:bookmarkEnd w:id="60"/>
            <w:bookmarkEnd w:id="61"/>
            <w:bookmarkEnd w:id="62"/>
            <w:bookmarkEnd w:id="63"/>
            <w:bookmarkEnd w:id="64"/>
          </w:p>
        </w:tc>
        <w:tc>
          <w:tcPr>
            <w:tcW w:w="5352" w:type="dxa"/>
            <w:vAlign w:val="center"/>
          </w:tcPr>
          <w:p>
            <w:pPr>
              <w:autoSpaceDE w:val="0"/>
              <w:autoSpaceDN w:val="0"/>
              <w:adjustRightInd w:val="0"/>
              <w:snapToGrid w:val="0"/>
              <w:jc w:val="left"/>
              <w:rPr>
                <w:kern w:val="0"/>
                <w:sz w:val="24"/>
              </w:rPr>
            </w:pPr>
            <w:r>
              <w:rPr>
                <w:kern w:val="0"/>
                <w:sz w:val="24"/>
              </w:rPr>
              <w:t>供应商可以自主选择以支票、汇票、本票或者金融机构、担保机构出具的保函等非现金形式缴纳或提交投标保证金。</w:t>
            </w:r>
          </w:p>
          <w:p>
            <w:pPr>
              <w:autoSpaceDE w:val="0"/>
              <w:autoSpaceDN w:val="0"/>
              <w:adjustRightInd w:val="0"/>
              <w:snapToGrid w:val="0"/>
              <w:jc w:val="left"/>
              <w:rPr>
                <w:kern w:val="0"/>
                <w:sz w:val="24"/>
              </w:rPr>
            </w:pPr>
            <w:r>
              <w:rPr>
                <w:kern w:val="0"/>
                <w:sz w:val="24"/>
              </w:rPr>
              <w:t>采用电汇方式提交投标保证金时，请按以下内容办理：</w:t>
            </w:r>
          </w:p>
          <w:p>
            <w:pPr>
              <w:autoSpaceDE w:val="0"/>
              <w:autoSpaceDN w:val="0"/>
              <w:adjustRightInd w:val="0"/>
              <w:snapToGrid w:val="0"/>
              <w:jc w:val="left"/>
              <w:rPr>
                <w:kern w:val="0"/>
                <w:sz w:val="24"/>
              </w:rPr>
            </w:pPr>
            <w:r>
              <w:rPr>
                <w:kern w:val="0"/>
                <w:sz w:val="24"/>
              </w:rPr>
              <w:t>保证金金额：</w:t>
            </w:r>
          </w:p>
          <w:p>
            <w:pPr>
              <w:tabs>
                <w:tab w:val="left" w:pos="2520"/>
              </w:tabs>
              <w:autoSpaceDE w:val="0"/>
              <w:autoSpaceDN w:val="0"/>
              <w:adjustRightInd w:val="0"/>
              <w:snapToGrid w:val="0"/>
              <w:jc w:val="left"/>
              <w:rPr>
                <w:b/>
                <w:bCs/>
                <w:kern w:val="0"/>
                <w:sz w:val="24"/>
              </w:rPr>
            </w:pPr>
            <w:r>
              <w:rPr>
                <w:rFonts w:hint="eastAsia"/>
                <w:b/>
                <w:bCs/>
                <w:kern w:val="0"/>
                <w:sz w:val="24"/>
              </w:rPr>
              <w:t>标项1：</w:t>
            </w:r>
            <w:r>
              <w:rPr>
                <w:b/>
                <w:bCs/>
                <w:kern w:val="0"/>
                <w:sz w:val="24"/>
              </w:rPr>
              <w:t>¥</w:t>
            </w:r>
            <w:r>
              <w:rPr>
                <w:rFonts w:hint="eastAsia"/>
                <w:b/>
                <w:bCs/>
                <w:kern w:val="0"/>
                <w:sz w:val="24"/>
                <w:lang w:val="en-US" w:eastAsia="zh-CN"/>
              </w:rPr>
              <w:t>8000.00</w:t>
            </w:r>
            <w:r>
              <w:rPr>
                <w:b/>
                <w:bCs/>
                <w:kern w:val="0"/>
                <w:sz w:val="24"/>
              </w:rPr>
              <w:t>元（</w:t>
            </w:r>
            <w:r>
              <w:rPr>
                <w:rFonts w:hint="eastAsia"/>
                <w:b/>
                <w:bCs/>
                <w:kern w:val="0"/>
                <w:sz w:val="24"/>
                <w:lang w:val="en-US" w:eastAsia="zh-CN"/>
              </w:rPr>
              <w:t>捌仟元整</w:t>
            </w:r>
            <w:r>
              <w:rPr>
                <w:b/>
                <w:bCs/>
                <w:kern w:val="0"/>
                <w:sz w:val="24"/>
              </w:rPr>
              <w:t>）；</w:t>
            </w:r>
          </w:p>
          <w:p>
            <w:pPr>
              <w:autoSpaceDE w:val="0"/>
              <w:autoSpaceDN w:val="0"/>
              <w:adjustRightInd w:val="0"/>
              <w:snapToGrid w:val="0"/>
              <w:jc w:val="left"/>
              <w:rPr>
                <w:kern w:val="0"/>
                <w:sz w:val="24"/>
              </w:rPr>
            </w:pPr>
            <w:r>
              <w:rPr>
                <w:kern w:val="0"/>
                <w:sz w:val="24"/>
              </w:rPr>
              <w:t>保证金账户信息</w:t>
            </w:r>
            <w:r>
              <w:rPr>
                <w:rFonts w:hint="eastAsia"/>
                <w:kern w:val="0"/>
                <w:sz w:val="24"/>
              </w:rPr>
              <w:t>：</w:t>
            </w:r>
          </w:p>
          <w:p>
            <w:pPr>
              <w:rPr>
                <w:sz w:val="24"/>
              </w:rPr>
            </w:pPr>
            <w:r>
              <w:rPr>
                <w:sz w:val="24"/>
              </w:rPr>
              <w:t>开户名称：</w:t>
            </w:r>
            <w:r>
              <w:rPr>
                <w:rFonts w:hint="eastAsia"/>
                <w:sz w:val="24"/>
                <w:lang w:eastAsia="zh-CN"/>
              </w:rPr>
              <w:t>中技国际招标有限公司</w:t>
            </w:r>
          </w:p>
          <w:p>
            <w:pPr>
              <w:rPr>
                <w:sz w:val="24"/>
              </w:rPr>
            </w:pPr>
            <w:r>
              <w:rPr>
                <w:sz w:val="24"/>
              </w:rPr>
              <w:t>开户银行：</w:t>
            </w:r>
            <w:r>
              <w:rPr>
                <w:rFonts w:hint="eastAsia"/>
                <w:sz w:val="24"/>
              </w:rPr>
              <w:t>交通银行阜外支行</w:t>
            </w:r>
          </w:p>
          <w:p>
            <w:pPr>
              <w:rPr>
                <w:sz w:val="24"/>
              </w:rPr>
            </w:pPr>
            <w:r>
              <w:rPr>
                <w:sz w:val="24"/>
              </w:rPr>
              <w:t>账号：</w:t>
            </w:r>
            <w:r>
              <w:rPr>
                <w:rFonts w:hint="eastAsia"/>
                <w:sz w:val="24"/>
              </w:rPr>
              <w:t>1100 6014 9012 0131 4779 7</w:t>
            </w:r>
          </w:p>
          <w:p>
            <w:pPr>
              <w:rPr>
                <w:rFonts w:ascii="Arial" w:hAnsi="Arial" w:cs="Arial"/>
                <w:snapToGrid w:val="0"/>
                <w:kern w:val="0"/>
                <w:sz w:val="24"/>
              </w:rPr>
            </w:pPr>
            <w:r>
              <w:rPr>
                <w:rFonts w:hint="eastAsia" w:ascii="Arial" w:hAnsi="Arial" w:cs="Arial"/>
                <w:snapToGrid w:val="0"/>
                <w:kern w:val="0"/>
                <w:sz w:val="24"/>
              </w:rPr>
              <w:t>1、请各供应商在投标截止时间</w:t>
            </w:r>
            <w:r>
              <w:rPr>
                <w:rFonts w:hint="eastAsia" w:ascii="Arial" w:hAnsi="Arial" w:cs="Arial"/>
                <w:snapToGrid w:val="0"/>
                <w:kern w:val="0"/>
                <w:sz w:val="24"/>
                <w:lang w:val="en-US" w:eastAsia="zh-CN"/>
              </w:rPr>
              <w:t>前</w:t>
            </w:r>
            <w:r>
              <w:rPr>
                <w:rFonts w:hint="eastAsia" w:ascii="Arial" w:hAnsi="Arial" w:cs="Arial"/>
                <w:snapToGrid w:val="0"/>
                <w:kern w:val="0"/>
                <w:sz w:val="24"/>
              </w:rPr>
              <w:t>，按招标文件的要求向采购代理机构递交投标保证金，投标截止时间之后递交的投标保证金将被拒绝。供应商必须在投标截止时间前按照招标文件中关于投标保证金的各项要求提交投标保证金。</w:t>
            </w:r>
            <w:r>
              <w:rPr>
                <w:rFonts w:hint="eastAsia" w:ascii="Arial" w:hAnsi="Arial" w:cs="Arial"/>
                <w:b/>
                <w:bCs/>
                <w:snapToGrid w:val="0"/>
                <w:kern w:val="0"/>
                <w:sz w:val="24"/>
              </w:rPr>
              <w:t>请供应商在汇款时务必注明所参加项目的项目编号、标项号及款项用途，</w:t>
            </w:r>
            <w:r>
              <w:rPr>
                <w:rFonts w:hint="eastAsia" w:ascii="Arial" w:hAnsi="Arial" w:cs="Arial"/>
                <w:snapToGrid w:val="0"/>
                <w:kern w:val="0"/>
                <w:sz w:val="24"/>
              </w:rPr>
              <w:t>否则，因投标保证金未在投标截止时间之前到账或款项用途不明等原因导致投标无效等后果由供应商自行承担。</w:t>
            </w:r>
          </w:p>
          <w:p>
            <w:pPr>
              <w:rPr>
                <w:rFonts w:hint="eastAsia" w:ascii="Arial" w:hAnsi="Arial" w:eastAsia="宋体" w:cs="Arial"/>
                <w:snapToGrid w:val="0"/>
                <w:kern w:val="0"/>
                <w:sz w:val="24"/>
                <w:lang w:eastAsia="zh-CN"/>
              </w:rPr>
            </w:pPr>
            <w:r>
              <w:rPr>
                <w:rFonts w:hint="eastAsia" w:ascii="Arial" w:hAnsi="Arial" w:cs="Arial"/>
                <w:snapToGrid w:val="0"/>
                <w:kern w:val="0"/>
                <w:sz w:val="24"/>
              </w:rPr>
              <w:t>2、投标保证金交纳人必须与供应商名称保持一致</w:t>
            </w:r>
            <w:r>
              <w:rPr>
                <w:rFonts w:hint="eastAsia" w:ascii="Arial" w:hAnsi="Arial" w:cs="Arial"/>
                <w:snapToGrid w:val="0"/>
                <w:kern w:val="0"/>
                <w:sz w:val="24"/>
                <w:lang w:eastAsia="zh-CN"/>
              </w:rPr>
              <w:t>。</w:t>
            </w:r>
          </w:p>
          <w:p>
            <w:pPr>
              <w:rPr>
                <w:rFonts w:ascii="Arial" w:hAnsi="Arial" w:cs="Arial"/>
                <w:snapToGrid w:val="0"/>
                <w:kern w:val="0"/>
                <w:sz w:val="24"/>
              </w:rPr>
            </w:pPr>
            <w:r>
              <w:rPr>
                <w:rFonts w:hint="eastAsia" w:ascii="Arial" w:hAnsi="Arial" w:cs="Arial"/>
                <w:snapToGrid w:val="0"/>
                <w:kern w:val="0"/>
                <w:sz w:val="24"/>
              </w:rPr>
              <w:t>3、中标人需在中标合同签订之日起五个工作日内，持中标合同到</w:t>
            </w:r>
            <w:r>
              <w:rPr>
                <w:rFonts w:hint="eastAsia" w:ascii="Arial" w:hAnsi="Arial" w:cs="Arial"/>
                <w:snapToGrid w:val="0"/>
                <w:kern w:val="0"/>
                <w:sz w:val="24"/>
                <w:lang w:eastAsia="zh-CN"/>
              </w:rPr>
              <w:t>中技国际招标有限公司</w:t>
            </w:r>
            <w:r>
              <w:rPr>
                <w:rFonts w:hint="eastAsia" w:ascii="Arial" w:hAnsi="Arial" w:cs="Arial"/>
                <w:snapToGrid w:val="0"/>
                <w:kern w:val="0"/>
                <w:sz w:val="24"/>
              </w:rPr>
              <w:t>办理保证金退还手续；未中标人需在中标通知书发出之日起五个工作日内</w:t>
            </w:r>
            <w:r>
              <w:rPr>
                <w:rFonts w:hint="eastAsia" w:ascii="Arial" w:hAnsi="Arial" w:cs="Arial"/>
                <w:snapToGrid w:val="0"/>
                <w:kern w:val="0"/>
                <w:sz w:val="24"/>
                <w:lang w:val="en-US" w:eastAsia="zh-CN"/>
              </w:rPr>
              <w:t>与招标代理办理投标保证金退还手续</w:t>
            </w:r>
            <w:r>
              <w:rPr>
                <w:rFonts w:hint="eastAsia" w:ascii="Arial" w:hAnsi="Arial" w:cs="Arial"/>
                <w:snapToGrid w:val="0"/>
                <w:kern w:val="0"/>
                <w:sz w:val="24"/>
              </w:rPr>
              <w:t>。逾期未办理的，我公司不承担相关责任。</w:t>
            </w:r>
          </w:p>
          <w:p>
            <w:pPr>
              <w:rPr>
                <w:sz w:val="24"/>
              </w:rPr>
            </w:pPr>
            <w:r>
              <w:rPr>
                <w:rFonts w:hint="eastAsia" w:ascii="Arial" w:hAnsi="Arial" w:cs="Arial"/>
                <w:snapToGrid w:val="0"/>
                <w:kern w:val="0"/>
                <w:sz w:val="24"/>
              </w:rPr>
              <w:t>凡没有根据本须知的规定随附投标保证金/保函的响应，将被视为非响应性投标予以拒绝。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3.8.2</w:t>
            </w:r>
          </w:p>
        </w:tc>
        <w:tc>
          <w:tcPr>
            <w:tcW w:w="2349" w:type="dxa"/>
            <w:vAlign w:val="center"/>
          </w:tcPr>
          <w:p>
            <w:pPr>
              <w:autoSpaceDE w:val="0"/>
              <w:autoSpaceDN w:val="0"/>
              <w:adjustRightInd w:val="0"/>
              <w:snapToGrid w:val="0"/>
              <w:rPr>
                <w:kern w:val="0"/>
                <w:sz w:val="24"/>
              </w:rPr>
            </w:pPr>
            <w:r>
              <w:rPr>
                <w:b/>
                <w:bCs/>
                <w:kern w:val="0"/>
                <w:sz w:val="24"/>
              </w:rPr>
              <w:t>签字或加盖人名章要求</w:t>
            </w:r>
          </w:p>
        </w:tc>
        <w:tc>
          <w:tcPr>
            <w:tcW w:w="5352" w:type="dxa"/>
            <w:vAlign w:val="center"/>
          </w:tcPr>
          <w:p>
            <w:pPr>
              <w:autoSpaceDE w:val="0"/>
              <w:autoSpaceDN w:val="0"/>
              <w:adjustRightInd w:val="0"/>
              <w:snapToGrid w:val="0"/>
              <w:spacing w:after="120" w:afterLines="50"/>
              <w:rPr>
                <w:i/>
                <w:kern w:val="0"/>
                <w:sz w:val="24"/>
              </w:rPr>
            </w:pPr>
            <w:r>
              <w:rPr>
                <w:rFonts w:hint="eastAsia"/>
                <w:b/>
                <w:bCs/>
                <w:sz w:val="24"/>
              </w:rPr>
              <w:t>电子</w:t>
            </w:r>
            <w:r>
              <w:rPr>
                <w:b/>
                <w:bCs/>
                <w:sz w:val="24"/>
              </w:rPr>
              <w:t>投标文件中要求加盖单位章处均应为单位公章、法人公章、法人代表签章。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3.8.3</w:t>
            </w:r>
          </w:p>
        </w:tc>
        <w:tc>
          <w:tcPr>
            <w:tcW w:w="2349" w:type="dxa"/>
            <w:vAlign w:val="center"/>
          </w:tcPr>
          <w:p>
            <w:pPr>
              <w:autoSpaceDE w:val="0"/>
              <w:autoSpaceDN w:val="0"/>
              <w:adjustRightInd w:val="0"/>
              <w:snapToGrid w:val="0"/>
              <w:rPr>
                <w:kern w:val="0"/>
                <w:sz w:val="24"/>
              </w:rPr>
            </w:pPr>
            <w:r>
              <w:rPr>
                <w:rFonts w:hint="eastAsia"/>
                <w:b/>
                <w:bCs/>
                <w:kern w:val="0"/>
                <w:sz w:val="24"/>
              </w:rPr>
              <w:t>电子</w:t>
            </w:r>
            <w:r>
              <w:rPr>
                <w:b/>
                <w:bCs/>
                <w:kern w:val="0"/>
                <w:sz w:val="24"/>
              </w:rPr>
              <w:t>投标文件</w:t>
            </w:r>
          </w:p>
        </w:tc>
        <w:tc>
          <w:tcPr>
            <w:tcW w:w="5352" w:type="dxa"/>
            <w:vAlign w:val="center"/>
          </w:tcPr>
          <w:p>
            <w:pPr>
              <w:pStyle w:val="423"/>
              <w:autoSpaceDE w:val="0"/>
              <w:autoSpaceDN w:val="0"/>
              <w:adjustRightInd w:val="0"/>
              <w:snapToGrid w:val="0"/>
              <w:spacing w:before="0" w:after="0"/>
              <w:ind w:firstLine="0" w:firstLineChars="0"/>
              <w:rPr>
                <w:rFonts w:ascii="Times New Roman" w:hAnsi="Times New Roman" w:eastAsia="宋体" w:cs="Times New Roman"/>
                <w:b/>
                <w:bCs/>
                <w:color w:val="auto"/>
                <w:sz w:val="24"/>
                <w:szCs w:val="24"/>
                <w:lang w:val="en-US"/>
              </w:rPr>
            </w:pPr>
            <w:r>
              <w:rPr>
                <w:rFonts w:hint="eastAsia" w:ascii="Times New Roman" w:hAnsi="Times New Roman" w:eastAsia="宋体" w:cs="Times New Roman"/>
                <w:b/>
                <w:bCs/>
                <w:color w:val="auto"/>
                <w:kern w:val="2"/>
                <w:sz w:val="24"/>
                <w:szCs w:val="24"/>
                <w:lang w:val="en-US"/>
              </w:rPr>
              <w:t>加密的电子投标文件在截</w:t>
            </w:r>
            <w:r>
              <w:rPr>
                <w:rFonts w:hint="eastAsia" w:ascii="Times New Roman" w:hAnsi="Times New Roman" w:eastAsia="宋体" w:cs="Times New Roman"/>
                <w:b/>
                <w:bCs/>
                <w:color w:val="auto"/>
                <w:kern w:val="2"/>
                <w:sz w:val="24"/>
                <w:szCs w:val="24"/>
                <w:lang w:val="en-US" w:eastAsia="zh-CN"/>
              </w:rPr>
              <w:t>止</w:t>
            </w:r>
            <w:r>
              <w:rPr>
                <w:rFonts w:hint="eastAsia" w:ascii="Times New Roman" w:hAnsi="Times New Roman" w:eastAsia="宋体" w:cs="Times New Roman"/>
                <w:b/>
                <w:bCs/>
                <w:color w:val="auto"/>
                <w:kern w:val="2"/>
                <w:sz w:val="24"/>
                <w:szCs w:val="24"/>
                <w:lang w:val="en-US"/>
              </w:rPr>
              <w:t>时间前使用CA锁登录政采云平台上传，加密的电子投标文件须为使用政采云投标客户端制作生成的加密版投标文件。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pPr>
              <w:autoSpaceDE w:val="0"/>
              <w:autoSpaceDN w:val="0"/>
              <w:adjustRightInd w:val="0"/>
              <w:snapToGrid w:val="0"/>
              <w:jc w:val="center"/>
              <w:rPr>
                <w:kern w:val="0"/>
                <w:sz w:val="24"/>
              </w:rPr>
            </w:pPr>
            <w:r>
              <w:rPr>
                <w:kern w:val="0"/>
                <w:sz w:val="24"/>
              </w:rPr>
              <w:t>4.1.2</w:t>
            </w:r>
          </w:p>
        </w:tc>
        <w:tc>
          <w:tcPr>
            <w:tcW w:w="2349" w:type="dxa"/>
            <w:vAlign w:val="center"/>
          </w:tcPr>
          <w:p>
            <w:pPr>
              <w:autoSpaceDE w:val="0"/>
              <w:autoSpaceDN w:val="0"/>
              <w:adjustRightInd w:val="0"/>
              <w:snapToGrid w:val="0"/>
              <w:rPr>
                <w:kern w:val="0"/>
                <w:sz w:val="24"/>
              </w:rPr>
            </w:pPr>
            <w:r>
              <w:rPr>
                <w:rFonts w:hint="eastAsia"/>
                <w:b/>
                <w:bCs/>
                <w:kern w:val="0"/>
                <w:sz w:val="24"/>
              </w:rPr>
              <w:t>电子投标文件的上传</w:t>
            </w:r>
          </w:p>
        </w:tc>
        <w:tc>
          <w:tcPr>
            <w:tcW w:w="5352" w:type="dxa"/>
            <w:vAlign w:val="center"/>
          </w:tcPr>
          <w:p>
            <w:pPr>
              <w:numPr>
                <w:ilvl w:val="0"/>
                <w:numId w:val="3"/>
              </w:numPr>
              <w:autoSpaceDE w:val="0"/>
              <w:autoSpaceDN w:val="0"/>
              <w:adjustRightInd w:val="0"/>
              <w:snapToGrid w:val="0"/>
              <w:rPr>
                <w:rFonts w:hint="eastAsia"/>
                <w:b/>
                <w:bCs/>
                <w:kern w:val="0"/>
                <w:sz w:val="24"/>
              </w:rPr>
            </w:pPr>
            <w:r>
              <w:rPr>
                <w:rFonts w:hint="eastAsia"/>
                <w:b/>
                <w:bCs/>
                <w:kern w:val="0"/>
                <w:sz w:val="24"/>
              </w:rPr>
              <w:t>投标人应在招标文件要求提交投标文件的截止时间前，投标人应将加密的电子投标文件上传到政采云平台https://www.zcygov.cn对应位置（逾期未上传的或未按规定加密的投标文件将被拒绝接收）。</w:t>
            </w:r>
          </w:p>
          <w:p>
            <w:pPr>
              <w:numPr>
                <w:ilvl w:val="0"/>
                <w:numId w:val="0"/>
              </w:numPr>
              <w:autoSpaceDE w:val="0"/>
              <w:autoSpaceDN w:val="0"/>
              <w:adjustRightInd w:val="0"/>
              <w:snapToGrid w:val="0"/>
              <w:rPr>
                <w:kern w:val="0"/>
                <w:sz w:val="24"/>
              </w:rPr>
            </w:pPr>
            <w:r>
              <w:rPr>
                <w:rFonts w:hint="eastAsia"/>
                <w:b/>
                <w:bCs/>
                <w:kern w:val="0"/>
                <w:sz w:val="24"/>
                <w:lang w:val="en-US" w:eastAsia="zh-CN"/>
              </w:rPr>
              <w:t>2、【投标文件中报价表格数据的格式要求】：为保证采购人自动抓取数据的工作效率，需要求投标文件中关于报价明细表或分项报价的表格，须为word或者Execl格式的原始表格(比如在word中创建表格，再通过政采云平台转为PDF格式的电子投标文件)，而不能是拍照或者扫描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6.1</w:t>
            </w:r>
          </w:p>
        </w:tc>
        <w:tc>
          <w:tcPr>
            <w:tcW w:w="2349" w:type="dxa"/>
            <w:vAlign w:val="center"/>
          </w:tcPr>
          <w:p>
            <w:pPr>
              <w:autoSpaceDE w:val="0"/>
              <w:autoSpaceDN w:val="0"/>
              <w:adjustRightInd w:val="0"/>
              <w:snapToGrid w:val="0"/>
              <w:rPr>
                <w:b/>
                <w:bCs/>
                <w:kern w:val="0"/>
                <w:sz w:val="24"/>
              </w:rPr>
            </w:pPr>
            <w:r>
              <w:rPr>
                <w:b/>
                <w:bCs/>
                <w:kern w:val="0"/>
                <w:sz w:val="24"/>
              </w:rPr>
              <w:t>资格审查主体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w:t>
            </w:r>
          </w:p>
          <w:p>
            <w:pPr>
              <w:autoSpaceDE w:val="0"/>
              <w:autoSpaceDN w:val="0"/>
              <w:adjustRightInd w:val="0"/>
              <w:snapToGrid w:val="0"/>
              <w:spacing w:after="120" w:afterLines="50"/>
              <w:rPr>
                <w:kern w:val="0"/>
                <w:sz w:val="24"/>
              </w:rPr>
            </w:pPr>
            <w:r>
              <w:rPr>
                <w:rFonts w:hint="eastAsia"/>
                <w:kern w:val="0"/>
                <w:sz w:val="24"/>
              </w:rPr>
              <w:t>□</w:t>
            </w:r>
            <w:r>
              <w:rPr>
                <w:kern w:val="0"/>
                <w:sz w:val="24"/>
              </w:rPr>
              <w:t>采购人委托的采购代理机构</w:t>
            </w:r>
          </w:p>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349" w:type="dxa"/>
            <w:vAlign w:val="center"/>
          </w:tcPr>
          <w:p>
            <w:pPr>
              <w:rPr>
                <w:b/>
                <w:bCs/>
                <w:kern w:val="0"/>
                <w:sz w:val="24"/>
                <w:highlight w:val="yellow"/>
              </w:rPr>
            </w:pPr>
            <w:r>
              <w:rPr>
                <w:b/>
                <w:bCs/>
                <w:kern w:val="0"/>
                <w:sz w:val="24"/>
              </w:rPr>
              <w:t>评标委员会成员组成</w:t>
            </w:r>
          </w:p>
        </w:tc>
        <w:tc>
          <w:tcPr>
            <w:tcW w:w="5352" w:type="dxa"/>
            <w:vAlign w:val="center"/>
          </w:tcPr>
          <w:p>
            <w:pPr>
              <w:autoSpaceDE w:val="0"/>
              <w:autoSpaceDN w:val="0"/>
              <w:adjustRightInd w:val="0"/>
              <w:snapToGrid w:val="0"/>
              <w:spacing w:after="120" w:afterLines="50"/>
              <w:rPr>
                <w:kern w:val="0"/>
                <w:sz w:val="24"/>
                <w:highlight w:val="yellow"/>
              </w:rPr>
            </w:pPr>
            <w:r>
              <w:rPr>
                <w:kern w:val="0"/>
                <w:sz w:val="24"/>
              </w:rPr>
              <w:t>评标委员会</w:t>
            </w:r>
            <w:r>
              <w:rPr>
                <w:bCs/>
                <w:kern w:val="0"/>
                <w:sz w:val="24"/>
              </w:rPr>
              <w:t>成员共5名，采购人代表1人，专家成员4人从</w:t>
            </w:r>
            <w:r>
              <w:rPr>
                <w:rFonts w:hint="eastAsia"/>
                <w:bCs/>
                <w:kern w:val="0"/>
                <w:sz w:val="24"/>
              </w:rPr>
              <w:t>政府采购评审</w:t>
            </w:r>
            <w:r>
              <w:rPr>
                <w:bCs/>
                <w:kern w:val="0"/>
                <w:sz w:val="24"/>
              </w:rPr>
              <w:t>专家库相关专业随机抽取。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7.3</w:t>
            </w:r>
          </w:p>
        </w:tc>
        <w:tc>
          <w:tcPr>
            <w:tcW w:w="2349" w:type="dxa"/>
            <w:vAlign w:val="center"/>
          </w:tcPr>
          <w:p>
            <w:pPr>
              <w:rPr>
                <w:b/>
                <w:bCs/>
                <w:kern w:val="0"/>
                <w:sz w:val="24"/>
                <w:highlight w:val="yellow"/>
              </w:rPr>
            </w:pPr>
            <w:r>
              <w:rPr>
                <w:b/>
                <w:bCs/>
                <w:kern w:val="0"/>
                <w:sz w:val="24"/>
              </w:rPr>
              <w:t>评审得分相同时随机抽取中标候选人的主体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w:t>
            </w:r>
            <w:r>
              <w:rPr>
                <w:kern w:val="0"/>
                <w:sz w:val="24"/>
              </w:rPr>
              <w:t>采购人</w:t>
            </w:r>
          </w:p>
          <w:p>
            <w:pPr>
              <w:autoSpaceDE w:val="0"/>
              <w:autoSpaceDN w:val="0"/>
              <w:adjustRightInd w:val="0"/>
              <w:snapToGrid w:val="0"/>
              <w:spacing w:after="120" w:afterLines="50"/>
              <w:rPr>
                <w:kern w:val="0"/>
                <w:sz w:val="24"/>
                <w:highlight w:val="yellow"/>
              </w:rPr>
            </w:pPr>
            <w:r>
              <w:rPr>
                <w:rFonts w:hint="eastAsia"/>
                <w:kern w:val="0"/>
                <w:sz w:val="24"/>
              </w:rPr>
              <w:t>□</w:t>
            </w:r>
            <w:r>
              <w:rPr>
                <w:kern w:val="0"/>
                <w:sz w:val="24"/>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4</w:t>
            </w:r>
          </w:p>
        </w:tc>
        <w:tc>
          <w:tcPr>
            <w:tcW w:w="2349" w:type="dxa"/>
            <w:vAlign w:val="center"/>
          </w:tcPr>
          <w:p>
            <w:pPr>
              <w:rPr>
                <w:b/>
                <w:bCs/>
                <w:kern w:val="0"/>
                <w:sz w:val="24"/>
              </w:rPr>
            </w:pPr>
            <w:r>
              <w:rPr>
                <w:rFonts w:hint="eastAsia"/>
                <w:b/>
                <w:bCs/>
                <w:kern w:val="0"/>
                <w:sz w:val="24"/>
              </w:rPr>
              <w:t>评标办法</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b/>
                <w:bCs/>
                <w:sz w:val="24"/>
              </w:rPr>
            </w:pPr>
            <w:bookmarkStart w:id="65" w:name="_Toc2244"/>
            <w:bookmarkStart w:id="66" w:name="_Toc22645"/>
            <w:bookmarkStart w:id="67" w:name="_Toc28567"/>
            <w:bookmarkStart w:id="68" w:name="_Toc27209"/>
            <w:r>
              <w:rPr>
                <w:b/>
                <w:bCs/>
                <w:sz w:val="24"/>
              </w:rPr>
              <w:t>推荐的中标候选人数量</w:t>
            </w:r>
            <w:bookmarkEnd w:id="65"/>
            <w:bookmarkEnd w:id="66"/>
            <w:bookmarkEnd w:id="67"/>
            <w:bookmarkEnd w:id="68"/>
          </w:p>
        </w:tc>
        <w:tc>
          <w:tcPr>
            <w:tcW w:w="5352" w:type="dxa"/>
            <w:vAlign w:val="center"/>
          </w:tcPr>
          <w:p>
            <w:pPr>
              <w:autoSpaceDE w:val="0"/>
              <w:autoSpaceDN w:val="0"/>
              <w:adjustRightInd w:val="0"/>
              <w:snapToGrid w:val="0"/>
              <w:spacing w:after="120" w:afterLines="50"/>
              <w:rPr>
                <w:kern w:val="0"/>
                <w:sz w:val="24"/>
              </w:rPr>
            </w:pPr>
            <w:r>
              <w:rPr>
                <w:kern w:val="0"/>
                <w:sz w:val="24"/>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b/>
                <w:bCs/>
                <w:sz w:val="24"/>
              </w:rPr>
            </w:pPr>
            <w:bookmarkStart w:id="69" w:name="_Toc31909"/>
            <w:bookmarkStart w:id="70" w:name="_Toc3746"/>
            <w:r>
              <w:rPr>
                <w:b/>
                <w:bCs/>
                <w:sz w:val="24"/>
              </w:rPr>
              <w:t>确定中标人的方式</w:t>
            </w:r>
            <w:bookmarkEnd w:id="69"/>
            <w:bookmarkEnd w:id="70"/>
          </w:p>
        </w:tc>
        <w:tc>
          <w:tcPr>
            <w:tcW w:w="5352" w:type="dxa"/>
            <w:vAlign w:val="center"/>
          </w:tcPr>
          <w:p>
            <w:pPr>
              <w:widowControl/>
              <w:autoSpaceDE w:val="0"/>
              <w:autoSpaceDN w:val="0"/>
              <w:adjustRightInd w:val="0"/>
              <w:snapToGrid w:val="0"/>
              <w:spacing w:after="120" w:afterLines="50"/>
              <w:rPr>
                <w:kern w:val="0"/>
                <w:sz w:val="24"/>
              </w:rPr>
            </w:pPr>
            <w:r>
              <w:rPr>
                <w:rFonts w:hint="eastAsia"/>
                <w:kern w:val="0"/>
                <w:sz w:val="24"/>
              </w:rPr>
              <w:t>☑</w:t>
            </w:r>
            <w:r>
              <w:rPr>
                <w:kern w:val="0"/>
                <w:sz w:val="24"/>
              </w:rPr>
              <w:t>采购人委托评标委员会直接确认中标人</w:t>
            </w:r>
          </w:p>
          <w:p>
            <w:pPr>
              <w:autoSpaceDE w:val="0"/>
              <w:autoSpaceDN w:val="0"/>
              <w:adjustRightInd w:val="0"/>
              <w:snapToGrid w:val="0"/>
              <w:spacing w:after="120" w:afterLines="50"/>
              <w:rPr>
                <w:kern w:val="0"/>
                <w:sz w:val="24"/>
                <w:u w:val="single"/>
              </w:rPr>
            </w:pPr>
            <w:r>
              <w:rPr>
                <w:rFonts w:hint="eastAsia"/>
                <w:kern w:val="0"/>
                <w:sz w:val="24"/>
              </w:rPr>
              <w:t>□</w:t>
            </w:r>
            <w:r>
              <w:rPr>
                <w:kern w:val="0"/>
                <w:sz w:val="24"/>
              </w:rPr>
              <w:t>采购人确认中标人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8.4.1</w:t>
            </w:r>
          </w:p>
        </w:tc>
        <w:tc>
          <w:tcPr>
            <w:tcW w:w="2349" w:type="dxa"/>
            <w:vAlign w:val="center"/>
          </w:tcPr>
          <w:p>
            <w:pPr>
              <w:rPr>
                <w:b/>
                <w:bCs/>
                <w:sz w:val="24"/>
                <w:highlight w:val="none"/>
              </w:rPr>
            </w:pPr>
            <w:bookmarkStart w:id="71" w:name="_Toc27528"/>
            <w:bookmarkStart w:id="72" w:name="_Toc15907"/>
            <w:bookmarkStart w:id="73" w:name="_Toc8885"/>
            <w:bookmarkStart w:id="74" w:name="_Toc16975"/>
            <w:r>
              <w:rPr>
                <w:b/>
                <w:bCs/>
                <w:sz w:val="24"/>
                <w:highlight w:val="none"/>
              </w:rPr>
              <w:t>履约保证金</w:t>
            </w:r>
            <w:bookmarkEnd w:id="71"/>
            <w:bookmarkEnd w:id="72"/>
            <w:bookmarkEnd w:id="73"/>
            <w:bookmarkEnd w:id="74"/>
          </w:p>
        </w:tc>
        <w:tc>
          <w:tcPr>
            <w:tcW w:w="5352" w:type="dxa"/>
            <w:vAlign w:val="center"/>
          </w:tcPr>
          <w:p>
            <w:pPr>
              <w:autoSpaceDE w:val="0"/>
              <w:autoSpaceDN w:val="0"/>
              <w:adjustRightInd w:val="0"/>
              <w:snapToGrid w:val="0"/>
              <w:spacing w:after="120" w:afterLines="50"/>
              <w:rPr>
                <w:kern w:val="0"/>
                <w:sz w:val="24"/>
                <w:highlight w:val="none"/>
              </w:rPr>
            </w:pPr>
            <w:r>
              <w:rPr>
                <w:rFonts w:hint="eastAsia"/>
                <w:kern w:val="0"/>
                <w:sz w:val="24"/>
                <w:highlight w:val="none"/>
                <w:lang w:val="en-US" w:eastAsia="zh-CN"/>
              </w:rPr>
              <w:t>中标金额的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10</w:t>
            </w:r>
          </w:p>
        </w:tc>
        <w:tc>
          <w:tcPr>
            <w:tcW w:w="2349" w:type="dxa"/>
            <w:vAlign w:val="center"/>
          </w:tcPr>
          <w:p>
            <w:pPr>
              <w:rPr>
                <w:b/>
                <w:bCs/>
                <w:sz w:val="24"/>
              </w:rPr>
            </w:pPr>
            <w:r>
              <w:rPr>
                <w:rFonts w:hint="eastAsia" w:ascii="宋体" w:hAnsi="宋体" w:cs="宋体"/>
                <w:b/>
                <w:bCs/>
                <w:sz w:val="24"/>
              </w:rPr>
              <w:t>是否采用电子招标投标</w:t>
            </w:r>
          </w:p>
        </w:tc>
        <w:tc>
          <w:tcPr>
            <w:tcW w:w="5352" w:type="dxa"/>
            <w:vAlign w:val="center"/>
          </w:tcPr>
          <w:p>
            <w:pPr>
              <w:autoSpaceDE w:val="0"/>
              <w:autoSpaceDN w:val="0"/>
              <w:adjustRightInd w:val="0"/>
              <w:snapToGrid w:val="0"/>
              <w:spacing w:after="120" w:afterLines="50"/>
              <w:jc w:val="left"/>
              <w:rPr>
                <w:rFonts w:ascii="宋体" w:hAnsi="宋体" w:cs="宋体"/>
                <w:sz w:val="24"/>
              </w:rPr>
            </w:pPr>
            <w:r>
              <w:rPr>
                <w:rFonts w:hint="eastAsia" w:ascii="宋体" w:hAnsi="宋体" w:cs="宋体"/>
                <w:sz w:val="24"/>
              </w:rPr>
              <w:t>□否</w:t>
            </w:r>
          </w:p>
          <w:p>
            <w:pPr>
              <w:autoSpaceDE w:val="0"/>
              <w:autoSpaceDN w:val="0"/>
              <w:adjustRightInd w:val="0"/>
              <w:snapToGrid w:val="0"/>
              <w:spacing w:after="120" w:afterLines="50"/>
              <w:jc w:val="left"/>
              <w:rPr>
                <w:kern w:val="0"/>
                <w:sz w:val="24"/>
              </w:rPr>
            </w:pPr>
            <w:r>
              <w:rPr>
                <w:rFonts w:hint="eastAsia"/>
                <w:kern w:val="0"/>
                <w:sz w:val="24"/>
              </w:rPr>
              <w:t>☑</w:t>
            </w:r>
            <w:r>
              <w:rPr>
                <w:rFonts w:hint="eastAsia" w:ascii="宋体" w:hAnsi="宋体" w:cs="宋体"/>
                <w:sz w:val="24"/>
              </w:rPr>
              <w:t>是，具体要求：见政府采购项目电子交易管理操</w:t>
            </w:r>
            <w:r>
              <w:rPr>
                <w:sz w:val="24"/>
              </w:rPr>
              <w:t>作指南-供应商（https://service.zcygov.cn/#/knowledges/CW1EtGwBFdiHxlNd6I3m/6IMVAG0BFdiHxlNdQ8Na）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b/>
                <w:bCs/>
                <w:kern w:val="0"/>
                <w:sz w:val="24"/>
              </w:rPr>
              <w:t>11</w:t>
            </w:r>
          </w:p>
        </w:tc>
        <w:tc>
          <w:tcPr>
            <w:tcW w:w="7701" w:type="dxa"/>
            <w:gridSpan w:val="2"/>
            <w:vAlign w:val="center"/>
          </w:tcPr>
          <w:p>
            <w:pPr>
              <w:autoSpaceDE w:val="0"/>
              <w:autoSpaceDN w:val="0"/>
              <w:adjustRightInd w:val="0"/>
              <w:snapToGrid w:val="0"/>
              <w:rPr>
                <w:b/>
                <w:bCs/>
                <w:kern w:val="0"/>
                <w:sz w:val="24"/>
              </w:rPr>
            </w:pPr>
            <w:r>
              <w:rPr>
                <w:b/>
                <w:bCs/>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w:t>
            </w:r>
          </w:p>
        </w:tc>
        <w:tc>
          <w:tcPr>
            <w:tcW w:w="2349" w:type="dxa"/>
            <w:vAlign w:val="center"/>
          </w:tcPr>
          <w:p>
            <w:pPr>
              <w:autoSpaceDE w:val="0"/>
              <w:autoSpaceDN w:val="0"/>
              <w:adjustRightInd w:val="0"/>
              <w:snapToGrid w:val="0"/>
              <w:rPr>
                <w:b/>
                <w:bCs/>
                <w:kern w:val="0"/>
                <w:sz w:val="24"/>
              </w:rPr>
            </w:pPr>
            <w:r>
              <w:rPr>
                <w:b/>
                <w:bCs/>
                <w:kern w:val="0"/>
                <w:sz w:val="24"/>
              </w:rPr>
              <w:t>近年财务状况的年份要求</w:t>
            </w:r>
          </w:p>
        </w:tc>
        <w:tc>
          <w:tcPr>
            <w:tcW w:w="5352" w:type="dxa"/>
            <w:vAlign w:val="center"/>
          </w:tcPr>
          <w:p>
            <w:pPr>
              <w:autoSpaceDE w:val="0"/>
              <w:autoSpaceDN w:val="0"/>
              <w:adjustRightInd w:val="0"/>
              <w:snapToGrid w:val="0"/>
              <w:jc w:val="left"/>
              <w:rPr>
                <w:kern w:val="0"/>
                <w:sz w:val="24"/>
              </w:rPr>
            </w:pPr>
            <w:r>
              <w:rPr>
                <w:rFonts w:hint="eastAsia"/>
                <w:kern w:val="0"/>
                <w:sz w:val="24"/>
              </w:rPr>
              <w:t>提供参加本次政府采购活动最近一年度（2022 年度）的审计报告或财务报表（财务报表应至少包括资产负债表、损益表、现金流量表或财务状况变动表等）或银行资信证明等；复印件加盖公章；当月新成立的公司不需提供。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.2</w:t>
            </w:r>
          </w:p>
        </w:tc>
        <w:tc>
          <w:tcPr>
            <w:tcW w:w="2349" w:type="dxa"/>
            <w:vAlign w:val="center"/>
          </w:tcPr>
          <w:p>
            <w:pPr>
              <w:autoSpaceDE w:val="0"/>
              <w:autoSpaceDN w:val="0"/>
              <w:adjustRightInd w:val="0"/>
              <w:snapToGrid w:val="0"/>
              <w:rPr>
                <w:b/>
                <w:bCs/>
                <w:kern w:val="0"/>
                <w:sz w:val="24"/>
              </w:rPr>
            </w:pPr>
            <w:r>
              <w:rPr>
                <w:b/>
                <w:bCs/>
                <w:kern w:val="0"/>
                <w:sz w:val="24"/>
              </w:rPr>
              <w:t>近年完成的类似项目的年份要求</w:t>
            </w:r>
          </w:p>
        </w:tc>
        <w:tc>
          <w:tcPr>
            <w:tcW w:w="5352" w:type="dxa"/>
            <w:vAlign w:val="center"/>
          </w:tcPr>
          <w:p>
            <w:pPr>
              <w:autoSpaceDE w:val="0"/>
              <w:autoSpaceDN w:val="0"/>
              <w:adjustRightInd w:val="0"/>
              <w:snapToGrid w:val="0"/>
              <w:spacing w:after="120" w:afterLines="50"/>
              <w:rPr>
                <w:kern w:val="0"/>
                <w:sz w:val="24"/>
              </w:rPr>
            </w:pPr>
            <w:r>
              <w:rPr>
                <w:kern w:val="0"/>
                <w:sz w:val="24"/>
              </w:rPr>
              <w:t>20</w:t>
            </w:r>
            <w:r>
              <w:rPr>
                <w:rFonts w:hint="eastAsia"/>
                <w:kern w:val="0"/>
                <w:sz w:val="24"/>
              </w:rPr>
              <w:t>20</w:t>
            </w:r>
            <w:r>
              <w:rPr>
                <w:kern w:val="0"/>
                <w:sz w:val="24"/>
              </w:rPr>
              <w:t>年</w:t>
            </w:r>
            <w:r>
              <w:rPr>
                <w:rFonts w:hint="eastAsia"/>
                <w:kern w:val="0"/>
                <w:sz w:val="24"/>
              </w:rPr>
              <w:t>1月1日</w:t>
            </w:r>
            <w:r>
              <w:rPr>
                <w:kern w:val="0"/>
                <w:sz w:val="24"/>
              </w:rPr>
              <w:t>至</w:t>
            </w:r>
            <w:r>
              <w:rPr>
                <w:rFonts w:hint="eastAsia"/>
                <w:kern w:val="0"/>
                <w:sz w:val="24"/>
              </w:rPr>
              <w:t>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.3</w:t>
            </w:r>
          </w:p>
        </w:tc>
        <w:tc>
          <w:tcPr>
            <w:tcW w:w="2349" w:type="dxa"/>
            <w:vAlign w:val="center"/>
          </w:tcPr>
          <w:p>
            <w:pPr>
              <w:autoSpaceDE w:val="0"/>
              <w:autoSpaceDN w:val="0"/>
              <w:adjustRightInd w:val="0"/>
              <w:snapToGrid w:val="0"/>
              <w:rPr>
                <w:b/>
                <w:bCs/>
                <w:kern w:val="0"/>
                <w:sz w:val="24"/>
              </w:rPr>
            </w:pPr>
            <w:r>
              <w:rPr>
                <w:b/>
                <w:bCs/>
                <w:kern w:val="0"/>
                <w:sz w:val="24"/>
              </w:rPr>
              <w:t>社保记录年份要求</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提供社会保险登记证或社保缴纳证明（2023年1 月至今连续3个月缴纳税收和社会保险的凭据证明材料，当月新成立的，不需提供）</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.4</w:t>
            </w:r>
          </w:p>
        </w:tc>
        <w:tc>
          <w:tcPr>
            <w:tcW w:w="2349" w:type="dxa"/>
            <w:vAlign w:val="center"/>
          </w:tcPr>
          <w:p>
            <w:pPr>
              <w:autoSpaceDE w:val="0"/>
              <w:autoSpaceDN w:val="0"/>
              <w:adjustRightInd w:val="0"/>
              <w:snapToGrid w:val="0"/>
              <w:rPr>
                <w:b/>
                <w:bCs/>
                <w:i/>
                <w:kern w:val="0"/>
                <w:sz w:val="24"/>
              </w:rPr>
            </w:pPr>
            <w:r>
              <w:rPr>
                <w:b/>
                <w:bCs/>
                <w:kern w:val="0"/>
                <w:sz w:val="24"/>
              </w:rPr>
              <w:t>招标代理服务费</w:t>
            </w:r>
          </w:p>
        </w:tc>
        <w:tc>
          <w:tcPr>
            <w:tcW w:w="5352" w:type="dxa"/>
            <w:vAlign w:val="center"/>
          </w:tcPr>
          <w:p>
            <w:pPr>
              <w:autoSpaceDE w:val="0"/>
              <w:autoSpaceDN w:val="0"/>
              <w:adjustRightInd w:val="0"/>
              <w:snapToGrid w:val="0"/>
              <w:spacing w:after="120" w:afterLines="50"/>
              <w:rPr>
                <w:rFonts w:hint="eastAsia" w:ascii="Times New Roman" w:hAnsi="Times New Roman" w:eastAsia="宋体" w:cs="Times New Roman"/>
                <w:kern w:val="0"/>
                <w:sz w:val="24"/>
                <w:lang w:val="en-US" w:eastAsia="zh-CN"/>
              </w:rPr>
            </w:pPr>
            <w:r>
              <w:rPr>
                <w:rFonts w:hint="eastAsia"/>
                <w:lang w:val="en-US" w:eastAsia="zh-CN"/>
              </w:rPr>
              <w:t>1、</w:t>
            </w:r>
            <w:r>
              <w:rPr>
                <w:rFonts w:hint="eastAsia" w:ascii="Times New Roman" w:hAnsi="Times New Roman" w:eastAsia="宋体" w:cs="Times New Roman"/>
                <w:kern w:val="0"/>
                <w:sz w:val="24"/>
                <w:lang w:val="en-US" w:eastAsia="zh-CN"/>
              </w:rPr>
              <w:t>招标代理服务费</w:t>
            </w:r>
            <w:r>
              <w:rPr>
                <w:rFonts w:hint="eastAsia" w:cs="Times New Roman"/>
                <w:kern w:val="0"/>
                <w:sz w:val="24"/>
                <w:lang w:val="en-US" w:eastAsia="zh-CN"/>
              </w:rPr>
              <w:t>由中标单位支付，以中标金额为计算依据，</w:t>
            </w:r>
            <w:r>
              <w:rPr>
                <w:rFonts w:hint="eastAsia" w:ascii="Times New Roman" w:hAnsi="Times New Roman" w:eastAsia="宋体" w:cs="Times New Roman"/>
                <w:kern w:val="0"/>
                <w:sz w:val="24"/>
                <w:lang w:val="en-US" w:eastAsia="zh-CN"/>
              </w:rPr>
              <w:t>按“计价格[2002]1980号”、“发改价格[2011]534号”文件规定的标准下浮</w:t>
            </w:r>
            <w:r>
              <w:rPr>
                <w:rFonts w:hint="eastAsia" w:cs="Times New Roman"/>
                <w:kern w:val="0"/>
                <w:sz w:val="24"/>
                <w:lang w:val="en-US" w:eastAsia="zh-CN"/>
              </w:rPr>
              <w:t>4</w:t>
            </w:r>
            <w:r>
              <w:rPr>
                <w:rFonts w:hint="eastAsia" w:ascii="Times New Roman" w:hAnsi="Times New Roman" w:eastAsia="宋体" w:cs="Times New Roman"/>
                <w:kern w:val="0"/>
                <w:sz w:val="24"/>
                <w:lang w:val="en-US" w:eastAsia="zh-CN"/>
              </w:rPr>
              <w:t>0%计算，</w:t>
            </w:r>
          </w:p>
          <w:p>
            <w:pPr>
              <w:autoSpaceDE w:val="0"/>
              <w:autoSpaceDN w:val="0"/>
              <w:adjustRightInd w:val="0"/>
              <w:snapToGrid w:val="0"/>
              <w:spacing w:after="120" w:afterLines="50"/>
              <w:rPr>
                <w:rFonts w:hint="default"/>
                <w:lang w:val="en-US"/>
              </w:rPr>
            </w:pPr>
            <w:r>
              <w:rPr>
                <w:rFonts w:hint="eastAsia" w:ascii="Times New Roman" w:hAnsi="Times New Roman" w:eastAsia="宋体" w:cs="Times New Roman"/>
                <w:kern w:val="0"/>
                <w:sz w:val="24"/>
                <w:lang w:val="en-US" w:eastAsia="zh-CN"/>
              </w:rPr>
              <w:t>2.代理服务费的交纳方式：在</w:t>
            </w:r>
            <w:r>
              <w:rPr>
                <w:rFonts w:hint="eastAsia" w:cs="Times New Roman"/>
                <w:kern w:val="0"/>
                <w:sz w:val="24"/>
                <w:lang w:val="en-US" w:eastAsia="zh-CN"/>
              </w:rPr>
              <w:t>中标</w:t>
            </w:r>
            <w:r>
              <w:rPr>
                <w:rFonts w:hint="eastAsia" w:ascii="Times New Roman" w:hAnsi="Times New Roman" w:eastAsia="宋体" w:cs="Times New Roman"/>
                <w:kern w:val="0"/>
                <w:sz w:val="24"/>
                <w:lang w:val="en-US" w:eastAsia="zh-CN"/>
              </w:rPr>
              <w:t>通知书发出后</w:t>
            </w:r>
            <w:bookmarkStart w:id="75" w:name="_Hlk87446859"/>
            <w:r>
              <w:rPr>
                <w:rFonts w:hint="eastAsia" w:ascii="Times New Roman" w:hAnsi="Times New Roman" w:eastAsia="宋体" w:cs="Times New Roman"/>
                <w:kern w:val="0"/>
                <w:sz w:val="24"/>
                <w:lang w:val="en-US" w:eastAsia="zh-CN"/>
              </w:rPr>
              <w:t>五个工作日</w:t>
            </w:r>
            <w:bookmarkEnd w:id="75"/>
            <w:r>
              <w:rPr>
                <w:rFonts w:hint="eastAsia" w:ascii="Times New Roman" w:hAnsi="Times New Roman" w:eastAsia="宋体" w:cs="Times New Roman"/>
                <w:kern w:val="0"/>
                <w:sz w:val="24"/>
                <w:lang w:val="en-US" w:eastAsia="zh-CN"/>
              </w:rPr>
              <w:t>内，向采购代理机构交纳代理服务费。可用支票、汇票、电汇、现金等付款方式一次向采购代理机构缴清代理服务费。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.5</w:t>
            </w:r>
          </w:p>
        </w:tc>
        <w:tc>
          <w:tcPr>
            <w:tcW w:w="2349" w:type="dxa"/>
            <w:vAlign w:val="center"/>
          </w:tcPr>
          <w:p>
            <w:pPr>
              <w:autoSpaceDE w:val="0"/>
              <w:autoSpaceDN w:val="0"/>
              <w:adjustRightInd w:val="0"/>
              <w:snapToGrid w:val="0"/>
              <w:rPr>
                <w:b/>
                <w:bCs/>
                <w:kern w:val="0"/>
                <w:sz w:val="24"/>
              </w:rPr>
            </w:pPr>
            <w:r>
              <w:rPr>
                <w:b/>
                <w:bCs/>
                <w:kern w:val="0"/>
                <w:sz w:val="24"/>
              </w:rPr>
              <w:t>最高限价</w:t>
            </w:r>
          </w:p>
        </w:tc>
        <w:tc>
          <w:tcPr>
            <w:tcW w:w="5352" w:type="dxa"/>
            <w:vAlign w:val="center"/>
          </w:tcPr>
          <w:p>
            <w:pPr>
              <w:pStyle w:val="37"/>
              <w:spacing w:beforeAutospacing="0" w:afterAutospacing="0"/>
              <w:jc w:val="both"/>
              <w:rPr>
                <w:rFonts w:hint="default"/>
                <w:b/>
                <w:bCs/>
                <w:color w:val="FF0000"/>
                <w:lang w:val="en-US" w:eastAsia="zh-CN"/>
              </w:rPr>
            </w:pPr>
            <w:r>
              <w:rPr>
                <w:rFonts w:hint="eastAsia"/>
                <w:b/>
                <w:bCs/>
                <w:color w:val="FF0000"/>
                <w:lang w:val="en-US" w:eastAsia="zh-CN"/>
              </w:rPr>
              <w:t>最高投标限价为：80万元，各分项最高限价详见分项报价表。</w:t>
            </w:r>
          </w:p>
          <w:p>
            <w:pPr>
              <w:pStyle w:val="37"/>
              <w:spacing w:beforeAutospacing="0" w:afterAutospacing="0"/>
              <w:jc w:val="both"/>
              <w:rPr>
                <w:b/>
                <w:bCs/>
                <w:color w:val="FF0000"/>
              </w:rPr>
            </w:pPr>
            <w:r>
              <w:rPr>
                <w:rFonts w:hint="eastAsia"/>
                <w:b/>
                <w:bCs/>
                <w:color w:val="FF0000"/>
                <w:lang w:val="en-US" w:eastAsia="zh-CN"/>
              </w:rPr>
              <w:t>供应商的投标报价不得超出最高投标限价；且分项报价也不得超出各项目分项的限价。</w:t>
            </w:r>
          </w:p>
          <w:p>
            <w:pPr>
              <w:pStyle w:val="37"/>
              <w:spacing w:beforeAutospacing="0" w:afterAutospacing="0"/>
              <w:jc w:val="both"/>
              <w:rPr>
                <w:b/>
                <w:bCs/>
              </w:rPr>
            </w:pPr>
            <w:r>
              <w:rPr>
                <w:b/>
                <w:bCs/>
                <w:color w:val="FF0000"/>
              </w:rPr>
              <w:t>超出最高</w:t>
            </w:r>
            <w:r>
              <w:rPr>
                <w:rFonts w:hint="eastAsia"/>
                <w:b/>
                <w:bCs/>
                <w:color w:val="FF0000"/>
                <w:lang w:val="en-US" w:eastAsia="zh-CN"/>
              </w:rPr>
              <w:t>投标</w:t>
            </w:r>
            <w:r>
              <w:rPr>
                <w:b/>
                <w:bCs/>
                <w:color w:val="FF0000"/>
              </w:rPr>
              <w:t>限价</w:t>
            </w:r>
            <w:r>
              <w:rPr>
                <w:rFonts w:hint="eastAsia"/>
                <w:b/>
                <w:bCs/>
                <w:color w:val="FF0000"/>
              </w:rPr>
              <w:t>及</w:t>
            </w:r>
            <w:r>
              <w:rPr>
                <w:rFonts w:hint="eastAsia"/>
                <w:b/>
                <w:bCs/>
                <w:color w:val="FF0000"/>
                <w:lang w:val="en-US" w:eastAsia="zh-CN"/>
              </w:rPr>
              <w:t>分项限价</w:t>
            </w:r>
            <w:r>
              <w:rPr>
                <w:b/>
                <w:bCs/>
                <w:color w:val="FF0000"/>
              </w:rPr>
              <w:t>的投标按无效投标处理</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6</w:t>
            </w:r>
          </w:p>
        </w:tc>
        <w:tc>
          <w:tcPr>
            <w:tcW w:w="2349" w:type="dxa"/>
            <w:vAlign w:val="center"/>
          </w:tcPr>
          <w:p>
            <w:pPr>
              <w:autoSpaceDE w:val="0"/>
              <w:autoSpaceDN w:val="0"/>
              <w:adjustRightInd w:val="0"/>
              <w:snapToGrid w:val="0"/>
              <w:rPr>
                <w:b/>
                <w:bCs/>
                <w:kern w:val="0"/>
                <w:sz w:val="24"/>
              </w:rPr>
            </w:pPr>
            <w:r>
              <w:rPr>
                <w:b/>
                <w:bCs/>
                <w:kern w:val="0"/>
                <w:sz w:val="24"/>
              </w:rPr>
              <w:t>公告发布媒介</w:t>
            </w:r>
          </w:p>
        </w:tc>
        <w:tc>
          <w:tcPr>
            <w:tcW w:w="5352" w:type="dxa"/>
            <w:vAlign w:val="center"/>
          </w:tcPr>
          <w:p>
            <w:pPr>
              <w:autoSpaceDE w:val="0"/>
              <w:autoSpaceDN w:val="0"/>
              <w:adjustRightInd w:val="0"/>
              <w:snapToGrid w:val="0"/>
              <w:rPr>
                <w:kern w:val="0"/>
                <w:sz w:val="24"/>
              </w:rPr>
            </w:pPr>
            <w:r>
              <w:rPr>
                <w:bCs/>
                <w:sz w:val="24"/>
                <w:shd w:val="clear" w:color="auto" w:fill="FFFFFF"/>
              </w:rPr>
              <w:t>新疆政府采购网（www.ccgp-xinjiang.gov.cn）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.7</w:t>
            </w:r>
          </w:p>
        </w:tc>
        <w:tc>
          <w:tcPr>
            <w:tcW w:w="2349" w:type="dxa"/>
            <w:vAlign w:val="center"/>
          </w:tcPr>
          <w:p>
            <w:pPr>
              <w:autoSpaceDE w:val="0"/>
              <w:autoSpaceDN w:val="0"/>
              <w:adjustRightInd w:val="0"/>
              <w:snapToGrid w:val="0"/>
              <w:rPr>
                <w:b/>
                <w:bCs/>
                <w:kern w:val="0"/>
                <w:sz w:val="24"/>
                <w:highlight w:val="none"/>
              </w:rPr>
            </w:pPr>
            <w:r>
              <w:rPr>
                <w:b/>
                <w:bCs/>
                <w:kern w:val="0"/>
                <w:sz w:val="24"/>
                <w:highlight w:val="none"/>
              </w:rPr>
              <w:t>付款方式</w:t>
            </w:r>
          </w:p>
        </w:tc>
        <w:tc>
          <w:tcPr>
            <w:tcW w:w="5352" w:type="dxa"/>
            <w:vAlign w:val="center"/>
          </w:tcPr>
          <w:p>
            <w:pPr>
              <w:autoSpaceDE w:val="0"/>
              <w:autoSpaceDN w:val="0"/>
              <w:adjustRightInd w:val="0"/>
              <w:snapToGrid w:val="0"/>
              <w:rPr>
                <w:bCs/>
                <w:kern w:val="0"/>
                <w:sz w:val="24"/>
                <w:highlight w:val="none"/>
              </w:rPr>
            </w:pPr>
            <w:r>
              <w:rPr>
                <w:bCs/>
                <w:kern w:val="0"/>
                <w:sz w:val="24"/>
                <w:highlight w:val="none"/>
              </w:rPr>
              <w:t>付款方式：最终付款方式以和</w:t>
            </w:r>
            <w:r>
              <w:rPr>
                <w:rFonts w:hint="eastAsia"/>
                <w:bCs/>
                <w:kern w:val="0"/>
                <w:sz w:val="24"/>
                <w:highlight w:val="none"/>
              </w:rPr>
              <w:t>采购人</w:t>
            </w:r>
            <w:r>
              <w:rPr>
                <w:bCs/>
                <w:kern w:val="0"/>
                <w:sz w:val="24"/>
                <w:highlight w:val="none"/>
              </w:rPr>
              <w:t>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8</w:t>
            </w:r>
          </w:p>
        </w:tc>
        <w:tc>
          <w:tcPr>
            <w:tcW w:w="2349" w:type="dxa"/>
            <w:vAlign w:val="center"/>
          </w:tcPr>
          <w:p>
            <w:pPr>
              <w:autoSpaceDE w:val="0"/>
              <w:autoSpaceDN w:val="0"/>
              <w:adjustRightInd w:val="0"/>
              <w:snapToGrid w:val="0"/>
              <w:jc w:val="left"/>
              <w:rPr>
                <w:b/>
                <w:bCs/>
                <w:kern w:val="0"/>
                <w:sz w:val="24"/>
                <w:highlight w:val="none"/>
              </w:rPr>
            </w:pPr>
            <w:r>
              <w:rPr>
                <w:rFonts w:hint="default"/>
                <w:b/>
                <w:bCs/>
                <w:kern w:val="0"/>
                <w:sz w:val="24"/>
                <w:highlight w:val="none"/>
                <w:lang w:val="en-US" w:eastAsia="zh-CN"/>
              </w:rPr>
              <w:t>质保及服务年限</w:t>
            </w:r>
          </w:p>
        </w:tc>
        <w:tc>
          <w:tcPr>
            <w:tcW w:w="5352" w:type="dxa"/>
            <w:vAlign w:val="center"/>
          </w:tcPr>
          <w:p>
            <w:pPr>
              <w:pStyle w:val="19"/>
              <w:spacing w:line="240" w:lineRule="auto"/>
              <w:rPr>
                <w:bCs/>
                <w:kern w:val="0"/>
                <w:sz w:val="24"/>
                <w:highlight w:val="none"/>
              </w:rPr>
            </w:pPr>
            <w:r>
              <w:rPr>
                <w:rFonts w:hint="default"/>
                <w:bCs/>
                <w:kern w:val="0"/>
                <w:sz w:val="24"/>
                <w:highlight w:val="none"/>
                <w:lang w:val="en-US" w:eastAsia="zh-CN"/>
              </w:rPr>
              <w:t>自甲方接受之日起</w:t>
            </w:r>
            <w:r>
              <w:rPr>
                <w:rFonts w:hint="eastAsia"/>
                <w:bCs/>
                <w:kern w:val="0"/>
                <w:sz w:val="24"/>
                <w:highlight w:val="none"/>
                <w:lang w:val="en-US" w:eastAsia="zh-CN"/>
              </w:rPr>
              <w:t>5</w:t>
            </w:r>
            <w:r>
              <w:rPr>
                <w:rFonts w:hint="default"/>
                <w:bCs/>
                <w:kern w:val="0"/>
                <w:sz w:val="24"/>
                <w:highlight w:val="none"/>
                <w:lang w:val="en-US" w:eastAsia="zh-CN"/>
              </w:rPr>
              <w:t>年内免费升级维护</w:t>
            </w:r>
            <w:r>
              <w:rPr>
                <w:rFonts w:hint="eastAsia"/>
                <w:bCs/>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.9</w:t>
            </w:r>
          </w:p>
        </w:tc>
        <w:tc>
          <w:tcPr>
            <w:tcW w:w="2349" w:type="dxa"/>
            <w:vAlign w:val="center"/>
          </w:tcPr>
          <w:p>
            <w:pPr>
              <w:autoSpaceDE w:val="0"/>
              <w:autoSpaceDN w:val="0"/>
              <w:adjustRightInd w:val="0"/>
              <w:snapToGrid w:val="0"/>
              <w:jc w:val="left"/>
              <w:rPr>
                <w:b/>
                <w:bCs/>
                <w:kern w:val="0"/>
                <w:sz w:val="24"/>
                <w:highlight w:val="none"/>
              </w:rPr>
            </w:pPr>
            <w:r>
              <w:rPr>
                <w:b/>
                <w:bCs/>
                <w:kern w:val="0"/>
                <w:sz w:val="24"/>
                <w:highlight w:val="none"/>
              </w:rPr>
              <w:t>验收标准</w:t>
            </w:r>
          </w:p>
        </w:tc>
        <w:tc>
          <w:tcPr>
            <w:tcW w:w="5352" w:type="dxa"/>
            <w:vAlign w:val="center"/>
          </w:tcPr>
          <w:p>
            <w:pPr>
              <w:pStyle w:val="19"/>
              <w:spacing w:line="240" w:lineRule="auto"/>
              <w:rPr>
                <w:rFonts w:hint="eastAsia"/>
                <w:kern w:val="0"/>
                <w:sz w:val="24"/>
                <w:highlight w:val="none"/>
                <w:lang w:val="zh-TW" w:eastAsia="zh-TW"/>
              </w:rPr>
            </w:pPr>
            <w:r>
              <w:rPr>
                <w:rFonts w:hint="eastAsia"/>
                <w:kern w:val="0"/>
                <w:sz w:val="24"/>
                <w:highlight w:val="none"/>
                <w:lang w:val="zh-TW" w:eastAsia="zh-TW"/>
              </w:rPr>
              <w:t>按照合同约定的相关要求和标准验收。采购人根据合同和技术协议、招标文件、投</w:t>
            </w:r>
            <w:r>
              <w:rPr>
                <w:rFonts w:hint="eastAsia"/>
                <w:kern w:val="0"/>
                <w:sz w:val="24"/>
                <w:highlight w:val="none"/>
                <w:lang w:val="en-US" w:eastAsia="zh-CN"/>
              </w:rPr>
              <w:t>标文件</w:t>
            </w:r>
            <w:r>
              <w:rPr>
                <w:rFonts w:hint="eastAsia"/>
                <w:kern w:val="0"/>
                <w:sz w:val="24"/>
                <w:highlight w:val="none"/>
                <w:lang w:val="zh-TW" w:eastAsia="zh-TW"/>
              </w:rPr>
              <w:t>验收。</w:t>
            </w:r>
          </w:p>
          <w:p>
            <w:pPr>
              <w:pStyle w:val="19"/>
              <w:spacing w:line="240" w:lineRule="auto"/>
              <w:rPr>
                <w:rFonts w:hint="eastAsia" w:eastAsia="宋体"/>
                <w:kern w:val="0"/>
                <w:sz w:val="24"/>
                <w:highlight w:val="none"/>
                <w:lang w:eastAsia="zh-CN"/>
              </w:rPr>
            </w:pPr>
            <w:r>
              <w:rPr>
                <w:rFonts w:hint="eastAsia"/>
                <w:kern w:val="0"/>
                <w:sz w:val="24"/>
                <w:highlight w:val="none"/>
                <w:lang w:val="zh-TW" w:eastAsia="zh-TW"/>
              </w:rPr>
              <w:t>验收要求</w:t>
            </w:r>
            <w:r>
              <w:rPr>
                <w:rFonts w:hint="eastAsia"/>
                <w:kern w:val="0"/>
                <w:sz w:val="24"/>
                <w:highlight w:val="none"/>
                <w:lang w:val="zh-TW" w:eastAsia="zh-CN"/>
              </w:rPr>
              <w:t>：</w:t>
            </w:r>
            <w:r>
              <w:rPr>
                <w:rFonts w:hint="eastAsia"/>
                <w:kern w:val="0"/>
                <w:sz w:val="24"/>
                <w:highlight w:val="none"/>
                <w:lang w:val="zh-TW" w:eastAsia="zh-TW"/>
              </w:rPr>
              <w:t>符合采购合同规定的技术、服务、安全标准</w:t>
            </w:r>
            <w:r>
              <w:rPr>
                <w:rFonts w:hint="eastAsia"/>
                <w:kern w:val="0"/>
                <w:sz w:val="24"/>
                <w:highlight w:val="none"/>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.10</w:t>
            </w:r>
          </w:p>
        </w:tc>
        <w:tc>
          <w:tcPr>
            <w:tcW w:w="2349" w:type="dxa"/>
            <w:vAlign w:val="center"/>
          </w:tcPr>
          <w:p>
            <w:pPr>
              <w:autoSpaceDE w:val="0"/>
              <w:autoSpaceDN w:val="0"/>
              <w:adjustRightInd w:val="0"/>
              <w:snapToGrid w:val="0"/>
              <w:jc w:val="left"/>
              <w:rPr>
                <w:b/>
                <w:bCs/>
                <w:kern w:val="0"/>
                <w:sz w:val="24"/>
              </w:rPr>
            </w:pPr>
            <w:r>
              <w:rPr>
                <w:b/>
                <w:bCs/>
                <w:kern w:val="0"/>
                <w:sz w:val="24"/>
              </w:rPr>
              <w:t>采购需求其他要求</w:t>
            </w:r>
          </w:p>
        </w:tc>
        <w:tc>
          <w:tcPr>
            <w:tcW w:w="5352" w:type="dxa"/>
            <w:vAlign w:val="center"/>
          </w:tcPr>
          <w:p>
            <w:pPr>
              <w:rPr>
                <w:rFonts w:hint="eastAsia"/>
                <w:sz w:val="24"/>
                <w:highlight w:val="none"/>
                <w:lang w:val="en-US" w:eastAsia="zh-CN"/>
              </w:rPr>
            </w:pPr>
            <w:r>
              <w:rPr>
                <w:rFonts w:hint="eastAsia"/>
                <w:sz w:val="24"/>
                <w:highlight w:val="none"/>
              </w:rPr>
              <w:t>投标人应急处理方案、服务体系、货物性能等应满足采购人的实际需求</w:t>
            </w:r>
            <w:r>
              <w:rPr>
                <w:sz w:val="24"/>
                <w:highlight w:val="none"/>
              </w:rPr>
              <w:t>。售后服务响应时间为接到采购人通知后24小时内到达现场。</w:t>
            </w:r>
            <w:r>
              <w:rPr>
                <w:rFonts w:hint="default"/>
                <w:sz w:val="24"/>
                <w:highlight w:val="none"/>
                <w:lang w:val="en-US" w:eastAsia="zh-CN"/>
              </w:rPr>
              <w:t>售后服务期内，出现技术故障需要在2小时内响应，8小时内线上解决，如果现在解决不了，需要在24小时内抵达现场处理</w:t>
            </w:r>
            <w:r>
              <w:rPr>
                <w:rFonts w:hint="eastAsia"/>
                <w:sz w:val="24"/>
                <w:highlight w:val="none"/>
                <w:lang w:val="en-US" w:eastAsia="zh-CN"/>
              </w:rPr>
              <w:t>。</w:t>
            </w:r>
          </w:p>
          <w:p>
            <w:pPr>
              <w:rPr>
                <w:sz w:val="24"/>
                <w:highlight w:val="none"/>
              </w:rPr>
            </w:pPr>
            <w:r>
              <w:rPr>
                <w:rFonts w:hint="default"/>
                <w:sz w:val="24"/>
                <w:highlight w:val="none"/>
                <w:lang w:val="en-US" w:eastAsia="zh-CN"/>
              </w:rPr>
              <w:t>软件培训：</w:t>
            </w:r>
            <w:r>
              <w:rPr>
                <w:rFonts w:hint="eastAsia"/>
                <w:sz w:val="24"/>
                <w:highlight w:val="none"/>
                <w:lang w:val="en-US" w:eastAsia="zh-CN"/>
              </w:rPr>
              <w:t>每年</w:t>
            </w:r>
            <w:r>
              <w:rPr>
                <w:rFonts w:hint="default"/>
                <w:sz w:val="24"/>
                <w:highlight w:val="none"/>
                <w:lang w:val="en-US" w:eastAsia="zh-CN"/>
              </w:rPr>
              <w:t>至少提供</w:t>
            </w:r>
            <w:r>
              <w:rPr>
                <w:rFonts w:hint="eastAsia"/>
                <w:sz w:val="24"/>
                <w:highlight w:val="none"/>
                <w:lang w:val="en-US" w:eastAsia="zh-CN"/>
              </w:rPr>
              <w:t>2</w:t>
            </w:r>
            <w:r>
              <w:rPr>
                <w:rFonts w:hint="default"/>
                <w:sz w:val="24"/>
                <w:highlight w:val="none"/>
                <w:lang w:val="en-US" w:eastAsia="zh-CN"/>
              </w:rPr>
              <w:t>次不少于</w:t>
            </w:r>
            <w:r>
              <w:rPr>
                <w:rFonts w:hint="eastAsia"/>
                <w:sz w:val="24"/>
                <w:highlight w:val="none"/>
                <w:lang w:val="en-US" w:eastAsia="zh-CN"/>
              </w:rPr>
              <w:t>4个课时</w:t>
            </w:r>
            <w:r>
              <w:rPr>
                <w:rFonts w:hint="default"/>
                <w:sz w:val="24"/>
                <w:highlight w:val="none"/>
                <w:lang w:val="en-US" w:eastAsia="zh-CN"/>
              </w:rPr>
              <w:t>的免费培训计划</w:t>
            </w:r>
            <w:r>
              <w:rPr>
                <w:rFonts w:hint="eastAsia"/>
                <w:sz w:val="24"/>
                <w:highlight w:val="none"/>
                <w:lang w:val="en-US" w:eastAsia="zh-CN"/>
              </w:rPr>
              <w:t>，以用户最终掌握为准，并提供免费跟课服务。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11</w:t>
            </w:r>
          </w:p>
        </w:tc>
        <w:tc>
          <w:tcPr>
            <w:tcW w:w="2349" w:type="dxa"/>
            <w:vAlign w:val="center"/>
          </w:tcPr>
          <w:p>
            <w:pPr>
              <w:autoSpaceDE w:val="0"/>
              <w:autoSpaceDN w:val="0"/>
              <w:adjustRightInd w:val="0"/>
              <w:snapToGrid w:val="0"/>
              <w:jc w:val="left"/>
              <w:rPr>
                <w:b/>
                <w:bCs/>
                <w:kern w:val="0"/>
                <w:sz w:val="24"/>
              </w:rPr>
            </w:pPr>
            <w:r>
              <w:rPr>
                <w:rFonts w:hint="eastAsia"/>
                <w:b/>
                <w:bCs/>
                <w:kern w:val="0"/>
                <w:sz w:val="24"/>
              </w:rPr>
              <w:t>样品</w:t>
            </w:r>
          </w:p>
        </w:tc>
        <w:tc>
          <w:tcPr>
            <w:tcW w:w="5352" w:type="dxa"/>
            <w:vAlign w:val="center"/>
          </w:tcPr>
          <w:p>
            <w:pPr>
              <w:autoSpaceDE w:val="0"/>
              <w:autoSpaceDN w:val="0"/>
              <w:adjustRightInd w:val="0"/>
              <w:snapToGrid w:val="0"/>
              <w:jc w:val="left"/>
              <w:rPr>
                <w:kern w:val="0"/>
                <w:sz w:val="24"/>
              </w:rPr>
            </w:pPr>
            <w:r>
              <w:rPr>
                <w:rFonts w:hint="eastAsia"/>
                <w:kern w:val="0"/>
                <w:sz w:val="24"/>
              </w:rPr>
              <w:t>本项目所有标项均不需要提供样品。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12</w:t>
            </w:r>
          </w:p>
        </w:tc>
        <w:tc>
          <w:tcPr>
            <w:tcW w:w="2349" w:type="dxa"/>
            <w:vAlign w:val="center"/>
          </w:tcPr>
          <w:p>
            <w:pPr>
              <w:autoSpaceDE w:val="0"/>
              <w:autoSpaceDN w:val="0"/>
              <w:adjustRightInd w:val="0"/>
              <w:snapToGrid w:val="0"/>
              <w:rPr>
                <w:b/>
                <w:bCs/>
                <w:kern w:val="0"/>
                <w:sz w:val="24"/>
                <w:highlight w:val="none"/>
              </w:rPr>
            </w:pPr>
            <w:r>
              <w:rPr>
                <w:rFonts w:hint="eastAsia"/>
                <w:b/>
                <w:bCs/>
                <w:kern w:val="0"/>
                <w:sz w:val="24"/>
                <w:highlight w:val="none"/>
              </w:rPr>
              <w:t>招标数量</w:t>
            </w:r>
          </w:p>
        </w:tc>
        <w:tc>
          <w:tcPr>
            <w:tcW w:w="5352" w:type="dxa"/>
            <w:vAlign w:val="center"/>
          </w:tcPr>
          <w:p>
            <w:pPr>
              <w:rPr>
                <w:rFonts w:hint="default" w:eastAsia="宋体"/>
                <w:b w:val="0"/>
                <w:bCs w:val="0"/>
                <w:sz w:val="24"/>
                <w:highlight w:val="none"/>
                <w:lang w:val="en-US" w:eastAsia="zh-CN"/>
              </w:rPr>
            </w:pPr>
            <w:r>
              <w:rPr>
                <w:rFonts w:hint="eastAsia"/>
                <w:b w:val="0"/>
                <w:bCs w:val="0"/>
                <w:sz w:val="24"/>
                <w:highlight w:val="none"/>
                <w:lang w:val="en-US" w:eastAsia="zh-CN"/>
              </w:rPr>
              <w:t>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13</w:t>
            </w:r>
          </w:p>
        </w:tc>
        <w:tc>
          <w:tcPr>
            <w:tcW w:w="2349" w:type="dxa"/>
            <w:vAlign w:val="center"/>
          </w:tcPr>
          <w:p>
            <w:pPr>
              <w:autoSpaceDE w:val="0"/>
              <w:autoSpaceDN w:val="0"/>
              <w:adjustRightInd w:val="0"/>
              <w:snapToGrid w:val="0"/>
              <w:jc w:val="left"/>
              <w:rPr>
                <w:b/>
                <w:bCs/>
                <w:kern w:val="0"/>
                <w:sz w:val="24"/>
              </w:rPr>
            </w:pPr>
            <w:r>
              <w:rPr>
                <w:rFonts w:hint="eastAsia"/>
                <w:b/>
                <w:bCs/>
                <w:kern w:val="0"/>
                <w:sz w:val="24"/>
              </w:rPr>
              <w:t>低于成本价不正当</w:t>
            </w:r>
          </w:p>
          <w:p>
            <w:pPr>
              <w:autoSpaceDE w:val="0"/>
              <w:autoSpaceDN w:val="0"/>
              <w:adjustRightInd w:val="0"/>
              <w:snapToGrid w:val="0"/>
              <w:jc w:val="left"/>
              <w:rPr>
                <w:b/>
                <w:bCs/>
                <w:kern w:val="0"/>
                <w:sz w:val="24"/>
              </w:rPr>
            </w:pPr>
            <w:r>
              <w:rPr>
                <w:rFonts w:hint="eastAsia"/>
                <w:b/>
                <w:bCs/>
                <w:kern w:val="0"/>
                <w:sz w:val="24"/>
              </w:rPr>
              <w:t>竞争预防措施</w:t>
            </w:r>
          </w:p>
        </w:tc>
        <w:tc>
          <w:tcPr>
            <w:tcW w:w="5352" w:type="dxa"/>
            <w:vAlign w:val="center"/>
          </w:tcPr>
          <w:p>
            <w:pPr>
              <w:rPr>
                <w:sz w:val="24"/>
              </w:rPr>
            </w:pPr>
            <w:r>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rFonts w:hint="eastAsia" w:eastAsia="宋体"/>
                <w:kern w:val="0"/>
                <w:sz w:val="24"/>
                <w:lang w:eastAsia="zh-CN"/>
              </w:rPr>
            </w:pPr>
            <w:r>
              <w:rPr>
                <w:rFonts w:hint="eastAsia"/>
                <w:kern w:val="0"/>
                <w:sz w:val="24"/>
              </w:rPr>
              <w:t>11.1</w:t>
            </w:r>
            <w:r>
              <w:rPr>
                <w:rFonts w:hint="eastAsia"/>
                <w:kern w:val="0"/>
                <w:sz w:val="24"/>
                <w:lang w:val="en-US" w:eastAsia="zh-CN"/>
              </w:rPr>
              <w:t>4</w:t>
            </w:r>
          </w:p>
        </w:tc>
        <w:tc>
          <w:tcPr>
            <w:tcW w:w="2349" w:type="dxa"/>
            <w:vAlign w:val="center"/>
          </w:tcPr>
          <w:p>
            <w:pPr>
              <w:autoSpaceDE w:val="0"/>
              <w:autoSpaceDN w:val="0"/>
              <w:adjustRightInd w:val="0"/>
              <w:snapToGrid w:val="0"/>
              <w:jc w:val="left"/>
              <w:rPr>
                <w:rFonts w:hint="eastAsia"/>
                <w:b/>
                <w:bCs/>
                <w:kern w:val="0"/>
                <w:sz w:val="24"/>
              </w:rPr>
            </w:pPr>
            <w:r>
              <w:rPr>
                <w:rFonts w:hint="eastAsia"/>
                <w:b/>
                <w:bCs/>
                <w:kern w:val="0"/>
                <w:sz w:val="24"/>
              </w:rPr>
              <w:t>中标单位补齐纸质版投标文件要求</w:t>
            </w:r>
          </w:p>
          <w:p>
            <w:pPr>
              <w:rPr>
                <w:b/>
                <w:bCs/>
                <w:sz w:val="24"/>
              </w:rPr>
            </w:pPr>
          </w:p>
        </w:tc>
        <w:tc>
          <w:tcPr>
            <w:tcW w:w="5352" w:type="dxa"/>
            <w:vAlign w:val="center"/>
          </w:tcPr>
          <w:p>
            <w:pPr>
              <w:widowControl/>
              <w:numPr>
                <w:ilvl w:val="255"/>
                <w:numId w:val="0"/>
              </w:numPr>
              <w:spacing w:line="240" w:lineRule="auto"/>
              <w:rPr>
                <w:b/>
                <w:bCs/>
                <w:sz w:val="24"/>
                <w:szCs w:val="24"/>
              </w:rPr>
            </w:pPr>
            <w:r>
              <w:rPr>
                <w:rFonts w:hint="eastAsia"/>
                <w:b/>
                <w:bCs/>
                <w:sz w:val="24"/>
                <w:szCs w:val="24"/>
              </w:rPr>
              <w:t>根据采购人档案管理相关规定，中标单位（第一中标候选人）须提供纸质版投标文件，具体要求如下：</w:t>
            </w:r>
          </w:p>
          <w:p>
            <w:pPr>
              <w:widowControl/>
              <w:numPr>
                <w:ilvl w:val="255"/>
                <w:numId w:val="0"/>
              </w:numPr>
              <w:spacing w:line="240" w:lineRule="auto"/>
              <w:rPr>
                <w:rFonts w:hint="default" w:eastAsia="宋体"/>
                <w:sz w:val="24"/>
                <w:szCs w:val="24"/>
                <w:lang w:val="en-US" w:eastAsia="zh-CN"/>
              </w:rPr>
            </w:pPr>
            <w:r>
              <w:rPr>
                <w:rFonts w:hint="eastAsia"/>
                <w:sz w:val="24"/>
                <w:szCs w:val="24"/>
              </w:rPr>
              <w:t>（1）</w:t>
            </w:r>
            <w:r>
              <w:rPr>
                <w:rFonts w:hint="eastAsia"/>
                <w:b/>
                <w:bCs/>
                <w:sz w:val="24"/>
                <w:szCs w:val="24"/>
              </w:rPr>
              <w:t>递交时间：</w:t>
            </w:r>
            <w:r>
              <w:rPr>
                <w:rFonts w:hint="eastAsia"/>
                <w:sz w:val="24"/>
                <w:szCs w:val="24"/>
                <w:lang w:val="en-US" w:eastAsia="zh-CN"/>
              </w:rPr>
              <w:t>中标通知书发出后5个工作日内。</w:t>
            </w:r>
          </w:p>
          <w:p>
            <w:pPr>
              <w:widowControl/>
              <w:numPr>
                <w:ilvl w:val="255"/>
                <w:numId w:val="0"/>
              </w:numPr>
              <w:spacing w:line="240" w:lineRule="auto"/>
              <w:rPr>
                <w:sz w:val="24"/>
                <w:szCs w:val="24"/>
              </w:rPr>
            </w:pPr>
            <w:r>
              <w:rPr>
                <w:rFonts w:hint="eastAsia"/>
                <w:sz w:val="24"/>
                <w:szCs w:val="24"/>
              </w:rPr>
              <w:t>（2）</w:t>
            </w:r>
            <w:r>
              <w:rPr>
                <w:rFonts w:hint="eastAsia"/>
                <w:b/>
                <w:bCs/>
                <w:sz w:val="24"/>
                <w:szCs w:val="24"/>
              </w:rPr>
              <w:t>递交地点：</w:t>
            </w:r>
            <w:r>
              <w:rPr>
                <w:rFonts w:hint="eastAsia"/>
                <w:sz w:val="24"/>
                <w:szCs w:val="24"/>
              </w:rPr>
              <w:t>新疆乌鲁木齐市</w:t>
            </w:r>
            <w:r>
              <w:rPr>
                <w:rFonts w:hint="eastAsia"/>
                <w:sz w:val="24"/>
                <w:szCs w:val="24"/>
                <w:lang w:val="en-US" w:eastAsia="zh-CN"/>
              </w:rPr>
              <w:t>天山区红山路26号时代广场C座10楼O室</w:t>
            </w:r>
            <w:r>
              <w:rPr>
                <w:rFonts w:hint="eastAsia"/>
                <w:sz w:val="24"/>
                <w:szCs w:val="24"/>
              </w:rPr>
              <w:t>。</w:t>
            </w:r>
          </w:p>
          <w:p>
            <w:pPr>
              <w:pStyle w:val="14"/>
              <w:spacing w:line="240" w:lineRule="auto"/>
              <w:ind w:firstLine="0" w:firstLineChars="0"/>
              <w:rPr>
                <w:rFonts w:hint="eastAsia" w:eastAsia="宋体"/>
                <w:sz w:val="24"/>
                <w:szCs w:val="24"/>
                <w:lang w:eastAsia="zh-CN"/>
              </w:rPr>
            </w:pPr>
            <w:r>
              <w:rPr>
                <w:rFonts w:hint="eastAsia"/>
                <w:sz w:val="24"/>
                <w:szCs w:val="24"/>
              </w:rPr>
              <w:t>（3）</w:t>
            </w:r>
            <w:r>
              <w:rPr>
                <w:rFonts w:hint="eastAsia"/>
                <w:b/>
                <w:bCs/>
                <w:sz w:val="24"/>
                <w:szCs w:val="24"/>
              </w:rPr>
              <w:t>递交方式：</w:t>
            </w:r>
            <w:r>
              <w:rPr>
                <w:rFonts w:hint="eastAsia"/>
                <w:sz w:val="24"/>
                <w:szCs w:val="24"/>
              </w:rPr>
              <w:t>现场递交或邮寄递交</w:t>
            </w:r>
            <w:r>
              <w:rPr>
                <w:rFonts w:hint="eastAsia"/>
                <w:sz w:val="24"/>
                <w:szCs w:val="24"/>
                <w:lang w:eastAsia="zh-CN"/>
              </w:rPr>
              <w:t>。</w:t>
            </w:r>
          </w:p>
          <w:p>
            <w:pPr>
              <w:spacing w:line="240" w:lineRule="auto"/>
              <w:rPr>
                <w:sz w:val="24"/>
                <w:szCs w:val="24"/>
              </w:rPr>
            </w:pPr>
            <w:r>
              <w:rPr>
                <w:rFonts w:hint="eastAsia"/>
                <w:sz w:val="24"/>
                <w:szCs w:val="24"/>
              </w:rPr>
              <w:t>（4）</w:t>
            </w:r>
            <w:r>
              <w:rPr>
                <w:rFonts w:hint="eastAsia"/>
                <w:b/>
                <w:bCs/>
                <w:sz w:val="24"/>
                <w:szCs w:val="24"/>
              </w:rPr>
              <w:t>递交相关费用：</w:t>
            </w:r>
            <w:r>
              <w:rPr>
                <w:rFonts w:hint="eastAsia"/>
                <w:sz w:val="24"/>
                <w:szCs w:val="24"/>
              </w:rPr>
              <w:t>无论采用现场递交还是邮寄递交的方式，因此产生的交通费、邮寄费等所有费用均由中标单位承担。</w:t>
            </w:r>
          </w:p>
          <w:p>
            <w:pPr>
              <w:widowControl/>
              <w:numPr>
                <w:ilvl w:val="255"/>
                <w:numId w:val="0"/>
              </w:numPr>
              <w:spacing w:line="240" w:lineRule="auto"/>
              <w:rPr>
                <w:rFonts w:hint="eastAsia" w:eastAsia="宋体"/>
                <w:sz w:val="24"/>
                <w:szCs w:val="24"/>
                <w:lang w:eastAsia="zh-CN"/>
              </w:rPr>
            </w:pPr>
            <w:r>
              <w:rPr>
                <w:rFonts w:hint="eastAsia"/>
                <w:sz w:val="24"/>
                <w:szCs w:val="24"/>
              </w:rPr>
              <w:t>（5）</w:t>
            </w:r>
            <w:r>
              <w:rPr>
                <w:rFonts w:hint="eastAsia"/>
                <w:b/>
                <w:bCs/>
                <w:sz w:val="24"/>
                <w:szCs w:val="24"/>
              </w:rPr>
              <w:t>收件人：</w:t>
            </w:r>
            <w:r>
              <w:rPr>
                <w:rFonts w:hint="eastAsia"/>
                <w:sz w:val="24"/>
                <w:szCs w:val="24"/>
                <w:lang w:val="en-US" w:eastAsia="zh-CN"/>
              </w:rPr>
              <w:t>张工</w:t>
            </w:r>
          </w:p>
          <w:p>
            <w:pPr>
              <w:widowControl/>
              <w:numPr>
                <w:ilvl w:val="255"/>
                <w:numId w:val="0"/>
              </w:numPr>
              <w:spacing w:line="240" w:lineRule="auto"/>
              <w:rPr>
                <w:rFonts w:hint="default" w:eastAsia="宋体"/>
                <w:sz w:val="24"/>
                <w:szCs w:val="24"/>
                <w:lang w:val="en-US" w:eastAsia="zh-CN"/>
              </w:rPr>
            </w:pPr>
            <w:r>
              <w:rPr>
                <w:rFonts w:hint="eastAsia"/>
                <w:sz w:val="24"/>
                <w:szCs w:val="24"/>
              </w:rPr>
              <w:t>（6）</w:t>
            </w:r>
            <w:r>
              <w:rPr>
                <w:rFonts w:hint="eastAsia"/>
                <w:b/>
                <w:bCs/>
                <w:sz w:val="24"/>
                <w:szCs w:val="24"/>
              </w:rPr>
              <w:t>联系电话：</w:t>
            </w:r>
            <w:r>
              <w:rPr>
                <w:rFonts w:hint="eastAsia"/>
                <w:sz w:val="24"/>
                <w:szCs w:val="24"/>
                <w:lang w:val="en-US" w:eastAsia="zh-CN"/>
              </w:rPr>
              <w:t>13009665716</w:t>
            </w:r>
          </w:p>
          <w:p>
            <w:pPr>
              <w:widowControl/>
              <w:numPr>
                <w:ilvl w:val="255"/>
                <w:numId w:val="0"/>
              </w:numPr>
              <w:spacing w:line="240" w:lineRule="auto"/>
              <w:rPr>
                <w:sz w:val="24"/>
                <w:szCs w:val="24"/>
                <w:highlight w:val="none"/>
              </w:rPr>
            </w:pPr>
            <w:r>
              <w:rPr>
                <w:rFonts w:hint="eastAsia"/>
                <w:sz w:val="24"/>
                <w:szCs w:val="24"/>
              </w:rPr>
              <w:t>（7）</w:t>
            </w:r>
            <w:r>
              <w:rPr>
                <w:rFonts w:hint="eastAsia"/>
                <w:b/>
                <w:bCs/>
                <w:sz w:val="24"/>
                <w:szCs w:val="24"/>
              </w:rPr>
              <w:t>纸质投标文件份数：</w:t>
            </w:r>
            <w:r>
              <w:rPr>
                <w:rFonts w:hint="eastAsia"/>
                <w:sz w:val="24"/>
                <w:szCs w:val="24"/>
                <w:highlight w:val="none"/>
              </w:rPr>
              <w:t>正本1份，副本</w:t>
            </w:r>
            <w:r>
              <w:rPr>
                <w:rFonts w:hint="eastAsia"/>
                <w:sz w:val="24"/>
                <w:szCs w:val="24"/>
                <w:highlight w:val="none"/>
                <w:lang w:val="en-US" w:eastAsia="zh-CN"/>
              </w:rPr>
              <w:t>3</w:t>
            </w:r>
            <w:r>
              <w:rPr>
                <w:rFonts w:hint="eastAsia"/>
                <w:sz w:val="24"/>
                <w:szCs w:val="24"/>
                <w:highlight w:val="none"/>
              </w:rPr>
              <w:t>份</w:t>
            </w:r>
          </w:p>
          <w:p>
            <w:pPr>
              <w:widowControl/>
              <w:numPr>
                <w:ilvl w:val="255"/>
                <w:numId w:val="0"/>
              </w:numPr>
              <w:spacing w:line="240" w:lineRule="auto"/>
              <w:rPr>
                <w:sz w:val="24"/>
                <w:szCs w:val="24"/>
              </w:rPr>
            </w:pPr>
            <w:r>
              <w:rPr>
                <w:rFonts w:hint="eastAsia"/>
                <w:sz w:val="24"/>
                <w:szCs w:val="24"/>
              </w:rPr>
              <w:t>（8）</w:t>
            </w:r>
            <w:r>
              <w:rPr>
                <w:rFonts w:hint="eastAsia"/>
                <w:b/>
                <w:bCs/>
                <w:sz w:val="24"/>
                <w:szCs w:val="24"/>
              </w:rPr>
              <w:t>装订要求：</w:t>
            </w:r>
            <w:r>
              <w:rPr>
                <w:rFonts w:hint="eastAsia"/>
                <w:sz w:val="24"/>
                <w:szCs w:val="24"/>
              </w:rPr>
              <w:t>正本与副本均须采用不可拆装的胶装方式装订，不得采用活页方式。</w:t>
            </w:r>
          </w:p>
          <w:p>
            <w:pPr>
              <w:spacing w:line="240" w:lineRule="auto"/>
              <w:rPr>
                <w:sz w:val="24"/>
                <w:szCs w:val="24"/>
              </w:rPr>
            </w:pPr>
            <w:r>
              <w:rPr>
                <w:rFonts w:hint="eastAsia"/>
                <w:sz w:val="24"/>
                <w:szCs w:val="24"/>
              </w:rPr>
              <w:t>（9）</w:t>
            </w:r>
            <w:r>
              <w:rPr>
                <w:rFonts w:hint="eastAsia"/>
                <w:b/>
                <w:bCs/>
                <w:sz w:val="24"/>
                <w:szCs w:val="24"/>
              </w:rPr>
              <w:t>纸质投标文件内容：</w:t>
            </w:r>
            <w:r>
              <w:rPr>
                <w:rFonts w:hint="eastAsia"/>
                <w:sz w:val="24"/>
                <w:szCs w:val="24"/>
              </w:rPr>
              <w:t>纸质版投标文件必须与电子投标文件内容</w:t>
            </w:r>
            <w:r>
              <w:rPr>
                <w:rFonts w:hint="eastAsia"/>
                <w:b/>
                <w:bCs/>
                <w:sz w:val="24"/>
                <w:szCs w:val="24"/>
              </w:rPr>
              <w:t>完全一致</w:t>
            </w:r>
            <w:r>
              <w:rPr>
                <w:rFonts w:hint="eastAsia"/>
                <w:sz w:val="24"/>
                <w:szCs w:val="24"/>
              </w:rPr>
              <w:t>，若中标单位提供的纸质版投标文件与电子版投标文件内容不一致，</w:t>
            </w:r>
            <w:r>
              <w:rPr>
                <w:rFonts w:hint="default" w:ascii="Times New Roman" w:hAnsi="Times New Roman" w:eastAsia="宋体" w:cs="Times New Roman"/>
                <w:b/>
                <w:bCs/>
                <w:sz w:val="24"/>
                <w:szCs w:val="24"/>
                <w:highlight w:val="none"/>
                <w:lang w:val="en-US" w:eastAsia="zh-CN"/>
              </w:rPr>
              <w:t>以电子版</w:t>
            </w:r>
            <w:r>
              <w:rPr>
                <w:rFonts w:hint="eastAsia" w:ascii="Times New Roman" w:hAnsi="Times New Roman" w:eastAsia="宋体" w:cs="Times New Roman"/>
                <w:b/>
                <w:bCs/>
                <w:sz w:val="24"/>
                <w:szCs w:val="24"/>
                <w:highlight w:val="none"/>
                <w:lang w:val="en-US" w:eastAsia="zh-CN"/>
              </w:rPr>
              <w:t>投标</w:t>
            </w:r>
            <w:r>
              <w:rPr>
                <w:rFonts w:hint="default" w:ascii="Times New Roman" w:hAnsi="Times New Roman" w:eastAsia="宋体" w:cs="Times New Roman"/>
                <w:b/>
                <w:bCs/>
                <w:sz w:val="24"/>
                <w:szCs w:val="24"/>
                <w:highlight w:val="none"/>
                <w:lang w:val="en-US" w:eastAsia="zh-CN"/>
              </w:rPr>
              <w:t>文件为准。</w:t>
            </w:r>
            <w:r>
              <w:rPr>
                <w:rFonts w:hint="eastAsia"/>
                <w:sz w:val="24"/>
                <w:szCs w:val="24"/>
              </w:rPr>
              <w:t>中标单位须在2日内重新提交正确、完整版纸质投标文件（且仅限一次补正机会）。</w:t>
            </w:r>
          </w:p>
          <w:p>
            <w:pPr>
              <w:spacing w:line="240" w:lineRule="auto"/>
              <w:rPr>
                <w:sz w:val="24"/>
              </w:rPr>
            </w:pPr>
            <w:r>
              <w:rPr>
                <w:rFonts w:hint="eastAsia"/>
                <w:sz w:val="24"/>
                <w:szCs w:val="24"/>
              </w:rPr>
              <w:t>（1</w:t>
            </w:r>
            <w:r>
              <w:rPr>
                <w:sz w:val="24"/>
                <w:szCs w:val="24"/>
              </w:rPr>
              <w:t>0</w:t>
            </w:r>
            <w:r>
              <w:rPr>
                <w:rFonts w:hint="eastAsia"/>
                <w:sz w:val="24"/>
                <w:szCs w:val="24"/>
              </w:rPr>
              <w:t>）</w:t>
            </w:r>
            <w:r>
              <w:rPr>
                <w:rFonts w:hint="eastAsia"/>
                <w:b/>
                <w:bCs/>
                <w:sz w:val="24"/>
                <w:szCs w:val="24"/>
              </w:rPr>
              <w:t>请注意：若中标单位未按上述规定的时间和要求提供纸质版投标文件，采购人有权将中标单位的行为视为不响应招标文件要求，由此带来的后果由中标单位自行承担。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19" w:type="dxa"/>
            <w:gridSpan w:val="3"/>
            <w:vAlign w:val="center"/>
          </w:tcPr>
          <w:p>
            <w:pPr>
              <w:rPr>
                <w:sz w:val="24"/>
                <w:highlight w:val="yellow"/>
              </w:rPr>
            </w:pPr>
            <w:r>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719" w:type="dxa"/>
            <w:gridSpan w:val="3"/>
            <w:vAlign w:val="center"/>
          </w:tcPr>
          <w:p>
            <w:pPr>
              <w:spacing w:line="240" w:lineRule="auto"/>
              <w:rPr>
                <w:rFonts w:hint="eastAsia"/>
                <w:b/>
                <w:bCs/>
                <w:color w:val="FF0000"/>
                <w:sz w:val="24"/>
                <w:lang w:val="en-US" w:eastAsia="zh-CN"/>
              </w:rPr>
            </w:pPr>
            <w:r>
              <w:rPr>
                <w:rFonts w:hint="eastAsia"/>
                <w:b/>
                <w:bCs/>
                <w:color w:val="FF0000"/>
              </w:rPr>
              <w:t>注：</w:t>
            </w:r>
            <w:r>
              <w:rPr>
                <w:rFonts w:hint="eastAsia"/>
                <w:b/>
                <w:bCs/>
                <w:color w:val="FF0000"/>
                <w:sz w:val="24"/>
                <w:lang w:val="en-US" w:eastAsia="zh-CN"/>
              </w:rPr>
              <w:t>1、</w:t>
            </w:r>
            <w:r>
              <w:rPr>
                <w:rFonts w:hint="eastAsia"/>
                <w:b/>
                <w:bCs/>
                <w:color w:val="FF0000"/>
                <w:sz w:val="24"/>
              </w:rPr>
              <w:t>所有资格证明文件复印件须在有效期内</w:t>
            </w:r>
            <w:r>
              <w:rPr>
                <w:rFonts w:hint="eastAsia"/>
                <w:b/>
                <w:bCs/>
                <w:color w:val="FF0000"/>
                <w:sz w:val="24"/>
                <w:lang w:eastAsia="zh-CN"/>
              </w:rPr>
              <w:t>；</w:t>
            </w:r>
          </w:p>
          <w:p>
            <w:pPr>
              <w:spacing w:line="240" w:lineRule="auto"/>
              <w:rPr>
                <w:rFonts w:hint="eastAsia"/>
                <w:b/>
                <w:bCs/>
                <w:color w:val="FF0000"/>
                <w:sz w:val="24"/>
                <w:lang w:val="en-US" w:eastAsia="zh-CN"/>
              </w:rPr>
            </w:pPr>
            <w:r>
              <w:rPr>
                <w:rFonts w:hint="eastAsia"/>
                <w:b/>
                <w:bCs/>
                <w:color w:val="FF0000"/>
                <w:sz w:val="24"/>
                <w:lang w:val="en-US" w:eastAsia="zh-CN"/>
              </w:rPr>
              <w:t>2、本项目实行电子招投标，供应商须登录政采云平台申请获取招标文件，并通过政采云电子投标客户端制作投标文件，同时自行承担与投标有关的一切费用；</w:t>
            </w:r>
          </w:p>
          <w:p>
            <w:pPr>
              <w:spacing w:line="240" w:lineRule="auto"/>
              <w:rPr>
                <w:rFonts w:hint="eastAsia"/>
                <w:b/>
                <w:bCs/>
                <w:color w:val="FF0000"/>
                <w:sz w:val="24"/>
                <w:lang w:eastAsia="zh-CN"/>
              </w:rPr>
            </w:pPr>
            <w:r>
              <w:rPr>
                <w:rFonts w:hint="eastAsia"/>
                <w:b/>
                <w:bCs/>
                <w:color w:val="FF0000"/>
                <w:sz w:val="24"/>
                <w:lang w:val="en-US" w:eastAsia="zh-CN"/>
              </w:rPr>
              <w:t>3</w:t>
            </w:r>
            <w:r>
              <w:rPr>
                <w:rFonts w:hint="eastAsia"/>
                <w:b/>
                <w:bCs/>
                <w:color w:val="FF0000"/>
                <w:sz w:val="24"/>
                <w:lang w:eastAsia="zh-CN"/>
              </w:rPr>
              <w:t>、供应商在完成政采云投标客户端的下载、安装后，可通过账号密码或CA登录政采云投标客户端进行电子投标文件的制作。在使用政采云投标客户端时，建议使用WIN7及以上操作系统。客户端请至新疆政府采购网下载专区（http://www.ccgp-xinjiang.gov.cn/xjcgDownloadArea/index.html?utm=sites_group_front.2ef5001f.0.0.f61ec680c91d11edbee32d1b0f8498a2）查看与下载，如遇问题可拨打政采云客户服务热线95763选择人工客服进行咨询（工作时间：工作日08:00~20：00）。如因供应商自身原因导致在规定时间内无法正常解密的（如：浏览器故障、未安装相关驱动、网络故障、加密CA与解密CA不一致等），采购人及采购代理机构不予异常处理，视为供应商自动放弃投标；</w:t>
            </w:r>
          </w:p>
          <w:p>
            <w:pPr>
              <w:spacing w:line="240" w:lineRule="auto"/>
              <w:rPr>
                <w:rFonts w:hint="eastAsia"/>
                <w:b/>
                <w:bCs/>
                <w:color w:val="FF0000"/>
                <w:sz w:val="24"/>
                <w:lang w:eastAsia="zh-CN"/>
              </w:rPr>
            </w:pPr>
            <w:r>
              <w:rPr>
                <w:rFonts w:hint="eastAsia"/>
                <w:b/>
                <w:bCs/>
                <w:color w:val="FF0000"/>
                <w:sz w:val="24"/>
                <w:lang w:val="en-US" w:eastAsia="zh-CN"/>
              </w:rPr>
              <w:t>4</w:t>
            </w:r>
            <w:r>
              <w:rPr>
                <w:rFonts w:hint="eastAsia"/>
                <w:b/>
                <w:bCs/>
                <w:color w:val="FF0000"/>
                <w:sz w:val="24"/>
                <w:lang w:eastAsia="zh-CN"/>
              </w:rPr>
              <w:t>、供应商应当在投标截止时间前将生成的“电子加密投标文件”上传递交至“政府采购云平台”，投标截止时间以后上传递交的投标文件将被“政府采购云平台”拒收；</w:t>
            </w:r>
          </w:p>
          <w:p>
            <w:pPr>
              <w:spacing w:line="240" w:lineRule="auto"/>
              <w:rPr>
                <w:rFonts w:hint="eastAsia"/>
                <w:b/>
                <w:bCs/>
                <w:color w:val="FF0000"/>
                <w:sz w:val="24"/>
                <w:lang w:eastAsia="zh-CN"/>
              </w:rPr>
            </w:pPr>
            <w:r>
              <w:rPr>
                <w:rFonts w:hint="eastAsia"/>
                <w:b/>
                <w:bCs/>
                <w:color w:val="FF0000"/>
                <w:sz w:val="24"/>
                <w:lang w:val="en-US" w:eastAsia="zh-CN"/>
              </w:rPr>
              <w:t>5</w:t>
            </w:r>
            <w:r>
              <w:rPr>
                <w:rFonts w:hint="eastAsia"/>
                <w:b/>
                <w:bCs/>
                <w:color w:val="FF0000"/>
                <w:sz w:val="24"/>
                <w:lang w:eastAsia="zh-CN"/>
              </w:rPr>
              <w:t>、供应商在开标前须提前调试配置好电脑浏览器（建议使用360浏览器或谷歌浏览器等）,开标时登录政采云平台，在“项目采购-开标评标”功能中，使用制作加密电子投标文件的CA锁进行线上解密及开标结果确认（电子签名签章前须先启动和运行新疆CA的“电子签章服务”），解密与加密投标文件须使用同一个 CA；</w:t>
            </w:r>
          </w:p>
          <w:p>
            <w:pPr>
              <w:spacing w:line="240" w:lineRule="auto"/>
              <w:rPr>
                <w:rFonts w:hint="eastAsia"/>
                <w:b/>
                <w:bCs/>
                <w:color w:val="FF0000"/>
                <w:sz w:val="24"/>
                <w:lang w:eastAsia="zh-CN"/>
              </w:rPr>
            </w:pPr>
            <w:r>
              <w:rPr>
                <w:rFonts w:hint="eastAsia"/>
                <w:b/>
                <w:bCs/>
                <w:color w:val="FF0000"/>
                <w:sz w:val="24"/>
                <w:lang w:val="en-US" w:eastAsia="zh-CN"/>
              </w:rPr>
              <w:t>6</w:t>
            </w:r>
            <w:r>
              <w:rPr>
                <w:rFonts w:hint="eastAsia"/>
                <w:b/>
                <w:bCs/>
                <w:color w:val="FF0000"/>
                <w:sz w:val="24"/>
                <w:lang w:eastAsia="zh-CN"/>
              </w:rPr>
              <w:t>、本项目电子投标文件的解密时间定为30分钟内，若供应商在规定时间内因自身原因导致无法正常解密或未按时解密的，视为无效投标，由此带来的后果由供应商自行承担；</w:t>
            </w:r>
          </w:p>
          <w:p>
            <w:pPr>
              <w:spacing w:line="240" w:lineRule="auto"/>
              <w:rPr>
                <w:rFonts w:hint="eastAsia"/>
                <w:b/>
                <w:bCs/>
                <w:color w:val="FF0000"/>
                <w:sz w:val="24"/>
                <w:lang w:val="en-US" w:eastAsia="zh-CN"/>
              </w:rPr>
            </w:pPr>
            <w:r>
              <w:rPr>
                <w:rFonts w:hint="eastAsia"/>
                <w:b/>
                <w:bCs/>
                <w:color w:val="FF0000"/>
                <w:sz w:val="24"/>
                <w:lang w:val="en-US" w:eastAsia="zh-CN"/>
              </w:rPr>
              <w:t>7、本招标文件规定的投标文件编制中所需提交的证明材料须加盖供应商电子公章，且内容须清晰可辨；</w:t>
            </w:r>
          </w:p>
          <w:p>
            <w:pPr>
              <w:spacing w:line="240" w:lineRule="auto"/>
              <w:rPr>
                <w:rFonts w:hint="eastAsia"/>
                <w:lang w:eastAsia="zh-CN"/>
              </w:rPr>
            </w:pPr>
            <w:r>
              <w:rPr>
                <w:rFonts w:hint="eastAsia"/>
                <w:b/>
                <w:bCs/>
                <w:color w:val="FF0000"/>
                <w:sz w:val="24"/>
                <w:lang w:val="en-US" w:eastAsia="zh-CN"/>
              </w:rPr>
              <w:t>8、除法律、法规和规章规定外。采购文件中加下划线、“拒绝”“不接受”“无 效”“不得”“投标被否决”等文字规定或标注“★”符号的条款为实质性要求条款 (即重要条款) ，未用上述文字规定或符号标注的条款为非实质性要求条款 (即一般条款) 。着重提醒各供应商注意，并认真查看采购文件中的每一个条款及要求，因误读采购文件而造成的后果，招标人概不负责。</w:t>
            </w:r>
          </w:p>
        </w:tc>
      </w:tr>
    </w:tbl>
    <w:p>
      <w:pPr>
        <w:autoSpaceDE w:val="0"/>
        <w:autoSpaceDN w:val="0"/>
        <w:adjustRightInd w:val="0"/>
        <w:snapToGrid w:val="0"/>
        <w:spacing w:after="120" w:afterLines="50"/>
        <w:jc w:val="left"/>
        <w:rPr>
          <w:b/>
          <w:bCs/>
          <w:kern w:val="0"/>
          <w:sz w:val="28"/>
          <w:szCs w:val="28"/>
        </w:rPr>
      </w:pPr>
      <w:r>
        <w:rPr>
          <w:b/>
          <w:bCs/>
          <w:sz w:val="24"/>
        </w:rPr>
        <w:t>注：投标人须知正文与本表不一致的以本表为准。</w:t>
      </w:r>
    </w:p>
    <w:p>
      <w:pPr>
        <w:autoSpaceDE w:val="0"/>
        <w:autoSpaceDN w:val="0"/>
        <w:adjustRightInd w:val="0"/>
        <w:snapToGrid w:val="0"/>
        <w:spacing w:after="120" w:afterLines="50"/>
        <w:ind w:firstLine="420" w:firstLineChars="0"/>
        <w:jc w:val="center"/>
        <w:outlineLvl w:val="0"/>
        <w:rPr>
          <w:kern w:val="0"/>
          <w:sz w:val="28"/>
          <w:szCs w:val="28"/>
        </w:rPr>
      </w:pPr>
      <w:r>
        <w:rPr>
          <w:rFonts w:eastAsia="黑体"/>
          <w:kern w:val="0"/>
          <w:sz w:val="32"/>
          <w:szCs w:val="32"/>
        </w:rPr>
        <w:br w:type="page"/>
      </w:r>
      <w:bookmarkEnd w:id="44"/>
      <w:bookmarkStart w:id="76" w:name="_Toc6688"/>
      <w:bookmarkStart w:id="77" w:name="_Toc9463"/>
      <w:bookmarkStart w:id="78" w:name="_Toc26328"/>
      <w:r>
        <w:rPr>
          <w:kern w:val="0"/>
          <w:sz w:val="28"/>
          <w:szCs w:val="28"/>
        </w:rPr>
        <w:t>（二）投标人须知</w:t>
      </w:r>
      <w:bookmarkEnd w:id="76"/>
      <w:bookmarkEnd w:id="77"/>
      <w:bookmarkEnd w:id="78"/>
    </w:p>
    <w:p>
      <w:pPr>
        <w:numPr>
          <w:ilvl w:val="0"/>
          <w:numId w:val="4"/>
        </w:numPr>
        <w:autoSpaceDE w:val="0"/>
        <w:autoSpaceDN w:val="0"/>
        <w:adjustRightInd w:val="0"/>
        <w:spacing w:after="120" w:afterLines="50"/>
        <w:outlineLvl w:val="2"/>
        <w:rPr>
          <w:rFonts w:eastAsia="黑体"/>
          <w:kern w:val="0"/>
          <w:sz w:val="24"/>
        </w:rPr>
      </w:pPr>
      <w:bookmarkStart w:id="79" w:name="_Toc195921793"/>
      <w:bookmarkStart w:id="80" w:name="_Toc1519"/>
      <w:bookmarkStart w:id="81" w:name="_Toc9858"/>
      <w:bookmarkStart w:id="82" w:name="_Toc23205"/>
      <w:bookmarkStart w:id="83" w:name="_Toc29925"/>
      <w:bookmarkStart w:id="84" w:name="_Toc7370"/>
      <w:r>
        <w:rPr>
          <w:rFonts w:eastAsia="黑体"/>
          <w:kern w:val="0"/>
          <w:sz w:val="24"/>
        </w:rPr>
        <w:t>总则</w:t>
      </w:r>
      <w:bookmarkEnd w:id="79"/>
      <w:bookmarkEnd w:id="80"/>
      <w:bookmarkEnd w:id="81"/>
      <w:bookmarkEnd w:id="82"/>
    </w:p>
    <w:p>
      <w:pPr>
        <w:numPr>
          <w:ilvl w:val="1"/>
          <w:numId w:val="4"/>
        </w:numPr>
        <w:autoSpaceDE w:val="0"/>
        <w:autoSpaceDN w:val="0"/>
        <w:adjustRightInd w:val="0"/>
        <w:snapToGrid w:val="0"/>
        <w:spacing w:after="120" w:afterLines="50"/>
        <w:rPr>
          <w:kern w:val="0"/>
          <w:sz w:val="24"/>
        </w:rPr>
      </w:pPr>
      <w:bookmarkStart w:id="85" w:name="_Toc195921794"/>
      <w:r>
        <w:rPr>
          <w:kern w:val="0"/>
          <w:sz w:val="24"/>
        </w:rPr>
        <w:t>项目概况</w:t>
      </w:r>
      <w:bookmarkEnd w:id="85"/>
    </w:p>
    <w:p>
      <w:pPr>
        <w:numPr>
          <w:ilvl w:val="2"/>
          <w:numId w:val="4"/>
        </w:numPr>
        <w:tabs>
          <w:tab w:val="left" w:pos="1260"/>
        </w:tabs>
        <w:autoSpaceDE w:val="0"/>
        <w:autoSpaceDN w:val="0"/>
        <w:adjustRightInd w:val="0"/>
        <w:snapToGrid w:val="0"/>
        <w:spacing w:after="120" w:afterLines="50"/>
        <w:rPr>
          <w:kern w:val="0"/>
          <w:sz w:val="24"/>
        </w:rPr>
      </w:pPr>
      <w:r>
        <w:rPr>
          <w:kern w:val="0"/>
          <w:sz w:val="24"/>
        </w:rPr>
        <w:t>根据《中华人民共和国政府采购法》和《中华人民共和国政府采购法实施条例》等有关法律、法规和规章的规定，对本招标项目进行招标。</w:t>
      </w:r>
    </w:p>
    <w:p>
      <w:pPr>
        <w:numPr>
          <w:ilvl w:val="2"/>
          <w:numId w:val="4"/>
        </w:numPr>
        <w:tabs>
          <w:tab w:val="left" w:pos="1260"/>
        </w:tabs>
        <w:autoSpaceDE w:val="0"/>
        <w:autoSpaceDN w:val="0"/>
        <w:adjustRightInd w:val="0"/>
        <w:snapToGrid w:val="0"/>
        <w:spacing w:after="120" w:afterLines="50"/>
        <w:rPr>
          <w:kern w:val="0"/>
          <w:sz w:val="24"/>
        </w:rPr>
      </w:pPr>
      <w:r>
        <w:rPr>
          <w:kern w:val="0"/>
          <w:sz w:val="24"/>
        </w:rPr>
        <w:t>采购人：</w:t>
      </w:r>
      <w:r>
        <w:rPr>
          <w:sz w:val="24"/>
        </w:rPr>
        <w:t>指依法进行政府采购的国家机关、事业单位、团体组织。本项目采购人见</w:t>
      </w:r>
      <w:r>
        <w:rPr>
          <w:rFonts w:hint="eastAsia"/>
          <w:sz w:val="24"/>
        </w:rPr>
        <w:t>招标公告</w:t>
      </w:r>
      <w:r>
        <w:rPr>
          <w:kern w:val="0"/>
          <w:sz w:val="24"/>
        </w:rPr>
        <w:t>。</w:t>
      </w:r>
    </w:p>
    <w:p>
      <w:pPr>
        <w:numPr>
          <w:ilvl w:val="2"/>
          <w:numId w:val="4"/>
        </w:numPr>
        <w:tabs>
          <w:tab w:val="left" w:pos="1260"/>
        </w:tabs>
        <w:autoSpaceDE w:val="0"/>
        <w:autoSpaceDN w:val="0"/>
        <w:adjustRightInd w:val="0"/>
        <w:snapToGrid w:val="0"/>
        <w:spacing w:after="120" w:afterLines="50"/>
        <w:rPr>
          <w:kern w:val="0"/>
          <w:sz w:val="24"/>
        </w:rPr>
      </w:pPr>
      <w:r>
        <w:rPr>
          <w:kern w:val="0"/>
          <w:sz w:val="24"/>
        </w:rPr>
        <w:t>采购代理机构：</w:t>
      </w:r>
      <w:r>
        <w:rPr>
          <w:sz w:val="24"/>
        </w:rPr>
        <w:t>指采购人委托的采购代理机构。本项目采购代理机构见</w:t>
      </w:r>
      <w:r>
        <w:rPr>
          <w:rFonts w:hint="eastAsia"/>
          <w:sz w:val="24"/>
        </w:rPr>
        <w:t>招标公告</w:t>
      </w:r>
      <w:r>
        <w:rPr>
          <w:kern w:val="0"/>
          <w:sz w:val="24"/>
        </w:rPr>
        <w:t>。</w:t>
      </w:r>
    </w:p>
    <w:p>
      <w:pPr>
        <w:numPr>
          <w:ilvl w:val="2"/>
          <w:numId w:val="4"/>
        </w:numPr>
        <w:tabs>
          <w:tab w:val="left" w:pos="1260"/>
        </w:tabs>
        <w:autoSpaceDE w:val="0"/>
        <w:autoSpaceDN w:val="0"/>
        <w:adjustRightInd w:val="0"/>
        <w:snapToGrid w:val="0"/>
        <w:spacing w:after="120" w:afterLines="50"/>
        <w:rPr>
          <w:kern w:val="0"/>
          <w:sz w:val="24"/>
        </w:rPr>
      </w:pPr>
      <w:r>
        <w:rPr>
          <w:kern w:val="0"/>
          <w:sz w:val="24"/>
        </w:rPr>
        <w:t>采购货物名称</w:t>
      </w:r>
    </w:p>
    <w:p>
      <w:pPr>
        <w:autoSpaceDE w:val="0"/>
        <w:autoSpaceDN w:val="0"/>
        <w:adjustRightInd w:val="0"/>
        <w:snapToGrid w:val="0"/>
        <w:spacing w:after="120" w:afterLines="50"/>
        <w:ind w:left="1079"/>
        <w:rPr>
          <w:sz w:val="24"/>
        </w:rPr>
      </w:pPr>
      <w:r>
        <w:rPr>
          <w:sz w:val="24"/>
        </w:rPr>
        <w:t>见招标公告。</w:t>
      </w:r>
    </w:p>
    <w:p>
      <w:pPr>
        <w:autoSpaceDE w:val="0"/>
        <w:autoSpaceDN w:val="0"/>
        <w:adjustRightInd w:val="0"/>
        <w:snapToGrid w:val="0"/>
        <w:spacing w:after="120" w:afterLines="50"/>
        <w:rPr>
          <w:sz w:val="24"/>
        </w:rPr>
      </w:pPr>
      <w:r>
        <w:rPr>
          <w:sz w:val="24"/>
        </w:rPr>
        <w:t>1.1.5    采购标的对应的中小企业划分标准所属行业：</w:t>
      </w:r>
      <w:r>
        <w:rPr>
          <w:kern w:val="0"/>
          <w:sz w:val="24"/>
        </w:rPr>
        <w:t>见投标人须知前附表</w:t>
      </w:r>
    </w:p>
    <w:p>
      <w:pPr>
        <w:numPr>
          <w:ilvl w:val="1"/>
          <w:numId w:val="4"/>
        </w:numPr>
        <w:autoSpaceDE w:val="0"/>
        <w:autoSpaceDN w:val="0"/>
        <w:adjustRightInd w:val="0"/>
        <w:snapToGrid w:val="0"/>
        <w:spacing w:after="120" w:afterLines="50"/>
        <w:rPr>
          <w:kern w:val="0"/>
          <w:sz w:val="24"/>
        </w:rPr>
      </w:pPr>
      <w:bookmarkStart w:id="86" w:name="_Toc195921795"/>
      <w:r>
        <w:rPr>
          <w:kern w:val="0"/>
          <w:sz w:val="24"/>
        </w:rPr>
        <w:t>采购预算</w:t>
      </w:r>
      <w:bookmarkEnd w:id="86"/>
    </w:p>
    <w:p>
      <w:pPr>
        <w:autoSpaceDE w:val="0"/>
        <w:autoSpaceDN w:val="0"/>
        <w:adjustRightInd w:val="0"/>
        <w:snapToGrid w:val="0"/>
        <w:spacing w:after="120" w:afterLines="50"/>
        <w:ind w:left="1079"/>
        <w:rPr>
          <w:sz w:val="24"/>
        </w:rPr>
      </w:pPr>
      <w:r>
        <w:rPr>
          <w:sz w:val="24"/>
        </w:rPr>
        <w:t>见招标公告。</w:t>
      </w:r>
    </w:p>
    <w:p>
      <w:pPr>
        <w:numPr>
          <w:ilvl w:val="1"/>
          <w:numId w:val="4"/>
        </w:numPr>
        <w:autoSpaceDE w:val="0"/>
        <w:autoSpaceDN w:val="0"/>
        <w:adjustRightInd w:val="0"/>
        <w:snapToGrid w:val="0"/>
        <w:spacing w:after="120" w:afterLines="50"/>
        <w:rPr>
          <w:kern w:val="0"/>
          <w:sz w:val="24"/>
        </w:rPr>
      </w:pPr>
      <w:bookmarkStart w:id="87" w:name="_Toc195921796"/>
      <w:r>
        <w:rPr>
          <w:kern w:val="0"/>
          <w:sz w:val="24"/>
        </w:rPr>
        <w:t>最高限价</w:t>
      </w:r>
    </w:p>
    <w:p>
      <w:pPr>
        <w:autoSpaceDE w:val="0"/>
        <w:autoSpaceDN w:val="0"/>
        <w:adjustRightInd w:val="0"/>
        <w:snapToGrid w:val="0"/>
        <w:spacing w:after="120" w:afterLines="50"/>
        <w:ind w:left="1079"/>
        <w:rPr>
          <w:sz w:val="24"/>
        </w:rPr>
      </w:pPr>
      <w:r>
        <w:rPr>
          <w:sz w:val="24"/>
        </w:rPr>
        <w:t>见招标公告。</w:t>
      </w:r>
    </w:p>
    <w:p>
      <w:pPr>
        <w:numPr>
          <w:ilvl w:val="1"/>
          <w:numId w:val="4"/>
        </w:numPr>
        <w:autoSpaceDE w:val="0"/>
        <w:autoSpaceDN w:val="0"/>
        <w:adjustRightInd w:val="0"/>
        <w:snapToGrid w:val="0"/>
        <w:spacing w:after="120" w:afterLines="50"/>
        <w:rPr>
          <w:kern w:val="0"/>
          <w:sz w:val="24"/>
        </w:rPr>
      </w:pPr>
      <w:r>
        <w:rPr>
          <w:kern w:val="0"/>
          <w:sz w:val="24"/>
        </w:rPr>
        <w:t>招标范围、交货期</w:t>
      </w:r>
      <w:r>
        <w:rPr>
          <w:rFonts w:hint="eastAsia"/>
          <w:kern w:val="0"/>
          <w:sz w:val="24"/>
        </w:rPr>
        <w:t>、供货周期</w:t>
      </w:r>
      <w:r>
        <w:rPr>
          <w:kern w:val="0"/>
          <w:sz w:val="24"/>
        </w:rPr>
        <w:t>和质量要求</w:t>
      </w:r>
      <w:bookmarkEnd w:id="87"/>
    </w:p>
    <w:p>
      <w:pPr>
        <w:autoSpaceDE w:val="0"/>
        <w:autoSpaceDN w:val="0"/>
        <w:adjustRightInd w:val="0"/>
        <w:snapToGrid w:val="0"/>
        <w:spacing w:after="120" w:afterLines="50"/>
        <w:ind w:left="1079"/>
        <w:rPr>
          <w:sz w:val="24"/>
        </w:rPr>
      </w:pPr>
      <w:r>
        <w:rPr>
          <w:sz w:val="24"/>
        </w:rPr>
        <w:t>见采购需求。</w:t>
      </w:r>
    </w:p>
    <w:p>
      <w:pPr>
        <w:numPr>
          <w:ilvl w:val="1"/>
          <w:numId w:val="4"/>
        </w:numPr>
        <w:autoSpaceDE w:val="0"/>
        <w:autoSpaceDN w:val="0"/>
        <w:adjustRightInd w:val="0"/>
        <w:snapToGrid w:val="0"/>
        <w:spacing w:after="120" w:afterLines="50"/>
        <w:rPr>
          <w:kern w:val="0"/>
          <w:sz w:val="24"/>
        </w:rPr>
      </w:pPr>
      <w:r>
        <w:rPr>
          <w:kern w:val="0"/>
          <w:sz w:val="24"/>
        </w:rPr>
        <w:t>申请人/投标人：</w:t>
      </w:r>
      <w:r>
        <w:rPr>
          <w:sz w:val="24"/>
        </w:rPr>
        <w:t>指响应招标、参加投标竞争的法人、其他组织或者自然人</w:t>
      </w:r>
      <w:r>
        <w:rPr>
          <w:kern w:val="0"/>
          <w:sz w:val="24"/>
        </w:rPr>
        <w:t>。</w:t>
      </w:r>
    </w:p>
    <w:p>
      <w:pPr>
        <w:numPr>
          <w:ilvl w:val="2"/>
          <w:numId w:val="4"/>
        </w:numPr>
        <w:tabs>
          <w:tab w:val="left" w:pos="1260"/>
        </w:tabs>
        <w:autoSpaceDE w:val="0"/>
        <w:autoSpaceDN w:val="0"/>
        <w:adjustRightInd w:val="0"/>
        <w:snapToGrid w:val="0"/>
        <w:spacing w:after="120" w:afterLines="50"/>
        <w:rPr>
          <w:kern w:val="0"/>
          <w:sz w:val="24"/>
        </w:rPr>
      </w:pPr>
      <w:bookmarkStart w:id="88" w:name="_Ref426956497"/>
      <w:r>
        <w:rPr>
          <w:kern w:val="0"/>
          <w:sz w:val="24"/>
        </w:rPr>
        <w:t>合格的申请人/投标人应具备以下条件：</w:t>
      </w:r>
      <w:bookmarkEnd w:id="88"/>
    </w:p>
    <w:p>
      <w:pPr>
        <w:autoSpaceDE w:val="0"/>
        <w:autoSpaceDN w:val="0"/>
        <w:adjustRightInd w:val="0"/>
        <w:snapToGrid w:val="0"/>
        <w:spacing w:after="120" w:afterLines="50"/>
        <w:ind w:left="1079"/>
        <w:rPr>
          <w:sz w:val="24"/>
        </w:rPr>
      </w:pPr>
      <w:r>
        <w:rPr>
          <w:sz w:val="24"/>
        </w:rPr>
        <w:t>见招标公告。</w:t>
      </w:r>
    </w:p>
    <w:p>
      <w:pPr>
        <w:numPr>
          <w:ilvl w:val="255"/>
          <w:numId w:val="0"/>
        </w:numPr>
        <w:tabs>
          <w:tab w:val="left" w:pos="1260"/>
        </w:tabs>
        <w:autoSpaceDE w:val="0"/>
        <w:autoSpaceDN w:val="0"/>
        <w:adjustRightInd w:val="0"/>
        <w:snapToGrid w:val="0"/>
        <w:spacing w:after="120" w:afterLines="50"/>
        <w:ind w:left="-1134"/>
        <w:rPr>
          <w:kern w:val="0"/>
          <w:sz w:val="24"/>
        </w:rPr>
      </w:pPr>
      <w:r>
        <w:rPr>
          <w:kern w:val="0"/>
          <w:sz w:val="24"/>
        </w:rPr>
        <w:t xml:space="preserve">         1.5.2    是否专门面向中小企业或小型、微型企业采购： 见投标人须知前附表</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1.5.3    投标人应当遵循公平竞争的原则，不得恶意串通，不得妨碍其他投标人的竞争行为，不得损害采购人或者其他投标人的合法权益。</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1.5.4   投标人不得以向采购人、评标委员会成员行贿或者采取其他不正当手段谋取中标。</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1.5.5    本项目将执行在政府采购活动中查询及使用信用记录的规定，具体要求为：</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 xml:space="preserve">信用信息查询的截止时点：投标截止时间。 </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 xml:space="preserve">查询渠道：详见招标公告； </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 xml:space="preserve">信用信息查询记录和证据留存具体方式：投标人的信用信息查询结果网页截图作为查询记录和证据，与其他招标文件一并保存； </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信用信息查询主体：</w:t>
      </w:r>
      <w:r>
        <w:rPr>
          <w:kern w:val="0"/>
          <w:sz w:val="24"/>
        </w:rPr>
        <w:t>见投标人须知前附表</w:t>
      </w:r>
      <w:r>
        <w:rPr>
          <w:sz w:val="24"/>
        </w:rPr>
        <w:t>资格审查主体。</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1.5.6   招标公告规定接受联合体投标的，除应符合本章第</w:t>
      </w:r>
      <w:r>
        <w:rPr>
          <w:kern w:val="0"/>
          <w:sz w:val="24"/>
        </w:rPr>
        <w:fldChar w:fldCharType="begin"/>
      </w:r>
      <w:r>
        <w:rPr>
          <w:kern w:val="0"/>
          <w:sz w:val="24"/>
        </w:rPr>
        <w:instrText xml:space="preserve"> REF _Ref426956497 \r \h  \* MERGEFORMAT </w:instrText>
      </w:r>
      <w:r>
        <w:rPr>
          <w:kern w:val="0"/>
          <w:sz w:val="24"/>
        </w:rPr>
        <w:fldChar w:fldCharType="separate"/>
      </w:r>
      <w:r>
        <w:rPr>
          <w:kern w:val="0"/>
          <w:sz w:val="24"/>
        </w:rPr>
        <w:t>1.5.1</w:t>
      </w:r>
      <w:r>
        <w:rPr>
          <w:kern w:val="0"/>
          <w:sz w:val="24"/>
        </w:rPr>
        <w:fldChar w:fldCharType="end"/>
      </w:r>
      <w:r>
        <w:rPr>
          <w:kern w:val="0"/>
          <w:sz w:val="24"/>
        </w:rPr>
        <w:t>项和第1.5.5项的要求外，还应遵守以下规定：</w:t>
      </w:r>
    </w:p>
    <w:p>
      <w:pPr>
        <w:numPr>
          <w:ilvl w:val="0"/>
          <w:numId w:val="6"/>
        </w:numPr>
        <w:tabs>
          <w:tab w:val="left" w:pos="1701"/>
        </w:tabs>
        <w:autoSpaceDE w:val="0"/>
        <w:autoSpaceDN w:val="0"/>
        <w:adjustRightInd w:val="0"/>
        <w:snapToGrid w:val="0"/>
        <w:spacing w:after="120" w:afterLines="50"/>
        <w:ind w:left="1701" w:hanging="622"/>
        <w:rPr>
          <w:sz w:val="24"/>
        </w:rPr>
      </w:pPr>
      <w:r>
        <w:rPr>
          <w:sz w:val="24"/>
        </w:rPr>
        <w:t>联合体各方应按招标文件提供的格式签订联合体协议书，明确联合体牵头人和各方工作内容和义务；</w:t>
      </w:r>
    </w:p>
    <w:p>
      <w:pPr>
        <w:numPr>
          <w:ilvl w:val="0"/>
          <w:numId w:val="6"/>
        </w:numPr>
        <w:tabs>
          <w:tab w:val="left" w:pos="1701"/>
        </w:tabs>
        <w:autoSpaceDE w:val="0"/>
        <w:autoSpaceDN w:val="0"/>
        <w:adjustRightInd w:val="0"/>
        <w:snapToGrid w:val="0"/>
        <w:spacing w:after="120" w:afterLines="50"/>
        <w:ind w:left="1701" w:hanging="622"/>
        <w:rPr>
          <w:sz w:val="24"/>
        </w:rPr>
      </w:pPr>
      <w:r>
        <w:rPr>
          <w:sz w:val="24"/>
        </w:rPr>
        <w:t>联合体中有同类资质的投标人按照联合体分工承担相同工作的，应当按照资质等级较低的投标人确定联合体的资质等级。</w:t>
      </w:r>
    </w:p>
    <w:p>
      <w:pPr>
        <w:numPr>
          <w:ilvl w:val="0"/>
          <w:numId w:val="6"/>
        </w:numPr>
        <w:tabs>
          <w:tab w:val="left" w:pos="1701"/>
        </w:tabs>
        <w:autoSpaceDE w:val="0"/>
        <w:autoSpaceDN w:val="0"/>
        <w:adjustRightInd w:val="0"/>
        <w:snapToGrid w:val="0"/>
        <w:spacing w:after="120" w:afterLines="50"/>
        <w:ind w:left="1701" w:hanging="622"/>
        <w:rPr>
          <w:sz w:val="24"/>
        </w:rPr>
      </w:pPr>
      <w:r>
        <w:rPr>
          <w:sz w:val="24"/>
        </w:rPr>
        <w:t>联合体各方不得再单独参加或者与其他投标人另外组成联合体参加同一合同项下的投标。</w:t>
      </w:r>
    </w:p>
    <w:p>
      <w:pPr>
        <w:numPr>
          <w:ilvl w:val="0"/>
          <w:numId w:val="6"/>
        </w:numPr>
        <w:tabs>
          <w:tab w:val="left" w:pos="1701"/>
        </w:tabs>
        <w:autoSpaceDE w:val="0"/>
        <w:autoSpaceDN w:val="0"/>
        <w:adjustRightInd w:val="0"/>
        <w:snapToGrid w:val="0"/>
        <w:spacing w:after="120" w:afterLines="50"/>
        <w:ind w:left="1701" w:hanging="622"/>
        <w:rPr>
          <w:sz w:val="24"/>
        </w:rPr>
      </w:pPr>
      <w:r>
        <w:rPr>
          <w:sz w:val="24"/>
        </w:rPr>
        <w:t>联合体各方应当共同与采购人签订采购合同，就采购合同约定的事项对采购人承担连带责任。</w:t>
      </w:r>
    </w:p>
    <w:p>
      <w:pPr>
        <w:numPr>
          <w:ilvl w:val="1"/>
          <w:numId w:val="4"/>
        </w:numPr>
        <w:autoSpaceDE w:val="0"/>
        <w:autoSpaceDN w:val="0"/>
        <w:adjustRightInd w:val="0"/>
        <w:snapToGrid w:val="0"/>
        <w:spacing w:after="120" w:afterLines="50"/>
        <w:rPr>
          <w:kern w:val="0"/>
          <w:sz w:val="24"/>
        </w:rPr>
      </w:pPr>
      <w:r>
        <w:rPr>
          <w:kern w:val="0"/>
          <w:sz w:val="24"/>
        </w:rPr>
        <w:t>分包</w:t>
      </w:r>
    </w:p>
    <w:p>
      <w:pPr>
        <w:autoSpaceDE w:val="0"/>
        <w:autoSpaceDN w:val="0"/>
        <w:adjustRightInd w:val="0"/>
        <w:snapToGrid w:val="0"/>
        <w:spacing w:after="120" w:afterLines="50"/>
        <w:ind w:left="1134" w:leftChars="540"/>
        <w:rPr>
          <w:kern w:val="0"/>
          <w:sz w:val="24"/>
        </w:rPr>
      </w:pPr>
      <w:r>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pPr>
        <w:numPr>
          <w:ilvl w:val="1"/>
          <w:numId w:val="4"/>
        </w:numPr>
        <w:autoSpaceDE w:val="0"/>
        <w:autoSpaceDN w:val="0"/>
        <w:adjustRightInd w:val="0"/>
        <w:snapToGrid w:val="0"/>
        <w:spacing w:after="120" w:afterLines="50"/>
        <w:rPr>
          <w:kern w:val="0"/>
          <w:sz w:val="24"/>
        </w:rPr>
      </w:pPr>
      <w:bookmarkStart w:id="89" w:name="_Toc195921799"/>
      <w:r>
        <w:rPr>
          <w:kern w:val="0"/>
          <w:sz w:val="24"/>
        </w:rPr>
        <w:t>合格的货物</w:t>
      </w:r>
    </w:p>
    <w:p>
      <w:pPr>
        <w:numPr>
          <w:ilvl w:val="2"/>
          <w:numId w:val="4"/>
        </w:numPr>
        <w:snapToGrid w:val="0"/>
        <w:spacing w:after="120" w:afterLines="50"/>
        <w:rPr>
          <w:sz w:val="24"/>
        </w:rPr>
      </w:pPr>
      <w:r>
        <w:rPr>
          <w:sz w:val="24"/>
        </w:rPr>
        <w:t>合同中提供的所有货物，均应来自上述</w:t>
      </w:r>
      <w:r>
        <w:rPr>
          <w:sz w:val="24"/>
        </w:rPr>
        <w:fldChar w:fldCharType="begin"/>
      </w:r>
      <w:r>
        <w:rPr>
          <w:sz w:val="24"/>
        </w:rPr>
        <w:instrText xml:space="preserve"> REF _Ref426956497 \r \h  \* MERGEFORMAT </w:instrText>
      </w:r>
      <w:r>
        <w:rPr>
          <w:sz w:val="24"/>
        </w:rPr>
        <w:fldChar w:fldCharType="separate"/>
      </w:r>
      <w:r>
        <w:rPr>
          <w:sz w:val="24"/>
        </w:rPr>
        <w:t>1.5.1</w:t>
      </w:r>
      <w:r>
        <w:rPr>
          <w:sz w:val="24"/>
        </w:rPr>
        <w:fldChar w:fldCharType="end"/>
      </w:r>
      <w:r>
        <w:rPr>
          <w:sz w:val="24"/>
        </w:rPr>
        <w:t>项所规定的合格投标人。</w:t>
      </w:r>
    </w:p>
    <w:p>
      <w:pPr>
        <w:snapToGrid w:val="0"/>
        <w:spacing w:after="120" w:afterLines="50"/>
        <w:ind w:left="1134" w:leftChars="540"/>
        <w:rPr>
          <w:i/>
          <w:sz w:val="24"/>
        </w:rPr>
      </w:pPr>
      <w:bookmarkStart w:id="90" w:name="_Ref495391292"/>
      <w:r>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90"/>
    </w:p>
    <w:p>
      <w:pPr>
        <w:numPr>
          <w:ilvl w:val="1"/>
          <w:numId w:val="4"/>
        </w:numPr>
        <w:autoSpaceDE w:val="0"/>
        <w:autoSpaceDN w:val="0"/>
        <w:adjustRightInd w:val="0"/>
        <w:snapToGrid w:val="0"/>
        <w:spacing w:after="120" w:afterLines="50"/>
        <w:rPr>
          <w:kern w:val="0"/>
          <w:sz w:val="24"/>
        </w:rPr>
      </w:pPr>
      <w:r>
        <w:rPr>
          <w:kern w:val="0"/>
          <w:sz w:val="24"/>
        </w:rPr>
        <w:t>费用承担</w:t>
      </w:r>
      <w:bookmarkEnd w:id="89"/>
    </w:p>
    <w:p>
      <w:pPr>
        <w:autoSpaceDE w:val="0"/>
        <w:autoSpaceDN w:val="0"/>
        <w:adjustRightInd w:val="0"/>
        <w:snapToGrid w:val="0"/>
        <w:spacing w:after="120" w:afterLines="50"/>
        <w:ind w:left="1134" w:leftChars="540"/>
        <w:rPr>
          <w:kern w:val="0"/>
          <w:sz w:val="24"/>
        </w:rPr>
      </w:pPr>
      <w:r>
        <w:rPr>
          <w:kern w:val="0"/>
          <w:sz w:val="24"/>
        </w:rPr>
        <w:t>投标人准备和参加投标活动发生的费用自理。</w:t>
      </w:r>
    </w:p>
    <w:p>
      <w:pPr>
        <w:numPr>
          <w:ilvl w:val="1"/>
          <w:numId w:val="4"/>
        </w:numPr>
        <w:autoSpaceDE w:val="0"/>
        <w:autoSpaceDN w:val="0"/>
        <w:adjustRightInd w:val="0"/>
        <w:snapToGrid w:val="0"/>
        <w:spacing w:after="120" w:afterLines="50"/>
        <w:rPr>
          <w:kern w:val="0"/>
          <w:sz w:val="24"/>
        </w:rPr>
      </w:pPr>
      <w:bookmarkStart w:id="91" w:name="_Toc195921800"/>
      <w:r>
        <w:rPr>
          <w:kern w:val="0"/>
          <w:sz w:val="24"/>
        </w:rPr>
        <w:t>保密</w:t>
      </w:r>
      <w:bookmarkEnd w:id="91"/>
    </w:p>
    <w:p>
      <w:pPr>
        <w:autoSpaceDE w:val="0"/>
        <w:autoSpaceDN w:val="0"/>
        <w:adjustRightInd w:val="0"/>
        <w:snapToGrid w:val="0"/>
        <w:spacing w:after="120" w:afterLines="50"/>
        <w:ind w:left="1134" w:leftChars="540"/>
        <w:rPr>
          <w:kern w:val="0"/>
          <w:sz w:val="24"/>
        </w:rPr>
      </w:pPr>
      <w:r>
        <w:rPr>
          <w:kern w:val="0"/>
          <w:sz w:val="24"/>
        </w:rPr>
        <w:t>参与招标投标活动的各方应对招标文件和投标文件中的商业和技术等秘密保密，违者应对由此造成的后果承担法律责任。</w:t>
      </w:r>
    </w:p>
    <w:p>
      <w:pPr>
        <w:numPr>
          <w:ilvl w:val="1"/>
          <w:numId w:val="4"/>
        </w:numPr>
        <w:autoSpaceDE w:val="0"/>
        <w:autoSpaceDN w:val="0"/>
        <w:adjustRightInd w:val="0"/>
        <w:snapToGrid w:val="0"/>
        <w:spacing w:after="120" w:afterLines="50"/>
        <w:rPr>
          <w:kern w:val="0"/>
          <w:sz w:val="24"/>
        </w:rPr>
      </w:pPr>
      <w:bookmarkStart w:id="92" w:name="_Toc195921801"/>
      <w:r>
        <w:rPr>
          <w:kern w:val="0"/>
          <w:sz w:val="24"/>
        </w:rPr>
        <w:t>语言文字</w:t>
      </w:r>
      <w:bookmarkEnd w:id="92"/>
    </w:p>
    <w:p>
      <w:pPr>
        <w:autoSpaceDE w:val="0"/>
        <w:autoSpaceDN w:val="0"/>
        <w:adjustRightInd w:val="0"/>
        <w:snapToGrid w:val="0"/>
        <w:spacing w:after="120" w:afterLines="50"/>
        <w:ind w:left="1134" w:leftChars="540"/>
        <w:rPr>
          <w:kern w:val="0"/>
          <w:sz w:val="24"/>
        </w:rPr>
      </w:pPr>
      <w:r>
        <w:rPr>
          <w:kern w:val="0"/>
          <w:sz w:val="24"/>
        </w:rPr>
        <w:t>除专用术语外，与招标投标有关的语言均使用中文。必要时专用术语应附有中文注释。</w:t>
      </w:r>
    </w:p>
    <w:p>
      <w:pPr>
        <w:numPr>
          <w:ilvl w:val="1"/>
          <w:numId w:val="4"/>
        </w:numPr>
        <w:autoSpaceDE w:val="0"/>
        <w:autoSpaceDN w:val="0"/>
        <w:adjustRightInd w:val="0"/>
        <w:snapToGrid w:val="0"/>
        <w:spacing w:after="120" w:afterLines="50"/>
        <w:rPr>
          <w:kern w:val="0"/>
          <w:sz w:val="24"/>
        </w:rPr>
      </w:pPr>
      <w:bookmarkStart w:id="93" w:name="_Toc195921802"/>
      <w:r>
        <w:rPr>
          <w:kern w:val="0"/>
          <w:sz w:val="24"/>
        </w:rPr>
        <w:t>计量单位</w:t>
      </w:r>
      <w:bookmarkEnd w:id="93"/>
    </w:p>
    <w:p>
      <w:pPr>
        <w:autoSpaceDE w:val="0"/>
        <w:autoSpaceDN w:val="0"/>
        <w:adjustRightInd w:val="0"/>
        <w:snapToGrid w:val="0"/>
        <w:spacing w:after="120" w:afterLines="50"/>
        <w:ind w:left="1134" w:leftChars="540"/>
        <w:rPr>
          <w:kern w:val="0"/>
          <w:sz w:val="24"/>
        </w:rPr>
      </w:pPr>
      <w:r>
        <w:rPr>
          <w:kern w:val="0"/>
          <w:sz w:val="24"/>
        </w:rPr>
        <w:t>所有计量均采用中华人民共和国法定计量单位。</w:t>
      </w:r>
    </w:p>
    <w:p>
      <w:pPr>
        <w:rPr>
          <w:kern w:val="0"/>
          <w:sz w:val="28"/>
          <w:szCs w:val="28"/>
        </w:rPr>
      </w:pPr>
      <w:r>
        <w:rPr>
          <w:kern w:val="0"/>
          <w:sz w:val="28"/>
          <w:szCs w:val="28"/>
        </w:rPr>
        <w:br w:type="page"/>
      </w:r>
    </w:p>
    <w:bookmarkEnd w:id="83"/>
    <w:bookmarkEnd w:id="84"/>
    <w:p>
      <w:pPr>
        <w:numPr>
          <w:ilvl w:val="0"/>
          <w:numId w:val="4"/>
        </w:numPr>
        <w:autoSpaceDE w:val="0"/>
        <w:autoSpaceDN w:val="0"/>
        <w:adjustRightInd w:val="0"/>
        <w:spacing w:after="120" w:afterLines="50"/>
        <w:outlineLvl w:val="2"/>
        <w:rPr>
          <w:rFonts w:eastAsia="黑体"/>
          <w:kern w:val="0"/>
          <w:sz w:val="24"/>
        </w:rPr>
      </w:pPr>
      <w:bookmarkStart w:id="94" w:name="_Toc29841"/>
      <w:bookmarkStart w:id="95" w:name="_Toc6136"/>
      <w:bookmarkStart w:id="96" w:name="_Toc195921807"/>
      <w:bookmarkStart w:id="97" w:name="_Toc28476"/>
      <w:r>
        <w:rPr>
          <w:rFonts w:eastAsia="黑体"/>
          <w:kern w:val="0"/>
          <w:sz w:val="24"/>
        </w:rPr>
        <w:t>招标文件</w:t>
      </w:r>
      <w:bookmarkEnd w:id="94"/>
      <w:bookmarkEnd w:id="95"/>
      <w:bookmarkEnd w:id="96"/>
      <w:bookmarkEnd w:id="97"/>
    </w:p>
    <w:p>
      <w:pPr>
        <w:numPr>
          <w:ilvl w:val="1"/>
          <w:numId w:val="4"/>
        </w:numPr>
        <w:autoSpaceDE w:val="0"/>
        <w:autoSpaceDN w:val="0"/>
        <w:adjustRightInd w:val="0"/>
        <w:snapToGrid w:val="0"/>
        <w:spacing w:after="120" w:afterLines="50"/>
        <w:rPr>
          <w:kern w:val="0"/>
          <w:sz w:val="24"/>
        </w:rPr>
      </w:pPr>
      <w:bookmarkStart w:id="98" w:name="_Toc195921808"/>
      <w:r>
        <w:rPr>
          <w:kern w:val="0"/>
          <w:sz w:val="24"/>
        </w:rPr>
        <w:t>招标文件的组成</w:t>
      </w:r>
      <w:bookmarkEnd w:id="98"/>
    </w:p>
    <w:p>
      <w:pPr>
        <w:autoSpaceDE w:val="0"/>
        <w:autoSpaceDN w:val="0"/>
        <w:adjustRightInd w:val="0"/>
        <w:snapToGrid w:val="0"/>
        <w:spacing w:after="120" w:afterLines="50"/>
        <w:ind w:left="1134" w:leftChars="540"/>
        <w:rPr>
          <w:kern w:val="0"/>
          <w:sz w:val="24"/>
        </w:rPr>
      </w:pPr>
      <w:r>
        <w:rPr>
          <w:kern w:val="0"/>
          <w:sz w:val="24"/>
        </w:rPr>
        <w:t>本招标文件包括：</w:t>
      </w:r>
    </w:p>
    <w:p>
      <w:pPr>
        <w:autoSpaceDE w:val="0"/>
        <w:autoSpaceDN w:val="0"/>
        <w:adjustRightInd w:val="0"/>
        <w:snapToGrid w:val="0"/>
        <w:spacing w:after="120" w:afterLines="50"/>
        <w:ind w:left="1617" w:leftChars="513" w:hanging="540" w:hangingChars="225"/>
        <w:rPr>
          <w:kern w:val="0"/>
          <w:sz w:val="24"/>
        </w:rPr>
      </w:pPr>
      <w:r>
        <w:rPr>
          <w:kern w:val="0"/>
          <w:sz w:val="24"/>
        </w:rPr>
        <w:t>（1）招标公告（或</w:t>
      </w:r>
      <w:r>
        <w:rPr>
          <w:rFonts w:hint="eastAsia"/>
          <w:kern w:val="0"/>
          <w:sz w:val="24"/>
        </w:rPr>
        <w:t>投标邀请</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（2）投标人须知；</w:t>
      </w:r>
    </w:p>
    <w:p>
      <w:pPr>
        <w:autoSpaceDE w:val="0"/>
        <w:autoSpaceDN w:val="0"/>
        <w:adjustRightInd w:val="0"/>
        <w:snapToGrid w:val="0"/>
        <w:spacing w:after="120" w:afterLines="50"/>
        <w:ind w:left="1617" w:leftChars="513" w:hanging="540" w:hangingChars="225"/>
        <w:rPr>
          <w:kern w:val="0"/>
          <w:sz w:val="24"/>
        </w:rPr>
      </w:pPr>
      <w:r>
        <w:rPr>
          <w:kern w:val="0"/>
          <w:sz w:val="24"/>
        </w:rPr>
        <w:t>（3）资格审查、评标办法和标准；</w:t>
      </w:r>
    </w:p>
    <w:p>
      <w:pPr>
        <w:autoSpaceDE w:val="0"/>
        <w:autoSpaceDN w:val="0"/>
        <w:adjustRightInd w:val="0"/>
        <w:snapToGrid w:val="0"/>
        <w:spacing w:after="120" w:afterLines="50"/>
        <w:ind w:left="1617" w:leftChars="513" w:hanging="540" w:hangingChars="225"/>
        <w:rPr>
          <w:kern w:val="0"/>
          <w:sz w:val="24"/>
        </w:rPr>
      </w:pPr>
      <w:r>
        <w:rPr>
          <w:kern w:val="0"/>
          <w:sz w:val="24"/>
        </w:rPr>
        <w:t>（4）合同条款；</w:t>
      </w:r>
    </w:p>
    <w:p>
      <w:pPr>
        <w:autoSpaceDE w:val="0"/>
        <w:autoSpaceDN w:val="0"/>
        <w:adjustRightInd w:val="0"/>
        <w:snapToGrid w:val="0"/>
        <w:spacing w:after="120" w:afterLines="50"/>
        <w:ind w:left="1617" w:leftChars="513" w:hanging="540" w:hangingChars="225"/>
        <w:rPr>
          <w:kern w:val="0"/>
          <w:sz w:val="24"/>
        </w:rPr>
      </w:pPr>
      <w:r>
        <w:rPr>
          <w:kern w:val="0"/>
          <w:sz w:val="24"/>
        </w:rPr>
        <w:t>（5）</w:t>
      </w:r>
      <w:r>
        <w:rPr>
          <w:sz w:val="24"/>
        </w:rPr>
        <w:t>采购需求</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（6）投标文件格式。</w:t>
      </w:r>
    </w:p>
    <w:p>
      <w:pPr>
        <w:autoSpaceDE w:val="0"/>
        <w:autoSpaceDN w:val="0"/>
        <w:adjustRightInd w:val="0"/>
        <w:snapToGrid w:val="0"/>
        <w:spacing w:after="120" w:afterLines="50"/>
        <w:ind w:left="1134" w:leftChars="540"/>
        <w:rPr>
          <w:kern w:val="0"/>
          <w:sz w:val="24"/>
        </w:rPr>
      </w:pPr>
      <w:r>
        <w:rPr>
          <w:kern w:val="0"/>
          <w:sz w:val="24"/>
        </w:rPr>
        <w:t>根据本章第</w:t>
      </w:r>
      <w:r>
        <w:rPr>
          <w:kern w:val="0"/>
          <w:sz w:val="24"/>
        </w:rPr>
        <w:fldChar w:fldCharType="begin"/>
      </w:r>
      <w:r>
        <w:rPr>
          <w:kern w:val="0"/>
          <w:sz w:val="24"/>
        </w:rPr>
        <w:instrText xml:space="preserve"> REF _Ref426441946 \r \h  \* MERGEFORMAT </w:instrText>
      </w:r>
      <w:r>
        <w:rPr>
          <w:kern w:val="0"/>
          <w:sz w:val="24"/>
        </w:rPr>
        <w:fldChar w:fldCharType="separate"/>
      </w:r>
      <w:r>
        <w:rPr>
          <w:kern w:val="0"/>
          <w:sz w:val="24"/>
        </w:rPr>
        <w:t>2.</w:t>
      </w:r>
      <w:r>
        <w:rPr>
          <w:kern w:val="0"/>
          <w:sz w:val="24"/>
        </w:rPr>
        <w:fldChar w:fldCharType="end"/>
      </w:r>
      <w:r>
        <w:rPr>
          <w:kern w:val="0"/>
          <w:sz w:val="24"/>
        </w:rPr>
        <w:t>3款和第</w:t>
      </w:r>
      <w:r>
        <w:rPr>
          <w:kern w:val="0"/>
          <w:sz w:val="24"/>
        </w:rPr>
        <w:fldChar w:fldCharType="begin"/>
      </w:r>
      <w:r>
        <w:rPr>
          <w:kern w:val="0"/>
          <w:sz w:val="24"/>
        </w:rPr>
        <w:instrText xml:space="preserve"> REF _Ref426441954 \r \h  \* MERGEFORMAT </w:instrText>
      </w:r>
      <w:r>
        <w:rPr>
          <w:kern w:val="0"/>
          <w:sz w:val="24"/>
        </w:rPr>
        <w:fldChar w:fldCharType="separate"/>
      </w:r>
      <w:r>
        <w:rPr>
          <w:kern w:val="0"/>
          <w:sz w:val="24"/>
        </w:rPr>
        <w:t>2.</w:t>
      </w:r>
      <w:r>
        <w:rPr>
          <w:kern w:val="0"/>
          <w:sz w:val="24"/>
        </w:rPr>
        <w:fldChar w:fldCharType="end"/>
      </w:r>
      <w:r>
        <w:rPr>
          <w:kern w:val="0"/>
          <w:sz w:val="24"/>
        </w:rPr>
        <w:t>4款对招标文件所作的澄清、修改，构成招标文件的组成部分。</w:t>
      </w:r>
    </w:p>
    <w:p>
      <w:pPr>
        <w:numPr>
          <w:ilvl w:val="1"/>
          <w:numId w:val="4"/>
        </w:numPr>
        <w:autoSpaceDE w:val="0"/>
        <w:autoSpaceDN w:val="0"/>
        <w:adjustRightInd w:val="0"/>
        <w:snapToGrid w:val="0"/>
        <w:spacing w:after="120" w:afterLines="50"/>
        <w:rPr>
          <w:kern w:val="0"/>
          <w:sz w:val="24"/>
        </w:rPr>
      </w:pPr>
      <w:bookmarkStart w:id="99" w:name="_Toc195921809"/>
      <w:bookmarkStart w:id="100" w:name="_Ref426441946"/>
      <w:r>
        <w:rPr>
          <w:kern w:val="0"/>
          <w:sz w:val="24"/>
        </w:rPr>
        <w:t>根据采购项目技术构成、产品价格比重等确定核心产品，核心产品见投标人须知前附表。</w:t>
      </w:r>
    </w:p>
    <w:p>
      <w:pPr>
        <w:numPr>
          <w:ilvl w:val="1"/>
          <w:numId w:val="4"/>
        </w:numPr>
        <w:autoSpaceDE w:val="0"/>
        <w:autoSpaceDN w:val="0"/>
        <w:adjustRightInd w:val="0"/>
        <w:snapToGrid w:val="0"/>
        <w:spacing w:after="120" w:afterLines="50"/>
        <w:rPr>
          <w:kern w:val="0"/>
          <w:sz w:val="24"/>
        </w:rPr>
      </w:pPr>
      <w:r>
        <w:rPr>
          <w:kern w:val="0"/>
          <w:sz w:val="24"/>
        </w:rPr>
        <w:t>招标文件的澄清</w:t>
      </w:r>
      <w:bookmarkEnd w:id="99"/>
      <w:bookmarkEnd w:id="100"/>
    </w:p>
    <w:p>
      <w:pPr>
        <w:numPr>
          <w:ilvl w:val="2"/>
          <w:numId w:val="4"/>
        </w:numPr>
        <w:tabs>
          <w:tab w:val="left" w:pos="1260"/>
        </w:tabs>
        <w:autoSpaceDE w:val="0"/>
        <w:autoSpaceDN w:val="0"/>
        <w:adjustRightInd w:val="0"/>
        <w:snapToGrid w:val="0"/>
        <w:spacing w:after="120" w:afterLines="50"/>
        <w:rPr>
          <w:kern w:val="0"/>
          <w:sz w:val="24"/>
        </w:rPr>
      </w:pPr>
      <w:r>
        <w:rPr>
          <w:kern w:val="0"/>
          <w:sz w:val="24"/>
        </w:rPr>
        <w:t>投标人应仔细阅读和检查招标文件的全部内容。如发现缺页或附件不全，应及时向采购人提出，以便补齐。</w:t>
      </w:r>
    </w:p>
    <w:p>
      <w:pPr>
        <w:numPr>
          <w:ilvl w:val="2"/>
          <w:numId w:val="4"/>
        </w:numPr>
        <w:tabs>
          <w:tab w:val="left" w:pos="1260"/>
        </w:tabs>
        <w:autoSpaceDE w:val="0"/>
        <w:autoSpaceDN w:val="0"/>
        <w:adjustRightInd w:val="0"/>
        <w:snapToGrid w:val="0"/>
        <w:spacing w:after="120" w:afterLines="50"/>
        <w:rPr>
          <w:sz w:val="24"/>
        </w:rPr>
      </w:pPr>
      <w:r>
        <w:rPr>
          <w:sz w:val="24"/>
        </w:rPr>
        <w:t>投标人</w:t>
      </w:r>
      <w:r>
        <w:rPr>
          <w:kern w:val="0"/>
          <w:sz w:val="24"/>
        </w:rPr>
        <w:t>如有疑问</w:t>
      </w:r>
      <w:r>
        <w:rPr>
          <w:sz w:val="24"/>
        </w:rPr>
        <w:t>可以向采购人提出询问</w:t>
      </w:r>
      <w:r>
        <w:rPr>
          <w:kern w:val="0"/>
          <w:sz w:val="24"/>
        </w:rPr>
        <w:t>，要求采购人对招标文件予以澄清。</w:t>
      </w:r>
    </w:p>
    <w:p>
      <w:pPr>
        <w:numPr>
          <w:ilvl w:val="2"/>
          <w:numId w:val="4"/>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采购人或者采购代理机构可以对已发出的招标文件进行必要的澄清。该澄清在原公告发布媒体上发布澄清（更正）公告，同时以书面形式通知所有投标人。澄清的内容为招标文件的组成部分。</w:t>
      </w:r>
      <w:r>
        <w:rPr>
          <w:kern w:val="0"/>
          <w:sz w:val="24"/>
        </w:rPr>
        <w:t>投标人须</w:t>
      </w:r>
      <w:r>
        <w:rPr>
          <w:sz w:val="24"/>
        </w:rPr>
        <w:t>在招标公告中规定的投标截止日前，随时查询招标公告发布媒体的信息，获取对招标文件澄清的信息。采购人的澄清以书面形式通知投标人的，投标人应在收到该澄清的24小时内或根据澄清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4"/>
        </w:numPr>
        <w:tabs>
          <w:tab w:val="left" w:pos="1260"/>
        </w:tabs>
        <w:autoSpaceDE w:val="0"/>
        <w:autoSpaceDN w:val="0"/>
        <w:adjustRightInd w:val="0"/>
        <w:snapToGrid w:val="0"/>
        <w:spacing w:after="120" w:afterLines="50"/>
        <w:rPr>
          <w:kern w:val="0"/>
          <w:sz w:val="24"/>
        </w:rPr>
      </w:pPr>
      <w:r>
        <w:rPr>
          <w:kern w:val="0"/>
          <w:sz w:val="24"/>
        </w:rPr>
        <w:t>投标人在收到澄清文件后，应将加盖公章的回执以书面方式通知采购人，确认已收到该澄清。</w:t>
      </w:r>
    </w:p>
    <w:p>
      <w:pPr>
        <w:numPr>
          <w:ilvl w:val="1"/>
          <w:numId w:val="4"/>
        </w:numPr>
        <w:autoSpaceDE w:val="0"/>
        <w:autoSpaceDN w:val="0"/>
        <w:adjustRightInd w:val="0"/>
        <w:snapToGrid w:val="0"/>
        <w:spacing w:after="120" w:afterLines="50"/>
        <w:rPr>
          <w:kern w:val="0"/>
          <w:sz w:val="24"/>
        </w:rPr>
      </w:pPr>
      <w:bookmarkStart w:id="101" w:name="_Ref426441954"/>
      <w:bookmarkStart w:id="102" w:name="_Toc195921810"/>
      <w:r>
        <w:rPr>
          <w:kern w:val="0"/>
          <w:sz w:val="24"/>
        </w:rPr>
        <w:t>招标文件的修改</w:t>
      </w:r>
      <w:bookmarkEnd w:id="101"/>
      <w:bookmarkEnd w:id="102"/>
    </w:p>
    <w:p>
      <w:pPr>
        <w:numPr>
          <w:ilvl w:val="2"/>
          <w:numId w:val="4"/>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采购人或者采购代理机构可以对已发出的招标文件进行必要的修改。该修改在原公告发布媒体上发布澄清（更正）公告，同时以书面形式通知所有投标人。修改的内容为招标文件的组成部分。</w:t>
      </w:r>
      <w:r>
        <w:rPr>
          <w:kern w:val="0"/>
          <w:sz w:val="24"/>
        </w:rPr>
        <w:t>投标人须</w:t>
      </w:r>
      <w:r>
        <w:rPr>
          <w:sz w:val="24"/>
        </w:rPr>
        <w:t>在投标截止日前，随时查询招标公告发布媒体的信息，获取对招标文件修改的信息。采购人的修改以书面形式通知投标人的，投标人应在收到该修改通知的24小时内或根据修改通知中要求的时间内予以确认。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4"/>
        </w:numPr>
        <w:tabs>
          <w:tab w:val="left" w:pos="1260"/>
        </w:tabs>
        <w:autoSpaceDE w:val="0"/>
        <w:autoSpaceDN w:val="0"/>
        <w:adjustRightInd w:val="0"/>
        <w:snapToGrid w:val="0"/>
        <w:spacing w:after="120" w:afterLines="50"/>
        <w:rPr>
          <w:kern w:val="0"/>
          <w:sz w:val="24"/>
        </w:rPr>
      </w:pPr>
      <w:r>
        <w:rPr>
          <w:kern w:val="0"/>
          <w:sz w:val="24"/>
        </w:rPr>
        <w:t>投标人收到修改文件后，应将加盖公章的回执以书面方式通知采购人，确认已收到该修改。</w:t>
      </w:r>
    </w:p>
    <w:p>
      <w:pPr>
        <w:numPr>
          <w:ilvl w:val="1"/>
          <w:numId w:val="4"/>
        </w:numPr>
        <w:autoSpaceDE w:val="0"/>
        <w:autoSpaceDN w:val="0"/>
        <w:adjustRightInd w:val="0"/>
        <w:snapToGrid w:val="0"/>
        <w:spacing w:after="120" w:afterLines="50"/>
        <w:rPr>
          <w:kern w:val="0"/>
          <w:sz w:val="24"/>
        </w:rPr>
      </w:pPr>
      <w:r>
        <w:rPr>
          <w:sz w:val="24"/>
        </w:rPr>
        <w:t>投标人认为招标文件使其权益受到损害的，在收到招标文件之日或招标文件公告期限届满之日起七个工作日内，按投标人须知前附表中接收质疑函的方式以书面形式一次性提出质疑。</w:t>
      </w:r>
    </w:p>
    <w:p>
      <w:pPr>
        <w:numPr>
          <w:ilvl w:val="2"/>
          <w:numId w:val="4"/>
        </w:numPr>
        <w:tabs>
          <w:tab w:val="left" w:pos="1260"/>
        </w:tabs>
        <w:autoSpaceDE w:val="0"/>
        <w:autoSpaceDN w:val="0"/>
        <w:adjustRightInd w:val="0"/>
        <w:snapToGrid w:val="0"/>
        <w:spacing w:after="120" w:afterLines="50"/>
        <w:rPr>
          <w:rFonts w:hint="default" w:ascii="Times New Roman" w:hAnsi="Times New Roman" w:eastAsia="宋体" w:cs="Times New Roman"/>
          <w:b/>
          <w:bCs/>
          <w:color w:val="FF0000"/>
          <w:kern w:val="0"/>
          <w:sz w:val="24"/>
          <w:lang w:val="en-US" w:eastAsia="zh-CN"/>
        </w:rPr>
      </w:pPr>
      <w:r>
        <w:rPr>
          <w:rFonts w:hint="eastAsia" w:ascii="Times New Roman" w:hAnsi="Times New Roman" w:eastAsia="宋体" w:cs="Times New Roman"/>
          <w:b/>
          <w:bCs/>
          <w:color w:val="FF0000"/>
          <w:kern w:val="0"/>
          <w:sz w:val="24"/>
          <w:lang w:val="en-US" w:eastAsia="zh-CN"/>
        </w:rPr>
        <w:t>除法律、法规和规章规定外。采购文件中加下划线、“拒绝”“不接受”“无 效”“不得”“投标被否决”等文字规定或标注“★”符号的条款为实质性要求条款 (即重要条款) ，未用上述文字规定或符号标注的条款为非实质性要求条款 (即一般条款) 。着重提醒各供应商注意，并认真查看采购文件中的每一个条款及要求，因误读采购文件而造成的后果，招标人概不负责。</w:t>
      </w:r>
    </w:p>
    <w:p>
      <w:pPr>
        <w:numPr>
          <w:ilvl w:val="0"/>
          <w:numId w:val="4"/>
        </w:numPr>
        <w:autoSpaceDE w:val="0"/>
        <w:autoSpaceDN w:val="0"/>
        <w:adjustRightInd w:val="0"/>
        <w:spacing w:after="120" w:afterLines="50"/>
        <w:outlineLvl w:val="2"/>
        <w:rPr>
          <w:rFonts w:eastAsia="黑体"/>
          <w:kern w:val="0"/>
          <w:sz w:val="24"/>
        </w:rPr>
      </w:pPr>
      <w:bookmarkStart w:id="103" w:name="_Toc195921811"/>
      <w:bookmarkStart w:id="104" w:name="_Toc25864"/>
      <w:bookmarkStart w:id="105" w:name="_Toc22721"/>
      <w:bookmarkStart w:id="106" w:name="_Toc23451"/>
      <w:r>
        <w:rPr>
          <w:rFonts w:eastAsia="黑体"/>
          <w:kern w:val="0"/>
          <w:sz w:val="24"/>
        </w:rPr>
        <w:t>投标文件</w:t>
      </w:r>
      <w:bookmarkEnd w:id="103"/>
      <w:bookmarkEnd w:id="104"/>
      <w:bookmarkEnd w:id="105"/>
      <w:bookmarkEnd w:id="106"/>
    </w:p>
    <w:p>
      <w:pPr>
        <w:numPr>
          <w:ilvl w:val="1"/>
          <w:numId w:val="4"/>
        </w:numPr>
        <w:autoSpaceDE w:val="0"/>
        <w:autoSpaceDN w:val="0"/>
        <w:adjustRightInd w:val="0"/>
        <w:snapToGrid w:val="0"/>
        <w:spacing w:after="120" w:afterLines="50"/>
        <w:rPr>
          <w:kern w:val="0"/>
          <w:sz w:val="24"/>
        </w:rPr>
      </w:pPr>
      <w:bookmarkStart w:id="107" w:name="_Toc195921812"/>
      <w:r>
        <w:rPr>
          <w:kern w:val="0"/>
          <w:sz w:val="24"/>
        </w:rPr>
        <w:t>投标文件的组成</w:t>
      </w:r>
      <w:bookmarkEnd w:id="107"/>
    </w:p>
    <w:p>
      <w:pPr>
        <w:numPr>
          <w:ilvl w:val="2"/>
          <w:numId w:val="4"/>
        </w:numPr>
        <w:tabs>
          <w:tab w:val="left" w:pos="1260"/>
        </w:tabs>
        <w:autoSpaceDE w:val="0"/>
        <w:autoSpaceDN w:val="0"/>
        <w:adjustRightInd w:val="0"/>
        <w:snapToGrid w:val="0"/>
        <w:spacing w:after="120" w:afterLines="50"/>
        <w:rPr>
          <w:kern w:val="0"/>
          <w:sz w:val="24"/>
        </w:rPr>
      </w:pPr>
      <w:bookmarkStart w:id="108" w:name="_Toc195921813"/>
      <w:r>
        <w:rPr>
          <w:kern w:val="0"/>
          <w:sz w:val="24"/>
        </w:rPr>
        <w:t>投标文件应包括下列内容：</w:t>
      </w:r>
    </w:p>
    <w:p>
      <w:pPr>
        <w:numPr>
          <w:ilvl w:val="0"/>
          <w:numId w:val="7"/>
        </w:numPr>
        <w:autoSpaceDE w:val="0"/>
        <w:autoSpaceDN w:val="0"/>
        <w:adjustRightInd w:val="0"/>
        <w:snapToGrid w:val="0"/>
        <w:spacing w:after="120" w:afterLines="50"/>
        <w:rPr>
          <w:kern w:val="0"/>
          <w:sz w:val="24"/>
        </w:rPr>
      </w:pPr>
      <w:r>
        <w:rPr>
          <w:kern w:val="0"/>
          <w:sz w:val="24"/>
        </w:rPr>
        <w:t>商务部分</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投标函；</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法定代表人身份证明；</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授权委托书；</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资格证明文件（详见投标文件格式要求）；</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投标保证金；</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开标一览表；</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投标明细报价表；</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商务、合同条款偏差表；</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投标人基本情况表；</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政府采购政策的证明材料（详见投标文件格式要求）；</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投标人供货业绩一览表；</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投标承诺书；</w:t>
      </w:r>
    </w:p>
    <w:p>
      <w:pPr>
        <w:numPr>
          <w:ilvl w:val="0"/>
          <w:numId w:val="7"/>
        </w:numPr>
        <w:autoSpaceDE w:val="0"/>
        <w:autoSpaceDN w:val="0"/>
        <w:adjustRightInd w:val="0"/>
        <w:snapToGrid w:val="0"/>
        <w:spacing w:after="120" w:afterLines="50"/>
        <w:rPr>
          <w:kern w:val="0"/>
          <w:sz w:val="24"/>
        </w:rPr>
      </w:pPr>
      <w:r>
        <w:rPr>
          <w:kern w:val="0"/>
          <w:sz w:val="24"/>
        </w:rPr>
        <w:t>技术部分：</w:t>
      </w:r>
    </w:p>
    <w:p>
      <w:pPr>
        <w:numPr>
          <w:ilvl w:val="0"/>
          <w:numId w:val="9"/>
        </w:numPr>
        <w:tabs>
          <w:tab w:val="left" w:pos="2694"/>
        </w:tabs>
        <w:autoSpaceDE w:val="0"/>
        <w:autoSpaceDN w:val="0"/>
        <w:adjustRightInd w:val="0"/>
        <w:snapToGrid w:val="0"/>
        <w:spacing w:after="120" w:afterLines="50"/>
        <w:ind w:left="2694" w:hanging="567"/>
        <w:rPr>
          <w:kern w:val="0"/>
          <w:sz w:val="24"/>
        </w:rPr>
      </w:pPr>
      <w:r>
        <w:rPr>
          <w:kern w:val="0"/>
          <w:sz w:val="24"/>
        </w:rPr>
        <w:t>技术偏离表；</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对</w:t>
      </w:r>
      <w:r>
        <w:rPr>
          <w:sz w:val="24"/>
        </w:rPr>
        <w:t>采购项目的技术规格、数量、服务标准、验收等要求</w:t>
      </w:r>
      <w:r>
        <w:rPr>
          <w:kern w:val="0"/>
          <w:sz w:val="24"/>
        </w:rPr>
        <w:t>的响应；</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3）  售后服务支持能力；</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4）  投标人服务承诺（如有）；</w:t>
      </w:r>
    </w:p>
    <w:p>
      <w:pPr>
        <w:numPr>
          <w:ilvl w:val="0"/>
          <w:numId w:val="7"/>
        </w:numPr>
        <w:autoSpaceDE w:val="0"/>
        <w:autoSpaceDN w:val="0"/>
        <w:adjustRightInd w:val="0"/>
        <w:snapToGrid w:val="0"/>
        <w:spacing w:after="120" w:afterLines="50"/>
        <w:rPr>
          <w:kern w:val="0"/>
          <w:sz w:val="24"/>
        </w:rPr>
      </w:pPr>
      <w:r>
        <w:rPr>
          <w:kern w:val="0"/>
          <w:sz w:val="24"/>
        </w:rPr>
        <w:t>投标文件要求的其他内容以及投标人认为必要的其他内容。</w:t>
      </w:r>
    </w:p>
    <w:p>
      <w:pPr>
        <w:numPr>
          <w:ilvl w:val="1"/>
          <w:numId w:val="4"/>
        </w:numPr>
        <w:autoSpaceDE w:val="0"/>
        <w:autoSpaceDN w:val="0"/>
        <w:adjustRightInd w:val="0"/>
        <w:snapToGrid w:val="0"/>
        <w:spacing w:after="120" w:afterLines="50"/>
        <w:ind w:left="1133" w:hanging="1132" w:hangingChars="472"/>
        <w:rPr>
          <w:kern w:val="0"/>
          <w:sz w:val="24"/>
        </w:rPr>
      </w:pPr>
      <w:r>
        <w:rPr>
          <w:kern w:val="0"/>
          <w:sz w:val="24"/>
        </w:rPr>
        <w:t>投标报价</w:t>
      </w:r>
      <w:bookmarkEnd w:id="108"/>
    </w:p>
    <w:p>
      <w:pPr>
        <w:numPr>
          <w:ilvl w:val="2"/>
          <w:numId w:val="4"/>
        </w:numPr>
        <w:tabs>
          <w:tab w:val="left" w:pos="1260"/>
        </w:tabs>
        <w:autoSpaceDE w:val="0"/>
        <w:autoSpaceDN w:val="0"/>
        <w:adjustRightInd w:val="0"/>
        <w:snapToGrid w:val="0"/>
        <w:spacing w:after="120" w:afterLines="50"/>
        <w:rPr>
          <w:kern w:val="0"/>
          <w:sz w:val="24"/>
        </w:rPr>
      </w:pPr>
      <w:bookmarkStart w:id="109" w:name="_Toc195921814"/>
      <w:r>
        <w:rPr>
          <w:kern w:val="0"/>
          <w:sz w:val="24"/>
        </w:rPr>
        <w:t>投标人应按招标文件第六章提供的格式进行投标报价。</w:t>
      </w:r>
    </w:p>
    <w:p>
      <w:pPr>
        <w:numPr>
          <w:ilvl w:val="2"/>
          <w:numId w:val="4"/>
        </w:numPr>
        <w:tabs>
          <w:tab w:val="left" w:pos="1260"/>
        </w:tabs>
        <w:autoSpaceDE w:val="0"/>
        <w:autoSpaceDN w:val="0"/>
        <w:adjustRightInd w:val="0"/>
        <w:snapToGrid w:val="0"/>
        <w:spacing w:after="120" w:afterLines="50"/>
        <w:rPr>
          <w:kern w:val="0"/>
          <w:sz w:val="24"/>
        </w:rPr>
      </w:pPr>
      <w:r>
        <w:rPr>
          <w:kern w:val="0"/>
          <w:sz w:val="24"/>
        </w:rPr>
        <w:t>所有根据合同或其它原因应由投标人支付的税款和其它应交纳的费用都应包括在投标人提交的投标价格中。</w:t>
      </w:r>
    </w:p>
    <w:p>
      <w:pPr>
        <w:numPr>
          <w:ilvl w:val="2"/>
          <w:numId w:val="4"/>
        </w:numPr>
        <w:tabs>
          <w:tab w:val="left" w:pos="1260"/>
        </w:tabs>
        <w:autoSpaceDE w:val="0"/>
        <w:autoSpaceDN w:val="0"/>
        <w:adjustRightInd w:val="0"/>
        <w:snapToGrid w:val="0"/>
        <w:spacing w:after="120" w:afterLines="50"/>
        <w:rPr>
          <w:kern w:val="0"/>
          <w:sz w:val="24"/>
        </w:rPr>
      </w:pPr>
      <w:r>
        <w:rPr>
          <w:kern w:val="0"/>
          <w:sz w:val="24"/>
        </w:rPr>
        <w:t>报价应包含本项目所有税项。</w:t>
      </w:r>
    </w:p>
    <w:p>
      <w:pPr>
        <w:numPr>
          <w:ilvl w:val="2"/>
          <w:numId w:val="4"/>
        </w:numPr>
        <w:tabs>
          <w:tab w:val="left" w:pos="1260"/>
        </w:tabs>
        <w:autoSpaceDE w:val="0"/>
        <w:autoSpaceDN w:val="0"/>
        <w:adjustRightInd w:val="0"/>
        <w:snapToGrid w:val="0"/>
        <w:spacing w:after="120" w:afterLines="50"/>
        <w:rPr>
          <w:kern w:val="0"/>
          <w:sz w:val="24"/>
        </w:rPr>
      </w:pPr>
      <w:r>
        <w:rPr>
          <w:kern w:val="0"/>
          <w:sz w:val="24"/>
        </w:rPr>
        <w:t>投标人应仔细阅读所有招标文件，填报自己认为正确的报价。</w:t>
      </w:r>
    </w:p>
    <w:p>
      <w:pPr>
        <w:numPr>
          <w:ilvl w:val="1"/>
          <w:numId w:val="4"/>
        </w:numPr>
        <w:autoSpaceDE w:val="0"/>
        <w:autoSpaceDN w:val="0"/>
        <w:adjustRightInd w:val="0"/>
        <w:snapToGrid w:val="0"/>
        <w:spacing w:after="120" w:afterLines="50"/>
        <w:rPr>
          <w:kern w:val="0"/>
          <w:sz w:val="24"/>
        </w:rPr>
      </w:pPr>
      <w:r>
        <w:rPr>
          <w:kern w:val="0"/>
          <w:sz w:val="24"/>
        </w:rPr>
        <w:t>投标人对采购内容只允许有一个报价，采购人不接受任何有选择的报价。</w:t>
      </w:r>
    </w:p>
    <w:p>
      <w:pPr>
        <w:numPr>
          <w:ilvl w:val="1"/>
          <w:numId w:val="4"/>
        </w:numPr>
        <w:autoSpaceDE w:val="0"/>
        <w:autoSpaceDN w:val="0"/>
        <w:adjustRightInd w:val="0"/>
        <w:snapToGrid w:val="0"/>
        <w:spacing w:after="120" w:afterLines="50"/>
        <w:rPr>
          <w:kern w:val="0"/>
          <w:sz w:val="24"/>
        </w:rPr>
      </w:pPr>
      <w:r>
        <w:rPr>
          <w:kern w:val="0"/>
          <w:sz w:val="24"/>
        </w:rPr>
        <w:t>投标人根据本招标文件的规定将投标价分成几部分，只是为了方便采购人对投标文件进行比较，并不限制采购人以上述任何条件订立合同的权力。</w:t>
      </w:r>
    </w:p>
    <w:p>
      <w:pPr>
        <w:numPr>
          <w:ilvl w:val="1"/>
          <w:numId w:val="4"/>
        </w:numPr>
        <w:autoSpaceDE w:val="0"/>
        <w:autoSpaceDN w:val="0"/>
        <w:adjustRightInd w:val="0"/>
        <w:snapToGrid w:val="0"/>
        <w:spacing w:after="120" w:afterLines="50"/>
        <w:rPr>
          <w:kern w:val="0"/>
          <w:sz w:val="24"/>
        </w:rPr>
      </w:pPr>
      <w:r>
        <w:rPr>
          <w:kern w:val="0"/>
          <w:sz w:val="24"/>
        </w:rPr>
        <w:t>除非合同另有约定，投标人所报的投标价在合同执行过程中是固定不变的，不得以任何理由予以变更。任何包含价格调整要求的投标，将被认为是非响应性投标而予以拒绝。</w:t>
      </w:r>
    </w:p>
    <w:p>
      <w:pPr>
        <w:numPr>
          <w:ilvl w:val="1"/>
          <w:numId w:val="4"/>
        </w:numPr>
        <w:autoSpaceDE w:val="0"/>
        <w:autoSpaceDN w:val="0"/>
        <w:adjustRightInd w:val="0"/>
        <w:snapToGrid w:val="0"/>
        <w:spacing w:after="120" w:afterLines="50"/>
        <w:ind w:left="1133" w:hanging="1132" w:hangingChars="472"/>
        <w:rPr>
          <w:kern w:val="0"/>
          <w:sz w:val="24"/>
        </w:rPr>
      </w:pPr>
      <w:bookmarkStart w:id="110" w:name="_Ref421009326"/>
      <w:r>
        <w:rPr>
          <w:kern w:val="0"/>
          <w:sz w:val="24"/>
        </w:rPr>
        <w:t>投标有效期</w:t>
      </w:r>
      <w:bookmarkEnd w:id="109"/>
      <w:bookmarkEnd w:id="110"/>
    </w:p>
    <w:p>
      <w:pPr>
        <w:numPr>
          <w:ilvl w:val="2"/>
          <w:numId w:val="4"/>
        </w:numPr>
        <w:tabs>
          <w:tab w:val="left" w:pos="1260"/>
        </w:tabs>
        <w:autoSpaceDE w:val="0"/>
        <w:autoSpaceDN w:val="0"/>
        <w:adjustRightInd w:val="0"/>
        <w:snapToGrid w:val="0"/>
        <w:spacing w:after="120" w:afterLines="50"/>
        <w:rPr>
          <w:kern w:val="0"/>
          <w:sz w:val="24"/>
        </w:rPr>
      </w:pPr>
      <w:r>
        <w:rPr>
          <w:sz w:val="24"/>
        </w:rPr>
        <w:t>本项目投标有效期见投标人须知前附表。投标有效期从提交投标文件的截止之日起算。投标文件中承诺的投标有效期应当不少于招标文件中载明的投标有效期。</w:t>
      </w:r>
    </w:p>
    <w:p>
      <w:pPr>
        <w:numPr>
          <w:ilvl w:val="2"/>
          <w:numId w:val="4"/>
        </w:numPr>
        <w:tabs>
          <w:tab w:val="left" w:pos="1260"/>
        </w:tabs>
        <w:autoSpaceDE w:val="0"/>
        <w:autoSpaceDN w:val="0"/>
        <w:adjustRightInd w:val="0"/>
        <w:snapToGrid w:val="0"/>
        <w:spacing w:after="120" w:afterLines="50"/>
        <w:rPr>
          <w:kern w:val="0"/>
          <w:sz w:val="24"/>
        </w:rPr>
      </w:pPr>
      <w:r>
        <w:rPr>
          <w:kern w:val="0"/>
          <w:sz w:val="24"/>
        </w:rPr>
        <w:t>在投标人须知前附表规定的投标有效期内，投标人不得要求修改其投标文件。</w:t>
      </w:r>
    </w:p>
    <w:p>
      <w:pPr>
        <w:numPr>
          <w:ilvl w:val="1"/>
          <w:numId w:val="4"/>
        </w:numPr>
        <w:autoSpaceDE w:val="0"/>
        <w:autoSpaceDN w:val="0"/>
        <w:adjustRightInd w:val="0"/>
        <w:snapToGrid w:val="0"/>
        <w:spacing w:after="120" w:afterLines="50"/>
        <w:ind w:left="1133" w:hanging="1132" w:hangingChars="472"/>
        <w:rPr>
          <w:kern w:val="0"/>
          <w:sz w:val="24"/>
        </w:rPr>
      </w:pPr>
      <w:bookmarkStart w:id="111" w:name="_Toc195921815"/>
      <w:r>
        <w:rPr>
          <w:kern w:val="0"/>
          <w:sz w:val="24"/>
        </w:rPr>
        <w:t>投标保证金</w:t>
      </w:r>
      <w:bookmarkEnd w:id="111"/>
    </w:p>
    <w:p>
      <w:pPr>
        <w:numPr>
          <w:ilvl w:val="2"/>
          <w:numId w:val="4"/>
        </w:numPr>
        <w:tabs>
          <w:tab w:val="left" w:pos="1260"/>
        </w:tabs>
        <w:autoSpaceDE w:val="0"/>
        <w:autoSpaceDN w:val="0"/>
        <w:adjustRightInd w:val="0"/>
        <w:snapToGrid w:val="0"/>
        <w:spacing w:after="120" w:afterLines="50"/>
        <w:rPr>
          <w:kern w:val="0"/>
          <w:sz w:val="24"/>
        </w:rPr>
      </w:pPr>
      <w:bookmarkStart w:id="112" w:name="_Ref419361076"/>
      <w:r>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2"/>
    </w:p>
    <w:p>
      <w:pPr>
        <w:numPr>
          <w:ilvl w:val="2"/>
          <w:numId w:val="4"/>
        </w:numPr>
        <w:tabs>
          <w:tab w:val="left" w:pos="1260"/>
        </w:tabs>
        <w:autoSpaceDE w:val="0"/>
        <w:autoSpaceDN w:val="0"/>
        <w:adjustRightInd w:val="0"/>
        <w:snapToGrid w:val="0"/>
        <w:spacing w:after="120" w:afterLines="50"/>
        <w:rPr>
          <w:kern w:val="0"/>
          <w:sz w:val="24"/>
        </w:rPr>
      </w:pPr>
      <w:r>
        <w:rPr>
          <w:kern w:val="0"/>
          <w:sz w:val="24"/>
        </w:rPr>
        <w:t>投标人不按本章第</w:t>
      </w:r>
      <w:r>
        <w:rPr>
          <w:kern w:val="0"/>
          <w:sz w:val="24"/>
        </w:rPr>
        <w:fldChar w:fldCharType="begin"/>
      </w:r>
      <w:r>
        <w:rPr>
          <w:kern w:val="0"/>
          <w:sz w:val="24"/>
        </w:rPr>
        <w:instrText xml:space="preserve"> REF _Ref419361076 \r \h  \* MERGEFORMAT </w:instrText>
      </w:r>
      <w:r>
        <w:rPr>
          <w:kern w:val="0"/>
          <w:sz w:val="24"/>
        </w:rPr>
        <w:fldChar w:fldCharType="separate"/>
      </w:r>
      <w:r>
        <w:rPr>
          <w:kern w:val="0"/>
          <w:sz w:val="24"/>
        </w:rPr>
        <w:t>3.7.1</w:t>
      </w:r>
      <w:r>
        <w:rPr>
          <w:kern w:val="0"/>
          <w:sz w:val="24"/>
        </w:rPr>
        <w:fldChar w:fldCharType="end"/>
      </w:r>
      <w:r>
        <w:rPr>
          <w:kern w:val="0"/>
          <w:sz w:val="24"/>
        </w:rPr>
        <w:t>项要求提交投标保证金的，其投标文件无效。</w:t>
      </w:r>
    </w:p>
    <w:p>
      <w:pPr>
        <w:numPr>
          <w:ilvl w:val="2"/>
          <w:numId w:val="4"/>
        </w:numPr>
        <w:tabs>
          <w:tab w:val="left" w:pos="1260"/>
        </w:tabs>
        <w:autoSpaceDE w:val="0"/>
        <w:autoSpaceDN w:val="0"/>
        <w:adjustRightInd w:val="0"/>
        <w:snapToGrid w:val="0"/>
        <w:spacing w:after="120" w:afterLines="50"/>
        <w:rPr>
          <w:sz w:val="24"/>
        </w:rPr>
      </w:pPr>
      <w:bookmarkStart w:id="113" w:name="_Ref419361088"/>
      <w:r>
        <w:rPr>
          <w:sz w:val="24"/>
        </w:rPr>
        <w:t>投标人在投标截止时间3日前，按招标文件的要求向招标代理机构递交投标保证金，投标截止时间之后递交的投标保证金投标将被拒绝。</w:t>
      </w:r>
      <w:bookmarkEnd w:id="113"/>
    </w:p>
    <w:p>
      <w:pPr>
        <w:numPr>
          <w:ilvl w:val="2"/>
          <w:numId w:val="4"/>
        </w:numPr>
        <w:tabs>
          <w:tab w:val="left" w:pos="1260"/>
        </w:tabs>
        <w:autoSpaceDE w:val="0"/>
        <w:autoSpaceDN w:val="0"/>
        <w:adjustRightInd w:val="0"/>
        <w:snapToGrid w:val="0"/>
        <w:spacing w:after="120" w:afterLines="50"/>
        <w:rPr>
          <w:sz w:val="24"/>
        </w:rPr>
      </w:pPr>
      <w:r>
        <w:rPr>
          <w:sz w:val="24"/>
        </w:rPr>
        <w:t>投标人在汇款时务必注明所投标项目的项目编号及用途，否则，因款项用途不明导致投标无效等后果由投标人自行承担。</w:t>
      </w:r>
    </w:p>
    <w:p>
      <w:pPr>
        <w:numPr>
          <w:ilvl w:val="2"/>
          <w:numId w:val="4"/>
        </w:numPr>
        <w:tabs>
          <w:tab w:val="left" w:pos="1260"/>
        </w:tabs>
        <w:autoSpaceDE w:val="0"/>
        <w:autoSpaceDN w:val="0"/>
        <w:adjustRightInd w:val="0"/>
        <w:snapToGrid w:val="0"/>
        <w:spacing w:after="120" w:afterLines="50"/>
        <w:rPr>
          <w:kern w:val="0"/>
          <w:sz w:val="24"/>
        </w:rPr>
      </w:pPr>
      <w:r>
        <w:rPr>
          <w:kern w:val="0"/>
          <w:sz w:val="24"/>
        </w:rPr>
        <w:t>采购人或者采购代理机构应当自中标通知书发出之日起5个工作日内退还未中标人的投标保证金，自政府采购合同签订之日起5个工作日内退还中标人的投标保证金</w:t>
      </w:r>
      <w:r>
        <w:rPr>
          <w:sz w:val="24"/>
        </w:rPr>
        <w:t>或者转为中标人的履约保证金</w:t>
      </w:r>
      <w:r>
        <w:rPr>
          <w:kern w:val="0"/>
          <w:sz w:val="24"/>
        </w:rPr>
        <w:t>。</w:t>
      </w:r>
    </w:p>
    <w:p>
      <w:pPr>
        <w:numPr>
          <w:ilvl w:val="2"/>
          <w:numId w:val="4"/>
        </w:numPr>
        <w:tabs>
          <w:tab w:val="left" w:pos="1260"/>
        </w:tabs>
        <w:autoSpaceDE w:val="0"/>
        <w:autoSpaceDN w:val="0"/>
        <w:adjustRightInd w:val="0"/>
        <w:snapToGrid w:val="0"/>
        <w:spacing w:after="120" w:afterLines="50"/>
        <w:rPr>
          <w:kern w:val="0"/>
          <w:sz w:val="24"/>
        </w:rPr>
      </w:pPr>
      <w:r>
        <w:rPr>
          <w:sz w:val="24"/>
        </w:rPr>
        <w:t>投标人有下列行为之一者，其投标保证金可不予退还：</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（1）投标人在投标有效期内撤销投标文件的；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（2）投标人在投标文件中提供虚假材料的；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（3）除因不可抗力或招标文件认可的情形以外，中标人不与采购人签订合同的；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（4）投标人与采购人、其他投标人或者采购代理机构恶意串通的；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（5）招标文件规定应由中标人缴纳招标服务费而中标人未缴纳的，扣除相同金额以用于缴纳服务费；</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（6）招标文件规定的其他情形；</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（7）存在其他违法违规行为的。</w:t>
      </w:r>
    </w:p>
    <w:p>
      <w:pPr>
        <w:numPr>
          <w:ilvl w:val="1"/>
          <w:numId w:val="4"/>
        </w:numPr>
        <w:autoSpaceDE w:val="0"/>
        <w:autoSpaceDN w:val="0"/>
        <w:adjustRightInd w:val="0"/>
        <w:snapToGrid w:val="0"/>
        <w:spacing w:after="120" w:afterLines="50"/>
        <w:ind w:left="1133" w:hanging="1132" w:hangingChars="472"/>
        <w:rPr>
          <w:kern w:val="0"/>
          <w:sz w:val="24"/>
        </w:rPr>
      </w:pPr>
      <w:bookmarkStart w:id="114" w:name="_Toc195921818"/>
      <w:r>
        <w:rPr>
          <w:kern w:val="0"/>
          <w:sz w:val="24"/>
        </w:rPr>
        <w:t>投标文件的编制</w:t>
      </w:r>
      <w:bookmarkEnd w:id="114"/>
    </w:p>
    <w:p>
      <w:pPr>
        <w:numPr>
          <w:ilvl w:val="2"/>
          <w:numId w:val="4"/>
        </w:numPr>
        <w:tabs>
          <w:tab w:val="left" w:pos="1260"/>
        </w:tabs>
        <w:autoSpaceDE w:val="0"/>
        <w:autoSpaceDN w:val="0"/>
        <w:adjustRightInd w:val="0"/>
        <w:snapToGrid w:val="0"/>
        <w:spacing w:after="120" w:afterLines="50"/>
        <w:rPr>
          <w:kern w:val="0"/>
          <w:sz w:val="24"/>
        </w:rPr>
      </w:pPr>
      <w:r>
        <w:rPr>
          <w:kern w:val="0"/>
          <w:sz w:val="24"/>
        </w:rPr>
        <w:t>投标文件应按第六章“投标文件格式”进行编写，如有必要，可以增加附页，作为投标文件的组成部分。投标人可以提出比招标文件要求更有利于采购人的承诺。</w:t>
      </w:r>
    </w:p>
    <w:p>
      <w:pPr>
        <w:tabs>
          <w:tab w:val="left" w:pos="1260"/>
        </w:tabs>
        <w:autoSpaceDE w:val="0"/>
        <w:autoSpaceDN w:val="0"/>
        <w:adjustRightInd w:val="0"/>
        <w:snapToGrid w:val="0"/>
        <w:spacing w:after="120" w:afterLines="50"/>
        <w:ind w:left="1134"/>
        <w:rPr>
          <w:kern w:val="0"/>
          <w:sz w:val="24"/>
        </w:rPr>
      </w:pPr>
      <w:r>
        <w:rPr>
          <w:kern w:val="0"/>
          <w:sz w:val="24"/>
        </w:rPr>
        <w:t>投标文件应当对招标文件有关交货期、投标有效期、对招标范围以及</w:t>
      </w:r>
      <w:r>
        <w:rPr>
          <w:sz w:val="24"/>
        </w:rPr>
        <w:t>采购项目的技术规格、数量、服务标准、验收</w:t>
      </w:r>
      <w:r>
        <w:rPr>
          <w:kern w:val="0"/>
          <w:sz w:val="24"/>
        </w:rPr>
        <w:t>等实质性内容作出响应。</w:t>
      </w:r>
    </w:p>
    <w:p>
      <w:pPr>
        <w:numPr>
          <w:ilvl w:val="2"/>
          <w:numId w:val="4"/>
        </w:numPr>
        <w:tabs>
          <w:tab w:val="left" w:pos="1260"/>
        </w:tabs>
        <w:autoSpaceDE w:val="0"/>
        <w:autoSpaceDN w:val="0"/>
        <w:adjustRightInd w:val="0"/>
        <w:snapToGrid w:val="0"/>
        <w:spacing w:after="120" w:afterLines="50"/>
        <w:rPr>
          <w:kern w:val="0"/>
          <w:sz w:val="24"/>
        </w:rPr>
      </w:pPr>
      <w:r>
        <w:rPr>
          <w:kern w:val="0"/>
          <w:sz w:val="24"/>
        </w:rPr>
        <w:t>投标人的法定代表人或经授权的代表须根据招标文件第六章的规定在投标文件中需要签字或盖章的位置签字（加盖人名章）或加盖单位公章。授权代表须</w:t>
      </w:r>
      <w:r>
        <w:rPr>
          <w:rFonts w:hint="eastAsia"/>
          <w:kern w:val="0"/>
          <w:sz w:val="24"/>
        </w:rPr>
        <w:t>将</w:t>
      </w:r>
      <w:r>
        <w:rPr>
          <w:kern w:val="0"/>
          <w:sz w:val="24"/>
        </w:rPr>
        <w:t>“法定代表人授权书”（标准格式附后）附在投标文件中。签字或加盖人名章的其他要求见投标人须知前附表。</w:t>
      </w:r>
    </w:p>
    <w:p>
      <w:pPr>
        <w:tabs>
          <w:tab w:val="left" w:pos="1260"/>
        </w:tabs>
        <w:autoSpaceDE w:val="0"/>
        <w:autoSpaceDN w:val="0"/>
        <w:adjustRightInd w:val="0"/>
        <w:snapToGrid w:val="0"/>
        <w:spacing w:after="120" w:afterLines="50"/>
        <w:ind w:left="1134" w:leftChars="540"/>
        <w:rPr>
          <w:kern w:val="0"/>
          <w:sz w:val="24"/>
        </w:rPr>
      </w:pPr>
      <w:r>
        <w:rPr>
          <w:kern w:val="0"/>
          <w:sz w:val="24"/>
        </w:rPr>
        <w:t>投标截止时间前，如对投标文件进行了修改，包括对投标文件行间插字、涂改和增删，应</w:t>
      </w:r>
      <w:r>
        <w:rPr>
          <w:rFonts w:hint="eastAsia"/>
          <w:kern w:val="0"/>
          <w:sz w:val="24"/>
        </w:rPr>
        <w:t>按政采云电子平台的相关规定在投标截止时间前撤回电子投标文件（如政采云平台支持），修改后电子投标文件应按招标文件规定</w:t>
      </w:r>
      <w:r>
        <w:rPr>
          <w:kern w:val="0"/>
          <w:sz w:val="24"/>
        </w:rPr>
        <w:t>由投标人的法定代表人或经正式授权的代表</w:t>
      </w:r>
      <w:r>
        <w:rPr>
          <w:rFonts w:hint="eastAsia"/>
          <w:kern w:val="0"/>
          <w:sz w:val="24"/>
        </w:rPr>
        <w:t>电子签章后重新提交上传至政采云平台</w:t>
      </w:r>
      <w:r>
        <w:rPr>
          <w:kern w:val="0"/>
          <w:sz w:val="24"/>
        </w:rPr>
        <w:t>。</w:t>
      </w:r>
    </w:p>
    <w:p>
      <w:pPr>
        <w:numPr>
          <w:ilvl w:val="2"/>
          <w:numId w:val="4"/>
        </w:numPr>
        <w:tabs>
          <w:tab w:val="left" w:pos="1260"/>
        </w:tabs>
        <w:autoSpaceDE w:val="0"/>
        <w:autoSpaceDN w:val="0"/>
        <w:adjustRightInd w:val="0"/>
        <w:snapToGrid w:val="0"/>
        <w:spacing w:after="120" w:afterLines="50" w:line="240" w:lineRule="auto"/>
        <w:rPr>
          <w:kern w:val="0"/>
          <w:sz w:val="24"/>
        </w:rPr>
      </w:pPr>
      <w:r>
        <w:rPr>
          <w:rFonts w:hint="eastAsia"/>
          <w:kern w:val="0"/>
          <w:sz w:val="24"/>
        </w:rPr>
        <w:t>电子</w:t>
      </w:r>
      <w:r>
        <w:rPr>
          <w:kern w:val="0"/>
          <w:sz w:val="24"/>
        </w:rPr>
        <w:t>投标文件</w:t>
      </w:r>
      <w:r>
        <w:rPr>
          <w:rFonts w:hint="eastAsia"/>
          <w:kern w:val="0"/>
          <w:sz w:val="24"/>
        </w:rPr>
        <w:t>的要求见</w:t>
      </w:r>
      <w:r>
        <w:rPr>
          <w:kern w:val="0"/>
          <w:sz w:val="24"/>
        </w:rPr>
        <w:t>投标人须知前附表。</w:t>
      </w:r>
    </w:p>
    <w:p>
      <w:pPr>
        <w:numPr>
          <w:ilvl w:val="0"/>
          <w:numId w:val="4"/>
        </w:numPr>
        <w:autoSpaceDE w:val="0"/>
        <w:autoSpaceDN w:val="0"/>
        <w:adjustRightInd w:val="0"/>
        <w:spacing w:after="120" w:afterLines="50" w:line="240" w:lineRule="auto"/>
        <w:outlineLvl w:val="2"/>
        <w:rPr>
          <w:rFonts w:eastAsia="黑体"/>
          <w:kern w:val="0"/>
          <w:sz w:val="24"/>
        </w:rPr>
      </w:pPr>
      <w:bookmarkStart w:id="115" w:name="_Toc21084"/>
      <w:r>
        <w:rPr>
          <w:rFonts w:hint="eastAsia" w:eastAsia="黑体"/>
          <w:kern w:val="0"/>
          <w:sz w:val="24"/>
        </w:rPr>
        <w:t>加密电子投标文件</w:t>
      </w:r>
      <w:bookmarkEnd w:id="115"/>
    </w:p>
    <w:p>
      <w:pPr>
        <w:numPr>
          <w:ilvl w:val="2"/>
          <w:numId w:val="4"/>
        </w:numPr>
        <w:tabs>
          <w:tab w:val="left" w:pos="1260"/>
        </w:tabs>
        <w:autoSpaceDE w:val="0"/>
        <w:autoSpaceDN w:val="0"/>
        <w:adjustRightInd w:val="0"/>
        <w:snapToGrid w:val="0"/>
        <w:spacing w:after="120" w:afterLines="50" w:line="240" w:lineRule="auto"/>
        <w:rPr>
          <w:kern w:val="0"/>
          <w:sz w:val="24"/>
        </w:rPr>
      </w:pPr>
      <w:r>
        <w:rPr>
          <w:rFonts w:hint="eastAsia"/>
          <w:kern w:val="0"/>
          <w:sz w:val="24"/>
        </w:rPr>
        <w:t>投标人应在投标截止时间前将电子加密投标文件成功上传递交至政府采购云平台，否则投标无效。投标文件递交截止时间以新疆政府采购网上发布的本项目投标截止时间为准。</w:t>
      </w:r>
    </w:p>
    <w:p>
      <w:pPr>
        <w:pStyle w:val="430"/>
        <w:numPr>
          <w:ilvl w:val="1"/>
          <w:numId w:val="4"/>
        </w:numPr>
        <w:autoSpaceDE w:val="0"/>
        <w:autoSpaceDN w:val="0"/>
        <w:adjustRightInd w:val="0"/>
        <w:snapToGrid w:val="0"/>
        <w:spacing w:after="120" w:afterLines="50" w:line="240" w:lineRule="auto"/>
        <w:ind w:firstLineChars="0"/>
        <w:rPr>
          <w:kern w:val="0"/>
          <w:sz w:val="24"/>
        </w:rPr>
      </w:pPr>
      <w:bookmarkStart w:id="116" w:name="_Toc195921821"/>
      <w:r>
        <w:rPr>
          <w:kern w:val="0"/>
          <w:sz w:val="24"/>
        </w:rPr>
        <w:t>投标文件的递交</w:t>
      </w:r>
      <w:bookmarkEnd w:id="116"/>
    </w:p>
    <w:p>
      <w:pPr>
        <w:numPr>
          <w:ilvl w:val="255"/>
          <w:numId w:val="0"/>
        </w:numPr>
        <w:tabs>
          <w:tab w:val="left" w:pos="1021"/>
        </w:tabs>
        <w:autoSpaceDE w:val="0"/>
        <w:autoSpaceDN w:val="0"/>
        <w:adjustRightInd w:val="0"/>
        <w:snapToGrid w:val="0"/>
        <w:spacing w:after="120" w:afterLines="50" w:line="240" w:lineRule="auto"/>
        <w:ind w:left="1200" w:hanging="1200" w:hangingChars="500"/>
        <w:rPr>
          <w:b/>
          <w:bCs/>
          <w:kern w:val="0"/>
          <w:sz w:val="24"/>
        </w:rPr>
      </w:pPr>
      <w:r>
        <w:rPr>
          <w:rFonts w:hint="eastAsia"/>
          <w:kern w:val="0"/>
          <w:sz w:val="24"/>
        </w:rPr>
        <w:t>4</w:t>
      </w:r>
      <w:r>
        <w:rPr>
          <w:kern w:val="0"/>
          <w:sz w:val="24"/>
        </w:rPr>
        <w:t xml:space="preserve">.2.1      </w:t>
      </w:r>
      <w:r>
        <w:rPr>
          <w:b/>
          <w:bCs/>
          <w:kern w:val="0"/>
          <w:sz w:val="24"/>
        </w:rPr>
        <w:t>投标人应在招标文件要求提交投标文件的截止时间前，</w:t>
      </w:r>
      <w:r>
        <w:rPr>
          <w:rFonts w:hint="eastAsia"/>
          <w:b/>
          <w:bCs/>
          <w:kern w:val="0"/>
          <w:sz w:val="24"/>
        </w:rPr>
        <w:t>投标人应将加密的电子投标文件上传到政采云平台https://www.zcygov.cn对应位置（逾期未上传的或未按规定加密的投标文件将被拒绝接收）。</w:t>
      </w:r>
    </w:p>
    <w:p>
      <w:pPr>
        <w:pStyle w:val="430"/>
        <w:numPr>
          <w:ilvl w:val="2"/>
          <w:numId w:val="10"/>
        </w:numPr>
        <w:tabs>
          <w:tab w:val="left" w:pos="1021"/>
        </w:tabs>
        <w:autoSpaceDE w:val="0"/>
        <w:autoSpaceDN w:val="0"/>
        <w:adjustRightInd w:val="0"/>
        <w:snapToGrid w:val="0"/>
        <w:spacing w:after="120" w:afterLines="50" w:line="240" w:lineRule="auto"/>
        <w:ind w:firstLineChars="0"/>
        <w:rPr>
          <w:kern w:val="0"/>
          <w:sz w:val="24"/>
        </w:rPr>
      </w:pPr>
      <w:r>
        <w:rPr>
          <w:rFonts w:hint="eastAsia"/>
          <w:kern w:val="0"/>
          <w:sz w:val="24"/>
        </w:rPr>
        <w:t xml:space="preserve"> </w:t>
      </w:r>
      <w:r>
        <w:rPr>
          <w:kern w:val="0"/>
          <w:sz w:val="24"/>
        </w:rPr>
        <w:t>投标人递交投标文件的地点：见招标公告。</w:t>
      </w:r>
    </w:p>
    <w:p>
      <w:pPr>
        <w:pStyle w:val="430"/>
        <w:numPr>
          <w:ilvl w:val="2"/>
          <w:numId w:val="10"/>
        </w:numPr>
        <w:tabs>
          <w:tab w:val="left" w:pos="1021"/>
        </w:tabs>
        <w:autoSpaceDE w:val="0"/>
        <w:autoSpaceDN w:val="0"/>
        <w:adjustRightInd w:val="0"/>
        <w:snapToGrid w:val="0"/>
        <w:spacing w:after="120" w:afterLines="50" w:line="240" w:lineRule="auto"/>
        <w:ind w:firstLineChars="0"/>
        <w:rPr>
          <w:kern w:val="0"/>
          <w:sz w:val="24"/>
        </w:rPr>
      </w:pPr>
      <w:r>
        <w:rPr>
          <w:kern w:val="0"/>
          <w:sz w:val="24"/>
        </w:rPr>
        <w:t xml:space="preserve"> 除投标人不足3家未开标情形外，投标人所递交的投标文件不予退还。</w:t>
      </w:r>
    </w:p>
    <w:p>
      <w:pPr>
        <w:pStyle w:val="430"/>
        <w:numPr>
          <w:ilvl w:val="2"/>
          <w:numId w:val="10"/>
        </w:numPr>
        <w:tabs>
          <w:tab w:val="left" w:pos="1021"/>
        </w:tabs>
        <w:autoSpaceDE w:val="0"/>
        <w:autoSpaceDN w:val="0"/>
        <w:adjustRightInd w:val="0"/>
        <w:snapToGrid w:val="0"/>
        <w:spacing w:after="120" w:afterLines="50" w:line="240" w:lineRule="auto"/>
        <w:ind w:firstLineChars="0"/>
        <w:jc w:val="left"/>
        <w:rPr>
          <w:kern w:val="0"/>
          <w:sz w:val="24"/>
        </w:rPr>
      </w:pPr>
      <w:r>
        <w:rPr>
          <w:kern w:val="0"/>
          <w:sz w:val="24"/>
        </w:rPr>
        <w:t xml:space="preserve"> 逾期送达或者未按照招标文件要求</w:t>
      </w:r>
      <w:r>
        <w:rPr>
          <w:rFonts w:hint="eastAsia"/>
          <w:kern w:val="0"/>
          <w:sz w:val="24"/>
        </w:rPr>
        <w:t>加密</w:t>
      </w:r>
      <w:r>
        <w:rPr>
          <w:kern w:val="0"/>
          <w:sz w:val="24"/>
        </w:rPr>
        <w:t>的投标文件，采购人、采购代</w:t>
      </w:r>
      <w:r>
        <w:rPr>
          <w:rFonts w:hint="eastAsia"/>
          <w:kern w:val="0"/>
          <w:sz w:val="24"/>
        </w:rPr>
        <w:t xml:space="preserve"> </w:t>
      </w:r>
    </w:p>
    <w:p>
      <w:pPr>
        <w:pStyle w:val="430"/>
        <w:tabs>
          <w:tab w:val="left" w:pos="1021"/>
        </w:tabs>
        <w:autoSpaceDE w:val="0"/>
        <w:autoSpaceDN w:val="0"/>
        <w:adjustRightInd w:val="0"/>
        <w:snapToGrid w:val="0"/>
        <w:spacing w:after="120" w:afterLines="50" w:line="240" w:lineRule="auto"/>
        <w:ind w:firstLine="240" w:firstLineChars="100"/>
        <w:jc w:val="left"/>
        <w:rPr>
          <w:kern w:val="0"/>
          <w:sz w:val="24"/>
        </w:rPr>
      </w:pPr>
      <w:r>
        <w:rPr>
          <w:rFonts w:hint="eastAsia"/>
          <w:kern w:val="0"/>
          <w:sz w:val="24"/>
        </w:rPr>
        <w:t xml:space="preserve">       </w:t>
      </w:r>
      <w:r>
        <w:rPr>
          <w:kern w:val="0"/>
          <w:sz w:val="24"/>
        </w:rPr>
        <w:t>理机构应当拒收。</w:t>
      </w:r>
    </w:p>
    <w:p>
      <w:pPr>
        <w:numPr>
          <w:ilvl w:val="1"/>
          <w:numId w:val="11"/>
        </w:numPr>
        <w:autoSpaceDE w:val="0"/>
        <w:autoSpaceDN w:val="0"/>
        <w:adjustRightInd w:val="0"/>
        <w:snapToGrid w:val="0"/>
        <w:spacing w:after="120" w:afterLines="50" w:line="240" w:lineRule="auto"/>
        <w:rPr>
          <w:kern w:val="0"/>
          <w:sz w:val="24"/>
        </w:rPr>
      </w:pPr>
      <w:bookmarkStart w:id="117" w:name="_Toc195921822"/>
      <w:r>
        <w:rPr>
          <w:kern w:val="0"/>
          <w:sz w:val="24"/>
        </w:rPr>
        <w:t>投标文件的修改与撤回</w:t>
      </w:r>
      <w:bookmarkEnd w:id="117"/>
    </w:p>
    <w:p>
      <w:pPr>
        <w:numPr>
          <w:ilvl w:val="255"/>
          <w:numId w:val="0"/>
        </w:numPr>
        <w:autoSpaceDE w:val="0"/>
        <w:autoSpaceDN w:val="0"/>
        <w:adjustRightInd w:val="0"/>
        <w:snapToGrid w:val="0"/>
        <w:spacing w:after="120" w:afterLines="50"/>
        <w:ind w:left="1200" w:hanging="1200" w:hangingChars="500"/>
        <w:rPr>
          <w:kern w:val="0"/>
          <w:sz w:val="24"/>
        </w:rPr>
      </w:pPr>
      <w:r>
        <w:rPr>
          <w:kern w:val="0"/>
          <w:sz w:val="24"/>
        </w:rPr>
        <w:t>4.3.1</w:t>
      </w:r>
      <w:r>
        <w:rPr>
          <w:rFonts w:hint="eastAsia"/>
          <w:kern w:val="0"/>
          <w:sz w:val="24"/>
        </w:rPr>
        <w:t xml:space="preserve">      投标人</w:t>
      </w:r>
      <w:r>
        <w:rPr>
          <w:kern w:val="0"/>
          <w:sz w:val="24"/>
        </w:rPr>
        <w:t>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投标文件撤回。投标截止时间后传输递交的投标文件，“政府采购云平台”将予以拒收。投标截止时间后，</w:t>
      </w:r>
      <w:r>
        <w:rPr>
          <w:rFonts w:hint="eastAsia"/>
          <w:kern w:val="0"/>
          <w:sz w:val="24"/>
        </w:rPr>
        <w:t>投标人</w:t>
      </w:r>
      <w:r>
        <w:rPr>
          <w:kern w:val="0"/>
          <w:sz w:val="24"/>
        </w:rPr>
        <w:t>不得修改（补充）或撤回其投标文件。</w:t>
      </w:r>
    </w:p>
    <w:p>
      <w:pPr>
        <w:numPr>
          <w:ilvl w:val="0"/>
          <w:numId w:val="4"/>
        </w:numPr>
        <w:autoSpaceDE w:val="0"/>
        <w:autoSpaceDN w:val="0"/>
        <w:adjustRightInd w:val="0"/>
        <w:spacing w:after="120" w:afterLines="50"/>
        <w:outlineLvl w:val="2"/>
        <w:rPr>
          <w:rFonts w:eastAsia="黑体"/>
          <w:kern w:val="0"/>
          <w:sz w:val="24"/>
        </w:rPr>
      </w:pPr>
      <w:bookmarkStart w:id="118" w:name="_Toc3444"/>
      <w:bookmarkStart w:id="119" w:name="_Toc23658"/>
      <w:bookmarkStart w:id="120" w:name="_Toc195921823"/>
      <w:bookmarkStart w:id="121" w:name="_Toc16836"/>
      <w:r>
        <w:rPr>
          <w:rFonts w:hint="eastAsia" w:eastAsia="黑体"/>
          <w:kern w:val="0"/>
          <w:sz w:val="24"/>
        </w:rPr>
        <w:t>开标</w:t>
      </w:r>
      <w:bookmarkEnd w:id="118"/>
      <w:bookmarkEnd w:id="119"/>
      <w:bookmarkEnd w:id="120"/>
      <w:bookmarkEnd w:id="121"/>
    </w:p>
    <w:p>
      <w:pPr>
        <w:autoSpaceDE w:val="0"/>
        <w:autoSpaceDN w:val="0"/>
        <w:adjustRightInd w:val="0"/>
        <w:snapToGrid w:val="0"/>
        <w:spacing w:after="120" w:afterLines="50"/>
        <w:ind w:left="-991" w:leftChars="-472" w:firstLine="960" w:firstLineChars="400"/>
        <w:rPr>
          <w:kern w:val="0"/>
          <w:sz w:val="24"/>
        </w:rPr>
      </w:pPr>
      <w:bookmarkStart w:id="122" w:name="_Toc195921824"/>
      <w:r>
        <w:rPr>
          <w:rFonts w:hint="eastAsia"/>
          <w:kern w:val="0"/>
          <w:sz w:val="24"/>
        </w:rPr>
        <w:t xml:space="preserve">5.1       </w:t>
      </w:r>
      <w:bookmarkEnd w:id="122"/>
      <w:r>
        <w:rPr>
          <w:kern w:val="0"/>
          <w:sz w:val="24"/>
        </w:rPr>
        <w:t>开标时间和地点</w:t>
      </w:r>
    </w:p>
    <w:p>
      <w:pPr>
        <w:tabs>
          <w:tab w:val="left" w:pos="1260"/>
        </w:tabs>
        <w:autoSpaceDE w:val="0"/>
        <w:autoSpaceDN w:val="0"/>
        <w:adjustRightInd w:val="0"/>
        <w:snapToGrid w:val="0"/>
        <w:spacing w:after="120" w:afterLines="50"/>
        <w:ind w:left="1134"/>
        <w:rPr>
          <w:kern w:val="0"/>
          <w:sz w:val="24"/>
          <w:highlight w:val="none"/>
        </w:rPr>
      </w:pPr>
      <w:r>
        <w:rPr>
          <w:kern w:val="0"/>
          <w:sz w:val="24"/>
        </w:rPr>
        <w:t>采购人在招标公告规定的投标截止时间（开标时间）和地点公开开标，</w:t>
      </w:r>
      <w:r>
        <w:rPr>
          <w:kern w:val="0"/>
          <w:sz w:val="24"/>
          <w:highlight w:val="none"/>
        </w:rPr>
        <w:t>并邀请所有投标人的法定代表人或其委托代理人准时参加。投标人未参加开标的，视同认可开标结果。</w:t>
      </w:r>
    </w:p>
    <w:p>
      <w:pPr>
        <w:autoSpaceDE w:val="0"/>
        <w:autoSpaceDN w:val="0"/>
        <w:adjustRightInd w:val="0"/>
        <w:snapToGrid w:val="0"/>
        <w:spacing w:after="120" w:afterLines="50"/>
        <w:ind w:left="1175" w:leftChars="-12" w:hanging="1200" w:hangingChars="500"/>
        <w:jc w:val="left"/>
        <w:rPr>
          <w:color w:val="FF0000"/>
          <w:kern w:val="0"/>
          <w:sz w:val="24"/>
          <w:highlight w:val="none"/>
        </w:rPr>
      </w:pPr>
      <w:r>
        <w:rPr>
          <w:rFonts w:hint="eastAsia"/>
          <w:kern w:val="0"/>
          <w:sz w:val="24"/>
          <w:highlight w:val="none"/>
        </w:rPr>
        <w:t xml:space="preserve">5.2       </w:t>
      </w:r>
      <w:r>
        <w:rPr>
          <w:kern w:val="0"/>
          <w:sz w:val="24"/>
          <w:highlight w:val="none"/>
        </w:rPr>
        <w:t>开标时，</w:t>
      </w:r>
      <w:r>
        <w:rPr>
          <w:rFonts w:hint="eastAsia"/>
          <w:kern w:val="0"/>
          <w:sz w:val="24"/>
          <w:highlight w:val="none"/>
        </w:rPr>
        <w:t>经工作人员</w:t>
      </w:r>
      <w:r>
        <w:rPr>
          <w:kern w:val="0"/>
          <w:sz w:val="24"/>
          <w:highlight w:val="none"/>
        </w:rPr>
        <w:t>检查</w:t>
      </w:r>
      <w:r>
        <w:rPr>
          <w:rFonts w:hint="eastAsia"/>
          <w:kern w:val="0"/>
          <w:sz w:val="24"/>
          <w:highlight w:val="none"/>
        </w:rPr>
        <w:t>电子</w:t>
      </w:r>
      <w:r>
        <w:rPr>
          <w:kern w:val="0"/>
          <w:sz w:val="24"/>
          <w:highlight w:val="none"/>
        </w:rPr>
        <w:t>投标文件的</w:t>
      </w:r>
      <w:r>
        <w:rPr>
          <w:rFonts w:hint="eastAsia"/>
          <w:kern w:val="0"/>
          <w:sz w:val="24"/>
          <w:highlight w:val="none"/>
        </w:rPr>
        <w:t>加密</w:t>
      </w:r>
      <w:r>
        <w:rPr>
          <w:kern w:val="0"/>
          <w:sz w:val="24"/>
          <w:highlight w:val="none"/>
        </w:rPr>
        <w:t>情况；经确认无误后，由</w:t>
      </w:r>
      <w:r>
        <w:rPr>
          <w:sz w:val="24"/>
          <w:highlight w:val="none"/>
        </w:rPr>
        <w:t>采购人或者采购代理机构工作人员当众</w:t>
      </w:r>
      <w:r>
        <w:rPr>
          <w:rFonts w:hint="eastAsia"/>
          <w:sz w:val="24"/>
          <w:highlight w:val="none"/>
        </w:rPr>
        <w:t>开启解密</w:t>
      </w:r>
      <w:r>
        <w:rPr>
          <w:sz w:val="24"/>
          <w:highlight w:val="none"/>
        </w:rPr>
        <w:t>，</w:t>
      </w:r>
      <w:r>
        <w:rPr>
          <w:rFonts w:hint="eastAsia"/>
          <w:sz w:val="24"/>
          <w:highlight w:val="none"/>
        </w:rPr>
        <w:t>宣布投标人名称、投标价格和招标文件规定的需要宣布的其他内容</w:t>
      </w:r>
      <w:r>
        <w:rPr>
          <w:rFonts w:hint="eastAsia"/>
          <w:kern w:val="0"/>
          <w:sz w:val="24"/>
          <w:highlight w:val="none"/>
        </w:rPr>
        <w:t>。</w:t>
      </w:r>
    </w:p>
    <w:p>
      <w:pPr>
        <w:pStyle w:val="432"/>
        <w:snapToGrid w:val="0"/>
        <w:spacing w:after="120" w:afterLines="50"/>
        <w:ind w:left="1734" w:leftChars="540" w:hanging="600" w:hangingChars="250"/>
        <w:rPr>
          <w:rFonts w:ascii="Times New Roman" w:hAnsi="Times New Roman" w:cs="Times New Roman"/>
          <w:sz w:val="24"/>
          <w:szCs w:val="24"/>
          <w:highlight w:val="none"/>
        </w:rPr>
      </w:pPr>
      <w:r>
        <w:rPr>
          <w:rFonts w:ascii="Times New Roman" w:hAnsi="Times New Roman" w:cs="Times New Roman"/>
          <w:sz w:val="24"/>
          <w:szCs w:val="24"/>
          <w:highlight w:val="none"/>
        </w:rPr>
        <w:t>投标人不足3家的，不进行开标。</w:t>
      </w:r>
    </w:p>
    <w:p>
      <w:pPr>
        <w:autoSpaceDE w:val="0"/>
        <w:autoSpaceDN w:val="0"/>
        <w:adjustRightInd w:val="0"/>
        <w:snapToGrid w:val="0"/>
        <w:spacing w:after="120" w:afterLines="50"/>
        <w:ind w:left="1175" w:leftChars="-12" w:hanging="1200" w:hangingChars="500"/>
        <w:rPr>
          <w:kern w:val="0"/>
          <w:sz w:val="24"/>
          <w:highlight w:val="none"/>
        </w:rPr>
      </w:pPr>
      <w:r>
        <w:rPr>
          <w:rFonts w:hint="eastAsia"/>
          <w:kern w:val="0"/>
          <w:sz w:val="24"/>
          <w:highlight w:val="none"/>
        </w:rPr>
        <w:t xml:space="preserve">5.3       </w:t>
      </w:r>
      <w:r>
        <w:rPr>
          <w:kern w:val="0"/>
          <w:sz w:val="24"/>
          <w:highlight w:val="none"/>
        </w:rPr>
        <w:t>开标过程由</w:t>
      </w:r>
      <w:r>
        <w:rPr>
          <w:rFonts w:hint="eastAsia"/>
          <w:kern w:val="0"/>
          <w:sz w:val="24"/>
          <w:highlight w:val="none"/>
        </w:rPr>
        <w:t>采购人或者采购代理机构负责记录</w:t>
      </w:r>
      <w:r>
        <w:rPr>
          <w:kern w:val="0"/>
          <w:sz w:val="24"/>
          <w:highlight w:val="none"/>
        </w:rPr>
        <w:t>，由参加开标的各投标人代表和相关工作人员签字确认后随招标文件一并存档。</w:t>
      </w:r>
    </w:p>
    <w:p>
      <w:pPr>
        <w:pStyle w:val="432"/>
        <w:snapToGrid w:val="0"/>
        <w:spacing w:after="120" w:afterLines="50"/>
        <w:ind w:left="1132" w:leftChars="539"/>
        <w:rPr>
          <w:rFonts w:ascii="Times New Roman" w:hAnsi="Times New Roman" w:cs="Times New Roman"/>
          <w:sz w:val="24"/>
          <w:szCs w:val="24"/>
          <w:highlight w:val="none"/>
        </w:rPr>
      </w:pPr>
      <w:r>
        <w:rPr>
          <w:rFonts w:ascii="Times New Roman" w:hAnsi="Times New Roman" w:cs="Times New Roman"/>
          <w:sz w:val="24"/>
          <w:szCs w:val="24"/>
          <w:highlight w:val="none"/>
        </w:rPr>
        <w:t>投标人代表对开标过程和开标记录有疑义，以及认为采购人、采购代理机构相关工作人员有需要回避的情形的，应当场提出询问或者回避申请。</w:t>
      </w:r>
    </w:p>
    <w:p>
      <w:pPr>
        <w:autoSpaceDE w:val="0"/>
        <w:autoSpaceDN w:val="0"/>
        <w:adjustRightInd w:val="0"/>
        <w:snapToGrid w:val="0"/>
        <w:spacing w:after="120" w:afterLines="50"/>
        <w:ind w:left="1175" w:leftChars="-12" w:hanging="1200" w:hangingChars="500"/>
        <w:rPr>
          <w:kern w:val="0"/>
          <w:sz w:val="24"/>
          <w:highlight w:val="none"/>
        </w:rPr>
      </w:pPr>
      <w:r>
        <w:rPr>
          <w:rFonts w:hint="eastAsia"/>
          <w:kern w:val="0"/>
          <w:sz w:val="24"/>
          <w:highlight w:val="none"/>
        </w:rPr>
        <w:t xml:space="preserve">5.4       </w:t>
      </w:r>
      <w:r>
        <w:rPr>
          <w:kern w:val="0"/>
          <w:sz w:val="24"/>
          <w:highlight w:val="none"/>
        </w:rPr>
        <w:t>投标人对开标过程有疑义的，在开标结束后七个工作日内，按本须知2.5款接收质疑函的方式以书面形式一次性提出质疑。</w:t>
      </w:r>
    </w:p>
    <w:p>
      <w:pPr>
        <w:autoSpaceDE w:val="0"/>
        <w:autoSpaceDN w:val="0"/>
        <w:adjustRightInd w:val="0"/>
        <w:snapToGrid w:val="0"/>
        <w:spacing w:after="120" w:afterLines="50"/>
        <w:ind w:left="-991" w:leftChars="-472"/>
        <w:rPr>
          <w:kern w:val="0"/>
          <w:sz w:val="24"/>
        </w:rPr>
      </w:pPr>
    </w:p>
    <w:p>
      <w:pPr>
        <w:numPr>
          <w:ilvl w:val="0"/>
          <w:numId w:val="4"/>
        </w:numPr>
        <w:autoSpaceDE w:val="0"/>
        <w:autoSpaceDN w:val="0"/>
        <w:adjustRightInd w:val="0"/>
        <w:spacing w:after="120" w:afterLines="50"/>
        <w:outlineLvl w:val="2"/>
        <w:rPr>
          <w:rFonts w:eastAsia="黑体"/>
          <w:kern w:val="0"/>
          <w:sz w:val="24"/>
        </w:rPr>
      </w:pPr>
      <w:bookmarkStart w:id="123" w:name="_Toc19837"/>
      <w:bookmarkStart w:id="124" w:name="_Toc28911"/>
      <w:bookmarkStart w:id="125" w:name="_Toc6719"/>
      <w:r>
        <w:rPr>
          <w:rFonts w:hint="eastAsia" w:eastAsia="黑体"/>
          <w:kern w:val="0"/>
          <w:sz w:val="24"/>
        </w:rPr>
        <w:t>资格审查</w:t>
      </w:r>
      <w:bookmarkEnd w:id="123"/>
      <w:bookmarkEnd w:id="124"/>
      <w:bookmarkEnd w:id="125"/>
    </w:p>
    <w:p>
      <w:pPr>
        <w:autoSpaceDE w:val="0"/>
        <w:autoSpaceDN w:val="0"/>
        <w:adjustRightInd w:val="0"/>
        <w:snapToGrid w:val="0"/>
        <w:spacing w:after="120" w:afterLines="50"/>
        <w:ind w:left="1175" w:leftChars="-12" w:hanging="1200" w:hangingChars="500"/>
        <w:rPr>
          <w:kern w:val="0"/>
          <w:sz w:val="24"/>
        </w:rPr>
      </w:pPr>
      <w:bookmarkStart w:id="126" w:name="_Toc195921826"/>
      <w:r>
        <w:rPr>
          <w:rFonts w:hint="eastAsia"/>
          <w:kern w:val="0"/>
          <w:sz w:val="24"/>
        </w:rPr>
        <w:t xml:space="preserve">6.1       </w:t>
      </w:r>
      <w:r>
        <w:rPr>
          <w:kern w:val="0"/>
          <w:sz w:val="24"/>
        </w:rPr>
        <w:t>开标结束后，采购人</w:t>
      </w:r>
      <w:r>
        <w:rPr>
          <w:rFonts w:hint="eastAsia"/>
          <w:kern w:val="0"/>
          <w:sz w:val="24"/>
        </w:rPr>
        <w:t>或其委托的采购代理机构</w:t>
      </w:r>
      <w:r>
        <w:rPr>
          <w:kern w:val="0"/>
          <w:sz w:val="24"/>
        </w:rPr>
        <w:t>依法对投标人的资格进行审查。</w:t>
      </w:r>
    </w:p>
    <w:p>
      <w:pPr>
        <w:pStyle w:val="432"/>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通过资格审查的投标人不足3家的，不得评标。</w:t>
      </w:r>
    </w:p>
    <w:p>
      <w:pPr>
        <w:numPr>
          <w:ilvl w:val="0"/>
          <w:numId w:val="4"/>
        </w:numPr>
        <w:autoSpaceDE w:val="0"/>
        <w:autoSpaceDN w:val="0"/>
        <w:adjustRightInd w:val="0"/>
        <w:spacing w:after="120" w:afterLines="50"/>
        <w:outlineLvl w:val="2"/>
        <w:rPr>
          <w:rFonts w:eastAsia="黑体"/>
          <w:kern w:val="0"/>
          <w:sz w:val="24"/>
        </w:rPr>
      </w:pPr>
      <w:bookmarkStart w:id="127" w:name="_Toc32251"/>
      <w:bookmarkStart w:id="128" w:name="_Toc30234"/>
      <w:bookmarkStart w:id="129" w:name="_Toc8893"/>
      <w:r>
        <w:rPr>
          <w:rFonts w:eastAsia="黑体"/>
          <w:kern w:val="0"/>
          <w:sz w:val="24"/>
        </w:rPr>
        <w:t>评标</w:t>
      </w:r>
      <w:bookmarkEnd w:id="126"/>
      <w:bookmarkEnd w:id="127"/>
      <w:bookmarkEnd w:id="128"/>
      <w:bookmarkEnd w:id="129"/>
    </w:p>
    <w:p>
      <w:pPr>
        <w:numPr>
          <w:ilvl w:val="1"/>
          <w:numId w:val="4"/>
        </w:numPr>
        <w:autoSpaceDE w:val="0"/>
        <w:autoSpaceDN w:val="0"/>
        <w:adjustRightInd w:val="0"/>
        <w:snapToGrid w:val="0"/>
        <w:spacing w:after="120" w:afterLines="50"/>
        <w:ind w:left="1133" w:hanging="1132" w:hangingChars="472"/>
        <w:rPr>
          <w:kern w:val="0"/>
          <w:sz w:val="24"/>
        </w:rPr>
      </w:pPr>
      <w:bookmarkStart w:id="130" w:name="_Toc195921827"/>
      <w:r>
        <w:rPr>
          <w:kern w:val="0"/>
          <w:sz w:val="24"/>
        </w:rPr>
        <w:t>评标委员会</w:t>
      </w:r>
      <w:bookmarkEnd w:id="130"/>
    </w:p>
    <w:p>
      <w:pPr>
        <w:numPr>
          <w:ilvl w:val="2"/>
          <w:numId w:val="4"/>
        </w:numPr>
        <w:tabs>
          <w:tab w:val="left" w:pos="1260"/>
        </w:tabs>
        <w:autoSpaceDE w:val="0"/>
        <w:autoSpaceDN w:val="0"/>
        <w:adjustRightInd w:val="0"/>
        <w:snapToGrid w:val="0"/>
        <w:spacing w:after="120" w:afterLines="50"/>
        <w:rPr>
          <w:kern w:val="0"/>
          <w:sz w:val="24"/>
        </w:rPr>
      </w:pPr>
      <w:r>
        <w:rPr>
          <w:kern w:val="0"/>
          <w:sz w:val="24"/>
        </w:rPr>
        <w:t>评标由采购人依法组建的评标委员会负责。评标委员会由采购人代表和有关技术、经济等方面的专家组成。</w:t>
      </w:r>
    </w:p>
    <w:p>
      <w:pPr>
        <w:numPr>
          <w:ilvl w:val="2"/>
          <w:numId w:val="4"/>
        </w:numPr>
        <w:tabs>
          <w:tab w:val="left" w:pos="1260"/>
        </w:tabs>
        <w:autoSpaceDE w:val="0"/>
        <w:autoSpaceDN w:val="0"/>
        <w:adjustRightInd w:val="0"/>
        <w:snapToGrid w:val="0"/>
        <w:spacing w:after="120" w:afterLines="50"/>
        <w:rPr>
          <w:kern w:val="0"/>
          <w:sz w:val="24"/>
        </w:rPr>
      </w:pPr>
      <w:r>
        <w:rPr>
          <w:kern w:val="0"/>
          <w:sz w:val="24"/>
        </w:rPr>
        <w:t>评标委员会成员有下列情形之一的，应当回避：</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（1）参加采购活动前3年内与投标人存在劳动关系；</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（2）参加采购活动前3年内担任投标人的董事、监事；</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（3）参加采购活动前3年内是投标人的控股股东或者实际控制人；</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（4）与投标人的法定代表人或者负责人有夫妻、直系血亲、三代以内旁系血亲或者近姻亲关系；</w:t>
      </w:r>
    </w:p>
    <w:p>
      <w:pPr>
        <w:pStyle w:val="432"/>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（5）与投标人有其他可能影响政府采购活动公平、公正进行的关系。</w:t>
      </w:r>
    </w:p>
    <w:p>
      <w:pPr>
        <w:numPr>
          <w:ilvl w:val="2"/>
          <w:numId w:val="4"/>
        </w:numPr>
        <w:tabs>
          <w:tab w:val="left" w:pos="1260"/>
          <w:tab w:val="left" w:pos="1418"/>
          <w:tab w:val="left" w:pos="1800"/>
        </w:tabs>
        <w:autoSpaceDE w:val="0"/>
        <w:autoSpaceDN w:val="0"/>
        <w:adjustRightInd w:val="0"/>
        <w:snapToGrid w:val="0"/>
        <w:spacing w:before="120" w:after="120" w:afterLines="50"/>
        <w:rPr>
          <w:kern w:val="0"/>
          <w:sz w:val="24"/>
        </w:rPr>
      </w:pPr>
      <w:r>
        <w:rPr>
          <w:kern w:val="0"/>
          <w:sz w:val="24"/>
        </w:rPr>
        <w:t>评标委员会</w:t>
      </w:r>
      <w:r>
        <w:rPr>
          <w:sz w:val="24"/>
        </w:rPr>
        <w:t>负责具体评标事务，并独立履行下列职责</w:t>
      </w:r>
      <w:r>
        <w:rPr>
          <w:kern w:val="0"/>
          <w:sz w:val="24"/>
        </w:rPr>
        <w:t>：</w:t>
      </w:r>
    </w:p>
    <w:p>
      <w:pPr>
        <w:pStyle w:val="432"/>
        <w:snapToGrid w:val="0"/>
        <w:spacing w:after="120" w:afterLines="50"/>
        <w:ind w:left="1840" w:leftChars="539" w:hanging="708" w:hangingChars="295"/>
        <w:rPr>
          <w:rFonts w:ascii="Times New Roman" w:hAnsi="Times New Roman" w:cs="Times New Roman"/>
          <w:sz w:val="24"/>
          <w:szCs w:val="24"/>
        </w:rPr>
      </w:pPr>
      <w:bookmarkStart w:id="131" w:name="_Toc195921828"/>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pPr>
        <w:pStyle w:val="432"/>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pPr>
        <w:numPr>
          <w:ilvl w:val="1"/>
          <w:numId w:val="4"/>
        </w:numPr>
        <w:autoSpaceDE w:val="0"/>
        <w:autoSpaceDN w:val="0"/>
        <w:adjustRightInd w:val="0"/>
        <w:snapToGrid w:val="0"/>
        <w:spacing w:after="120" w:afterLines="50"/>
        <w:ind w:left="1133" w:hanging="1132" w:hangingChars="472"/>
        <w:rPr>
          <w:kern w:val="0"/>
          <w:sz w:val="24"/>
        </w:rPr>
      </w:pPr>
      <w:r>
        <w:rPr>
          <w:sz w:val="24"/>
        </w:rPr>
        <w:t>评标委员会应当对符合资格的投标人的投标文件进行符合性审查，以确定其是否满足招标文件的实质性要求。</w:t>
      </w:r>
      <w:bookmarkEnd w:id="131"/>
    </w:p>
    <w:p>
      <w:pPr>
        <w:numPr>
          <w:ilvl w:val="1"/>
          <w:numId w:val="4"/>
        </w:numPr>
        <w:autoSpaceDE w:val="0"/>
        <w:autoSpaceDN w:val="0"/>
        <w:adjustRightInd w:val="0"/>
        <w:snapToGrid w:val="0"/>
        <w:spacing w:after="120" w:afterLines="50"/>
        <w:ind w:left="1133" w:hanging="1132" w:hangingChars="472"/>
        <w:rPr>
          <w:kern w:val="0"/>
          <w:sz w:val="24"/>
        </w:rPr>
      </w:pPr>
      <w:r>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tabs>
          <w:tab w:val="left" w:pos="1260"/>
        </w:tabs>
        <w:autoSpaceDE w:val="0"/>
        <w:autoSpaceDN w:val="0"/>
        <w:adjustRightInd w:val="0"/>
        <w:snapToGrid w:val="0"/>
        <w:spacing w:after="120" w:afterLines="50"/>
        <w:ind w:left="1132" w:leftChars="539"/>
        <w:rPr>
          <w:kern w:val="0"/>
          <w:sz w:val="24"/>
        </w:rPr>
      </w:pPr>
      <w:r>
        <w:rPr>
          <w:kern w:val="0"/>
          <w:sz w:val="24"/>
        </w:rPr>
        <w:t>非单一产品采购项目，多家投标人提供的核心产品品牌相同的，按前款规定处理。</w:t>
      </w:r>
    </w:p>
    <w:p>
      <w:pPr>
        <w:numPr>
          <w:ilvl w:val="1"/>
          <w:numId w:val="4"/>
        </w:numPr>
        <w:autoSpaceDE w:val="0"/>
        <w:autoSpaceDN w:val="0"/>
        <w:adjustRightInd w:val="0"/>
        <w:snapToGrid w:val="0"/>
        <w:spacing w:after="120" w:afterLines="50"/>
        <w:ind w:left="1133" w:hanging="1132" w:hangingChars="472"/>
        <w:rPr>
          <w:sz w:val="24"/>
        </w:rPr>
      </w:pPr>
      <w:r>
        <w:rPr>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pPr>
        <w:numPr>
          <w:ilvl w:val="1"/>
          <w:numId w:val="4"/>
        </w:numPr>
        <w:autoSpaceDE w:val="0"/>
        <w:autoSpaceDN w:val="0"/>
        <w:adjustRightInd w:val="0"/>
        <w:snapToGrid w:val="0"/>
        <w:spacing w:after="120" w:afterLines="50"/>
        <w:ind w:left="1133" w:hanging="1132" w:hangingChars="472"/>
        <w:rPr>
          <w:sz w:val="24"/>
        </w:rPr>
      </w:pPr>
      <w:r>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pPr>
        <w:numPr>
          <w:ilvl w:val="1"/>
          <w:numId w:val="4"/>
        </w:numPr>
        <w:autoSpaceDE w:val="0"/>
        <w:autoSpaceDN w:val="0"/>
        <w:adjustRightInd w:val="0"/>
        <w:snapToGrid w:val="0"/>
        <w:spacing w:after="120" w:afterLines="50"/>
        <w:ind w:left="1133" w:hanging="1132" w:hangingChars="472"/>
        <w:rPr>
          <w:sz w:val="24"/>
        </w:rPr>
      </w:pPr>
      <w:r>
        <w:rPr>
          <w:sz w:val="24"/>
        </w:rPr>
        <w:t>公开招标数额标准以上的采购项目，投标截止后投标人不足3家或者通过资格审查或符合性审查的投标人不足3家的，除采购任务取消情形外，将重新招标或采用其他采购方式采购。</w:t>
      </w:r>
    </w:p>
    <w:p>
      <w:pPr>
        <w:numPr>
          <w:ilvl w:val="255"/>
          <w:numId w:val="0"/>
        </w:numPr>
        <w:autoSpaceDE w:val="0"/>
        <w:autoSpaceDN w:val="0"/>
        <w:adjustRightInd w:val="0"/>
        <w:snapToGrid w:val="0"/>
        <w:spacing w:after="120" w:afterLines="50"/>
        <w:rPr>
          <w:sz w:val="24"/>
        </w:rPr>
      </w:pPr>
    </w:p>
    <w:p>
      <w:pPr>
        <w:numPr>
          <w:ilvl w:val="0"/>
          <w:numId w:val="4"/>
        </w:numPr>
        <w:autoSpaceDE w:val="0"/>
        <w:autoSpaceDN w:val="0"/>
        <w:adjustRightInd w:val="0"/>
        <w:spacing w:after="120" w:afterLines="50"/>
        <w:outlineLvl w:val="2"/>
        <w:rPr>
          <w:rFonts w:eastAsia="黑体"/>
          <w:kern w:val="0"/>
          <w:sz w:val="24"/>
        </w:rPr>
      </w:pPr>
      <w:bookmarkStart w:id="132" w:name="_Toc19223"/>
      <w:bookmarkStart w:id="133" w:name="_Toc22849"/>
      <w:bookmarkStart w:id="134" w:name="_Toc3341"/>
      <w:bookmarkStart w:id="135" w:name="_Toc195921830"/>
      <w:r>
        <w:rPr>
          <w:rFonts w:eastAsia="黑体"/>
          <w:kern w:val="0"/>
          <w:sz w:val="24"/>
        </w:rPr>
        <w:t>合同授予</w:t>
      </w:r>
      <w:bookmarkEnd w:id="132"/>
      <w:bookmarkEnd w:id="133"/>
      <w:bookmarkEnd w:id="134"/>
      <w:bookmarkEnd w:id="135"/>
    </w:p>
    <w:p>
      <w:pPr>
        <w:numPr>
          <w:ilvl w:val="1"/>
          <w:numId w:val="4"/>
        </w:numPr>
        <w:autoSpaceDE w:val="0"/>
        <w:autoSpaceDN w:val="0"/>
        <w:adjustRightInd w:val="0"/>
        <w:snapToGrid w:val="0"/>
        <w:spacing w:after="120" w:afterLines="50"/>
        <w:ind w:left="1680" w:hanging="1680" w:hangingChars="700"/>
        <w:rPr>
          <w:kern w:val="0"/>
          <w:sz w:val="24"/>
        </w:rPr>
      </w:pPr>
      <w:bookmarkStart w:id="136" w:name="_Toc195921831"/>
      <w:r>
        <w:rPr>
          <w:kern w:val="0"/>
          <w:sz w:val="24"/>
        </w:rPr>
        <w:t>定标方式</w:t>
      </w:r>
      <w:bookmarkEnd w:id="136"/>
    </w:p>
    <w:p>
      <w:pPr>
        <w:tabs>
          <w:tab w:val="left" w:pos="1260"/>
        </w:tabs>
        <w:autoSpaceDE w:val="0"/>
        <w:autoSpaceDN w:val="0"/>
        <w:adjustRightInd w:val="0"/>
        <w:snapToGrid w:val="0"/>
        <w:spacing w:after="120" w:afterLines="50"/>
        <w:ind w:left="1134"/>
        <w:rPr>
          <w:kern w:val="0"/>
          <w:sz w:val="24"/>
        </w:rPr>
      </w:pPr>
      <w:r>
        <w:rPr>
          <w:sz w:val="24"/>
        </w:rPr>
        <w:t>采购人按评标报告确定的中标候选人名单中按顺序确定中标人。评标委员会确定的中标候选人的人数见投标人须知前附表。</w:t>
      </w:r>
    </w:p>
    <w:p>
      <w:pPr>
        <w:numPr>
          <w:ilvl w:val="1"/>
          <w:numId w:val="4"/>
        </w:numPr>
        <w:autoSpaceDE w:val="0"/>
        <w:autoSpaceDN w:val="0"/>
        <w:adjustRightInd w:val="0"/>
        <w:snapToGrid w:val="0"/>
        <w:spacing w:after="120" w:afterLines="50"/>
        <w:ind w:left="1680" w:hanging="1680" w:hangingChars="700"/>
        <w:rPr>
          <w:kern w:val="0"/>
          <w:sz w:val="24"/>
        </w:rPr>
      </w:pPr>
      <w:r>
        <w:rPr>
          <w:kern w:val="0"/>
          <w:sz w:val="24"/>
        </w:rPr>
        <w:t>中标公告</w:t>
      </w:r>
    </w:p>
    <w:p>
      <w:pPr>
        <w:numPr>
          <w:ilvl w:val="2"/>
          <w:numId w:val="4"/>
        </w:numPr>
        <w:tabs>
          <w:tab w:val="left" w:pos="1260"/>
        </w:tabs>
        <w:autoSpaceDE w:val="0"/>
        <w:autoSpaceDN w:val="0"/>
        <w:adjustRightInd w:val="0"/>
        <w:snapToGrid w:val="0"/>
        <w:spacing w:after="120" w:afterLines="50"/>
        <w:rPr>
          <w:sz w:val="24"/>
        </w:rPr>
      </w:pPr>
      <w:r>
        <w:rPr>
          <w:sz w:val="24"/>
        </w:rPr>
        <w:t>采购人或者采购代理机构应当自中标人确定之日起2个工作日内，在省级以上财政部门指定的媒体上公告中标结果。</w:t>
      </w:r>
    </w:p>
    <w:p>
      <w:pPr>
        <w:tabs>
          <w:tab w:val="left" w:pos="1260"/>
        </w:tabs>
        <w:autoSpaceDE w:val="0"/>
        <w:autoSpaceDN w:val="0"/>
        <w:adjustRightInd w:val="0"/>
        <w:snapToGrid w:val="0"/>
        <w:spacing w:after="120" w:afterLines="50"/>
        <w:ind w:left="1134"/>
        <w:rPr>
          <w:sz w:val="24"/>
        </w:rPr>
      </w:pPr>
      <w:r>
        <w:rPr>
          <w:sz w:val="24"/>
        </w:rPr>
        <w:t>中标公告期限为1个工作日。</w:t>
      </w:r>
    </w:p>
    <w:p>
      <w:pPr>
        <w:numPr>
          <w:ilvl w:val="2"/>
          <w:numId w:val="4"/>
        </w:numPr>
        <w:tabs>
          <w:tab w:val="left" w:pos="1260"/>
        </w:tabs>
        <w:autoSpaceDE w:val="0"/>
        <w:autoSpaceDN w:val="0"/>
        <w:adjustRightInd w:val="0"/>
        <w:snapToGrid w:val="0"/>
        <w:spacing w:after="120" w:afterLines="50"/>
        <w:rPr>
          <w:sz w:val="24"/>
        </w:rPr>
      </w:pPr>
      <w:r>
        <w:rPr>
          <w:kern w:val="0"/>
          <w:sz w:val="24"/>
        </w:rPr>
        <w:t>投标人认为中标结果使自己的权益受到损害的，在中标公告期限届满之日</w:t>
      </w:r>
      <w:r>
        <w:rPr>
          <w:sz w:val="24"/>
        </w:rPr>
        <w:t>起七个工作日内，按本须知2.5款接收质疑函的方式以书面形式一次性提出对中标结果的质疑。</w:t>
      </w:r>
    </w:p>
    <w:p>
      <w:pPr>
        <w:numPr>
          <w:ilvl w:val="1"/>
          <w:numId w:val="4"/>
        </w:numPr>
        <w:autoSpaceDE w:val="0"/>
        <w:autoSpaceDN w:val="0"/>
        <w:adjustRightInd w:val="0"/>
        <w:snapToGrid w:val="0"/>
        <w:spacing w:after="120" w:afterLines="50"/>
        <w:ind w:left="1680" w:hanging="1680" w:hangingChars="700"/>
        <w:rPr>
          <w:kern w:val="0"/>
          <w:sz w:val="24"/>
        </w:rPr>
      </w:pPr>
      <w:bookmarkStart w:id="137" w:name="_Toc195921832"/>
      <w:r>
        <w:rPr>
          <w:kern w:val="0"/>
          <w:sz w:val="24"/>
        </w:rPr>
        <w:t>中标通知</w:t>
      </w:r>
      <w:bookmarkEnd w:id="137"/>
    </w:p>
    <w:p>
      <w:pPr>
        <w:tabs>
          <w:tab w:val="left" w:pos="1260"/>
        </w:tabs>
        <w:autoSpaceDE w:val="0"/>
        <w:autoSpaceDN w:val="0"/>
        <w:adjustRightInd w:val="0"/>
        <w:snapToGrid w:val="0"/>
        <w:spacing w:after="120" w:afterLines="50"/>
        <w:ind w:left="1134"/>
        <w:rPr>
          <w:kern w:val="0"/>
          <w:sz w:val="24"/>
        </w:rPr>
      </w:pPr>
      <w:r>
        <w:rPr>
          <w:kern w:val="0"/>
          <w:sz w:val="24"/>
        </w:rPr>
        <w:t>在公告中标结果的同时，采购人以书面形式向中标人发出中标通知书，同时将中标结果通知未中标的投标人。</w:t>
      </w:r>
    </w:p>
    <w:p>
      <w:pPr>
        <w:tabs>
          <w:tab w:val="left" w:pos="1260"/>
        </w:tabs>
        <w:autoSpaceDE w:val="0"/>
        <w:autoSpaceDN w:val="0"/>
        <w:adjustRightInd w:val="0"/>
        <w:snapToGrid w:val="0"/>
        <w:spacing w:after="120" w:afterLines="50"/>
        <w:ind w:left="1134"/>
        <w:rPr>
          <w:kern w:val="0"/>
          <w:sz w:val="24"/>
        </w:rPr>
      </w:pPr>
      <w:r>
        <w:rPr>
          <w:sz w:val="24"/>
        </w:rPr>
        <w:t>中标通知书发出后，采购人不得违法改变中标结果，中标人无正当理由不得放弃中标。</w:t>
      </w:r>
    </w:p>
    <w:p>
      <w:pPr>
        <w:numPr>
          <w:ilvl w:val="1"/>
          <w:numId w:val="4"/>
        </w:numPr>
        <w:autoSpaceDE w:val="0"/>
        <w:autoSpaceDN w:val="0"/>
        <w:adjustRightInd w:val="0"/>
        <w:snapToGrid w:val="0"/>
        <w:spacing w:after="120" w:afterLines="50"/>
        <w:ind w:left="1133" w:hanging="1132" w:hangingChars="472"/>
        <w:rPr>
          <w:kern w:val="0"/>
          <w:sz w:val="24"/>
        </w:rPr>
      </w:pPr>
      <w:r>
        <w:rPr>
          <w:kern w:val="0"/>
          <w:sz w:val="24"/>
        </w:rPr>
        <w:t>履约保证金</w:t>
      </w:r>
    </w:p>
    <w:p>
      <w:pPr>
        <w:numPr>
          <w:ilvl w:val="2"/>
          <w:numId w:val="4"/>
        </w:numPr>
        <w:tabs>
          <w:tab w:val="left" w:pos="1260"/>
        </w:tabs>
        <w:autoSpaceDE w:val="0"/>
        <w:autoSpaceDN w:val="0"/>
        <w:adjustRightInd w:val="0"/>
        <w:snapToGrid w:val="0"/>
        <w:spacing w:after="120" w:afterLines="50"/>
        <w:rPr>
          <w:kern w:val="0"/>
          <w:sz w:val="24"/>
        </w:rPr>
      </w:pPr>
      <w:bookmarkStart w:id="138" w:name="_Ref421009348"/>
      <w:r>
        <w:rPr>
          <w:kern w:val="0"/>
          <w:sz w:val="24"/>
        </w:rPr>
        <w:t>在签订合同前，中标人应按投标人须知前附表规定的金额、担保形式和招标文件第四章“合同条款及格式”规定的履约保证金格式向采购人提交履约保证金。</w:t>
      </w:r>
      <w:bookmarkEnd w:id="138"/>
    </w:p>
    <w:p>
      <w:pPr>
        <w:numPr>
          <w:ilvl w:val="2"/>
          <w:numId w:val="4"/>
        </w:numPr>
        <w:tabs>
          <w:tab w:val="left" w:pos="1260"/>
        </w:tabs>
        <w:autoSpaceDE w:val="0"/>
        <w:autoSpaceDN w:val="0"/>
        <w:adjustRightInd w:val="0"/>
        <w:snapToGrid w:val="0"/>
        <w:spacing w:after="120" w:afterLines="50"/>
        <w:rPr>
          <w:kern w:val="0"/>
          <w:sz w:val="24"/>
        </w:rPr>
      </w:pPr>
      <w:r>
        <w:rPr>
          <w:kern w:val="0"/>
          <w:sz w:val="24"/>
        </w:rPr>
        <w:t>中标人不能按本章第</w:t>
      </w:r>
      <w:r>
        <w:rPr>
          <w:kern w:val="0"/>
          <w:sz w:val="24"/>
        </w:rPr>
        <w:fldChar w:fldCharType="begin"/>
      </w:r>
      <w:r>
        <w:rPr>
          <w:kern w:val="0"/>
          <w:sz w:val="24"/>
        </w:rPr>
        <w:instrText xml:space="preserve"> REF _Ref421009348 \r \h  \* MERGEFORMAT </w:instrText>
      </w:r>
      <w:r>
        <w:rPr>
          <w:kern w:val="0"/>
          <w:sz w:val="24"/>
        </w:rPr>
        <w:fldChar w:fldCharType="separate"/>
      </w:r>
      <w:r>
        <w:rPr>
          <w:kern w:val="0"/>
          <w:sz w:val="24"/>
        </w:rPr>
        <w:t>8.4.1</w:t>
      </w:r>
      <w:r>
        <w:rPr>
          <w:kern w:val="0"/>
          <w:sz w:val="24"/>
        </w:rPr>
        <w:fldChar w:fldCharType="end"/>
      </w:r>
      <w:r>
        <w:rPr>
          <w:kern w:val="0"/>
          <w:sz w:val="24"/>
        </w:rPr>
        <w:t>项要求提交履约保证金的，视为放弃中标，其投标保证金不予退还，给采购人造成的损失超过投标保证金数额的，中标人还应当对超过部分予以赔偿。</w:t>
      </w:r>
    </w:p>
    <w:p>
      <w:pPr>
        <w:numPr>
          <w:ilvl w:val="1"/>
          <w:numId w:val="4"/>
        </w:numPr>
        <w:autoSpaceDE w:val="0"/>
        <w:autoSpaceDN w:val="0"/>
        <w:adjustRightInd w:val="0"/>
        <w:snapToGrid w:val="0"/>
        <w:spacing w:after="120" w:afterLines="50"/>
        <w:ind w:left="1133" w:hanging="1132" w:hangingChars="472"/>
        <w:rPr>
          <w:kern w:val="0"/>
          <w:sz w:val="24"/>
        </w:rPr>
      </w:pPr>
      <w:bookmarkStart w:id="139" w:name="_Toc195921834"/>
      <w:r>
        <w:rPr>
          <w:kern w:val="0"/>
          <w:sz w:val="24"/>
        </w:rPr>
        <w:t>签订合同</w:t>
      </w:r>
      <w:bookmarkEnd w:id="139"/>
    </w:p>
    <w:p>
      <w:pPr>
        <w:numPr>
          <w:ilvl w:val="2"/>
          <w:numId w:val="4"/>
        </w:numPr>
        <w:tabs>
          <w:tab w:val="left" w:pos="1260"/>
        </w:tabs>
        <w:autoSpaceDE w:val="0"/>
        <w:autoSpaceDN w:val="0"/>
        <w:adjustRightInd w:val="0"/>
        <w:snapToGrid w:val="0"/>
        <w:spacing w:after="120" w:afterLines="50"/>
        <w:rPr>
          <w:kern w:val="0"/>
          <w:sz w:val="24"/>
        </w:rPr>
      </w:pPr>
      <w:r>
        <w:rPr>
          <w:sz w:val="24"/>
        </w:rPr>
        <w:t>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napToGrid w:val="0"/>
        <w:spacing w:after="120" w:afterLines="50"/>
        <w:ind w:left="1134"/>
        <w:rPr>
          <w:sz w:val="24"/>
        </w:rPr>
      </w:pPr>
      <w:r>
        <w:rPr>
          <w:sz w:val="24"/>
        </w:rPr>
        <w:t>采购人不得向中标人提出任何不合理的要求作为签订合同的条件。</w:t>
      </w:r>
    </w:p>
    <w:p>
      <w:pPr>
        <w:numPr>
          <w:ilvl w:val="2"/>
          <w:numId w:val="4"/>
        </w:numPr>
        <w:tabs>
          <w:tab w:val="left" w:pos="1260"/>
        </w:tabs>
        <w:autoSpaceDE w:val="0"/>
        <w:autoSpaceDN w:val="0"/>
        <w:adjustRightInd w:val="0"/>
        <w:snapToGrid w:val="0"/>
        <w:spacing w:after="120" w:afterLines="50"/>
        <w:rPr>
          <w:kern w:val="0"/>
          <w:sz w:val="24"/>
        </w:rPr>
      </w:pPr>
      <w:r>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pPr>
        <w:numPr>
          <w:ilvl w:val="2"/>
          <w:numId w:val="4"/>
        </w:numPr>
        <w:tabs>
          <w:tab w:val="left" w:pos="1260"/>
        </w:tabs>
        <w:autoSpaceDE w:val="0"/>
        <w:autoSpaceDN w:val="0"/>
        <w:adjustRightInd w:val="0"/>
        <w:snapToGrid w:val="0"/>
        <w:spacing w:after="120" w:afterLines="50"/>
        <w:rPr>
          <w:kern w:val="0"/>
          <w:sz w:val="24"/>
        </w:rPr>
      </w:pPr>
      <w:r>
        <w:rPr>
          <w:kern w:val="0"/>
          <w:sz w:val="24"/>
        </w:rPr>
        <w:t>发出中标通知书后，采购人无正当理由拒签合同的，采购人向中标人退还投标保证金；给中标人造成损失的，还应当赔偿损失。</w:t>
      </w:r>
    </w:p>
    <w:p>
      <w:pPr>
        <w:numPr>
          <w:ilvl w:val="2"/>
          <w:numId w:val="4"/>
        </w:numPr>
        <w:tabs>
          <w:tab w:val="left" w:pos="1260"/>
        </w:tabs>
        <w:autoSpaceDE w:val="0"/>
        <w:autoSpaceDN w:val="0"/>
        <w:adjustRightInd w:val="0"/>
        <w:snapToGrid w:val="0"/>
        <w:spacing w:after="120" w:afterLines="50"/>
        <w:rPr>
          <w:kern w:val="0"/>
          <w:sz w:val="24"/>
        </w:rPr>
      </w:pPr>
      <w:r>
        <w:rPr>
          <w:kern w:val="0"/>
          <w:sz w:val="24"/>
        </w:rPr>
        <w:t>依据《政府采购促进中小企业发展管理办法》（财库〔2020〕46号）</w:t>
      </w:r>
      <w:r>
        <w:rPr>
          <w:rFonts w:hint="eastAsia"/>
          <w:kern w:val="0"/>
          <w:sz w:val="24"/>
        </w:rPr>
        <w:t>及《关于进一步加大政府采购支持中小企业力度的通知》（财库〔2022〕19号）</w:t>
      </w:r>
      <w:r>
        <w:rPr>
          <w:kern w:val="0"/>
          <w:sz w:val="24"/>
        </w:rPr>
        <w:t>规定享受扶持政策获得政府采购合同的，小微企业不得将合同分包给大中型企业，中型企业不得将合同分包给大型企业。</w:t>
      </w:r>
    </w:p>
    <w:p>
      <w:pPr>
        <w:numPr>
          <w:ilvl w:val="0"/>
          <w:numId w:val="4"/>
        </w:numPr>
        <w:autoSpaceDE w:val="0"/>
        <w:autoSpaceDN w:val="0"/>
        <w:adjustRightInd w:val="0"/>
        <w:spacing w:after="120" w:afterLines="50"/>
        <w:outlineLvl w:val="2"/>
        <w:rPr>
          <w:rFonts w:eastAsia="黑体"/>
          <w:kern w:val="0"/>
          <w:sz w:val="24"/>
        </w:rPr>
      </w:pPr>
      <w:bookmarkStart w:id="140" w:name="_Toc28634"/>
      <w:bookmarkStart w:id="141" w:name="_Toc2343"/>
      <w:bookmarkStart w:id="142" w:name="_Toc195921838"/>
      <w:bookmarkStart w:id="143" w:name="_Toc15142"/>
      <w:r>
        <w:rPr>
          <w:rFonts w:eastAsia="黑体"/>
          <w:kern w:val="0"/>
          <w:sz w:val="24"/>
        </w:rPr>
        <w:t>纪律和监督</w:t>
      </w:r>
      <w:bookmarkEnd w:id="140"/>
      <w:bookmarkEnd w:id="141"/>
      <w:bookmarkEnd w:id="142"/>
      <w:bookmarkEnd w:id="143"/>
    </w:p>
    <w:p>
      <w:pPr>
        <w:numPr>
          <w:ilvl w:val="1"/>
          <w:numId w:val="4"/>
        </w:numPr>
        <w:autoSpaceDE w:val="0"/>
        <w:autoSpaceDN w:val="0"/>
        <w:adjustRightInd w:val="0"/>
        <w:snapToGrid w:val="0"/>
        <w:spacing w:after="120" w:afterLines="50"/>
        <w:ind w:left="1133" w:hanging="1132" w:hangingChars="472"/>
        <w:rPr>
          <w:kern w:val="0"/>
          <w:sz w:val="24"/>
        </w:rPr>
      </w:pPr>
      <w:bookmarkStart w:id="144" w:name="_Toc195921839"/>
      <w:r>
        <w:rPr>
          <w:kern w:val="0"/>
          <w:sz w:val="24"/>
        </w:rPr>
        <w:t>对采购人的要求</w:t>
      </w:r>
      <w:bookmarkEnd w:id="144"/>
    </w:p>
    <w:p>
      <w:pPr>
        <w:tabs>
          <w:tab w:val="left" w:pos="1260"/>
        </w:tabs>
        <w:autoSpaceDE w:val="0"/>
        <w:autoSpaceDN w:val="0"/>
        <w:adjustRightInd w:val="0"/>
        <w:snapToGrid w:val="0"/>
        <w:spacing w:after="120" w:afterLines="50"/>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pPr>
        <w:numPr>
          <w:ilvl w:val="1"/>
          <w:numId w:val="4"/>
        </w:numPr>
        <w:autoSpaceDE w:val="0"/>
        <w:autoSpaceDN w:val="0"/>
        <w:adjustRightInd w:val="0"/>
        <w:snapToGrid w:val="0"/>
        <w:spacing w:after="120" w:afterLines="50"/>
        <w:ind w:left="1133" w:hanging="1132" w:hangingChars="472"/>
        <w:rPr>
          <w:kern w:val="0"/>
          <w:sz w:val="24"/>
        </w:rPr>
      </w:pPr>
      <w:bookmarkStart w:id="145" w:name="_Toc195921840"/>
      <w:r>
        <w:rPr>
          <w:kern w:val="0"/>
          <w:sz w:val="24"/>
        </w:rPr>
        <w:t>对采购代理机构的要求</w:t>
      </w:r>
    </w:p>
    <w:p>
      <w:pPr>
        <w:tabs>
          <w:tab w:val="left" w:pos="1260"/>
        </w:tabs>
        <w:autoSpaceDE w:val="0"/>
        <w:autoSpaceDN w:val="0"/>
        <w:adjustRightInd w:val="0"/>
        <w:snapToGrid w:val="0"/>
        <w:spacing w:after="120" w:afterLines="50"/>
        <w:ind w:left="1134"/>
        <w:rPr>
          <w:sz w:val="24"/>
        </w:rPr>
      </w:pPr>
      <w:r>
        <w:rPr>
          <w:sz w:val="24"/>
        </w:rPr>
        <w:t>采购代理机构不得与采购人、投标人恶意串通操纵政府采购活动。</w:t>
      </w:r>
    </w:p>
    <w:p>
      <w:pPr>
        <w:tabs>
          <w:tab w:val="left" w:pos="1260"/>
        </w:tabs>
        <w:autoSpaceDE w:val="0"/>
        <w:autoSpaceDN w:val="0"/>
        <w:adjustRightInd w:val="0"/>
        <w:snapToGrid w:val="0"/>
        <w:spacing w:after="120" w:afterLines="50"/>
        <w:ind w:left="1134"/>
        <w:rPr>
          <w:sz w:val="24"/>
        </w:rPr>
      </w:pPr>
      <w:r>
        <w:rPr>
          <w:sz w:val="24"/>
        </w:rPr>
        <w:t>采购代理机构工作人员不得接受采购人或者投标人组织的宴请、旅游、娱乐，不得收受礼品、现金、有价证券等，不得向采购人或者投标人报销应当由个人承担的费用。</w:t>
      </w:r>
    </w:p>
    <w:p>
      <w:pPr>
        <w:numPr>
          <w:ilvl w:val="1"/>
          <w:numId w:val="4"/>
        </w:numPr>
        <w:autoSpaceDE w:val="0"/>
        <w:autoSpaceDN w:val="0"/>
        <w:adjustRightInd w:val="0"/>
        <w:snapToGrid w:val="0"/>
        <w:spacing w:after="120" w:afterLines="50"/>
        <w:ind w:left="1133" w:hanging="1132" w:hangingChars="472"/>
        <w:rPr>
          <w:kern w:val="0"/>
          <w:sz w:val="24"/>
        </w:rPr>
      </w:pPr>
      <w:r>
        <w:rPr>
          <w:kern w:val="0"/>
          <w:sz w:val="24"/>
        </w:rPr>
        <w:t>对投标人的纪律要求</w:t>
      </w:r>
      <w:bookmarkEnd w:id="145"/>
    </w:p>
    <w:p>
      <w:pPr>
        <w:tabs>
          <w:tab w:val="left" w:pos="1260"/>
        </w:tabs>
        <w:autoSpaceDE w:val="0"/>
        <w:autoSpaceDN w:val="0"/>
        <w:adjustRightInd w:val="0"/>
        <w:snapToGrid w:val="0"/>
        <w:spacing w:after="120" w:afterLines="50"/>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numPr>
          <w:ilvl w:val="1"/>
          <w:numId w:val="4"/>
        </w:numPr>
        <w:autoSpaceDE w:val="0"/>
        <w:autoSpaceDN w:val="0"/>
        <w:adjustRightInd w:val="0"/>
        <w:snapToGrid w:val="0"/>
        <w:spacing w:after="120" w:afterLines="50"/>
        <w:ind w:left="1133" w:hanging="1132" w:hangingChars="472"/>
        <w:rPr>
          <w:kern w:val="0"/>
          <w:sz w:val="24"/>
        </w:rPr>
      </w:pPr>
      <w:bookmarkStart w:id="146" w:name="_Toc195921841"/>
      <w:r>
        <w:rPr>
          <w:kern w:val="0"/>
          <w:sz w:val="24"/>
        </w:rPr>
        <w:t>评标委员会及其成员不得有下列行为</w:t>
      </w:r>
      <w:bookmarkEnd w:id="146"/>
    </w:p>
    <w:p>
      <w:pPr>
        <w:snapToGrid w:val="0"/>
        <w:spacing w:after="120" w:afterLines="50"/>
        <w:ind w:left="1840" w:leftChars="539" w:hanging="708" w:hangingChars="295"/>
        <w:rPr>
          <w:sz w:val="24"/>
        </w:rPr>
      </w:pPr>
      <w:r>
        <w:rPr>
          <w:sz w:val="24"/>
        </w:rPr>
        <w:t>（1）</w:t>
      </w:r>
      <w:r>
        <w:rPr>
          <w:sz w:val="24"/>
        </w:rPr>
        <w:tab/>
      </w:r>
      <w:r>
        <w:rPr>
          <w:sz w:val="24"/>
        </w:rPr>
        <w:t>确定参与评标至评标结束前私自接触投标人；</w:t>
      </w:r>
    </w:p>
    <w:p>
      <w:pPr>
        <w:snapToGrid w:val="0"/>
        <w:spacing w:after="120" w:afterLines="50"/>
        <w:ind w:left="1840" w:leftChars="539" w:hanging="708" w:hangingChars="295"/>
        <w:rPr>
          <w:sz w:val="24"/>
        </w:rPr>
      </w:pPr>
      <w:r>
        <w:rPr>
          <w:sz w:val="24"/>
        </w:rPr>
        <w:t>（2）</w:t>
      </w:r>
      <w:r>
        <w:rPr>
          <w:sz w:val="24"/>
        </w:rPr>
        <w:tab/>
      </w:r>
      <w:r>
        <w:rPr>
          <w:sz w:val="24"/>
        </w:rPr>
        <w:t>接受投标人提出的与投标文件不一致的澄清或者说明，评标委员会要求投标人作出必要的澄清、说明或者补正的情形除外；</w:t>
      </w:r>
    </w:p>
    <w:p>
      <w:pPr>
        <w:snapToGrid w:val="0"/>
        <w:spacing w:after="120" w:afterLines="50"/>
        <w:ind w:left="1840" w:leftChars="539" w:hanging="708" w:hangingChars="295"/>
        <w:rPr>
          <w:sz w:val="24"/>
        </w:rPr>
      </w:pPr>
      <w:r>
        <w:rPr>
          <w:sz w:val="24"/>
        </w:rPr>
        <w:t>（3）</w:t>
      </w:r>
      <w:r>
        <w:rPr>
          <w:sz w:val="24"/>
        </w:rPr>
        <w:tab/>
      </w:r>
      <w:r>
        <w:rPr>
          <w:sz w:val="24"/>
        </w:rPr>
        <w:t>违反评标纪律发表倾向性意见或者征询采购人的倾向性意见；</w:t>
      </w:r>
    </w:p>
    <w:p>
      <w:pPr>
        <w:snapToGrid w:val="0"/>
        <w:spacing w:after="120" w:afterLines="50"/>
        <w:ind w:left="1840" w:leftChars="539" w:hanging="708" w:hangingChars="295"/>
        <w:rPr>
          <w:sz w:val="24"/>
        </w:rPr>
      </w:pPr>
      <w:r>
        <w:rPr>
          <w:sz w:val="24"/>
        </w:rPr>
        <w:t>（4）</w:t>
      </w:r>
      <w:r>
        <w:rPr>
          <w:sz w:val="24"/>
        </w:rPr>
        <w:tab/>
      </w:r>
      <w:r>
        <w:rPr>
          <w:sz w:val="24"/>
        </w:rPr>
        <w:t>对需要专业判断的主观评审因素协商评分；</w:t>
      </w:r>
    </w:p>
    <w:p>
      <w:pPr>
        <w:snapToGrid w:val="0"/>
        <w:spacing w:after="120" w:afterLines="50"/>
        <w:ind w:left="1840" w:leftChars="539" w:hanging="708" w:hangingChars="295"/>
        <w:rPr>
          <w:sz w:val="24"/>
        </w:rPr>
      </w:pPr>
      <w:r>
        <w:rPr>
          <w:sz w:val="24"/>
        </w:rPr>
        <w:t>（5）</w:t>
      </w:r>
      <w:r>
        <w:rPr>
          <w:sz w:val="24"/>
        </w:rPr>
        <w:tab/>
      </w:r>
      <w:r>
        <w:rPr>
          <w:sz w:val="24"/>
        </w:rPr>
        <w:t>在评标过程中擅离职守，影响评标程序正常进行的；</w:t>
      </w:r>
    </w:p>
    <w:p>
      <w:pPr>
        <w:snapToGrid w:val="0"/>
        <w:spacing w:after="120" w:afterLines="50"/>
        <w:ind w:left="1840" w:leftChars="539" w:hanging="708" w:hangingChars="295"/>
        <w:rPr>
          <w:sz w:val="24"/>
        </w:rPr>
      </w:pPr>
      <w:r>
        <w:rPr>
          <w:sz w:val="24"/>
        </w:rPr>
        <w:t>（6）</w:t>
      </w:r>
      <w:r>
        <w:rPr>
          <w:sz w:val="24"/>
        </w:rPr>
        <w:tab/>
      </w:r>
      <w:r>
        <w:rPr>
          <w:sz w:val="24"/>
        </w:rPr>
        <w:t>记录、复制或者带走任何评标资料；</w:t>
      </w:r>
    </w:p>
    <w:p>
      <w:pPr>
        <w:snapToGrid w:val="0"/>
        <w:spacing w:after="120" w:afterLines="50"/>
        <w:ind w:left="1840" w:leftChars="539" w:hanging="708" w:hangingChars="295"/>
        <w:rPr>
          <w:sz w:val="24"/>
        </w:rPr>
      </w:pPr>
      <w:r>
        <w:rPr>
          <w:sz w:val="24"/>
        </w:rPr>
        <w:t>（7）</w:t>
      </w:r>
      <w:r>
        <w:rPr>
          <w:sz w:val="24"/>
        </w:rPr>
        <w:tab/>
      </w:r>
      <w:r>
        <w:rPr>
          <w:sz w:val="24"/>
        </w:rPr>
        <w:t>其他不遵守评标纪律的行为。</w:t>
      </w:r>
    </w:p>
    <w:p>
      <w:pPr>
        <w:numPr>
          <w:ilvl w:val="1"/>
          <w:numId w:val="4"/>
        </w:numPr>
        <w:autoSpaceDE w:val="0"/>
        <w:autoSpaceDN w:val="0"/>
        <w:adjustRightInd w:val="0"/>
        <w:snapToGrid w:val="0"/>
        <w:spacing w:after="120" w:afterLines="50"/>
        <w:ind w:left="1133" w:hanging="1132" w:hangingChars="472"/>
        <w:rPr>
          <w:kern w:val="0"/>
          <w:sz w:val="24"/>
        </w:rPr>
      </w:pPr>
      <w:bookmarkStart w:id="147" w:name="_Toc195921842"/>
      <w:r>
        <w:rPr>
          <w:kern w:val="0"/>
          <w:sz w:val="24"/>
        </w:rPr>
        <w:t>对与评标活动有关的工作人员的纪律要求</w:t>
      </w:r>
      <w:bookmarkEnd w:id="147"/>
    </w:p>
    <w:p>
      <w:pPr>
        <w:tabs>
          <w:tab w:val="left" w:pos="1260"/>
        </w:tabs>
        <w:autoSpaceDE w:val="0"/>
        <w:autoSpaceDN w:val="0"/>
        <w:adjustRightInd w:val="0"/>
        <w:snapToGrid w:val="0"/>
        <w:spacing w:after="120" w:afterLines="50"/>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4"/>
        </w:numPr>
        <w:autoSpaceDE w:val="0"/>
        <w:autoSpaceDN w:val="0"/>
        <w:adjustRightInd w:val="0"/>
        <w:snapToGrid w:val="0"/>
        <w:spacing w:after="120" w:afterLines="50"/>
        <w:ind w:left="1920" w:hanging="1920" w:hangingChars="800"/>
        <w:rPr>
          <w:kern w:val="0"/>
          <w:sz w:val="24"/>
        </w:rPr>
      </w:pPr>
      <w:bookmarkStart w:id="148" w:name="_Toc195921843"/>
      <w:r>
        <w:rPr>
          <w:kern w:val="0"/>
          <w:sz w:val="24"/>
        </w:rPr>
        <w:t>投诉</w:t>
      </w:r>
      <w:bookmarkEnd w:id="148"/>
    </w:p>
    <w:p>
      <w:pPr>
        <w:tabs>
          <w:tab w:val="left" w:pos="1260"/>
        </w:tabs>
        <w:autoSpaceDE w:val="0"/>
        <w:autoSpaceDN w:val="0"/>
        <w:adjustRightInd w:val="0"/>
        <w:snapToGrid w:val="0"/>
        <w:spacing w:after="120" w:afterLines="50"/>
        <w:ind w:left="1134"/>
        <w:rPr>
          <w:kern w:val="0"/>
          <w:sz w:val="24"/>
        </w:rPr>
      </w:pPr>
      <w:r>
        <w:rPr>
          <w:kern w:val="0"/>
          <w:sz w:val="24"/>
        </w:rPr>
        <w:t>投标人和其他利害关系人认为本次招标活动违反法律、法规和规章规定的，有权向有关行政监督部门投诉。</w:t>
      </w:r>
    </w:p>
    <w:p>
      <w:pPr>
        <w:numPr>
          <w:ilvl w:val="0"/>
          <w:numId w:val="4"/>
        </w:numPr>
        <w:autoSpaceDE w:val="0"/>
        <w:autoSpaceDN w:val="0"/>
        <w:adjustRightInd w:val="0"/>
        <w:spacing w:after="120" w:afterLines="50"/>
        <w:outlineLvl w:val="2"/>
        <w:rPr>
          <w:rFonts w:eastAsia="黑体"/>
          <w:kern w:val="0"/>
          <w:sz w:val="24"/>
        </w:rPr>
      </w:pPr>
      <w:bookmarkStart w:id="149" w:name="_Toc10266"/>
      <w:bookmarkStart w:id="150" w:name="_Toc195921844"/>
      <w:bookmarkStart w:id="151" w:name="_Toc25557"/>
      <w:bookmarkStart w:id="152" w:name="_Toc29652"/>
      <w:r>
        <w:rPr>
          <w:rFonts w:ascii="Times New Roman" w:hAnsi="Times New Roman" w:eastAsia="黑体" w:cs="Times New Roman"/>
          <w:b w:val="0"/>
          <w:bCs w:val="0"/>
          <w:kern w:val="0"/>
          <w:sz w:val="24"/>
          <w:szCs w:val="24"/>
          <w:lang w:val="en-US" w:eastAsia="zh-CN" w:bidi="ar-SA"/>
        </w:rPr>
        <w:t>是否采用电子招标投标</w:t>
      </w:r>
      <w:bookmarkEnd w:id="149"/>
    </w:p>
    <w:p>
      <w:pPr>
        <w:pStyle w:val="19"/>
        <w:widowControl/>
        <w:pBdr>
          <w:top w:val="none" w:color="auto" w:sz="0" w:space="1"/>
          <w:left w:val="none" w:color="auto" w:sz="0" w:space="4"/>
          <w:bottom w:val="none" w:color="auto" w:sz="0" w:space="1"/>
          <w:right w:val="none" w:color="auto" w:sz="0" w:space="4"/>
        </w:pBdr>
        <w:wordWrap w:val="0"/>
        <w:ind w:firstLine="1200" w:firstLineChars="500"/>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本招标项目是否采用电子招标投标方式，见投标人须知前附表。</w:t>
      </w:r>
    </w:p>
    <w:p>
      <w:pPr>
        <w:numPr>
          <w:ilvl w:val="0"/>
          <w:numId w:val="4"/>
        </w:numPr>
        <w:autoSpaceDE w:val="0"/>
        <w:autoSpaceDN w:val="0"/>
        <w:adjustRightInd w:val="0"/>
        <w:spacing w:after="120" w:afterLines="50"/>
        <w:outlineLvl w:val="2"/>
        <w:rPr>
          <w:rFonts w:eastAsia="黑体"/>
          <w:kern w:val="0"/>
          <w:sz w:val="24"/>
        </w:rPr>
      </w:pPr>
      <w:bookmarkStart w:id="153" w:name="_Toc8178"/>
      <w:r>
        <w:rPr>
          <w:rFonts w:eastAsia="黑体"/>
          <w:kern w:val="0"/>
          <w:sz w:val="24"/>
        </w:rPr>
        <w:t>需要补充的其他内容</w:t>
      </w:r>
      <w:bookmarkEnd w:id="150"/>
      <w:bookmarkEnd w:id="151"/>
      <w:bookmarkEnd w:id="152"/>
      <w:bookmarkEnd w:id="153"/>
    </w:p>
    <w:p>
      <w:pPr>
        <w:numPr>
          <w:ilvl w:val="0"/>
          <w:numId w:val="12"/>
        </w:numPr>
        <w:tabs>
          <w:tab w:val="left" w:pos="1843"/>
        </w:tabs>
        <w:autoSpaceDE w:val="0"/>
        <w:autoSpaceDN w:val="0"/>
        <w:adjustRightInd w:val="0"/>
        <w:snapToGrid w:val="0"/>
        <w:spacing w:after="120" w:afterLines="50"/>
        <w:ind w:left="1843" w:hanging="822"/>
        <w:rPr>
          <w:kern w:val="0"/>
          <w:sz w:val="24"/>
        </w:rPr>
      </w:pPr>
      <w:r>
        <w:rPr>
          <w:kern w:val="0"/>
          <w:sz w:val="24"/>
        </w:rPr>
        <w:t>投标人中标后须向招标代理机构交纳招标服务费。</w:t>
      </w:r>
      <w:r>
        <w:rPr>
          <w:rFonts w:hint="eastAsia"/>
          <w:kern w:val="0"/>
          <w:sz w:val="24"/>
        </w:rPr>
        <w:t>具体</w:t>
      </w:r>
      <w:r>
        <w:rPr>
          <w:kern w:val="0"/>
          <w:sz w:val="24"/>
        </w:rPr>
        <w:t>见投标人须知前附表。</w:t>
      </w:r>
    </w:p>
    <w:p>
      <w:pPr>
        <w:numPr>
          <w:ilvl w:val="0"/>
          <w:numId w:val="12"/>
        </w:numPr>
        <w:tabs>
          <w:tab w:val="left" w:pos="1843"/>
        </w:tabs>
        <w:autoSpaceDE w:val="0"/>
        <w:autoSpaceDN w:val="0"/>
        <w:adjustRightInd w:val="0"/>
        <w:snapToGrid w:val="0"/>
        <w:spacing w:after="120" w:afterLines="50"/>
        <w:ind w:left="1843" w:hanging="822"/>
        <w:rPr>
          <w:kern w:val="0"/>
          <w:sz w:val="24"/>
        </w:rPr>
      </w:pPr>
      <w:r>
        <w:rPr>
          <w:kern w:val="0"/>
          <w:sz w:val="24"/>
        </w:rPr>
        <w:t>需要补充的其他内容：见投标人须知前附表。</w:t>
      </w:r>
    </w:p>
    <w:p>
      <w:pPr>
        <w:autoSpaceDE w:val="0"/>
        <w:autoSpaceDN w:val="0"/>
        <w:adjustRightInd w:val="0"/>
        <w:snapToGrid w:val="0"/>
        <w:spacing w:after="120" w:afterLines="50"/>
        <w:jc w:val="center"/>
        <w:outlineLvl w:val="0"/>
        <w:rPr>
          <w:kern w:val="0"/>
          <w:sz w:val="32"/>
          <w:szCs w:val="32"/>
        </w:rPr>
      </w:pPr>
      <w:r>
        <w:br w:type="page"/>
      </w:r>
      <w:bookmarkStart w:id="154" w:name="_Toc195921851"/>
      <w:bookmarkStart w:id="155" w:name="_Toc29029"/>
      <w:bookmarkStart w:id="156" w:name="_Toc28166"/>
      <w:bookmarkStart w:id="157" w:name="_Toc20220"/>
      <w:r>
        <w:rPr>
          <w:rFonts w:eastAsia="黑体"/>
          <w:kern w:val="0"/>
          <w:sz w:val="32"/>
          <w:szCs w:val="32"/>
        </w:rPr>
        <w:t>第三章 资格审查、评标办法</w:t>
      </w:r>
      <w:bookmarkEnd w:id="154"/>
      <w:r>
        <w:rPr>
          <w:rFonts w:eastAsia="黑体"/>
          <w:kern w:val="0"/>
          <w:sz w:val="32"/>
          <w:szCs w:val="32"/>
        </w:rPr>
        <w:t>和标准</w:t>
      </w:r>
      <w:bookmarkEnd w:id="155"/>
      <w:bookmarkEnd w:id="156"/>
      <w:bookmarkEnd w:id="157"/>
    </w:p>
    <w:p>
      <w:pPr>
        <w:autoSpaceDE w:val="0"/>
        <w:autoSpaceDN w:val="0"/>
        <w:adjustRightInd w:val="0"/>
        <w:snapToGrid w:val="0"/>
        <w:spacing w:after="120" w:afterLines="50"/>
        <w:jc w:val="left"/>
        <w:rPr>
          <w:kern w:val="0"/>
          <w:szCs w:val="21"/>
        </w:rPr>
      </w:pPr>
    </w:p>
    <w:p>
      <w:pPr>
        <w:numPr>
          <w:ilvl w:val="0"/>
          <w:numId w:val="13"/>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58" w:name="_Toc31577"/>
      <w:bookmarkStart w:id="159" w:name="_Toc17946"/>
      <w:bookmarkStart w:id="160" w:name="_Toc13499"/>
      <w:r>
        <w:rPr>
          <w:rFonts w:eastAsia="黑体"/>
          <w:kern w:val="0"/>
          <w:sz w:val="24"/>
        </w:rPr>
        <w:t>资格审查及标准</w:t>
      </w:r>
      <w:bookmarkEnd w:id="158"/>
      <w:bookmarkEnd w:id="159"/>
      <w:bookmarkEnd w:id="160"/>
    </w:p>
    <w:p>
      <w:pPr>
        <w:autoSpaceDE w:val="0"/>
        <w:autoSpaceDN w:val="0"/>
        <w:adjustRightInd w:val="0"/>
        <w:snapToGrid w:val="0"/>
        <w:spacing w:after="120" w:afterLines="50"/>
        <w:ind w:left="991" w:leftChars="472"/>
        <w:rPr>
          <w:kern w:val="0"/>
          <w:sz w:val="24"/>
        </w:rPr>
      </w:pPr>
      <w:r>
        <w:rPr>
          <w:kern w:val="0"/>
          <w:sz w:val="24"/>
        </w:rPr>
        <w:t>详见投标人须知前附表6.1，由采购人或采购代理机构按附表一所列审查标准，对投标人资格进行审查，以确定投标人是否具备投标资格，投标人未通过资格审查的，其投标无效。</w:t>
      </w:r>
    </w:p>
    <w:p>
      <w:pPr>
        <w:numPr>
          <w:ilvl w:val="0"/>
          <w:numId w:val="13"/>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1" w:name="_Toc15422"/>
      <w:bookmarkStart w:id="162" w:name="_Toc25398"/>
      <w:bookmarkStart w:id="163" w:name="_Toc10671"/>
      <w:r>
        <w:rPr>
          <w:rFonts w:eastAsia="黑体"/>
          <w:kern w:val="0"/>
          <w:sz w:val="24"/>
        </w:rPr>
        <w:t>评标方法</w:t>
      </w:r>
      <w:bookmarkEnd w:id="161"/>
      <w:bookmarkEnd w:id="162"/>
      <w:bookmarkEnd w:id="163"/>
    </w:p>
    <w:p>
      <w:pPr>
        <w:autoSpaceDE w:val="0"/>
        <w:autoSpaceDN w:val="0"/>
        <w:adjustRightInd w:val="0"/>
        <w:snapToGrid w:val="0"/>
        <w:spacing w:after="120" w:afterLines="50"/>
        <w:ind w:left="991" w:leftChars="472"/>
        <w:rPr>
          <w:kern w:val="0"/>
          <w:sz w:val="24"/>
        </w:rPr>
      </w:pPr>
      <w:bookmarkStart w:id="164" w:name="_Toc12642"/>
      <w:bookmarkStart w:id="165" w:name="_Toc23815"/>
      <w:bookmarkStart w:id="166" w:name="_Toc17609"/>
      <w:r>
        <w:rPr>
          <w:kern w:val="0"/>
          <w:sz w:val="24"/>
        </w:rPr>
        <w:t>本次评标采用综合评分法。评标委员会对满足招标文件实质性要求的投标文件，按照本章第</w:t>
      </w:r>
      <w:r>
        <w:rPr>
          <w:kern w:val="0"/>
          <w:sz w:val="24"/>
        </w:rPr>
        <w:fldChar w:fldCharType="begin"/>
      </w:r>
      <w:r>
        <w:rPr>
          <w:kern w:val="0"/>
          <w:sz w:val="24"/>
        </w:rPr>
        <w:instrText xml:space="preserve"> REF _Ref507665740 \r \h  \* MERGEFORMAT </w:instrText>
      </w:r>
      <w:r>
        <w:rPr>
          <w:kern w:val="0"/>
          <w:sz w:val="24"/>
        </w:rPr>
        <w:fldChar w:fldCharType="separate"/>
      </w:r>
      <w:r>
        <w:rPr>
          <w:kern w:val="0"/>
          <w:sz w:val="24"/>
        </w:rPr>
        <w:t>3</w:t>
      </w:r>
      <w:r>
        <w:rPr>
          <w:kern w:val="0"/>
          <w:sz w:val="24"/>
        </w:rPr>
        <w:fldChar w:fldCharType="end"/>
      </w:r>
      <w:r>
        <w:rPr>
          <w:kern w:val="0"/>
          <w:sz w:val="24"/>
        </w:rPr>
        <w:t>条规定的评审标准进行打分，并按得分由高到低顺序推荐中标候选人，或根据采购人授权直接确定中标人。</w:t>
      </w:r>
      <w:bookmarkEnd w:id="164"/>
      <w:bookmarkEnd w:id="165"/>
      <w:r>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66"/>
    </w:p>
    <w:p>
      <w:pPr>
        <w:numPr>
          <w:ilvl w:val="0"/>
          <w:numId w:val="13"/>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7" w:name="_Toc17932"/>
      <w:bookmarkStart w:id="168" w:name="_Toc12479"/>
      <w:bookmarkStart w:id="169" w:name="_Toc20176"/>
      <w:r>
        <w:rPr>
          <w:rFonts w:eastAsia="黑体"/>
          <w:kern w:val="0"/>
          <w:sz w:val="24"/>
        </w:rPr>
        <w:t>评审标准</w:t>
      </w:r>
      <w:bookmarkEnd w:id="167"/>
      <w:bookmarkEnd w:id="168"/>
      <w:bookmarkEnd w:id="169"/>
    </w:p>
    <w:p>
      <w:pPr>
        <w:numPr>
          <w:ilvl w:val="1"/>
          <w:numId w:val="13"/>
        </w:numPr>
        <w:tabs>
          <w:tab w:val="left" w:pos="993"/>
        </w:tabs>
        <w:autoSpaceDE w:val="0"/>
        <w:autoSpaceDN w:val="0"/>
        <w:adjustRightInd w:val="0"/>
        <w:snapToGrid w:val="0"/>
        <w:spacing w:after="120" w:afterLines="50"/>
        <w:jc w:val="left"/>
        <w:rPr>
          <w:kern w:val="0"/>
          <w:sz w:val="24"/>
        </w:rPr>
      </w:pPr>
      <w:r>
        <w:rPr>
          <w:kern w:val="0"/>
          <w:sz w:val="24"/>
        </w:rPr>
        <w:t>符合性评审标准：见附表二。投标人须满足附表二符合性审查表的全部内容，否则其投标无效。</w:t>
      </w:r>
    </w:p>
    <w:p>
      <w:pPr>
        <w:numPr>
          <w:ilvl w:val="1"/>
          <w:numId w:val="13"/>
        </w:numPr>
        <w:tabs>
          <w:tab w:val="left" w:pos="993"/>
        </w:tabs>
        <w:autoSpaceDE w:val="0"/>
        <w:autoSpaceDN w:val="0"/>
        <w:adjustRightInd w:val="0"/>
        <w:snapToGrid w:val="0"/>
        <w:spacing w:after="120" w:afterLines="50"/>
        <w:jc w:val="left"/>
        <w:rPr>
          <w:kern w:val="0"/>
          <w:sz w:val="24"/>
        </w:rPr>
      </w:pPr>
      <w:r>
        <w:rPr>
          <w:kern w:val="0"/>
          <w:sz w:val="24"/>
        </w:rPr>
        <w:t>分值构成</w:t>
      </w:r>
    </w:p>
    <w:p>
      <w:pPr>
        <w:tabs>
          <w:tab w:val="left" w:pos="993"/>
        </w:tabs>
        <w:autoSpaceDE w:val="0"/>
        <w:autoSpaceDN w:val="0"/>
        <w:adjustRightInd w:val="0"/>
        <w:snapToGrid w:val="0"/>
        <w:spacing w:after="120" w:afterLines="50"/>
        <w:ind w:firstLine="960" w:firstLineChars="400"/>
        <w:jc w:val="left"/>
        <w:rPr>
          <w:kern w:val="0"/>
          <w:sz w:val="24"/>
        </w:rPr>
      </w:pPr>
      <w:r>
        <w:rPr>
          <w:kern w:val="0"/>
          <w:sz w:val="24"/>
        </w:rPr>
        <w:t>分值构成：总分100分</w:t>
      </w:r>
    </w:p>
    <w:p>
      <w:pPr>
        <w:numPr>
          <w:ilvl w:val="1"/>
          <w:numId w:val="13"/>
        </w:numPr>
        <w:tabs>
          <w:tab w:val="left" w:pos="993"/>
        </w:tabs>
        <w:autoSpaceDE w:val="0"/>
        <w:autoSpaceDN w:val="0"/>
        <w:adjustRightInd w:val="0"/>
        <w:snapToGrid w:val="0"/>
        <w:spacing w:after="120" w:afterLines="50"/>
        <w:jc w:val="left"/>
        <w:rPr>
          <w:kern w:val="0"/>
          <w:sz w:val="24"/>
        </w:rPr>
      </w:pPr>
      <w:bookmarkStart w:id="170" w:name="_Ref426362114"/>
      <w:r>
        <w:rPr>
          <w:kern w:val="0"/>
          <w:sz w:val="24"/>
        </w:rPr>
        <w:t>商务和技术评审标准</w:t>
      </w:r>
      <w:bookmarkEnd w:id="170"/>
    </w:p>
    <w:p>
      <w:pPr>
        <w:numPr>
          <w:ilvl w:val="2"/>
          <w:numId w:val="13"/>
        </w:numPr>
        <w:tabs>
          <w:tab w:val="left" w:pos="993"/>
        </w:tabs>
        <w:autoSpaceDE w:val="0"/>
        <w:autoSpaceDN w:val="0"/>
        <w:adjustRightInd w:val="0"/>
        <w:snapToGrid w:val="0"/>
        <w:spacing w:after="120" w:afterLines="50"/>
        <w:ind w:left="993" w:hanging="993"/>
        <w:jc w:val="left"/>
        <w:rPr>
          <w:kern w:val="0"/>
          <w:sz w:val="24"/>
        </w:rPr>
      </w:pPr>
      <w:bookmarkStart w:id="171" w:name="_Ref426362140"/>
      <w:r>
        <w:rPr>
          <w:kern w:val="0"/>
          <w:sz w:val="24"/>
        </w:rPr>
        <w:t>商务部分评分标准：见附表</w:t>
      </w:r>
      <w:bookmarkEnd w:id="171"/>
      <w:r>
        <w:rPr>
          <w:kern w:val="0"/>
          <w:sz w:val="24"/>
        </w:rPr>
        <w:t>三</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bookmarkStart w:id="172" w:name="_Ref426362158"/>
      <w:r>
        <w:rPr>
          <w:kern w:val="0"/>
          <w:sz w:val="24"/>
        </w:rPr>
        <w:t>技术部分评分标准：</w:t>
      </w:r>
      <w:bookmarkEnd w:id="172"/>
      <w:bookmarkStart w:id="173" w:name="_Ref426362176"/>
      <w:r>
        <w:rPr>
          <w:kern w:val="0"/>
          <w:sz w:val="24"/>
        </w:rPr>
        <w:t>见附表三</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投标报价评分标准：</w:t>
      </w:r>
      <w:bookmarkEnd w:id="173"/>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（1）根据《政府采购促进中小企业发展管理办法》（财库〔2020〕46号）</w:t>
      </w:r>
      <w:r>
        <w:rPr>
          <w:rFonts w:hint="eastAsia"/>
          <w:kern w:val="0"/>
          <w:sz w:val="24"/>
        </w:rPr>
        <w:t>及《关于进一步加大政府采购支持中小企业力度的通知》（财库〔2022〕19号）</w:t>
      </w:r>
      <w:r>
        <w:rPr>
          <w:kern w:val="0"/>
          <w:sz w:val="24"/>
        </w:rPr>
        <w:t>调整投标人参与评标的价格，用扣除后的价格参加评审。</w:t>
      </w:r>
      <w:r>
        <w:rPr>
          <w:b/>
          <w:bCs/>
          <w:kern w:val="0"/>
          <w:sz w:val="24"/>
        </w:rPr>
        <w:t>（</w:t>
      </w:r>
      <w:r>
        <w:rPr>
          <w:rFonts w:hint="eastAsia"/>
          <w:b/>
          <w:bCs/>
          <w:kern w:val="0"/>
          <w:sz w:val="24"/>
        </w:rPr>
        <w:t>适用于</w:t>
      </w:r>
      <w:r>
        <w:rPr>
          <w:b/>
          <w:bCs/>
          <w:kern w:val="0"/>
          <w:sz w:val="24"/>
        </w:rPr>
        <w:t>非专门面向中小企业的项目）</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对小型和微型企业报价给予</w:t>
      </w:r>
      <w:r>
        <w:rPr>
          <w:rFonts w:hint="eastAsia"/>
          <w:kern w:val="0"/>
          <w:sz w:val="24"/>
        </w:rPr>
        <w:t>10</w:t>
      </w:r>
      <w:r>
        <w:rPr>
          <w:kern w:val="0"/>
          <w:sz w:val="24"/>
        </w:rPr>
        <w:t>%的扣除。或大中型企业与小型、微型企业组成联合体，联合协议约定小型、微型企业的合同份额占到合同总金额30%以上的，联合体的报价给予/%的扣除。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分包意向协议约定</w:t>
      </w:r>
      <w:r>
        <w:rPr>
          <w:rFonts w:hint="eastAsia"/>
          <w:kern w:val="0"/>
          <w:sz w:val="24"/>
        </w:rPr>
        <w:t>中型、</w:t>
      </w:r>
      <w:r>
        <w:rPr>
          <w:kern w:val="0"/>
          <w:sz w:val="24"/>
        </w:rPr>
        <w:t>小型、微型企业的合同份额占到合同总金额30%以上的，大中型企业的报价给予/%的扣除。</w:t>
      </w:r>
    </w:p>
    <w:p>
      <w:pPr>
        <w:tabs>
          <w:tab w:val="left" w:pos="993"/>
        </w:tabs>
        <w:autoSpaceDE w:val="0"/>
        <w:autoSpaceDN w:val="0"/>
        <w:adjustRightInd w:val="0"/>
        <w:snapToGrid w:val="0"/>
        <w:spacing w:after="120" w:afterLines="50"/>
        <w:ind w:left="1699" w:leftChars="809"/>
        <w:jc w:val="left"/>
        <w:rPr>
          <w:kern w:val="0"/>
          <w:sz w:val="24"/>
          <w:highlight w:val="none"/>
        </w:rPr>
      </w:pPr>
      <w:r>
        <w:rPr>
          <w:kern w:val="0"/>
          <w:sz w:val="24"/>
          <w:highlight w:val="none"/>
        </w:rPr>
        <w:t>注：联合体各方均为小型、微型企业的，联合体视同小型、微型企业；监狱企业、残疾人福利性单位视同</w:t>
      </w:r>
      <w:r>
        <w:rPr>
          <w:rFonts w:hint="eastAsia"/>
          <w:kern w:val="0"/>
          <w:sz w:val="24"/>
          <w:highlight w:val="none"/>
        </w:rPr>
        <w:t>小微</w:t>
      </w:r>
      <w:r>
        <w:rPr>
          <w:kern w:val="0"/>
          <w:sz w:val="24"/>
          <w:highlight w:val="none"/>
        </w:rPr>
        <w:t>企业；监狱企业、残疾人福利性单位属于小微企业的，不重复享受政策。</w:t>
      </w:r>
    </w:p>
    <w:p>
      <w:pPr>
        <w:tabs>
          <w:tab w:val="left" w:pos="993"/>
        </w:tabs>
        <w:autoSpaceDE w:val="0"/>
        <w:autoSpaceDN w:val="0"/>
        <w:adjustRightInd w:val="0"/>
        <w:snapToGrid w:val="0"/>
        <w:spacing w:after="120" w:afterLines="50"/>
        <w:ind w:left="2041" w:leftChars="515" w:hanging="960" w:hangingChars="400"/>
        <w:jc w:val="left"/>
        <w:rPr>
          <w:kern w:val="0"/>
          <w:sz w:val="24"/>
          <w:highlight w:val="none"/>
        </w:rPr>
      </w:pPr>
      <w:r>
        <w:rPr>
          <w:kern w:val="0"/>
          <w:sz w:val="24"/>
          <w:highlight w:val="none"/>
        </w:rPr>
        <w:t>（2）评标基准价</w:t>
      </w:r>
    </w:p>
    <w:p>
      <w:pPr>
        <w:tabs>
          <w:tab w:val="left" w:pos="993"/>
        </w:tabs>
        <w:autoSpaceDE w:val="0"/>
        <w:autoSpaceDN w:val="0"/>
        <w:adjustRightInd w:val="0"/>
        <w:snapToGrid w:val="0"/>
        <w:spacing w:after="120" w:afterLines="50"/>
        <w:ind w:left="1699" w:leftChars="809"/>
        <w:jc w:val="left"/>
        <w:rPr>
          <w:kern w:val="0"/>
          <w:sz w:val="24"/>
          <w:highlight w:val="none"/>
        </w:rPr>
      </w:pPr>
      <w:r>
        <w:rPr>
          <w:kern w:val="0"/>
          <w:sz w:val="24"/>
          <w:highlight w:val="none"/>
        </w:rPr>
        <w:t>有效投标文件中的并按</w:t>
      </w:r>
      <w:r>
        <w:rPr>
          <w:kern w:val="0"/>
          <w:sz w:val="24"/>
          <w:highlight w:val="none"/>
        </w:rPr>
        <w:fldChar w:fldCharType="begin"/>
      </w:r>
      <w:r>
        <w:rPr>
          <w:kern w:val="0"/>
          <w:sz w:val="24"/>
          <w:highlight w:val="none"/>
        </w:rPr>
        <w:instrText xml:space="preserve"> REF _Ref426362176 \r \h  \* MERGEFORMAT </w:instrText>
      </w:r>
      <w:r>
        <w:rPr>
          <w:kern w:val="0"/>
          <w:sz w:val="24"/>
          <w:highlight w:val="none"/>
        </w:rPr>
        <w:fldChar w:fldCharType="separate"/>
      </w:r>
      <w:r>
        <w:rPr>
          <w:kern w:val="0"/>
          <w:sz w:val="24"/>
          <w:highlight w:val="none"/>
        </w:rPr>
        <w:t>3.3.3</w:t>
      </w:r>
      <w:r>
        <w:rPr>
          <w:kern w:val="0"/>
          <w:sz w:val="24"/>
          <w:highlight w:val="none"/>
        </w:rPr>
        <w:fldChar w:fldCharType="end"/>
      </w:r>
      <w:r>
        <w:rPr>
          <w:kern w:val="0"/>
          <w:sz w:val="24"/>
          <w:highlight w:val="none"/>
        </w:rPr>
        <w:t>项（1）进行调整的最低报价为评标基准价。</w:t>
      </w:r>
    </w:p>
    <w:p>
      <w:pPr>
        <w:tabs>
          <w:tab w:val="left" w:pos="993"/>
        </w:tabs>
        <w:autoSpaceDE w:val="0"/>
        <w:autoSpaceDN w:val="0"/>
        <w:adjustRightInd w:val="0"/>
        <w:snapToGrid w:val="0"/>
        <w:spacing w:after="120" w:afterLines="50"/>
        <w:ind w:left="2041" w:leftChars="515" w:hanging="960" w:hangingChars="400"/>
        <w:jc w:val="left"/>
        <w:rPr>
          <w:kern w:val="0"/>
          <w:sz w:val="24"/>
          <w:highlight w:val="none"/>
        </w:rPr>
      </w:pPr>
      <w:r>
        <w:rPr>
          <w:kern w:val="0"/>
          <w:sz w:val="24"/>
          <w:highlight w:val="none"/>
        </w:rPr>
        <w:t>（3）投标人报价（按</w:t>
      </w:r>
      <w:r>
        <w:rPr>
          <w:kern w:val="0"/>
          <w:sz w:val="24"/>
          <w:highlight w:val="none"/>
        </w:rPr>
        <w:fldChar w:fldCharType="begin"/>
      </w:r>
      <w:r>
        <w:rPr>
          <w:kern w:val="0"/>
          <w:sz w:val="24"/>
          <w:highlight w:val="none"/>
        </w:rPr>
        <w:instrText xml:space="preserve"> REF _Ref426362176 \r \h  \* MERGEFORMAT </w:instrText>
      </w:r>
      <w:r>
        <w:rPr>
          <w:kern w:val="0"/>
          <w:sz w:val="24"/>
          <w:highlight w:val="none"/>
        </w:rPr>
        <w:fldChar w:fldCharType="separate"/>
      </w:r>
      <w:r>
        <w:rPr>
          <w:kern w:val="0"/>
          <w:sz w:val="24"/>
          <w:highlight w:val="none"/>
        </w:rPr>
        <w:t>3.3.3</w:t>
      </w:r>
      <w:r>
        <w:rPr>
          <w:kern w:val="0"/>
          <w:sz w:val="24"/>
          <w:highlight w:val="none"/>
        </w:rPr>
        <w:fldChar w:fldCharType="end"/>
      </w:r>
      <w:r>
        <w:rPr>
          <w:kern w:val="0"/>
          <w:sz w:val="24"/>
          <w:highlight w:val="none"/>
        </w:rPr>
        <w:t>项（1）进行调整后价格）得分：</w:t>
      </w:r>
    </w:p>
    <w:p>
      <w:pPr>
        <w:tabs>
          <w:tab w:val="left" w:pos="993"/>
        </w:tabs>
        <w:autoSpaceDE w:val="0"/>
        <w:autoSpaceDN w:val="0"/>
        <w:adjustRightInd w:val="0"/>
        <w:snapToGrid w:val="0"/>
        <w:spacing w:after="120" w:afterLines="50"/>
        <w:ind w:left="2039" w:leftChars="810" w:hanging="338" w:hangingChars="141"/>
        <w:jc w:val="left"/>
        <w:rPr>
          <w:kern w:val="0"/>
          <w:sz w:val="24"/>
          <w:highlight w:val="none"/>
        </w:rPr>
      </w:pPr>
      <w:r>
        <w:rPr>
          <w:kern w:val="0"/>
          <w:sz w:val="24"/>
          <w:highlight w:val="none"/>
        </w:rPr>
        <w:t>投标报价得分=(评标基准价／投标报价)</w:t>
      </w:r>
      <w:r>
        <w:rPr>
          <w:rFonts w:hint="eastAsia"/>
          <w:kern w:val="0"/>
          <w:sz w:val="24"/>
          <w:highlight w:val="none"/>
        </w:rPr>
        <w:t>×</w:t>
      </w:r>
      <w:r>
        <w:rPr>
          <w:rFonts w:hint="eastAsia"/>
          <w:kern w:val="0"/>
          <w:sz w:val="24"/>
          <w:highlight w:val="none"/>
          <w:lang w:val="en-US" w:eastAsia="zh-CN"/>
        </w:rPr>
        <w:t>价格权重</w:t>
      </w:r>
      <w:r>
        <w:rPr>
          <w:rFonts w:hint="eastAsia"/>
          <w:kern w:val="0"/>
          <w:sz w:val="24"/>
          <w:highlight w:val="none"/>
        </w:rPr>
        <w:t>×100</w:t>
      </w:r>
    </w:p>
    <w:p>
      <w:pPr>
        <w:tabs>
          <w:tab w:val="left" w:pos="993"/>
        </w:tabs>
        <w:autoSpaceDE w:val="0"/>
        <w:autoSpaceDN w:val="0"/>
        <w:adjustRightInd w:val="0"/>
        <w:snapToGrid w:val="0"/>
        <w:spacing w:after="120" w:afterLines="50"/>
        <w:ind w:left="2039" w:leftChars="810" w:hanging="338" w:hangingChars="141"/>
        <w:jc w:val="left"/>
        <w:rPr>
          <w:i/>
          <w:kern w:val="0"/>
          <w:sz w:val="24"/>
        </w:rPr>
      </w:pPr>
    </w:p>
    <w:p>
      <w:pPr>
        <w:numPr>
          <w:ilvl w:val="0"/>
          <w:numId w:val="13"/>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74" w:name="_Toc25036"/>
      <w:bookmarkStart w:id="175" w:name="_Toc18755"/>
      <w:bookmarkStart w:id="176" w:name="_Toc17270"/>
      <w:r>
        <w:rPr>
          <w:rFonts w:eastAsia="黑体"/>
          <w:kern w:val="0"/>
          <w:sz w:val="24"/>
        </w:rPr>
        <w:t>评审程序</w:t>
      </w:r>
      <w:bookmarkEnd w:id="174"/>
      <w:bookmarkEnd w:id="175"/>
      <w:bookmarkEnd w:id="176"/>
    </w:p>
    <w:p>
      <w:pPr>
        <w:numPr>
          <w:ilvl w:val="1"/>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符合性检查。</w:t>
      </w:r>
    </w:p>
    <w:p>
      <w:pPr>
        <w:numPr>
          <w:ilvl w:val="2"/>
          <w:numId w:val="13"/>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评标委员会按附表二所列标准，对投标文件的有效性、完整性和对招标文件的响应程度进行审查，以确定是否对招标文件的实质性要求作出响应。</w:t>
      </w:r>
    </w:p>
    <w:p>
      <w:pPr>
        <w:numPr>
          <w:ilvl w:val="2"/>
          <w:numId w:val="13"/>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澄清有关问题。</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（1）</w:t>
      </w:r>
      <w:r>
        <w:rPr>
          <w:kern w:val="0"/>
          <w:sz w:val="24"/>
        </w:rPr>
        <w:tab/>
      </w:r>
      <w:r>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（2）</w:t>
      </w:r>
      <w:r>
        <w:rPr>
          <w:kern w:val="0"/>
          <w:sz w:val="24"/>
        </w:rPr>
        <w:tab/>
      </w:r>
      <w:r>
        <w:rPr>
          <w:kern w:val="0"/>
          <w:sz w:val="24"/>
        </w:rPr>
        <w:t>评标委员会不接受投标人主动提出的澄清、说明或补正。</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（3）</w:t>
      </w:r>
      <w:r>
        <w:rPr>
          <w:kern w:val="0"/>
          <w:sz w:val="24"/>
        </w:rPr>
        <w:tab/>
      </w:r>
      <w:r>
        <w:rPr>
          <w:kern w:val="0"/>
          <w:sz w:val="24"/>
        </w:rPr>
        <w:t>投标人的书面澄清、说明和补正属于投标文件的组成部分。</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（4）</w:t>
      </w:r>
      <w:r>
        <w:rPr>
          <w:kern w:val="0"/>
          <w:sz w:val="24"/>
        </w:rPr>
        <w:tab/>
      </w:r>
      <w:r>
        <w:rPr>
          <w:kern w:val="0"/>
          <w:sz w:val="24"/>
        </w:rPr>
        <w:t>评标委员会对投标人提交的澄清、说明或补正有疑问的，可以要求投标人进一步澄清、说明或补正，直至满足评标委员会的要求。</w:t>
      </w:r>
    </w:p>
    <w:p>
      <w:pPr>
        <w:numPr>
          <w:ilvl w:val="2"/>
          <w:numId w:val="13"/>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投标文件报价出现前后不一致的，除招标文件另有规定外，按照下列规定修正：</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w:t>
      </w:r>
      <w:r>
        <w:rPr>
          <w:kern w:val="0"/>
          <w:sz w:val="24"/>
        </w:rPr>
        <w:tab/>
      </w:r>
      <w:r>
        <w:rPr>
          <w:kern w:val="0"/>
          <w:sz w:val="24"/>
        </w:rPr>
        <w:t>投标文件中开标一览表（报价表）内容与投标文件中相应内容不一致的，以开标一览表（报价表）为准；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（2）</w:t>
      </w:r>
      <w:r>
        <w:rPr>
          <w:kern w:val="0"/>
          <w:sz w:val="24"/>
        </w:rPr>
        <w:tab/>
      </w:r>
      <w:r>
        <w:rPr>
          <w:kern w:val="0"/>
          <w:sz w:val="24"/>
        </w:rPr>
        <w:t>大写金额和小写金额不一致的，以大写金额为准；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（3）</w:t>
      </w:r>
      <w:r>
        <w:rPr>
          <w:kern w:val="0"/>
          <w:sz w:val="24"/>
        </w:rPr>
        <w:tab/>
      </w:r>
      <w:r>
        <w:rPr>
          <w:kern w:val="0"/>
          <w:sz w:val="24"/>
        </w:rPr>
        <w:t>单价金额小数点或者百分比有明显错位的，以开标一览表（报价表）的总价为准，并修改单价；</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（4）</w:t>
      </w:r>
      <w:r>
        <w:rPr>
          <w:kern w:val="0"/>
          <w:sz w:val="24"/>
        </w:rPr>
        <w:tab/>
      </w:r>
      <w:r>
        <w:rPr>
          <w:kern w:val="0"/>
          <w:sz w:val="24"/>
        </w:rPr>
        <w:t>总价金额与按单价汇总金额不一致的，以单价金额计算结果为准。</w:t>
      </w:r>
    </w:p>
    <w:p>
      <w:pPr>
        <w:tabs>
          <w:tab w:val="left" w:pos="993"/>
        </w:tabs>
        <w:snapToGrid w:val="0"/>
        <w:spacing w:after="120" w:afterLines="50"/>
        <w:ind w:left="991" w:leftChars="472" w:firstLine="2"/>
        <w:rPr>
          <w:sz w:val="24"/>
        </w:rPr>
      </w:pPr>
      <w:r>
        <w:rPr>
          <w:sz w:val="24"/>
        </w:rPr>
        <w:t>同时出现两种以上不一致的，按照前款规定的顺序修正。修正后的报价经投标人确认后产生约束力，投标人不确认的，其投标无效。</w:t>
      </w:r>
    </w:p>
    <w:p>
      <w:pPr>
        <w:tabs>
          <w:tab w:val="left" w:pos="993"/>
        </w:tabs>
        <w:snapToGrid w:val="0"/>
        <w:spacing w:after="120" w:afterLines="50"/>
        <w:ind w:left="991" w:leftChars="472" w:firstLine="2"/>
        <w:rPr>
          <w:sz w:val="24"/>
        </w:rPr>
      </w:pPr>
      <w:r>
        <w:rPr>
          <w:sz w:val="24"/>
        </w:rPr>
        <w:t>投标人的确认应当采用书面形式，并加盖公章，或者由法定代表人或其授权的代表签字。</w:t>
      </w:r>
    </w:p>
    <w:p>
      <w:pPr>
        <w:numPr>
          <w:ilvl w:val="1"/>
          <w:numId w:val="13"/>
        </w:numPr>
        <w:tabs>
          <w:tab w:val="left" w:pos="993"/>
        </w:tabs>
        <w:autoSpaceDE w:val="0"/>
        <w:autoSpaceDN w:val="0"/>
        <w:adjustRightInd w:val="0"/>
        <w:snapToGrid w:val="0"/>
        <w:spacing w:after="120" w:afterLines="50"/>
        <w:jc w:val="left"/>
        <w:rPr>
          <w:kern w:val="0"/>
          <w:sz w:val="24"/>
        </w:rPr>
      </w:pPr>
      <w:r>
        <w:rPr>
          <w:kern w:val="0"/>
          <w:sz w:val="24"/>
        </w:rPr>
        <w:t>商务和技术评审</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比较与评价</w:t>
      </w:r>
    </w:p>
    <w:p>
      <w:pPr>
        <w:tabs>
          <w:tab w:val="left" w:pos="993"/>
        </w:tabs>
        <w:autoSpaceDE w:val="0"/>
        <w:autoSpaceDN w:val="0"/>
        <w:adjustRightInd w:val="0"/>
        <w:snapToGrid w:val="0"/>
        <w:spacing w:before="120" w:after="120" w:afterLines="50"/>
        <w:ind w:left="991" w:leftChars="472"/>
        <w:jc w:val="left"/>
        <w:rPr>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款[详细评审标准]</w:t>
      </w:r>
      <w:r>
        <w:rPr>
          <w:sz w:val="24"/>
        </w:rPr>
        <w:t>对资格审查合格且符合性审查合格的投标文件进行商务和技术评估，综合比较与评价。</w:t>
      </w:r>
    </w:p>
    <w:p>
      <w:pPr>
        <w:tabs>
          <w:tab w:val="left" w:pos="993"/>
        </w:tabs>
        <w:autoSpaceDE w:val="0"/>
        <w:autoSpaceDN w:val="0"/>
        <w:adjustRightInd w:val="0"/>
        <w:snapToGrid w:val="0"/>
        <w:spacing w:before="120" w:after="120" w:afterLines="50"/>
        <w:ind w:left="991" w:leftChars="472"/>
        <w:jc w:val="left"/>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款规定的量化因素和分值进行打分，并计算出综合评估得分。</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（1）按本章第</w:t>
      </w:r>
      <w:r>
        <w:rPr>
          <w:kern w:val="0"/>
          <w:sz w:val="24"/>
        </w:rPr>
        <w:fldChar w:fldCharType="begin"/>
      </w:r>
      <w:r>
        <w:rPr>
          <w:kern w:val="0"/>
          <w:sz w:val="24"/>
        </w:rPr>
        <w:instrText xml:space="preserve"> REF _Ref426362140 \r \h  \* MERGEFORMAT </w:instrText>
      </w:r>
      <w:r>
        <w:rPr>
          <w:kern w:val="0"/>
          <w:sz w:val="24"/>
        </w:rPr>
        <w:fldChar w:fldCharType="separate"/>
      </w:r>
      <w:r>
        <w:rPr>
          <w:kern w:val="0"/>
          <w:sz w:val="24"/>
        </w:rPr>
        <w:t>3.3.1</w:t>
      </w:r>
      <w:r>
        <w:rPr>
          <w:kern w:val="0"/>
          <w:sz w:val="24"/>
        </w:rPr>
        <w:fldChar w:fldCharType="end"/>
      </w:r>
      <w:r>
        <w:rPr>
          <w:kern w:val="0"/>
          <w:sz w:val="24"/>
        </w:rPr>
        <w:t>项规定的评审因素和分值对商务部分计算出得分A；</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（2）按本章第</w:t>
      </w:r>
      <w:r>
        <w:rPr>
          <w:kern w:val="0"/>
          <w:sz w:val="24"/>
        </w:rPr>
        <w:fldChar w:fldCharType="begin"/>
      </w:r>
      <w:r>
        <w:rPr>
          <w:kern w:val="0"/>
          <w:sz w:val="24"/>
        </w:rPr>
        <w:instrText xml:space="preserve"> REF _Ref426362158 \r \h  \* MERGEFORMAT </w:instrText>
      </w:r>
      <w:r>
        <w:rPr>
          <w:kern w:val="0"/>
          <w:sz w:val="24"/>
        </w:rPr>
        <w:fldChar w:fldCharType="separate"/>
      </w:r>
      <w:r>
        <w:rPr>
          <w:kern w:val="0"/>
          <w:sz w:val="24"/>
        </w:rPr>
        <w:t>3.3.2</w:t>
      </w:r>
      <w:r>
        <w:rPr>
          <w:kern w:val="0"/>
          <w:sz w:val="24"/>
        </w:rPr>
        <w:fldChar w:fldCharType="end"/>
      </w:r>
      <w:r>
        <w:rPr>
          <w:kern w:val="0"/>
          <w:sz w:val="24"/>
        </w:rPr>
        <w:t>项规定的评审因素和分值对技术部分计算出得分B；</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（3）按本章第</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项规定的评审因素和分值对报价部分计算出得分C。</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评分分值计算保留小数点后两位，小数点后第三位“四舍五入”。</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投标人得分=A＋B＋C</w:t>
      </w:r>
    </w:p>
    <w:p>
      <w:pPr>
        <w:numPr>
          <w:ilvl w:val="1"/>
          <w:numId w:val="13"/>
        </w:numPr>
        <w:tabs>
          <w:tab w:val="left" w:pos="993"/>
        </w:tabs>
        <w:autoSpaceDE w:val="0"/>
        <w:autoSpaceDN w:val="0"/>
        <w:adjustRightInd w:val="0"/>
        <w:snapToGrid w:val="0"/>
        <w:spacing w:after="120" w:afterLines="50"/>
        <w:jc w:val="left"/>
        <w:rPr>
          <w:kern w:val="0"/>
          <w:sz w:val="24"/>
        </w:rPr>
      </w:pPr>
      <w:r>
        <w:rPr>
          <w:kern w:val="0"/>
          <w:sz w:val="24"/>
        </w:rPr>
        <w:t>评标结果</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除第二章“投标人须知”前附表授权直接确定中标人外，评标委员会按照得分由高到低的顺序推荐中标候选人。</w:t>
      </w:r>
    </w:p>
    <w:p>
      <w:pPr>
        <w:numPr>
          <w:ilvl w:val="2"/>
          <w:numId w:val="13"/>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评标委员会完成评标后，应当向采购人提交书面评标报告。</w:t>
      </w:r>
    </w:p>
    <w:p>
      <w:pPr>
        <w:tabs>
          <w:tab w:val="left" w:pos="993"/>
        </w:tabs>
        <w:autoSpaceDE w:val="0"/>
        <w:autoSpaceDN w:val="0"/>
        <w:adjustRightInd w:val="0"/>
        <w:snapToGrid w:val="0"/>
        <w:spacing w:after="120" w:afterLines="50"/>
        <w:jc w:val="left"/>
        <w:rPr>
          <w:kern w:val="0"/>
          <w:sz w:val="24"/>
        </w:rPr>
      </w:pPr>
    </w:p>
    <w:p>
      <w:pPr>
        <w:snapToGrid w:val="0"/>
        <w:spacing w:after="120" w:afterLines="50"/>
        <w:ind w:left="1591" w:leftChars="472" w:hanging="600" w:hangingChars="250"/>
        <w:rPr>
          <w:sz w:val="24"/>
        </w:rPr>
      </w:pPr>
    </w:p>
    <w:p>
      <w:pPr>
        <w:snapToGrid w:val="0"/>
        <w:spacing w:after="120" w:afterLines="50"/>
        <w:ind w:left="420" w:leftChars="200"/>
        <w:rPr>
          <w:sz w:val="24"/>
        </w:rPr>
      </w:pPr>
    </w:p>
    <w:p>
      <w:pPr>
        <w:snapToGrid w:val="0"/>
        <w:spacing w:after="120" w:afterLines="50"/>
        <w:ind w:left="1591" w:leftChars="472" w:hanging="600" w:hangingChars="250"/>
        <w:rPr>
          <w:sz w:val="24"/>
        </w:rPr>
      </w:pPr>
    </w:p>
    <w:p>
      <w:pPr>
        <w:snapToGrid w:val="0"/>
        <w:spacing w:after="120" w:afterLines="50"/>
        <w:ind w:left="1591" w:leftChars="472" w:hanging="600" w:hangingChars="250"/>
        <w:rPr>
          <w:sz w:val="24"/>
        </w:rPr>
      </w:pPr>
    </w:p>
    <w:p>
      <w:pPr>
        <w:tabs>
          <w:tab w:val="left" w:pos="-94"/>
          <w:tab w:val="left" w:pos="428"/>
        </w:tabs>
        <w:adjustRightInd w:val="0"/>
        <w:spacing w:line="360" w:lineRule="auto"/>
        <w:ind w:left="23" w:leftChars="11"/>
        <w:jc w:val="center"/>
        <w:textAlignment w:val="baseline"/>
        <w:outlineLvl w:val="1"/>
        <w:rPr>
          <w:b/>
          <w:sz w:val="28"/>
          <w:szCs w:val="28"/>
        </w:rPr>
      </w:pPr>
      <w:r>
        <w:br w:type="page"/>
      </w:r>
      <w:bookmarkStart w:id="177" w:name="_Toc414446032"/>
      <w:bookmarkStart w:id="178" w:name="_Toc2989"/>
      <w:bookmarkStart w:id="179" w:name="_Toc410631196"/>
      <w:bookmarkStart w:id="180" w:name="_Toc19011"/>
      <w:bookmarkStart w:id="181" w:name="_Toc28300"/>
      <w:bookmarkStart w:id="182" w:name="_Toc17062"/>
      <w:bookmarkStart w:id="183" w:name="_Toc14622"/>
      <w:bookmarkStart w:id="184" w:name="_Toc9913"/>
      <w:r>
        <w:rPr>
          <w:b/>
          <w:sz w:val="28"/>
          <w:szCs w:val="28"/>
        </w:rPr>
        <w:t>附表一 资格审查表</w:t>
      </w:r>
      <w:bookmarkEnd w:id="177"/>
      <w:bookmarkEnd w:id="178"/>
      <w:bookmarkEnd w:id="179"/>
      <w:bookmarkEnd w:id="180"/>
      <w:bookmarkEnd w:id="181"/>
      <w:bookmarkEnd w:id="182"/>
    </w:p>
    <w:tbl>
      <w:tblPr>
        <w:tblStyle w:val="451"/>
        <w:tblW w:w="92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027"/>
        <w:gridCol w:w="2418"/>
        <w:gridCol w:w="4119"/>
        <w:gridCol w:w="532"/>
        <w:gridCol w:w="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587" w:type="dxa"/>
            <w:vMerge w:val="restart"/>
            <w:tcBorders>
              <w:bottom w:val="nil"/>
            </w:tcBorders>
            <w:vAlign w:val="top"/>
          </w:tcPr>
          <w:p>
            <w:pPr>
              <w:widowControl/>
              <w:kinsoku w:val="0"/>
              <w:autoSpaceDE w:val="0"/>
              <w:autoSpaceDN w:val="0"/>
              <w:adjustRightInd w:val="0"/>
              <w:snapToGrid w:val="0"/>
              <w:spacing w:before="286" w:line="230" w:lineRule="auto"/>
              <w:ind w:left="116"/>
              <w:jc w:val="left"/>
              <w:textAlignment w:val="baseline"/>
              <w:rPr>
                <w:rFonts w:ascii="宋体" w:hAnsi="宋体" w:eastAsia="宋体" w:cs="宋体"/>
                <w:snapToGrid w:val="0"/>
                <w:color w:val="000000"/>
                <w:kern w:val="0"/>
                <w:sz w:val="20"/>
                <w:szCs w:val="20"/>
              </w:rPr>
            </w:pPr>
            <w:bookmarkStart w:id="185" w:name="_Toc410631197"/>
            <w:bookmarkStart w:id="186" w:name="_Toc414446033"/>
            <w:bookmarkStart w:id="187" w:name="_Toc23856"/>
            <w:bookmarkStart w:id="188" w:name="_Toc6054"/>
            <w:bookmarkStart w:id="189" w:name="_Toc26132"/>
            <w:r>
              <w:rPr>
                <w:rFonts w:ascii="宋体" w:hAnsi="宋体" w:eastAsia="宋体" w:cs="宋体"/>
                <w:snapToGrid w:val="0"/>
                <w:color w:val="000000"/>
                <w:spacing w:val="5"/>
                <w:kern w:val="0"/>
                <w:sz w:val="20"/>
                <w:szCs w:val="20"/>
              </w:rPr>
              <w:t>序号</w:t>
            </w:r>
          </w:p>
        </w:tc>
        <w:tc>
          <w:tcPr>
            <w:tcW w:w="1027" w:type="dxa"/>
            <w:vMerge w:val="restart"/>
            <w:tcBorders>
              <w:bottom w:val="nil"/>
            </w:tcBorders>
            <w:vAlign w:val="top"/>
          </w:tcPr>
          <w:p>
            <w:pPr>
              <w:widowControl/>
              <w:kinsoku w:val="0"/>
              <w:autoSpaceDE w:val="0"/>
              <w:autoSpaceDN w:val="0"/>
              <w:adjustRightInd w:val="0"/>
              <w:snapToGrid w:val="0"/>
              <w:spacing w:before="287" w:line="228" w:lineRule="auto"/>
              <w:ind w:left="336"/>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5"/>
                <w:kern w:val="0"/>
                <w:sz w:val="20"/>
                <w:szCs w:val="20"/>
              </w:rPr>
              <w:t>类</w:t>
            </w:r>
            <w:r>
              <w:rPr>
                <w:rFonts w:ascii="宋体" w:hAnsi="宋体" w:eastAsia="宋体" w:cs="宋体"/>
                <w:snapToGrid w:val="0"/>
                <w:color w:val="000000"/>
                <w:spacing w:val="4"/>
                <w:kern w:val="0"/>
                <w:sz w:val="20"/>
                <w:szCs w:val="20"/>
              </w:rPr>
              <w:t>型</w:t>
            </w:r>
          </w:p>
        </w:tc>
        <w:tc>
          <w:tcPr>
            <w:tcW w:w="2418" w:type="dxa"/>
            <w:vMerge w:val="restart"/>
            <w:tcBorders>
              <w:bottom w:val="nil"/>
            </w:tcBorders>
            <w:vAlign w:val="top"/>
          </w:tcPr>
          <w:p>
            <w:pPr>
              <w:widowControl/>
              <w:kinsoku w:val="0"/>
              <w:autoSpaceDE w:val="0"/>
              <w:autoSpaceDN w:val="0"/>
              <w:adjustRightInd w:val="0"/>
              <w:snapToGrid w:val="0"/>
              <w:spacing w:before="287" w:line="229" w:lineRule="auto"/>
              <w:ind w:left="1046"/>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8"/>
                <w:kern w:val="0"/>
                <w:sz w:val="20"/>
                <w:szCs w:val="20"/>
              </w:rPr>
              <w:t>审</w:t>
            </w:r>
            <w:r>
              <w:rPr>
                <w:rFonts w:ascii="宋体" w:hAnsi="宋体" w:eastAsia="宋体" w:cs="宋体"/>
                <w:snapToGrid w:val="0"/>
                <w:color w:val="000000"/>
                <w:spacing w:val="5"/>
                <w:kern w:val="0"/>
                <w:sz w:val="20"/>
                <w:szCs w:val="20"/>
              </w:rPr>
              <w:t>查要求</w:t>
            </w:r>
          </w:p>
        </w:tc>
        <w:tc>
          <w:tcPr>
            <w:tcW w:w="4119" w:type="dxa"/>
            <w:vMerge w:val="restart"/>
            <w:tcBorders>
              <w:bottom w:val="nil"/>
            </w:tcBorders>
            <w:vAlign w:val="top"/>
          </w:tcPr>
          <w:p>
            <w:pPr>
              <w:widowControl/>
              <w:kinsoku w:val="0"/>
              <w:autoSpaceDE w:val="0"/>
              <w:autoSpaceDN w:val="0"/>
              <w:adjustRightInd w:val="0"/>
              <w:snapToGrid w:val="0"/>
              <w:spacing w:before="287" w:line="228" w:lineRule="auto"/>
              <w:ind w:left="146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要求说明</w:t>
            </w:r>
          </w:p>
        </w:tc>
        <w:tc>
          <w:tcPr>
            <w:tcW w:w="1067" w:type="dxa"/>
            <w:gridSpan w:val="2"/>
            <w:vAlign w:val="top"/>
          </w:tcPr>
          <w:p>
            <w:pPr>
              <w:widowControl/>
              <w:kinsoku w:val="0"/>
              <w:autoSpaceDE w:val="0"/>
              <w:autoSpaceDN w:val="0"/>
              <w:adjustRightInd w:val="0"/>
              <w:snapToGrid w:val="0"/>
              <w:spacing w:before="78" w:line="228" w:lineRule="auto"/>
              <w:ind w:left="147"/>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9"/>
                <w:kern w:val="0"/>
                <w:sz w:val="20"/>
                <w:szCs w:val="20"/>
              </w:rPr>
              <w:t>评</w:t>
            </w:r>
            <w:r>
              <w:rPr>
                <w:rFonts w:ascii="宋体" w:hAnsi="宋体" w:eastAsia="宋体" w:cs="宋体"/>
                <w:snapToGrid w:val="0"/>
                <w:color w:val="000000"/>
                <w:spacing w:val="7"/>
                <w:kern w:val="0"/>
                <w:sz w:val="20"/>
                <w:szCs w:val="20"/>
              </w:rPr>
              <w:t>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58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027"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2418"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4119" w:type="dxa"/>
            <w:vMerge w:val="continue"/>
            <w:tcBorders>
              <w:top w:val="nil"/>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532" w:type="dxa"/>
            <w:vAlign w:val="top"/>
          </w:tcPr>
          <w:p>
            <w:pPr>
              <w:widowControl/>
              <w:kinsoku w:val="0"/>
              <w:autoSpaceDE w:val="0"/>
              <w:autoSpaceDN w:val="0"/>
              <w:adjustRightInd w:val="0"/>
              <w:snapToGrid w:val="0"/>
              <w:spacing w:before="99" w:line="232" w:lineRule="auto"/>
              <w:ind w:left="20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是</w:t>
            </w:r>
          </w:p>
        </w:tc>
        <w:tc>
          <w:tcPr>
            <w:tcW w:w="535" w:type="dxa"/>
            <w:vAlign w:val="top"/>
          </w:tcPr>
          <w:p>
            <w:pPr>
              <w:widowControl/>
              <w:kinsoku w:val="0"/>
              <w:autoSpaceDE w:val="0"/>
              <w:autoSpaceDN w:val="0"/>
              <w:adjustRightInd w:val="0"/>
              <w:snapToGrid w:val="0"/>
              <w:spacing w:before="99" w:line="229" w:lineRule="auto"/>
              <w:ind w:left="203"/>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1" w:hRule="atLeast"/>
          <w:jc w:val="center"/>
        </w:trPr>
        <w:tc>
          <w:tcPr>
            <w:tcW w:w="587" w:type="dxa"/>
            <w:vAlign w:val="top"/>
          </w:tcPr>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before="65" w:line="193" w:lineRule="auto"/>
              <w:ind w:left="29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1</w:t>
            </w:r>
          </w:p>
        </w:tc>
        <w:tc>
          <w:tcPr>
            <w:tcW w:w="1027" w:type="dxa"/>
            <w:vAlign w:val="top"/>
          </w:tcPr>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before="65" w:line="228" w:lineRule="auto"/>
              <w:ind w:left="6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8"/>
                <w:kern w:val="0"/>
                <w:sz w:val="20"/>
                <w:szCs w:val="20"/>
              </w:rPr>
              <w:t>基</w:t>
            </w:r>
            <w:r>
              <w:rPr>
                <w:rFonts w:ascii="宋体" w:hAnsi="宋体" w:eastAsia="宋体" w:cs="宋体"/>
                <w:snapToGrid w:val="0"/>
                <w:color w:val="000000"/>
                <w:spacing w:val="7"/>
                <w:kern w:val="0"/>
                <w:sz w:val="20"/>
                <w:szCs w:val="20"/>
              </w:rPr>
              <w:t>本资质</w:t>
            </w:r>
          </w:p>
        </w:tc>
        <w:tc>
          <w:tcPr>
            <w:tcW w:w="2418" w:type="dxa"/>
            <w:vAlign w:val="center"/>
          </w:tcPr>
          <w:p>
            <w:pPr>
              <w:widowControl/>
              <w:kinsoku w:val="0"/>
              <w:autoSpaceDE w:val="0"/>
              <w:autoSpaceDN w:val="0"/>
              <w:adjustRightInd w:val="0"/>
              <w:snapToGrid w:val="0"/>
              <w:spacing w:before="65" w:line="240" w:lineRule="auto"/>
              <w:ind w:right="11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0"/>
                <w:kern w:val="0"/>
                <w:sz w:val="20"/>
                <w:szCs w:val="20"/>
              </w:rPr>
              <w:t>满</w:t>
            </w:r>
            <w:r>
              <w:rPr>
                <w:rFonts w:ascii="宋体" w:hAnsi="宋体" w:eastAsia="宋体" w:cs="宋体"/>
                <w:snapToGrid w:val="0"/>
                <w:color w:val="000000"/>
                <w:spacing w:val="5"/>
                <w:kern w:val="0"/>
                <w:sz w:val="20"/>
                <w:szCs w:val="20"/>
              </w:rPr>
              <w:t>足《中华人民共和国政府采</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spacing w:val="11"/>
                <w:kern w:val="0"/>
                <w:sz w:val="20"/>
                <w:szCs w:val="20"/>
              </w:rPr>
              <w:t>购</w:t>
            </w:r>
            <w:r>
              <w:rPr>
                <w:rFonts w:ascii="宋体" w:hAnsi="宋体" w:eastAsia="宋体" w:cs="宋体"/>
                <w:snapToGrid w:val="0"/>
                <w:color w:val="000000"/>
                <w:spacing w:val="8"/>
                <w:kern w:val="0"/>
                <w:sz w:val="20"/>
                <w:szCs w:val="20"/>
              </w:rPr>
              <w:t>法》第二十二条规定：</w:t>
            </w:r>
          </w:p>
          <w:p>
            <w:pPr>
              <w:widowControl/>
              <w:kinsoku w:val="0"/>
              <w:autoSpaceDE w:val="0"/>
              <w:autoSpaceDN w:val="0"/>
              <w:adjustRightInd w:val="0"/>
              <w:snapToGrid w:val="0"/>
              <w:spacing w:line="240" w:lineRule="auto"/>
              <w:ind w:left="77" w:right="168" w:hanging="6"/>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5"/>
                <w:kern w:val="0"/>
                <w:sz w:val="20"/>
                <w:szCs w:val="20"/>
              </w:rPr>
              <w:t>(1)具有独立承担民事责</w:t>
            </w:r>
            <w:r>
              <w:rPr>
                <w:rFonts w:ascii="宋体" w:hAnsi="宋体" w:eastAsia="宋体" w:cs="宋体"/>
                <w:snapToGrid w:val="0"/>
                <w:color w:val="000000"/>
                <w:spacing w:val="12"/>
                <w:kern w:val="0"/>
                <w:sz w:val="20"/>
                <w:szCs w:val="20"/>
              </w:rPr>
              <w:t>任</w:t>
            </w:r>
            <w:r>
              <w:rPr>
                <w:rFonts w:ascii="宋体" w:hAnsi="宋体" w:eastAsia="宋体" w:cs="宋体"/>
                <w:snapToGrid w:val="0"/>
                <w:color w:val="000000"/>
                <w:spacing w:val="1"/>
                <w:kern w:val="0"/>
                <w:sz w:val="20"/>
                <w:szCs w:val="20"/>
              </w:rPr>
              <w:t>的能力</w:t>
            </w:r>
            <w:r>
              <w:rPr>
                <w:rFonts w:ascii="宋体" w:hAnsi="宋体" w:eastAsia="宋体" w:cs="宋体"/>
                <w:snapToGrid w:val="0"/>
                <w:color w:val="000000"/>
                <w:kern w:val="0"/>
                <w:sz w:val="20"/>
                <w:szCs w:val="20"/>
              </w:rPr>
              <w:t>；</w:t>
            </w:r>
          </w:p>
          <w:p>
            <w:pPr>
              <w:widowControl/>
              <w:kinsoku w:val="0"/>
              <w:autoSpaceDE w:val="0"/>
              <w:autoSpaceDN w:val="0"/>
              <w:adjustRightInd w:val="0"/>
              <w:snapToGrid w:val="0"/>
              <w:spacing w:before="26" w:line="240" w:lineRule="auto"/>
              <w:ind w:left="61" w:right="168" w:firstLine="1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5"/>
                <w:kern w:val="0"/>
                <w:sz w:val="20"/>
                <w:szCs w:val="20"/>
              </w:rPr>
              <w:t>(2)具有良好的商业信誉</w:t>
            </w:r>
            <w:r>
              <w:rPr>
                <w:rFonts w:ascii="宋体" w:hAnsi="宋体" w:eastAsia="宋体" w:cs="宋体"/>
                <w:snapToGrid w:val="0"/>
                <w:color w:val="000000"/>
                <w:spacing w:val="12"/>
                <w:kern w:val="0"/>
                <w:sz w:val="20"/>
                <w:szCs w:val="20"/>
              </w:rPr>
              <w:t>和</w:t>
            </w:r>
            <w:r>
              <w:rPr>
                <w:rFonts w:ascii="宋体" w:hAnsi="宋体" w:eastAsia="宋体" w:cs="宋体"/>
                <w:snapToGrid w:val="0"/>
                <w:color w:val="000000"/>
                <w:spacing w:val="8"/>
                <w:kern w:val="0"/>
                <w:sz w:val="20"/>
                <w:szCs w:val="20"/>
              </w:rPr>
              <w:t>健全的财务会计制度；</w:t>
            </w:r>
          </w:p>
          <w:p>
            <w:pPr>
              <w:widowControl/>
              <w:kinsoku w:val="0"/>
              <w:autoSpaceDE w:val="0"/>
              <w:autoSpaceDN w:val="0"/>
              <w:adjustRightInd w:val="0"/>
              <w:snapToGrid w:val="0"/>
              <w:spacing w:before="27" w:line="240" w:lineRule="auto"/>
              <w:ind w:left="64" w:right="168" w:firstLine="6"/>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5"/>
                <w:kern w:val="0"/>
                <w:sz w:val="20"/>
                <w:szCs w:val="20"/>
              </w:rPr>
              <w:t>(3)具有履行合同所必需</w:t>
            </w:r>
            <w:r>
              <w:rPr>
                <w:rFonts w:ascii="宋体" w:hAnsi="宋体" w:eastAsia="宋体" w:cs="宋体"/>
                <w:snapToGrid w:val="0"/>
                <w:color w:val="000000"/>
                <w:spacing w:val="12"/>
                <w:kern w:val="0"/>
                <w:sz w:val="20"/>
                <w:szCs w:val="20"/>
              </w:rPr>
              <w:t>的</w:t>
            </w:r>
            <w:r>
              <w:rPr>
                <w:rFonts w:ascii="宋体" w:hAnsi="宋体" w:eastAsia="宋体" w:cs="宋体"/>
                <w:snapToGrid w:val="0"/>
                <w:color w:val="000000"/>
                <w:spacing w:val="14"/>
                <w:kern w:val="0"/>
                <w:sz w:val="20"/>
                <w:szCs w:val="20"/>
              </w:rPr>
              <w:t>设</w:t>
            </w:r>
            <w:r>
              <w:rPr>
                <w:rFonts w:ascii="宋体" w:hAnsi="宋体" w:eastAsia="宋体" w:cs="宋体"/>
                <w:snapToGrid w:val="0"/>
                <w:color w:val="000000"/>
                <w:spacing w:val="7"/>
                <w:kern w:val="0"/>
                <w:sz w:val="20"/>
                <w:szCs w:val="20"/>
              </w:rPr>
              <w:t>备和专业技术能力；</w:t>
            </w:r>
          </w:p>
          <w:p>
            <w:pPr>
              <w:widowControl/>
              <w:kinsoku w:val="0"/>
              <w:autoSpaceDE w:val="0"/>
              <w:autoSpaceDN w:val="0"/>
              <w:adjustRightInd w:val="0"/>
              <w:snapToGrid w:val="0"/>
              <w:spacing w:before="26" w:line="240" w:lineRule="auto"/>
              <w:ind w:left="61" w:right="168" w:firstLine="9"/>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5"/>
                <w:kern w:val="0"/>
                <w:sz w:val="20"/>
                <w:szCs w:val="20"/>
              </w:rPr>
              <w:t>(4)有依法缴纳税收和社</w:t>
            </w:r>
            <w:r>
              <w:rPr>
                <w:rFonts w:ascii="宋体" w:hAnsi="宋体" w:eastAsia="宋体" w:cs="宋体"/>
                <w:snapToGrid w:val="0"/>
                <w:color w:val="000000"/>
                <w:spacing w:val="12"/>
                <w:kern w:val="0"/>
                <w:sz w:val="20"/>
                <w:szCs w:val="20"/>
              </w:rPr>
              <w:t>会</w:t>
            </w:r>
            <w:r>
              <w:rPr>
                <w:rFonts w:ascii="宋体" w:hAnsi="宋体" w:eastAsia="宋体" w:cs="宋体"/>
                <w:snapToGrid w:val="0"/>
                <w:color w:val="000000"/>
                <w:spacing w:val="9"/>
                <w:kern w:val="0"/>
                <w:sz w:val="20"/>
                <w:szCs w:val="20"/>
              </w:rPr>
              <w:t>保障资金的良好记</w:t>
            </w:r>
            <w:r>
              <w:rPr>
                <w:rFonts w:ascii="宋体" w:hAnsi="宋体" w:eastAsia="宋体" w:cs="宋体"/>
                <w:snapToGrid w:val="0"/>
                <w:color w:val="000000"/>
                <w:spacing w:val="7"/>
                <w:kern w:val="0"/>
                <w:sz w:val="20"/>
                <w:szCs w:val="20"/>
              </w:rPr>
              <w:t>录</w:t>
            </w:r>
          </w:p>
          <w:p>
            <w:pPr>
              <w:widowControl/>
              <w:kinsoku w:val="0"/>
              <w:autoSpaceDE w:val="0"/>
              <w:autoSpaceDN w:val="0"/>
              <w:adjustRightInd w:val="0"/>
              <w:snapToGrid w:val="0"/>
              <w:spacing w:before="28" w:line="240" w:lineRule="auto"/>
              <w:ind w:left="61" w:right="115" w:firstLine="1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5"/>
                <w:kern w:val="0"/>
                <w:sz w:val="20"/>
                <w:szCs w:val="20"/>
              </w:rPr>
              <w:t>(5)参加政府采购活动前</w:t>
            </w:r>
            <w:r>
              <w:rPr>
                <w:rFonts w:ascii="宋体" w:hAnsi="宋体" w:eastAsia="宋体" w:cs="宋体"/>
                <w:snapToGrid w:val="0"/>
                <w:color w:val="000000"/>
                <w:spacing w:val="12"/>
                <w:kern w:val="0"/>
                <w:sz w:val="20"/>
                <w:szCs w:val="20"/>
              </w:rPr>
              <w:t>三</w:t>
            </w:r>
            <w:r>
              <w:rPr>
                <w:rFonts w:ascii="宋体" w:hAnsi="宋体" w:eastAsia="宋体" w:cs="宋体"/>
                <w:snapToGrid w:val="0"/>
                <w:color w:val="000000"/>
                <w:spacing w:val="10"/>
                <w:kern w:val="0"/>
                <w:sz w:val="20"/>
                <w:szCs w:val="20"/>
              </w:rPr>
              <w:t>年</w:t>
            </w:r>
            <w:r>
              <w:rPr>
                <w:rFonts w:ascii="宋体" w:hAnsi="宋体" w:eastAsia="宋体" w:cs="宋体"/>
                <w:snapToGrid w:val="0"/>
                <w:color w:val="000000"/>
                <w:spacing w:val="5"/>
                <w:kern w:val="0"/>
                <w:sz w:val="20"/>
                <w:szCs w:val="20"/>
              </w:rPr>
              <w:t>内，在经营活动中没有重大</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spacing w:val="6"/>
                <w:kern w:val="0"/>
                <w:sz w:val="20"/>
                <w:szCs w:val="20"/>
              </w:rPr>
              <w:t>违法记录</w:t>
            </w:r>
            <w:r>
              <w:rPr>
                <w:rFonts w:ascii="宋体" w:hAnsi="宋体" w:eastAsia="宋体" w:cs="宋体"/>
                <w:snapToGrid w:val="0"/>
                <w:color w:val="000000"/>
                <w:spacing w:val="5"/>
                <w:kern w:val="0"/>
                <w:sz w:val="20"/>
                <w:szCs w:val="20"/>
              </w:rPr>
              <w:t>；</w:t>
            </w:r>
          </w:p>
          <w:p>
            <w:pPr>
              <w:widowControl/>
              <w:kinsoku w:val="0"/>
              <w:autoSpaceDE w:val="0"/>
              <w:autoSpaceDN w:val="0"/>
              <w:adjustRightInd w:val="0"/>
              <w:snapToGrid w:val="0"/>
              <w:spacing w:before="22" w:line="240" w:lineRule="auto"/>
              <w:ind w:left="61" w:right="168" w:firstLine="9"/>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5"/>
                <w:kern w:val="0"/>
                <w:sz w:val="20"/>
                <w:szCs w:val="20"/>
              </w:rPr>
              <w:t>(6)法律、行政法规规定</w:t>
            </w:r>
            <w:r>
              <w:rPr>
                <w:rFonts w:ascii="宋体" w:hAnsi="宋体" w:eastAsia="宋体" w:cs="宋体"/>
                <w:snapToGrid w:val="0"/>
                <w:color w:val="000000"/>
                <w:spacing w:val="12"/>
                <w:kern w:val="0"/>
                <w:sz w:val="20"/>
                <w:szCs w:val="20"/>
              </w:rPr>
              <w:t>的</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spacing w:val="8"/>
                <w:kern w:val="0"/>
                <w:sz w:val="20"/>
                <w:szCs w:val="20"/>
              </w:rPr>
              <w:t>其</w:t>
            </w:r>
            <w:r>
              <w:rPr>
                <w:rFonts w:ascii="宋体" w:hAnsi="宋体" w:eastAsia="宋体" w:cs="宋体"/>
                <w:snapToGrid w:val="0"/>
                <w:color w:val="000000"/>
                <w:spacing w:val="5"/>
                <w:kern w:val="0"/>
                <w:sz w:val="20"/>
                <w:szCs w:val="20"/>
              </w:rPr>
              <w:t>他条件。</w:t>
            </w:r>
          </w:p>
        </w:tc>
        <w:tc>
          <w:tcPr>
            <w:tcW w:w="4119" w:type="dxa"/>
            <w:vAlign w:val="center"/>
          </w:tcPr>
          <w:p>
            <w:pPr>
              <w:widowControl/>
              <w:kinsoku w:val="0"/>
              <w:autoSpaceDE w:val="0"/>
              <w:autoSpaceDN w:val="0"/>
              <w:adjustRightInd w:val="0"/>
              <w:snapToGrid w:val="0"/>
              <w:spacing w:before="31" w:line="240" w:lineRule="auto"/>
              <w:ind w:left="62" w:right="114" w:firstLine="1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3"/>
                <w:kern w:val="0"/>
                <w:sz w:val="20"/>
                <w:szCs w:val="20"/>
              </w:rPr>
              <w:t>(1)提供有效的营业执照(或事业单</w:t>
            </w:r>
            <w:r>
              <w:rPr>
                <w:rFonts w:ascii="宋体" w:hAnsi="宋体" w:eastAsia="宋体" w:cs="宋体"/>
                <w:snapToGrid w:val="0"/>
                <w:color w:val="000000"/>
                <w:spacing w:val="10"/>
                <w:kern w:val="0"/>
                <w:sz w:val="20"/>
                <w:szCs w:val="20"/>
              </w:rPr>
              <w:t>位</w:t>
            </w:r>
            <w:r>
              <w:rPr>
                <w:rFonts w:ascii="宋体" w:hAnsi="宋体" w:eastAsia="宋体" w:cs="宋体"/>
                <w:snapToGrid w:val="0"/>
                <w:color w:val="000000"/>
                <w:spacing w:val="8"/>
                <w:kern w:val="0"/>
                <w:sz w:val="20"/>
                <w:szCs w:val="20"/>
              </w:rPr>
              <w:t>法</w:t>
            </w:r>
            <w:r>
              <w:rPr>
                <w:rFonts w:ascii="宋体" w:hAnsi="宋体" w:eastAsia="宋体" w:cs="宋体"/>
                <w:snapToGrid w:val="0"/>
                <w:color w:val="000000"/>
                <w:spacing w:val="5"/>
                <w:kern w:val="0"/>
                <w:sz w:val="20"/>
                <w:szCs w:val="20"/>
              </w:rPr>
              <w:t>人证书)等证明材料 (加盖单位公</w:t>
            </w:r>
            <w:r>
              <w:rPr>
                <w:rFonts w:ascii="宋体" w:hAnsi="宋体" w:eastAsia="宋体" w:cs="宋体"/>
                <w:snapToGrid w:val="0"/>
                <w:color w:val="000000"/>
                <w:spacing w:val="2"/>
                <w:kern w:val="0"/>
                <w:sz w:val="20"/>
                <w:szCs w:val="20"/>
              </w:rPr>
              <w:t>章)</w:t>
            </w:r>
            <w:r>
              <w:rPr>
                <w:rFonts w:hint="eastAsia" w:ascii="宋体" w:hAnsi="宋体" w:cs="宋体"/>
                <w:snapToGrid w:val="0"/>
                <w:color w:val="000000"/>
                <w:spacing w:val="2"/>
                <w:kern w:val="0"/>
                <w:sz w:val="20"/>
                <w:szCs w:val="20"/>
                <w:lang w:eastAsia="zh-CN"/>
              </w:rPr>
              <w:t>；</w:t>
            </w:r>
            <w:r>
              <w:rPr>
                <w:rFonts w:ascii="宋体" w:hAnsi="宋体" w:eastAsia="宋体" w:cs="宋体"/>
                <w:snapToGrid w:val="0"/>
                <w:color w:val="000000"/>
                <w:spacing w:val="1"/>
                <w:kern w:val="0"/>
                <w:sz w:val="20"/>
                <w:szCs w:val="20"/>
              </w:rPr>
              <w:t>自然人需提供身份证明。</w:t>
            </w:r>
          </w:p>
          <w:p>
            <w:pPr>
              <w:widowControl/>
              <w:kinsoku w:val="0"/>
              <w:autoSpaceDE w:val="0"/>
              <w:autoSpaceDN w:val="0"/>
              <w:adjustRightInd w:val="0"/>
              <w:snapToGrid w:val="0"/>
              <w:spacing w:before="28" w:line="240" w:lineRule="auto"/>
              <w:ind w:left="61" w:right="90" w:firstLine="10"/>
              <w:jc w:val="left"/>
              <w:textAlignment w:val="baseline"/>
              <w:rPr>
                <w:rFonts w:ascii="宋体" w:hAnsi="宋体" w:eastAsia="宋体" w:cs="宋体"/>
                <w:snapToGrid w:val="0"/>
                <w:color w:val="000000"/>
                <w:kern w:val="0"/>
                <w:sz w:val="20"/>
                <w:szCs w:val="20"/>
                <w:highlight w:val="none"/>
              </w:rPr>
            </w:pPr>
            <w:r>
              <w:rPr>
                <w:rFonts w:ascii="宋体" w:hAnsi="宋体" w:eastAsia="宋体" w:cs="宋体"/>
                <w:snapToGrid w:val="0"/>
                <w:color w:val="000000"/>
                <w:spacing w:val="26"/>
                <w:kern w:val="0"/>
                <w:sz w:val="20"/>
                <w:szCs w:val="20"/>
                <w:highlight w:val="none"/>
              </w:rPr>
              <w:t>(</w:t>
            </w:r>
            <w:r>
              <w:rPr>
                <w:rFonts w:ascii="宋体" w:hAnsi="宋体" w:eastAsia="宋体" w:cs="宋体"/>
                <w:snapToGrid w:val="0"/>
                <w:color w:val="000000"/>
                <w:spacing w:val="13"/>
                <w:kern w:val="0"/>
                <w:sz w:val="20"/>
                <w:szCs w:val="20"/>
                <w:highlight w:val="none"/>
              </w:rPr>
              <w:t>2)</w:t>
            </w:r>
            <w:r>
              <w:rPr>
                <w:rFonts w:hint="eastAsia" w:ascii="宋体" w:hAnsi="宋体" w:eastAsia="宋体" w:cs="宋体"/>
                <w:snapToGrid w:val="0"/>
                <w:color w:val="000000"/>
                <w:spacing w:val="13"/>
                <w:kern w:val="0"/>
                <w:sz w:val="20"/>
                <w:szCs w:val="20"/>
                <w:highlight w:val="none"/>
              </w:rPr>
              <w:t>提供参加本次政府采购活动最近一年度（2022年度）的审计报告或财务报表（财务报表应至少包括资产负债表、损益表、现金流量表或财务状况变动表等）或银行资信证明等；复印件加盖公章；当月新成立的公司不需提供。</w:t>
            </w:r>
          </w:p>
          <w:p>
            <w:pPr>
              <w:widowControl/>
              <w:kinsoku w:val="0"/>
              <w:autoSpaceDE w:val="0"/>
              <w:autoSpaceDN w:val="0"/>
              <w:adjustRightInd w:val="0"/>
              <w:snapToGrid w:val="0"/>
              <w:spacing w:before="25" w:line="240" w:lineRule="auto"/>
              <w:ind w:left="62" w:right="159" w:firstLine="1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6"/>
                <w:kern w:val="0"/>
                <w:sz w:val="20"/>
                <w:szCs w:val="20"/>
              </w:rPr>
              <w:t>(</w:t>
            </w:r>
            <w:r>
              <w:rPr>
                <w:rFonts w:ascii="宋体" w:hAnsi="宋体" w:eastAsia="宋体" w:cs="宋体"/>
                <w:snapToGrid w:val="0"/>
                <w:color w:val="000000"/>
                <w:spacing w:val="13"/>
                <w:kern w:val="0"/>
                <w:sz w:val="20"/>
                <w:szCs w:val="20"/>
              </w:rPr>
              <w:t>3) 根据项目需求提供履行合同所必</w:t>
            </w:r>
            <w:r>
              <w:rPr>
                <w:rFonts w:ascii="宋体" w:hAnsi="宋体" w:eastAsia="宋体" w:cs="宋体"/>
                <w:snapToGrid w:val="0"/>
                <w:color w:val="000000"/>
                <w:spacing w:val="14"/>
                <w:kern w:val="0"/>
                <w:sz w:val="20"/>
                <w:szCs w:val="20"/>
              </w:rPr>
              <w:t>需</w:t>
            </w:r>
            <w:r>
              <w:rPr>
                <w:rFonts w:ascii="宋体" w:hAnsi="宋体" w:eastAsia="宋体" w:cs="宋体"/>
                <w:snapToGrid w:val="0"/>
                <w:color w:val="000000"/>
                <w:spacing w:val="9"/>
                <w:kern w:val="0"/>
                <w:sz w:val="20"/>
                <w:szCs w:val="20"/>
              </w:rPr>
              <w:t>的设备和专业技术能力相关的证明材</w:t>
            </w:r>
            <w:r>
              <w:rPr>
                <w:rFonts w:ascii="宋体" w:hAnsi="宋体" w:eastAsia="宋体" w:cs="宋体"/>
                <w:snapToGrid w:val="0"/>
                <w:color w:val="000000"/>
                <w:spacing w:val="8"/>
                <w:kern w:val="0"/>
                <w:sz w:val="20"/>
                <w:szCs w:val="20"/>
              </w:rPr>
              <w:t>料或声明，加盖公章。</w:t>
            </w:r>
          </w:p>
          <w:p>
            <w:pPr>
              <w:widowControl/>
              <w:tabs>
                <w:tab w:val="left" w:pos="172"/>
              </w:tabs>
              <w:kinsoku w:val="0"/>
              <w:autoSpaceDE w:val="0"/>
              <w:autoSpaceDN w:val="0"/>
              <w:adjustRightInd w:val="0"/>
              <w:snapToGrid w:val="0"/>
              <w:spacing w:before="23" w:line="240" w:lineRule="auto"/>
              <w:ind w:left="61" w:right="114" w:firstLine="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w:t>
            </w:r>
            <w:r>
              <w:rPr>
                <w:rFonts w:ascii="宋体" w:hAnsi="宋体" w:eastAsia="宋体" w:cs="宋体"/>
                <w:snapToGrid w:val="0"/>
                <w:color w:val="000000"/>
                <w:spacing w:val="-4"/>
                <w:kern w:val="0"/>
                <w:sz w:val="20"/>
                <w:szCs w:val="20"/>
              </w:rPr>
              <w:t>4)</w:t>
            </w:r>
            <w:r>
              <w:rPr>
                <w:rFonts w:ascii="宋体" w:hAnsi="宋体" w:eastAsia="宋体" w:cs="宋体"/>
                <w:snapToGrid w:val="0"/>
                <w:color w:val="000000"/>
                <w:spacing w:val="13"/>
                <w:kern w:val="0"/>
                <w:sz w:val="20"/>
                <w:szCs w:val="20"/>
              </w:rPr>
              <w:t xml:space="preserve"> </w:t>
            </w:r>
            <w:r>
              <w:rPr>
                <w:rFonts w:hint="eastAsia" w:ascii="宋体" w:hAnsi="宋体" w:eastAsia="宋体" w:cs="宋体"/>
                <w:snapToGrid w:val="0"/>
                <w:color w:val="000000"/>
                <w:spacing w:val="13"/>
                <w:kern w:val="0"/>
                <w:sz w:val="20"/>
                <w:szCs w:val="20"/>
              </w:rPr>
              <w:t>提供社会保险登记证或社保缴纳证明（2023年1月至今连续3个月缴纳税收和社会保险的凭据证明材料</w:t>
            </w:r>
            <w:r>
              <w:rPr>
                <w:rFonts w:hint="eastAsia" w:ascii="宋体" w:hAnsi="宋体" w:cs="宋体"/>
                <w:snapToGrid w:val="0"/>
                <w:color w:val="000000"/>
                <w:spacing w:val="13"/>
                <w:kern w:val="0"/>
                <w:sz w:val="20"/>
                <w:szCs w:val="20"/>
                <w:lang w:eastAsia="zh-CN"/>
              </w:rPr>
              <w:t>，</w:t>
            </w:r>
            <w:r>
              <w:rPr>
                <w:rFonts w:hint="eastAsia" w:ascii="宋体" w:hAnsi="宋体" w:eastAsia="宋体" w:cs="宋体"/>
                <w:snapToGrid w:val="0"/>
                <w:color w:val="000000"/>
                <w:spacing w:val="13"/>
                <w:kern w:val="0"/>
                <w:sz w:val="20"/>
                <w:szCs w:val="20"/>
              </w:rPr>
              <w:t>当月新成立的</w:t>
            </w:r>
            <w:r>
              <w:rPr>
                <w:rFonts w:hint="eastAsia" w:ascii="宋体" w:hAnsi="宋体" w:cs="宋体"/>
                <w:snapToGrid w:val="0"/>
                <w:color w:val="000000"/>
                <w:spacing w:val="13"/>
                <w:kern w:val="0"/>
                <w:sz w:val="20"/>
                <w:szCs w:val="20"/>
                <w:lang w:eastAsia="zh-CN"/>
              </w:rPr>
              <w:t>，</w:t>
            </w:r>
            <w:r>
              <w:rPr>
                <w:rFonts w:hint="eastAsia" w:ascii="宋体" w:hAnsi="宋体" w:eastAsia="宋体" w:cs="宋体"/>
                <w:snapToGrid w:val="0"/>
                <w:color w:val="000000"/>
                <w:spacing w:val="13"/>
                <w:kern w:val="0"/>
                <w:sz w:val="20"/>
                <w:szCs w:val="20"/>
              </w:rPr>
              <w:t>不需提供）</w:t>
            </w:r>
            <w:r>
              <w:rPr>
                <w:rFonts w:ascii="宋体" w:hAnsi="宋体" w:eastAsia="宋体" w:cs="宋体"/>
                <w:snapToGrid w:val="0"/>
                <w:color w:val="000000"/>
                <w:spacing w:val="13"/>
                <w:kern w:val="0"/>
                <w:sz w:val="20"/>
                <w:szCs w:val="20"/>
              </w:rPr>
              <w:t>。</w:t>
            </w:r>
          </w:p>
          <w:p>
            <w:pPr>
              <w:widowControl/>
              <w:kinsoku w:val="0"/>
              <w:autoSpaceDE w:val="0"/>
              <w:autoSpaceDN w:val="0"/>
              <w:adjustRightInd w:val="0"/>
              <w:snapToGrid w:val="0"/>
              <w:spacing w:before="25" w:line="240" w:lineRule="auto"/>
              <w:ind w:left="63" w:right="213" w:firstLine="9"/>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3"/>
                <w:kern w:val="0"/>
                <w:sz w:val="20"/>
                <w:szCs w:val="20"/>
              </w:rPr>
              <w:t>(</w:t>
            </w:r>
            <w:r>
              <w:rPr>
                <w:rFonts w:ascii="宋体" w:hAnsi="宋体" w:eastAsia="宋体" w:cs="宋体"/>
                <w:snapToGrid w:val="0"/>
                <w:color w:val="000000"/>
                <w:spacing w:val="10"/>
                <w:kern w:val="0"/>
                <w:sz w:val="20"/>
                <w:szCs w:val="20"/>
              </w:rPr>
              <w:t>5) 提供参加本次政府采购活动前</w:t>
            </w:r>
            <w:r>
              <w:rPr>
                <w:rFonts w:hint="eastAsia" w:ascii="宋体" w:hAnsi="宋体" w:cs="宋体"/>
                <w:snapToGrid w:val="0"/>
                <w:color w:val="000000"/>
                <w:spacing w:val="10"/>
                <w:kern w:val="0"/>
                <w:sz w:val="20"/>
                <w:szCs w:val="20"/>
                <w:lang w:val="en-US" w:eastAsia="zh-CN"/>
              </w:rPr>
              <w:t>3</w:t>
            </w:r>
            <w:r>
              <w:rPr>
                <w:rFonts w:ascii="宋体" w:hAnsi="宋体" w:eastAsia="宋体" w:cs="宋体"/>
                <w:snapToGrid w:val="0"/>
                <w:color w:val="000000"/>
                <w:spacing w:val="13"/>
                <w:kern w:val="0"/>
                <w:sz w:val="20"/>
                <w:szCs w:val="20"/>
              </w:rPr>
              <w:t>年</w:t>
            </w:r>
            <w:r>
              <w:rPr>
                <w:rFonts w:ascii="宋体" w:hAnsi="宋体" w:eastAsia="宋体" w:cs="宋体"/>
                <w:snapToGrid w:val="0"/>
                <w:color w:val="000000"/>
                <w:spacing w:val="9"/>
                <w:kern w:val="0"/>
                <w:sz w:val="20"/>
                <w:szCs w:val="20"/>
              </w:rPr>
              <w:t>内在经营活动中没有重大违法记录</w:t>
            </w:r>
            <w:r>
              <w:rPr>
                <w:rFonts w:ascii="宋体" w:hAnsi="宋体" w:eastAsia="宋体" w:cs="宋体"/>
                <w:snapToGrid w:val="0"/>
                <w:color w:val="000000"/>
                <w:spacing w:val="12"/>
                <w:kern w:val="0"/>
                <w:sz w:val="20"/>
                <w:szCs w:val="20"/>
              </w:rPr>
              <w:t>声</w:t>
            </w:r>
            <w:r>
              <w:rPr>
                <w:rFonts w:ascii="宋体" w:hAnsi="宋体" w:eastAsia="宋体" w:cs="宋体"/>
                <w:snapToGrid w:val="0"/>
                <w:color w:val="000000"/>
                <w:spacing w:val="9"/>
                <w:kern w:val="0"/>
                <w:sz w:val="20"/>
                <w:szCs w:val="20"/>
              </w:rPr>
              <w:t>明</w:t>
            </w:r>
            <w:r>
              <w:rPr>
                <w:rFonts w:ascii="宋体" w:hAnsi="宋体" w:eastAsia="宋体" w:cs="宋体"/>
                <w:snapToGrid w:val="0"/>
                <w:color w:val="000000"/>
                <w:spacing w:val="6"/>
                <w:kern w:val="0"/>
                <w:sz w:val="20"/>
                <w:szCs w:val="20"/>
              </w:rPr>
              <w:t>函 (加盖公章) 。</w:t>
            </w:r>
          </w:p>
        </w:tc>
        <w:tc>
          <w:tcPr>
            <w:tcW w:w="53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53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587" w:type="dxa"/>
            <w:vAlign w:val="top"/>
          </w:tcPr>
          <w:p>
            <w:pPr>
              <w:widowControl/>
              <w:kinsoku w:val="0"/>
              <w:autoSpaceDE w:val="0"/>
              <w:autoSpaceDN w:val="0"/>
              <w:adjustRightInd w:val="0"/>
              <w:snapToGrid w:val="0"/>
              <w:spacing w:before="233" w:line="192" w:lineRule="auto"/>
              <w:ind w:left="278"/>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2</w:t>
            </w:r>
          </w:p>
        </w:tc>
        <w:tc>
          <w:tcPr>
            <w:tcW w:w="1027" w:type="dxa"/>
            <w:vAlign w:val="top"/>
          </w:tcPr>
          <w:p>
            <w:pPr>
              <w:widowControl/>
              <w:kinsoku w:val="0"/>
              <w:autoSpaceDE w:val="0"/>
              <w:autoSpaceDN w:val="0"/>
              <w:adjustRightInd w:val="0"/>
              <w:snapToGrid w:val="0"/>
              <w:spacing w:before="200" w:line="229" w:lineRule="auto"/>
              <w:ind w:left="6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4"/>
                <w:kern w:val="0"/>
                <w:sz w:val="20"/>
                <w:szCs w:val="20"/>
              </w:rPr>
              <w:t>其他</w:t>
            </w:r>
          </w:p>
        </w:tc>
        <w:tc>
          <w:tcPr>
            <w:tcW w:w="2418" w:type="dxa"/>
            <w:vAlign w:val="top"/>
          </w:tcPr>
          <w:p>
            <w:pPr>
              <w:widowControl/>
              <w:kinsoku w:val="0"/>
              <w:autoSpaceDE w:val="0"/>
              <w:autoSpaceDN w:val="0"/>
              <w:adjustRightInd w:val="0"/>
              <w:snapToGrid w:val="0"/>
              <w:spacing w:before="65" w:line="240" w:lineRule="auto"/>
              <w:ind w:left="61" w:right="276"/>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9"/>
                <w:kern w:val="0"/>
                <w:sz w:val="20"/>
                <w:szCs w:val="20"/>
              </w:rPr>
              <w:t>法定代表人证明及委托代理</w:t>
            </w:r>
            <w:r>
              <w:rPr>
                <w:rFonts w:ascii="宋体" w:hAnsi="宋体" w:eastAsia="宋体" w:cs="宋体"/>
                <w:snapToGrid w:val="0"/>
                <w:color w:val="000000"/>
                <w:spacing w:val="7"/>
                <w:kern w:val="0"/>
                <w:sz w:val="20"/>
                <w:szCs w:val="20"/>
              </w:rPr>
              <w:t>人</w:t>
            </w:r>
            <w:r>
              <w:rPr>
                <w:rFonts w:ascii="宋体" w:hAnsi="宋体" w:eastAsia="宋体" w:cs="宋体"/>
                <w:snapToGrid w:val="0"/>
                <w:color w:val="000000"/>
                <w:spacing w:val="6"/>
                <w:kern w:val="0"/>
                <w:sz w:val="20"/>
                <w:szCs w:val="20"/>
              </w:rPr>
              <w:t>证明</w:t>
            </w:r>
          </w:p>
        </w:tc>
        <w:tc>
          <w:tcPr>
            <w:tcW w:w="4119" w:type="dxa"/>
            <w:vAlign w:val="top"/>
          </w:tcPr>
          <w:p>
            <w:pPr>
              <w:widowControl/>
              <w:kinsoku w:val="0"/>
              <w:autoSpaceDE w:val="0"/>
              <w:autoSpaceDN w:val="0"/>
              <w:adjustRightInd w:val="0"/>
              <w:snapToGrid w:val="0"/>
              <w:spacing w:before="65" w:line="240" w:lineRule="auto"/>
              <w:ind w:left="61" w:right="267" w:firstLine="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3"/>
                <w:kern w:val="0"/>
                <w:sz w:val="20"/>
                <w:szCs w:val="20"/>
              </w:rPr>
              <w:t>提</w:t>
            </w:r>
            <w:r>
              <w:rPr>
                <w:rFonts w:ascii="宋体" w:hAnsi="宋体" w:eastAsia="宋体" w:cs="宋体"/>
                <w:snapToGrid w:val="0"/>
                <w:color w:val="000000"/>
                <w:spacing w:val="9"/>
                <w:kern w:val="0"/>
                <w:sz w:val="20"/>
                <w:szCs w:val="20"/>
              </w:rPr>
              <w:t>供了有效的法定代表人证明及委托</w:t>
            </w:r>
            <w:r>
              <w:rPr>
                <w:rFonts w:ascii="宋体" w:hAnsi="宋体" w:eastAsia="宋体" w:cs="宋体"/>
                <w:snapToGrid w:val="0"/>
                <w:color w:val="000000"/>
                <w:spacing w:val="14"/>
                <w:kern w:val="0"/>
                <w:sz w:val="20"/>
                <w:szCs w:val="20"/>
              </w:rPr>
              <w:t>代</w:t>
            </w:r>
            <w:r>
              <w:rPr>
                <w:rFonts w:ascii="宋体" w:hAnsi="宋体" w:eastAsia="宋体" w:cs="宋体"/>
                <w:snapToGrid w:val="0"/>
                <w:color w:val="000000"/>
                <w:spacing w:val="8"/>
                <w:kern w:val="0"/>
                <w:sz w:val="20"/>
                <w:szCs w:val="20"/>
              </w:rPr>
              <w:t>理</w:t>
            </w:r>
            <w:r>
              <w:rPr>
                <w:rFonts w:ascii="宋体" w:hAnsi="宋体" w:eastAsia="宋体" w:cs="宋体"/>
                <w:snapToGrid w:val="0"/>
                <w:color w:val="000000"/>
                <w:spacing w:val="7"/>
                <w:kern w:val="0"/>
                <w:sz w:val="20"/>
                <w:szCs w:val="20"/>
              </w:rPr>
              <w:t>人证明 (并加盖公章) 。</w:t>
            </w:r>
          </w:p>
        </w:tc>
        <w:tc>
          <w:tcPr>
            <w:tcW w:w="53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53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587" w:type="dxa"/>
            <w:vAlign w:val="top"/>
          </w:tcPr>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before="65" w:line="190" w:lineRule="auto"/>
              <w:ind w:left="28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3</w:t>
            </w:r>
          </w:p>
        </w:tc>
        <w:tc>
          <w:tcPr>
            <w:tcW w:w="1027" w:type="dxa"/>
            <w:vAlign w:val="top"/>
          </w:tcPr>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before="65" w:line="228" w:lineRule="auto"/>
              <w:ind w:left="6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9"/>
                <w:kern w:val="0"/>
                <w:sz w:val="20"/>
                <w:szCs w:val="20"/>
              </w:rPr>
              <w:t>采</w:t>
            </w:r>
            <w:r>
              <w:rPr>
                <w:rFonts w:ascii="宋体" w:hAnsi="宋体" w:eastAsia="宋体" w:cs="宋体"/>
                <w:snapToGrid w:val="0"/>
                <w:color w:val="000000"/>
                <w:spacing w:val="7"/>
                <w:kern w:val="0"/>
                <w:sz w:val="20"/>
                <w:szCs w:val="20"/>
              </w:rPr>
              <w:t>购政策</w:t>
            </w:r>
          </w:p>
        </w:tc>
        <w:tc>
          <w:tcPr>
            <w:tcW w:w="2418"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before="65" w:line="240" w:lineRule="auto"/>
              <w:ind w:left="6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3"/>
                <w:kern w:val="0"/>
                <w:sz w:val="20"/>
                <w:szCs w:val="20"/>
              </w:rPr>
              <w:t>供</w:t>
            </w:r>
            <w:r>
              <w:rPr>
                <w:rFonts w:ascii="宋体" w:hAnsi="宋体" w:eastAsia="宋体" w:cs="宋体"/>
                <w:snapToGrid w:val="0"/>
                <w:color w:val="000000"/>
                <w:spacing w:val="8"/>
                <w:kern w:val="0"/>
                <w:sz w:val="20"/>
                <w:szCs w:val="20"/>
              </w:rPr>
              <w:t>应商为中小企业</w:t>
            </w:r>
          </w:p>
        </w:tc>
        <w:tc>
          <w:tcPr>
            <w:tcW w:w="4119" w:type="dxa"/>
            <w:vAlign w:val="top"/>
          </w:tcPr>
          <w:p>
            <w:pPr>
              <w:widowControl/>
              <w:kinsoku w:val="0"/>
              <w:autoSpaceDE w:val="0"/>
              <w:autoSpaceDN w:val="0"/>
              <w:adjustRightInd w:val="0"/>
              <w:snapToGrid w:val="0"/>
              <w:spacing w:before="33" w:line="240" w:lineRule="auto"/>
              <w:ind w:left="62" w:right="114" w:hanging="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8"/>
                <w:kern w:val="0"/>
                <w:sz w:val="20"/>
                <w:szCs w:val="20"/>
              </w:rPr>
              <w:t>请</w:t>
            </w:r>
            <w:r>
              <w:rPr>
                <w:rFonts w:ascii="宋体" w:hAnsi="宋体" w:eastAsia="宋体" w:cs="宋体"/>
                <w:snapToGrid w:val="0"/>
                <w:color w:val="000000"/>
                <w:spacing w:val="6"/>
                <w:kern w:val="0"/>
                <w:sz w:val="20"/>
                <w:szCs w:val="20"/>
              </w:rPr>
              <w:t>根据“落实政府采购政策需满足的资</w:t>
            </w:r>
            <w:r>
              <w:rPr>
                <w:rFonts w:ascii="宋体" w:hAnsi="宋体" w:eastAsia="宋体" w:cs="宋体"/>
                <w:snapToGrid w:val="0"/>
                <w:color w:val="000000"/>
                <w:spacing w:val="7"/>
                <w:kern w:val="0"/>
                <w:sz w:val="20"/>
                <w:szCs w:val="20"/>
              </w:rPr>
              <w:t>格</w:t>
            </w:r>
            <w:r>
              <w:rPr>
                <w:rFonts w:ascii="宋体" w:hAnsi="宋体" w:eastAsia="宋体" w:cs="宋体"/>
                <w:snapToGrid w:val="0"/>
                <w:color w:val="000000"/>
                <w:spacing w:val="6"/>
                <w:kern w:val="0"/>
                <w:sz w:val="20"/>
                <w:szCs w:val="20"/>
              </w:rPr>
              <w:t>要求”，上传对应的资格文件，格式</w:t>
            </w:r>
            <w:r>
              <w:rPr>
                <w:rFonts w:ascii="宋体" w:hAnsi="宋体" w:eastAsia="宋体" w:cs="宋体"/>
                <w:snapToGrid w:val="0"/>
                <w:color w:val="000000"/>
                <w:spacing w:val="7"/>
                <w:kern w:val="0"/>
                <w:sz w:val="20"/>
                <w:szCs w:val="20"/>
              </w:rPr>
              <w:t>以</w:t>
            </w:r>
            <w:r>
              <w:rPr>
                <w:rFonts w:ascii="宋体" w:hAnsi="宋体" w:eastAsia="宋体" w:cs="宋体"/>
                <w:snapToGrid w:val="0"/>
                <w:color w:val="000000"/>
                <w:spacing w:val="6"/>
                <w:kern w:val="0"/>
                <w:sz w:val="20"/>
                <w:szCs w:val="20"/>
              </w:rPr>
              <w:t>采购文件要求为准：是否提供了《中</w:t>
            </w:r>
            <w:r>
              <w:rPr>
                <w:rFonts w:ascii="宋体" w:hAnsi="宋体" w:eastAsia="宋体" w:cs="宋体"/>
                <w:snapToGrid w:val="0"/>
                <w:color w:val="000000"/>
                <w:spacing w:val="10"/>
                <w:kern w:val="0"/>
                <w:sz w:val="20"/>
                <w:szCs w:val="20"/>
              </w:rPr>
              <w:t>小企</w:t>
            </w:r>
            <w:r>
              <w:rPr>
                <w:rFonts w:ascii="宋体" w:hAnsi="宋体" w:eastAsia="宋体" w:cs="宋体"/>
                <w:snapToGrid w:val="0"/>
                <w:color w:val="000000"/>
                <w:spacing w:val="8"/>
                <w:kern w:val="0"/>
                <w:sz w:val="20"/>
                <w:szCs w:val="20"/>
              </w:rPr>
              <w:t>业</w:t>
            </w:r>
            <w:r>
              <w:rPr>
                <w:rFonts w:ascii="宋体" w:hAnsi="宋体" w:eastAsia="宋体" w:cs="宋体"/>
                <w:snapToGrid w:val="0"/>
                <w:color w:val="000000"/>
                <w:spacing w:val="5"/>
                <w:kern w:val="0"/>
                <w:sz w:val="20"/>
                <w:szCs w:val="20"/>
              </w:rPr>
              <w:t>声明函》(或《残疾人福利性单</w:t>
            </w:r>
            <w:r>
              <w:rPr>
                <w:rFonts w:ascii="宋体" w:hAnsi="宋体" w:eastAsia="宋体" w:cs="宋体"/>
                <w:snapToGrid w:val="0"/>
                <w:color w:val="000000"/>
                <w:spacing w:val="2"/>
                <w:kern w:val="0"/>
                <w:sz w:val="20"/>
                <w:szCs w:val="20"/>
              </w:rPr>
              <w:t>位声明函</w:t>
            </w:r>
            <w:r>
              <w:rPr>
                <w:rFonts w:ascii="宋体" w:hAnsi="宋体" w:eastAsia="宋体" w:cs="宋体"/>
                <w:snapToGrid w:val="0"/>
                <w:color w:val="000000"/>
                <w:spacing w:val="1"/>
                <w:kern w:val="0"/>
                <w:sz w:val="20"/>
                <w:szCs w:val="20"/>
              </w:rPr>
              <w:t>》) 等相关证明材料。</w:t>
            </w:r>
          </w:p>
        </w:tc>
        <w:tc>
          <w:tcPr>
            <w:tcW w:w="53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53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4" w:hRule="atLeast"/>
          <w:jc w:val="center"/>
        </w:trPr>
        <w:tc>
          <w:tcPr>
            <w:tcW w:w="587" w:type="dxa"/>
            <w:vAlign w:val="top"/>
          </w:tcPr>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before="65" w:line="192" w:lineRule="auto"/>
              <w:ind w:left="275"/>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4</w:t>
            </w:r>
          </w:p>
        </w:tc>
        <w:tc>
          <w:tcPr>
            <w:tcW w:w="1027" w:type="dxa"/>
            <w:vAlign w:val="top"/>
          </w:tcPr>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rPr>
            </w:pPr>
          </w:p>
          <w:p>
            <w:pPr>
              <w:widowControl/>
              <w:kinsoku w:val="0"/>
              <w:autoSpaceDE w:val="0"/>
              <w:autoSpaceDN w:val="0"/>
              <w:adjustRightInd w:val="0"/>
              <w:snapToGrid w:val="0"/>
              <w:spacing w:before="65" w:line="229" w:lineRule="auto"/>
              <w:ind w:left="6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4"/>
                <w:kern w:val="0"/>
                <w:sz w:val="20"/>
                <w:szCs w:val="20"/>
              </w:rPr>
              <w:t>其他</w:t>
            </w:r>
          </w:p>
        </w:tc>
        <w:tc>
          <w:tcPr>
            <w:tcW w:w="2418" w:type="dxa"/>
            <w:vAlign w:val="center"/>
          </w:tcPr>
          <w:p>
            <w:pPr>
              <w:widowControl/>
              <w:tabs>
                <w:tab w:val="left" w:pos="171"/>
              </w:tabs>
              <w:kinsoku w:val="0"/>
              <w:autoSpaceDE w:val="0"/>
              <w:autoSpaceDN w:val="0"/>
              <w:adjustRightInd w:val="0"/>
              <w:snapToGrid w:val="0"/>
              <w:spacing w:before="29" w:line="240" w:lineRule="auto"/>
              <w:ind w:left="59" w:right="83" w:firstLine="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6"/>
                <w:kern w:val="0"/>
                <w:sz w:val="20"/>
                <w:szCs w:val="20"/>
              </w:rPr>
              <w:t>(</w:t>
            </w:r>
            <w:r>
              <w:rPr>
                <w:rFonts w:ascii="宋体" w:hAnsi="宋体" w:eastAsia="宋体" w:cs="宋体"/>
                <w:snapToGrid w:val="0"/>
                <w:color w:val="000000"/>
                <w:spacing w:val="15"/>
                <w:kern w:val="0"/>
                <w:sz w:val="20"/>
                <w:szCs w:val="20"/>
              </w:rPr>
              <w:t>1) 在“信用中国”网站</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kern w:val="0"/>
                <w:sz w:val="20"/>
                <w:szCs w:val="20"/>
              </w:rPr>
              <w:tab/>
            </w:r>
            <w:r>
              <w:rPr>
                <w:rFonts w:ascii="宋体" w:hAnsi="宋体" w:eastAsia="宋体" w:cs="宋体"/>
                <w:snapToGrid w:val="0"/>
                <w:color w:val="000000"/>
                <w:spacing w:val="20"/>
                <w:kern w:val="0"/>
                <w:sz w:val="20"/>
                <w:szCs w:val="20"/>
              </w:rPr>
              <w:t>(</w:t>
            </w:r>
            <w:r>
              <w:rPr>
                <w:rFonts w:ascii="宋体" w:hAnsi="宋体" w:eastAsia="宋体" w:cs="宋体"/>
                <w:snapToGrid w:val="0"/>
                <w:color w:val="000000"/>
                <w:kern w:val="0"/>
                <w:sz w:val="20"/>
                <w:szCs w:val="20"/>
              </w:rPr>
              <w:t>www</w:t>
            </w:r>
            <w:r>
              <w:rPr>
                <w:rFonts w:ascii="宋体" w:hAnsi="宋体" w:eastAsia="宋体" w:cs="宋体"/>
                <w:snapToGrid w:val="0"/>
                <w:color w:val="000000"/>
                <w:spacing w:val="18"/>
                <w:kern w:val="0"/>
                <w:sz w:val="20"/>
                <w:szCs w:val="20"/>
              </w:rPr>
              <w:t>.</w:t>
            </w:r>
            <w:r>
              <w:rPr>
                <w:rFonts w:ascii="宋体" w:hAnsi="宋体" w:eastAsia="宋体" w:cs="宋体"/>
                <w:snapToGrid w:val="0"/>
                <w:color w:val="000000"/>
                <w:kern w:val="0"/>
                <w:sz w:val="20"/>
                <w:szCs w:val="20"/>
              </w:rPr>
              <w:t>creditchina</w:t>
            </w:r>
            <w:r>
              <w:rPr>
                <w:rFonts w:ascii="宋体" w:hAnsi="宋体" w:eastAsia="宋体" w:cs="宋体"/>
                <w:snapToGrid w:val="0"/>
                <w:color w:val="000000"/>
                <w:spacing w:val="18"/>
                <w:kern w:val="0"/>
                <w:sz w:val="20"/>
                <w:szCs w:val="20"/>
              </w:rPr>
              <w:t>.</w:t>
            </w:r>
            <w:r>
              <w:rPr>
                <w:rFonts w:ascii="宋体" w:hAnsi="宋体" w:eastAsia="宋体" w:cs="宋体"/>
                <w:snapToGrid w:val="0"/>
                <w:color w:val="000000"/>
                <w:kern w:val="0"/>
                <w:sz w:val="20"/>
                <w:szCs w:val="20"/>
              </w:rPr>
              <w:t>gov</w:t>
            </w:r>
            <w:r>
              <w:rPr>
                <w:rFonts w:ascii="宋体" w:hAnsi="宋体" w:eastAsia="宋体" w:cs="宋体"/>
                <w:snapToGrid w:val="0"/>
                <w:color w:val="000000"/>
                <w:spacing w:val="18"/>
                <w:kern w:val="0"/>
                <w:sz w:val="20"/>
                <w:szCs w:val="20"/>
              </w:rPr>
              <w:t>.</w:t>
            </w:r>
            <w:r>
              <w:rPr>
                <w:rFonts w:ascii="宋体" w:hAnsi="宋体" w:eastAsia="宋体" w:cs="宋体"/>
                <w:snapToGrid w:val="0"/>
                <w:color w:val="000000"/>
                <w:kern w:val="0"/>
                <w:sz w:val="20"/>
                <w:szCs w:val="20"/>
              </w:rPr>
              <w:t>cn</w:t>
            </w:r>
            <w:r>
              <w:rPr>
                <w:rFonts w:ascii="宋体" w:hAnsi="宋体" w:eastAsia="宋体" w:cs="宋体"/>
                <w:snapToGrid w:val="0"/>
                <w:color w:val="000000"/>
                <w:spacing w:val="18"/>
                <w:kern w:val="0"/>
                <w:sz w:val="20"/>
                <w:szCs w:val="20"/>
              </w:rPr>
              <w:t>)</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spacing w:val="10"/>
                <w:kern w:val="0"/>
                <w:sz w:val="20"/>
                <w:szCs w:val="20"/>
              </w:rPr>
              <w:t>未</w:t>
            </w:r>
            <w:r>
              <w:rPr>
                <w:rFonts w:ascii="宋体" w:hAnsi="宋体" w:eastAsia="宋体" w:cs="宋体"/>
                <w:snapToGrid w:val="0"/>
                <w:color w:val="000000"/>
                <w:spacing w:val="7"/>
                <w:kern w:val="0"/>
                <w:sz w:val="20"/>
                <w:szCs w:val="20"/>
              </w:rPr>
              <w:t>被</w:t>
            </w:r>
            <w:r>
              <w:rPr>
                <w:rFonts w:ascii="宋体" w:hAnsi="宋体" w:eastAsia="宋体" w:cs="宋体"/>
                <w:snapToGrid w:val="0"/>
                <w:color w:val="000000"/>
                <w:spacing w:val="5"/>
                <w:kern w:val="0"/>
                <w:sz w:val="20"/>
                <w:szCs w:val="20"/>
              </w:rPr>
              <w:t>列入失信被执行人、税收</w:t>
            </w:r>
            <w:r>
              <w:rPr>
                <w:rFonts w:ascii="宋体" w:hAnsi="宋体" w:eastAsia="宋体" w:cs="宋体"/>
                <w:snapToGrid w:val="0"/>
                <w:color w:val="000000"/>
                <w:spacing w:val="10"/>
                <w:kern w:val="0"/>
                <w:sz w:val="20"/>
                <w:szCs w:val="20"/>
              </w:rPr>
              <w:t>违</w:t>
            </w:r>
            <w:r>
              <w:rPr>
                <w:rFonts w:ascii="宋体" w:hAnsi="宋体" w:eastAsia="宋体" w:cs="宋体"/>
                <w:snapToGrid w:val="0"/>
                <w:color w:val="000000"/>
                <w:spacing w:val="7"/>
                <w:kern w:val="0"/>
                <w:sz w:val="20"/>
                <w:szCs w:val="20"/>
              </w:rPr>
              <w:t>法</w:t>
            </w:r>
            <w:r>
              <w:rPr>
                <w:rFonts w:ascii="宋体" w:hAnsi="宋体" w:eastAsia="宋体" w:cs="宋体"/>
                <w:snapToGrid w:val="0"/>
                <w:color w:val="000000"/>
                <w:spacing w:val="5"/>
                <w:kern w:val="0"/>
                <w:sz w:val="20"/>
                <w:szCs w:val="20"/>
              </w:rPr>
              <w:t>黑名单的；在中国政府采</w:t>
            </w:r>
            <w:r>
              <w:rPr>
                <w:rFonts w:ascii="宋体" w:hAnsi="宋体" w:eastAsia="宋体" w:cs="宋体"/>
                <w:snapToGrid w:val="0"/>
                <w:color w:val="000000"/>
                <w:spacing w:val="17"/>
                <w:kern w:val="0"/>
                <w:sz w:val="20"/>
                <w:szCs w:val="20"/>
              </w:rPr>
              <w:t>购</w:t>
            </w:r>
            <w:r>
              <w:rPr>
                <w:rFonts w:ascii="宋体" w:hAnsi="宋体" w:eastAsia="宋体" w:cs="宋体"/>
                <w:snapToGrid w:val="0"/>
                <w:color w:val="000000"/>
                <w:spacing w:val="11"/>
                <w:kern w:val="0"/>
                <w:sz w:val="20"/>
                <w:szCs w:val="20"/>
              </w:rPr>
              <w:t>网 (</w:t>
            </w:r>
            <w:r>
              <w:rPr>
                <w:rFonts w:ascii="宋体" w:hAnsi="宋体" w:eastAsia="宋体" w:cs="宋体"/>
                <w:snapToGrid w:val="0"/>
                <w:color w:val="000000"/>
                <w:kern w:val="0"/>
                <w:sz w:val="20"/>
                <w:szCs w:val="20"/>
              </w:rPr>
              <w:t>www</w:t>
            </w:r>
            <w:r>
              <w:rPr>
                <w:rFonts w:ascii="宋体" w:hAnsi="宋体" w:eastAsia="宋体" w:cs="宋体"/>
                <w:snapToGrid w:val="0"/>
                <w:color w:val="000000"/>
                <w:spacing w:val="11"/>
                <w:kern w:val="0"/>
                <w:sz w:val="20"/>
                <w:szCs w:val="20"/>
              </w:rPr>
              <w:t>.</w:t>
            </w:r>
            <w:r>
              <w:rPr>
                <w:rFonts w:ascii="宋体" w:hAnsi="宋体" w:eastAsia="宋体" w:cs="宋体"/>
                <w:snapToGrid w:val="0"/>
                <w:color w:val="000000"/>
                <w:kern w:val="0"/>
                <w:sz w:val="20"/>
                <w:szCs w:val="20"/>
              </w:rPr>
              <w:t>ccgp</w:t>
            </w:r>
            <w:r>
              <w:rPr>
                <w:rFonts w:ascii="宋体" w:hAnsi="宋体" w:eastAsia="宋体" w:cs="宋体"/>
                <w:snapToGrid w:val="0"/>
                <w:color w:val="000000"/>
                <w:spacing w:val="11"/>
                <w:kern w:val="0"/>
                <w:sz w:val="20"/>
                <w:szCs w:val="20"/>
              </w:rPr>
              <w:t>.</w:t>
            </w:r>
            <w:r>
              <w:rPr>
                <w:rFonts w:ascii="宋体" w:hAnsi="宋体" w:eastAsia="宋体" w:cs="宋体"/>
                <w:snapToGrid w:val="0"/>
                <w:color w:val="000000"/>
                <w:kern w:val="0"/>
                <w:sz w:val="20"/>
                <w:szCs w:val="20"/>
              </w:rPr>
              <w:t>gov</w:t>
            </w:r>
            <w:r>
              <w:rPr>
                <w:rFonts w:ascii="宋体" w:hAnsi="宋体" w:eastAsia="宋体" w:cs="宋体"/>
                <w:snapToGrid w:val="0"/>
                <w:color w:val="000000"/>
                <w:spacing w:val="11"/>
                <w:kern w:val="0"/>
                <w:sz w:val="20"/>
                <w:szCs w:val="20"/>
              </w:rPr>
              <w:t>.</w:t>
            </w:r>
            <w:r>
              <w:rPr>
                <w:rFonts w:ascii="宋体" w:hAnsi="宋体" w:eastAsia="宋体" w:cs="宋体"/>
                <w:snapToGrid w:val="0"/>
                <w:color w:val="000000"/>
                <w:kern w:val="0"/>
                <w:sz w:val="20"/>
                <w:szCs w:val="20"/>
              </w:rPr>
              <w:t>cn</w:t>
            </w:r>
            <w:r>
              <w:rPr>
                <w:rFonts w:ascii="宋体" w:hAnsi="宋体" w:eastAsia="宋体" w:cs="宋体"/>
                <w:snapToGrid w:val="0"/>
                <w:color w:val="000000"/>
                <w:spacing w:val="11"/>
                <w:kern w:val="0"/>
                <w:sz w:val="20"/>
                <w:szCs w:val="20"/>
              </w:rPr>
              <w:t>) 未</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spacing w:val="12"/>
                <w:kern w:val="0"/>
                <w:sz w:val="20"/>
                <w:szCs w:val="20"/>
              </w:rPr>
              <w:t>被</w:t>
            </w:r>
            <w:r>
              <w:rPr>
                <w:rFonts w:ascii="宋体" w:hAnsi="宋体" w:eastAsia="宋体" w:cs="宋体"/>
                <w:snapToGrid w:val="0"/>
                <w:color w:val="000000"/>
                <w:spacing w:val="9"/>
                <w:kern w:val="0"/>
                <w:sz w:val="20"/>
                <w:szCs w:val="20"/>
              </w:rPr>
              <w:t>列入政府采购严重违法失</w:t>
            </w:r>
            <w:r>
              <w:rPr>
                <w:rFonts w:ascii="宋体" w:hAnsi="宋体" w:eastAsia="宋体" w:cs="宋体"/>
                <w:snapToGrid w:val="0"/>
                <w:color w:val="000000"/>
                <w:spacing w:val="7"/>
                <w:kern w:val="0"/>
                <w:sz w:val="20"/>
                <w:szCs w:val="20"/>
              </w:rPr>
              <w:t>信</w:t>
            </w:r>
            <w:r>
              <w:rPr>
                <w:rFonts w:ascii="宋体" w:hAnsi="宋体" w:eastAsia="宋体" w:cs="宋体"/>
                <w:snapToGrid w:val="0"/>
                <w:color w:val="000000"/>
                <w:spacing w:val="5"/>
                <w:kern w:val="0"/>
                <w:sz w:val="20"/>
                <w:szCs w:val="20"/>
              </w:rPr>
              <w:t>行为记录名单 (尚在处罚期</w:t>
            </w:r>
            <w:r>
              <w:rPr>
                <w:rFonts w:ascii="宋体" w:hAnsi="宋体" w:eastAsia="宋体" w:cs="宋体"/>
                <w:snapToGrid w:val="0"/>
                <w:color w:val="000000"/>
                <w:spacing w:val="7"/>
                <w:kern w:val="0"/>
                <w:sz w:val="20"/>
                <w:szCs w:val="20"/>
              </w:rPr>
              <w:t>内</w:t>
            </w:r>
            <w:r>
              <w:rPr>
                <w:rFonts w:ascii="宋体" w:hAnsi="宋体" w:eastAsia="宋体" w:cs="宋体"/>
                <w:snapToGrid w:val="0"/>
                <w:color w:val="000000"/>
                <w:spacing w:val="4"/>
                <w:kern w:val="0"/>
                <w:sz w:val="20"/>
                <w:szCs w:val="20"/>
              </w:rPr>
              <w:t>的) 。</w:t>
            </w:r>
          </w:p>
          <w:p>
            <w:pPr>
              <w:widowControl/>
              <w:kinsoku w:val="0"/>
              <w:autoSpaceDE w:val="0"/>
              <w:autoSpaceDN w:val="0"/>
              <w:adjustRightInd w:val="0"/>
              <w:snapToGrid w:val="0"/>
              <w:spacing w:before="21" w:line="240" w:lineRule="auto"/>
              <w:ind w:left="62" w:right="115" w:firstLine="8"/>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5"/>
                <w:kern w:val="0"/>
                <w:sz w:val="20"/>
                <w:szCs w:val="20"/>
              </w:rPr>
              <w:t>(2)单位负责人为同一人</w:t>
            </w:r>
            <w:r>
              <w:rPr>
                <w:rFonts w:ascii="宋体" w:hAnsi="宋体" w:eastAsia="宋体" w:cs="宋体"/>
                <w:snapToGrid w:val="0"/>
                <w:color w:val="000000"/>
                <w:spacing w:val="12"/>
                <w:kern w:val="0"/>
                <w:sz w:val="20"/>
                <w:szCs w:val="20"/>
              </w:rPr>
              <w:t>或</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spacing w:val="8"/>
                <w:kern w:val="0"/>
                <w:sz w:val="20"/>
                <w:szCs w:val="20"/>
              </w:rPr>
              <w:t>者</w:t>
            </w:r>
            <w:r>
              <w:rPr>
                <w:rFonts w:ascii="宋体" w:hAnsi="宋体" w:eastAsia="宋体" w:cs="宋体"/>
                <w:snapToGrid w:val="0"/>
                <w:color w:val="000000"/>
                <w:spacing w:val="5"/>
                <w:kern w:val="0"/>
                <w:sz w:val="20"/>
                <w:szCs w:val="20"/>
              </w:rPr>
              <w:t>存在直接控股、管理关系的</w:t>
            </w:r>
            <w:r>
              <w:rPr>
                <w:rFonts w:ascii="宋体" w:hAnsi="宋体" w:eastAsia="宋体" w:cs="宋体"/>
                <w:snapToGrid w:val="0"/>
                <w:color w:val="000000"/>
                <w:spacing w:val="8"/>
                <w:kern w:val="0"/>
                <w:sz w:val="20"/>
                <w:szCs w:val="20"/>
              </w:rPr>
              <w:t>不</w:t>
            </w:r>
            <w:r>
              <w:rPr>
                <w:rFonts w:ascii="宋体" w:hAnsi="宋体" w:eastAsia="宋体" w:cs="宋体"/>
                <w:snapToGrid w:val="0"/>
                <w:color w:val="000000"/>
                <w:spacing w:val="5"/>
                <w:kern w:val="0"/>
                <w:sz w:val="20"/>
                <w:szCs w:val="20"/>
              </w:rPr>
              <w:t>同供应商，不得参加同一合</w:t>
            </w:r>
            <w:r>
              <w:rPr>
                <w:rFonts w:ascii="宋体" w:hAnsi="宋体" w:eastAsia="宋体" w:cs="宋体"/>
                <w:snapToGrid w:val="0"/>
                <w:color w:val="000000"/>
                <w:spacing w:val="8"/>
                <w:kern w:val="0"/>
                <w:sz w:val="20"/>
                <w:szCs w:val="20"/>
              </w:rPr>
              <w:t>同项下的政府采购活动</w:t>
            </w:r>
            <w:r>
              <w:rPr>
                <w:rFonts w:ascii="宋体" w:hAnsi="宋体" w:eastAsia="宋体" w:cs="宋体"/>
                <w:snapToGrid w:val="0"/>
                <w:color w:val="000000"/>
                <w:spacing w:val="7"/>
                <w:kern w:val="0"/>
                <w:sz w:val="20"/>
                <w:szCs w:val="20"/>
              </w:rPr>
              <w:t>。</w:t>
            </w:r>
          </w:p>
        </w:tc>
        <w:tc>
          <w:tcPr>
            <w:tcW w:w="4119" w:type="dxa"/>
            <w:vAlign w:val="center"/>
          </w:tcPr>
          <w:p>
            <w:pPr>
              <w:widowControl/>
              <w:tabs>
                <w:tab w:val="left" w:pos="172"/>
              </w:tabs>
              <w:kinsoku w:val="0"/>
              <w:autoSpaceDE w:val="0"/>
              <w:autoSpaceDN w:val="0"/>
              <w:adjustRightInd w:val="0"/>
              <w:snapToGrid w:val="0"/>
              <w:spacing w:before="34" w:line="240" w:lineRule="auto"/>
              <w:ind w:left="62" w:right="114" w:firstLine="1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4"/>
                <w:kern w:val="0"/>
                <w:sz w:val="20"/>
                <w:szCs w:val="20"/>
              </w:rPr>
              <w:t>(1) 供应商不得为“信用中国网</w:t>
            </w:r>
            <w:r>
              <w:rPr>
                <w:rFonts w:ascii="宋体" w:hAnsi="宋体" w:eastAsia="宋体" w:cs="宋体"/>
                <w:snapToGrid w:val="0"/>
                <w:color w:val="000000"/>
                <w:spacing w:val="12"/>
                <w:kern w:val="0"/>
                <w:sz w:val="20"/>
                <w:szCs w:val="20"/>
              </w:rPr>
              <w:t>站</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kern w:val="0"/>
                <w:sz w:val="20"/>
                <w:szCs w:val="20"/>
              </w:rPr>
              <w:tab/>
            </w:r>
            <w:r>
              <w:rPr>
                <w:rFonts w:ascii="宋体" w:hAnsi="宋体" w:eastAsia="宋体" w:cs="宋体"/>
                <w:snapToGrid w:val="0"/>
                <w:color w:val="000000"/>
                <w:spacing w:val="12"/>
                <w:kern w:val="0"/>
                <w:sz w:val="20"/>
                <w:szCs w:val="20"/>
              </w:rPr>
              <w:t>(</w:t>
            </w:r>
            <w:r>
              <w:rPr>
                <w:rFonts w:ascii="宋体" w:hAnsi="宋体" w:eastAsia="宋体" w:cs="宋体"/>
                <w:snapToGrid w:val="0"/>
                <w:color w:val="000000"/>
                <w:kern w:val="0"/>
                <w:sz w:val="20"/>
                <w:szCs w:val="20"/>
              </w:rPr>
              <w:t>www</w:t>
            </w:r>
            <w:r>
              <w:rPr>
                <w:rFonts w:ascii="宋体" w:hAnsi="宋体" w:eastAsia="宋体" w:cs="宋体"/>
                <w:snapToGrid w:val="0"/>
                <w:color w:val="000000"/>
                <w:spacing w:val="9"/>
                <w:kern w:val="0"/>
                <w:sz w:val="20"/>
                <w:szCs w:val="20"/>
              </w:rPr>
              <w:t>.</w:t>
            </w:r>
            <w:r>
              <w:rPr>
                <w:rFonts w:ascii="宋体" w:hAnsi="宋体" w:eastAsia="宋体" w:cs="宋体"/>
                <w:snapToGrid w:val="0"/>
                <w:color w:val="000000"/>
                <w:kern w:val="0"/>
                <w:sz w:val="20"/>
                <w:szCs w:val="20"/>
              </w:rPr>
              <w:t>creditchina</w:t>
            </w:r>
            <w:r>
              <w:rPr>
                <w:rFonts w:ascii="宋体" w:hAnsi="宋体" w:eastAsia="宋体" w:cs="宋体"/>
                <w:snapToGrid w:val="0"/>
                <w:color w:val="000000"/>
                <w:spacing w:val="9"/>
                <w:kern w:val="0"/>
                <w:sz w:val="20"/>
                <w:szCs w:val="20"/>
              </w:rPr>
              <w:t>.</w:t>
            </w:r>
            <w:r>
              <w:rPr>
                <w:rFonts w:ascii="宋体" w:hAnsi="宋体" w:eastAsia="宋体" w:cs="宋体"/>
                <w:snapToGrid w:val="0"/>
                <w:color w:val="000000"/>
                <w:kern w:val="0"/>
                <w:sz w:val="20"/>
                <w:szCs w:val="20"/>
              </w:rPr>
              <w:t>gov</w:t>
            </w:r>
            <w:r>
              <w:rPr>
                <w:rFonts w:ascii="宋体" w:hAnsi="宋体" w:eastAsia="宋体" w:cs="宋体"/>
                <w:snapToGrid w:val="0"/>
                <w:color w:val="000000"/>
                <w:spacing w:val="9"/>
                <w:kern w:val="0"/>
                <w:sz w:val="20"/>
                <w:szCs w:val="20"/>
              </w:rPr>
              <w:t>.</w:t>
            </w:r>
            <w:r>
              <w:rPr>
                <w:rFonts w:ascii="宋体" w:hAnsi="宋体" w:eastAsia="宋体" w:cs="宋体"/>
                <w:snapToGrid w:val="0"/>
                <w:color w:val="000000"/>
                <w:kern w:val="0"/>
                <w:sz w:val="20"/>
                <w:szCs w:val="20"/>
              </w:rPr>
              <w:t>cn</w:t>
            </w:r>
            <w:r>
              <w:rPr>
                <w:rFonts w:ascii="宋体" w:hAnsi="宋体" w:eastAsia="宋体" w:cs="宋体"/>
                <w:snapToGrid w:val="0"/>
                <w:color w:val="000000"/>
                <w:spacing w:val="9"/>
                <w:kern w:val="0"/>
                <w:sz w:val="20"/>
                <w:szCs w:val="20"/>
              </w:rPr>
              <w:t>) 被列入失</w:t>
            </w:r>
            <w:r>
              <w:rPr>
                <w:rFonts w:ascii="宋体" w:hAnsi="宋体" w:eastAsia="宋体" w:cs="宋体"/>
                <w:snapToGrid w:val="0"/>
                <w:color w:val="000000"/>
                <w:spacing w:val="14"/>
                <w:kern w:val="0"/>
                <w:sz w:val="20"/>
                <w:szCs w:val="20"/>
              </w:rPr>
              <w:t>信</w:t>
            </w:r>
            <w:r>
              <w:rPr>
                <w:rFonts w:ascii="宋体" w:hAnsi="宋体" w:eastAsia="宋体" w:cs="宋体"/>
                <w:snapToGrid w:val="0"/>
                <w:color w:val="000000"/>
                <w:spacing w:val="9"/>
                <w:kern w:val="0"/>
                <w:sz w:val="20"/>
                <w:szCs w:val="20"/>
              </w:rPr>
              <w:t>被执行人和税收违法黑名单的供应</w:t>
            </w:r>
            <w:r>
              <w:rPr>
                <w:rFonts w:ascii="宋体" w:hAnsi="宋体" w:eastAsia="宋体" w:cs="宋体"/>
                <w:snapToGrid w:val="0"/>
                <w:color w:val="000000"/>
                <w:spacing w:val="10"/>
                <w:kern w:val="0"/>
                <w:sz w:val="20"/>
                <w:szCs w:val="20"/>
              </w:rPr>
              <w:t>商</w:t>
            </w:r>
            <w:r>
              <w:rPr>
                <w:rFonts w:ascii="宋体" w:hAnsi="宋体" w:eastAsia="宋体" w:cs="宋体"/>
                <w:snapToGrid w:val="0"/>
                <w:color w:val="000000"/>
                <w:spacing w:val="9"/>
                <w:kern w:val="0"/>
                <w:sz w:val="20"/>
                <w:szCs w:val="20"/>
              </w:rPr>
              <w:t>；不得为中国政府采购网</w:t>
            </w:r>
          </w:p>
          <w:p>
            <w:pPr>
              <w:widowControl/>
              <w:tabs>
                <w:tab w:val="left" w:pos="172"/>
              </w:tabs>
              <w:kinsoku w:val="0"/>
              <w:autoSpaceDE w:val="0"/>
              <w:autoSpaceDN w:val="0"/>
              <w:adjustRightInd w:val="0"/>
              <w:snapToGrid w:val="0"/>
              <w:spacing w:before="8" w:line="240" w:lineRule="auto"/>
              <w:ind w:left="61" w:right="90" w:firstLine="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9"/>
                <w:kern w:val="0"/>
                <w:sz w:val="20"/>
                <w:szCs w:val="20"/>
              </w:rPr>
              <w:t>(</w:t>
            </w:r>
            <w:r>
              <w:rPr>
                <w:rFonts w:ascii="宋体" w:hAnsi="宋体" w:eastAsia="宋体" w:cs="宋体"/>
                <w:snapToGrid w:val="0"/>
                <w:color w:val="000000"/>
                <w:kern w:val="0"/>
                <w:sz w:val="20"/>
                <w:szCs w:val="20"/>
              </w:rPr>
              <w:t>www</w:t>
            </w:r>
            <w:r>
              <w:rPr>
                <w:rFonts w:ascii="宋体" w:hAnsi="宋体" w:eastAsia="宋体" w:cs="宋体"/>
                <w:snapToGrid w:val="0"/>
                <w:color w:val="000000"/>
                <w:spacing w:val="19"/>
                <w:kern w:val="0"/>
                <w:sz w:val="20"/>
                <w:szCs w:val="20"/>
              </w:rPr>
              <w:t>.</w:t>
            </w:r>
            <w:r>
              <w:rPr>
                <w:rFonts w:ascii="宋体" w:hAnsi="宋体" w:eastAsia="宋体" w:cs="宋体"/>
                <w:snapToGrid w:val="0"/>
                <w:color w:val="000000"/>
                <w:kern w:val="0"/>
                <w:sz w:val="20"/>
                <w:szCs w:val="20"/>
              </w:rPr>
              <w:t>ccgp</w:t>
            </w:r>
            <w:r>
              <w:rPr>
                <w:rFonts w:ascii="宋体" w:hAnsi="宋体" w:eastAsia="宋体" w:cs="宋体"/>
                <w:snapToGrid w:val="0"/>
                <w:color w:val="000000"/>
                <w:spacing w:val="19"/>
                <w:kern w:val="0"/>
                <w:sz w:val="20"/>
                <w:szCs w:val="20"/>
              </w:rPr>
              <w:t>.</w:t>
            </w:r>
            <w:r>
              <w:rPr>
                <w:rFonts w:ascii="宋体" w:hAnsi="宋体" w:eastAsia="宋体" w:cs="宋体"/>
                <w:snapToGrid w:val="0"/>
                <w:color w:val="000000"/>
                <w:kern w:val="0"/>
                <w:sz w:val="20"/>
                <w:szCs w:val="20"/>
              </w:rPr>
              <w:t>gov</w:t>
            </w:r>
            <w:r>
              <w:rPr>
                <w:rFonts w:ascii="宋体" w:hAnsi="宋体" w:eastAsia="宋体" w:cs="宋体"/>
                <w:snapToGrid w:val="0"/>
                <w:color w:val="000000"/>
                <w:spacing w:val="19"/>
                <w:kern w:val="0"/>
                <w:sz w:val="20"/>
                <w:szCs w:val="20"/>
              </w:rPr>
              <w:t>.</w:t>
            </w:r>
            <w:r>
              <w:rPr>
                <w:rFonts w:ascii="宋体" w:hAnsi="宋体" w:eastAsia="宋体" w:cs="宋体"/>
                <w:snapToGrid w:val="0"/>
                <w:color w:val="000000"/>
                <w:kern w:val="0"/>
                <w:sz w:val="20"/>
                <w:szCs w:val="20"/>
              </w:rPr>
              <w:t>cn</w:t>
            </w:r>
            <w:r>
              <w:rPr>
                <w:rFonts w:ascii="宋体" w:hAnsi="宋体" w:eastAsia="宋体" w:cs="宋体"/>
                <w:snapToGrid w:val="0"/>
                <w:color w:val="000000"/>
                <w:spacing w:val="19"/>
                <w:kern w:val="0"/>
                <w:sz w:val="20"/>
                <w:szCs w:val="20"/>
              </w:rPr>
              <w:t>) 政府采购严重</w:t>
            </w:r>
            <w:r>
              <w:rPr>
                <w:rFonts w:ascii="宋体" w:hAnsi="宋体" w:eastAsia="宋体" w:cs="宋体"/>
                <w:snapToGrid w:val="0"/>
                <w:color w:val="000000"/>
                <w:spacing w:val="17"/>
                <w:kern w:val="0"/>
                <w:sz w:val="20"/>
                <w:szCs w:val="20"/>
              </w:rPr>
              <w:t>违</w:t>
            </w:r>
            <w:r>
              <w:rPr>
                <w:rFonts w:ascii="宋体" w:hAnsi="宋体" w:eastAsia="宋体" w:cs="宋体"/>
                <w:snapToGrid w:val="0"/>
                <w:color w:val="000000"/>
                <w:spacing w:val="16"/>
                <w:kern w:val="0"/>
                <w:sz w:val="20"/>
                <w:szCs w:val="20"/>
              </w:rPr>
              <w:t>法</w:t>
            </w:r>
            <w:r>
              <w:rPr>
                <w:rFonts w:ascii="宋体" w:hAnsi="宋体" w:eastAsia="宋体" w:cs="宋体"/>
                <w:snapToGrid w:val="0"/>
                <w:color w:val="000000"/>
                <w:spacing w:val="9"/>
                <w:kern w:val="0"/>
                <w:sz w:val="20"/>
                <w:szCs w:val="20"/>
              </w:rPr>
              <w:t>失信行为记录名单中被财政部门禁</w:t>
            </w:r>
            <w:r>
              <w:rPr>
                <w:rFonts w:ascii="宋体" w:hAnsi="宋体" w:eastAsia="宋体" w:cs="宋体"/>
                <w:snapToGrid w:val="0"/>
                <w:color w:val="000000"/>
                <w:spacing w:val="6"/>
                <w:kern w:val="0"/>
                <w:sz w:val="20"/>
                <w:szCs w:val="20"/>
              </w:rPr>
              <w:t>止参加政府采购活动的供应商 (此项</w:t>
            </w:r>
            <w:r>
              <w:rPr>
                <w:rFonts w:ascii="宋体" w:hAnsi="宋体" w:eastAsia="宋体" w:cs="宋体"/>
                <w:snapToGrid w:val="0"/>
                <w:color w:val="000000"/>
                <w:spacing w:val="2"/>
                <w:kern w:val="0"/>
                <w:sz w:val="20"/>
                <w:szCs w:val="20"/>
              </w:rPr>
              <w:t>内</w:t>
            </w:r>
            <w:r>
              <w:rPr>
                <w:rFonts w:ascii="宋体" w:hAnsi="宋体" w:eastAsia="宋体" w:cs="宋体"/>
                <w:snapToGrid w:val="0"/>
                <w:color w:val="000000"/>
                <w:spacing w:val="9"/>
                <w:kern w:val="0"/>
                <w:sz w:val="20"/>
                <w:szCs w:val="20"/>
              </w:rPr>
              <w:t>容</w:t>
            </w:r>
            <w:r>
              <w:rPr>
                <w:rFonts w:ascii="宋体" w:hAnsi="宋体" w:eastAsia="宋体" w:cs="宋体"/>
                <w:snapToGrid w:val="0"/>
                <w:color w:val="000000"/>
                <w:spacing w:val="7"/>
                <w:kern w:val="0"/>
                <w:sz w:val="20"/>
                <w:szCs w:val="20"/>
              </w:rPr>
              <w:t>可由采购人或代理机构现场查询) 。</w:t>
            </w:r>
            <w:r>
              <w:rPr>
                <w:rFonts w:ascii="宋体" w:hAnsi="宋体" w:eastAsia="宋体" w:cs="宋体"/>
                <w:snapToGrid w:val="0"/>
                <w:color w:val="000000"/>
                <w:kern w:val="0"/>
                <w:sz w:val="20"/>
                <w:szCs w:val="20"/>
              </w:rPr>
              <w:t xml:space="preserve"> </w:t>
            </w:r>
            <w:r>
              <w:rPr>
                <w:rFonts w:ascii="宋体" w:hAnsi="宋体" w:eastAsia="宋体" w:cs="宋体"/>
                <w:snapToGrid w:val="0"/>
                <w:color w:val="000000"/>
                <w:kern w:val="0"/>
                <w:sz w:val="20"/>
                <w:szCs w:val="20"/>
              </w:rPr>
              <w:tab/>
            </w:r>
          </w:p>
          <w:p>
            <w:pPr>
              <w:widowControl/>
              <w:tabs>
                <w:tab w:val="left" w:pos="172"/>
              </w:tabs>
              <w:kinsoku w:val="0"/>
              <w:autoSpaceDE w:val="0"/>
              <w:autoSpaceDN w:val="0"/>
              <w:adjustRightInd w:val="0"/>
              <w:snapToGrid w:val="0"/>
              <w:spacing w:before="8" w:line="240" w:lineRule="auto"/>
              <w:ind w:left="61" w:right="90" w:firstLine="1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2"/>
                <w:kern w:val="0"/>
                <w:sz w:val="20"/>
                <w:szCs w:val="20"/>
              </w:rPr>
              <w:t>(</w:t>
            </w:r>
            <w:r>
              <w:rPr>
                <w:rFonts w:ascii="宋体" w:hAnsi="宋体" w:eastAsia="宋体" w:cs="宋体"/>
                <w:snapToGrid w:val="0"/>
                <w:color w:val="000000"/>
                <w:spacing w:val="8"/>
                <w:kern w:val="0"/>
                <w:sz w:val="20"/>
                <w:szCs w:val="20"/>
              </w:rPr>
              <w:t>2) 提供承诺函：单位负责人为同一人</w:t>
            </w:r>
            <w:r>
              <w:rPr>
                <w:rFonts w:ascii="宋体" w:hAnsi="宋体" w:eastAsia="宋体" w:cs="宋体"/>
                <w:snapToGrid w:val="0"/>
                <w:color w:val="000000"/>
                <w:spacing w:val="6"/>
                <w:kern w:val="0"/>
                <w:sz w:val="20"/>
                <w:szCs w:val="20"/>
              </w:rPr>
              <w:t>或者存在直接控股、管理关系的不同</w:t>
            </w:r>
            <w:r>
              <w:rPr>
                <w:rFonts w:ascii="宋体" w:hAnsi="宋体" w:eastAsia="宋体" w:cs="宋体"/>
                <w:snapToGrid w:val="0"/>
                <w:color w:val="000000"/>
                <w:spacing w:val="8"/>
                <w:kern w:val="0"/>
                <w:sz w:val="20"/>
                <w:szCs w:val="20"/>
              </w:rPr>
              <w:t>供</w:t>
            </w:r>
            <w:r>
              <w:rPr>
                <w:rFonts w:ascii="宋体" w:hAnsi="宋体" w:eastAsia="宋体" w:cs="宋体"/>
                <w:snapToGrid w:val="0"/>
                <w:color w:val="000000"/>
                <w:spacing w:val="6"/>
                <w:kern w:val="0"/>
                <w:sz w:val="20"/>
                <w:szCs w:val="20"/>
              </w:rPr>
              <w:t>应商</w:t>
            </w:r>
            <w:r>
              <w:rPr>
                <w:rFonts w:hint="eastAsia" w:ascii="宋体" w:hAnsi="宋体" w:cs="宋体"/>
                <w:snapToGrid w:val="0"/>
                <w:color w:val="000000"/>
                <w:spacing w:val="6"/>
                <w:kern w:val="0"/>
                <w:sz w:val="20"/>
                <w:szCs w:val="20"/>
                <w:lang w:eastAsia="zh-CN"/>
              </w:rPr>
              <w:t>，</w:t>
            </w:r>
            <w:r>
              <w:rPr>
                <w:rFonts w:ascii="宋体" w:hAnsi="宋体" w:eastAsia="宋体" w:cs="宋体"/>
                <w:snapToGrid w:val="0"/>
                <w:color w:val="000000"/>
                <w:spacing w:val="6"/>
                <w:kern w:val="0"/>
                <w:sz w:val="20"/>
                <w:szCs w:val="20"/>
              </w:rPr>
              <w:t>未参加同一合同项下的政府采</w:t>
            </w:r>
            <w:r>
              <w:rPr>
                <w:rFonts w:ascii="宋体" w:hAnsi="宋体" w:eastAsia="宋体" w:cs="宋体"/>
                <w:snapToGrid w:val="0"/>
                <w:color w:val="000000"/>
                <w:spacing w:val="7"/>
                <w:kern w:val="0"/>
                <w:sz w:val="20"/>
                <w:szCs w:val="20"/>
              </w:rPr>
              <w:t>购</w:t>
            </w:r>
            <w:r>
              <w:rPr>
                <w:rFonts w:ascii="宋体" w:hAnsi="宋体" w:eastAsia="宋体" w:cs="宋体"/>
                <w:snapToGrid w:val="0"/>
                <w:color w:val="000000"/>
                <w:spacing w:val="5"/>
                <w:kern w:val="0"/>
                <w:sz w:val="20"/>
                <w:szCs w:val="20"/>
              </w:rPr>
              <w:t>活动。</w:t>
            </w:r>
          </w:p>
        </w:tc>
        <w:tc>
          <w:tcPr>
            <w:tcW w:w="53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53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587" w:type="dxa"/>
            <w:vAlign w:val="top"/>
          </w:tcPr>
          <w:p>
            <w:pPr>
              <w:widowControl/>
              <w:kinsoku w:val="0"/>
              <w:autoSpaceDE w:val="0"/>
              <w:autoSpaceDN w:val="0"/>
              <w:adjustRightInd w:val="0"/>
              <w:snapToGrid w:val="0"/>
              <w:spacing w:before="174" w:line="189" w:lineRule="auto"/>
              <w:ind w:left="280"/>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5</w:t>
            </w:r>
          </w:p>
        </w:tc>
        <w:tc>
          <w:tcPr>
            <w:tcW w:w="7564" w:type="dxa"/>
            <w:gridSpan w:val="3"/>
            <w:vAlign w:val="top"/>
          </w:tcPr>
          <w:p>
            <w:pPr>
              <w:widowControl/>
              <w:kinsoku w:val="0"/>
              <w:autoSpaceDE w:val="0"/>
              <w:autoSpaceDN w:val="0"/>
              <w:adjustRightInd w:val="0"/>
              <w:snapToGrid w:val="0"/>
              <w:spacing w:before="140" w:line="230" w:lineRule="auto"/>
              <w:ind w:left="2929"/>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结 论(通过/不通过</w:t>
            </w:r>
            <w:r>
              <w:rPr>
                <w:rFonts w:ascii="宋体" w:hAnsi="宋体" w:eastAsia="宋体" w:cs="宋体"/>
                <w:snapToGrid w:val="0"/>
                <w:color w:val="000000"/>
                <w:spacing w:val="6"/>
                <w:kern w:val="0"/>
                <w:sz w:val="20"/>
                <w:szCs w:val="20"/>
              </w:rPr>
              <w:t>)</w:t>
            </w:r>
          </w:p>
        </w:tc>
        <w:tc>
          <w:tcPr>
            <w:tcW w:w="532"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535"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r>
    </w:tbl>
    <w:p>
      <w:pPr>
        <w:spacing w:before="22" w:line="229" w:lineRule="auto"/>
        <w:ind w:left="117"/>
        <w:rPr>
          <w:rFonts w:ascii="宋体" w:hAnsi="宋体" w:eastAsia="宋体" w:cs="宋体"/>
          <w:sz w:val="19"/>
          <w:szCs w:val="19"/>
        </w:rPr>
      </w:pPr>
      <w:r>
        <w:rPr>
          <w:rFonts w:ascii="宋体" w:hAnsi="宋体" w:eastAsia="宋体" w:cs="宋体"/>
          <w:spacing w:val="4"/>
          <w:sz w:val="19"/>
          <w:szCs w:val="19"/>
        </w:rPr>
        <w:t>说</w:t>
      </w:r>
      <w:r>
        <w:rPr>
          <w:rFonts w:ascii="宋体" w:hAnsi="宋体" w:eastAsia="宋体" w:cs="宋体"/>
          <w:spacing w:val="2"/>
          <w:sz w:val="19"/>
          <w:szCs w:val="19"/>
        </w:rPr>
        <w:t>明：</w:t>
      </w:r>
    </w:p>
    <w:p>
      <w:pPr>
        <w:spacing w:before="4" w:line="230" w:lineRule="auto"/>
        <w:ind w:left="124"/>
        <w:rPr>
          <w:rFonts w:ascii="宋体" w:hAnsi="宋体" w:eastAsia="宋体" w:cs="宋体"/>
          <w:sz w:val="19"/>
          <w:szCs w:val="19"/>
        </w:rPr>
      </w:pPr>
      <w:r>
        <w:rPr>
          <w:rFonts w:ascii="宋体" w:hAnsi="宋体" w:eastAsia="宋体" w:cs="宋体"/>
          <w:spacing w:val="-2"/>
          <w:sz w:val="19"/>
          <w:szCs w:val="19"/>
        </w:rPr>
        <w:t>(1) 上述各项中用“ √ ”表示通过，“ × ”表示不通过</w:t>
      </w:r>
      <w:r>
        <w:rPr>
          <w:rFonts w:ascii="宋体" w:hAnsi="宋体" w:eastAsia="宋体" w:cs="宋体"/>
          <w:sz w:val="19"/>
          <w:szCs w:val="19"/>
        </w:rPr>
        <w:t>；</w:t>
      </w:r>
    </w:p>
    <w:p>
      <w:pPr>
        <w:spacing w:before="3" w:line="231" w:lineRule="auto"/>
        <w:ind w:left="114" w:right="107" w:firstLine="10"/>
        <w:rPr>
          <w:rFonts w:ascii="宋体" w:hAnsi="宋体" w:eastAsia="宋体" w:cs="宋体"/>
          <w:sz w:val="19"/>
          <w:szCs w:val="19"/>
        </w:rPr>
      </w:pPr>
      <w:r>
        <w:rPr>
          <w:rFonts w:ascii="宋体" w:hAnsi="宋体" w:eastAsia="宋体" w:cs="宋体"/>
          <w:spacing w:val="2"/>
          <w:sz w:val="19"/>
          <w:szCs w:val="19"/>
        </w:rPr>
        <w:t>(2) 上述各项中如</w:t>
      </w:r>
      <w:r>
        <w:rPr>
          <w:rFonts w:ascii="宋体" w:hAnsi="宋体" w:eastAsia="宋体" w:cs="宋体"/>
          <w:spacing w:val="1"/>
          <w:sz w:val="19"/>
          <w:szCs w:val="19"/>
        </w:rPr>
        <w:t>有一项为“ × ”，则结论为“ × ”，表示该投标响应文件中存在重大偏差，不能通过</w:t>
      </w:r>
      <w:r>
        <w:rPr>
          <w:rFonts w:ascii="宋体" w:hAnsi="宋体" w:eastAsia="宋体" w:cs="宋体"/>
          <w:sz w:val="19"/>
          <w:szCs w:val="19"/>
        </w:rPr>
        <w:t xml:space="preserve"> </w:t>
      </w:r>
      <w:r>
        <w:rPr>
          <w:rFonts w:ascii="宋体" w:hAnsi="宋体" w:eastAsia="宋体" w:cs="宋体"/>
          <w:spacing w:val="11"/>
          <w:sz w:val="19"/>
          <w:szCs w:val="19"/>
        </w:rPr>
        <w:t>初</w:t>
      </w:r>
      <w:r>
        <w:rPr>
          <w:rFonts w:ascii="宋体" w:hAnsi="宋体" w:eastAsia="宋体" w:cs="宋体"/>
          <w:spacing w:val="8"/>
          <w:sz w:val="19"/>
          <w:szCs w:val="19"/>
        </w:rPr>
        <w:t>步评审；须写明原因。</w:t>
      </w:r>
    </w:p>
    <w:p>
      <w:pPr>
        <w:spacing w:before="4" w:line="228" w:lineRule="auto"/>
        <w:ind w:left="124"/>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3"/>
          <w:sz w:val="19"/>
          <w:szCs w:val="19"/>
        </w:rPr>
        <w:t>3) 本项内容由</w:t>
      </w:r>
      <w:r>
        <w:rPr>
          <w:rFonts w:ascii="宋体" w:hAnsi="宋体" w:eastAsia="宋体" w:cs="宋体"/>
          <w:spacing w:val="13"/>
          <w:sz w:val="19"/>
          <w:szCs w:val="19"/>
          <w14:textOutline w14:w="3614" w14:cap="sq" w14:cmpd="sng">
            <w14:solidFill>
              <w14:srgbClr w14:val="000000"/>
            </w14:solidFill>
            <w14:prstDash w14:val="solid"/>
            <w14:bevel/>
          </w14:textOutline>
        </w:rPr>
        <w:t>采购人</w:t>
      </w:r>
      <w:r>
        <w:rPr>
          <w:rFonts w:ascii="宋体" w:hAnsi="宋体" w:eastAsia="宋体" w:cs="宋体"/>
          <w:spacing w:val="13"/>
          <w:sz w:val="19"/>
          <w:szCs w:val="19"/>
        </w:rPr>
        <w:t>完成。</w:t>
      </w:r>
    </w:p>
    <w:p>
      <w:pPr>
        <w:spacing w:before="5" w:line="231" w:lineRule="auto"/>
        <w:ind w:left="116" w:right="107" w:firstLine="8"/>
        <w:rPr>
          <w:rFonts w:ascii="宋体" w:hAnsi="宋体" w:eastAsia="宋体" w:cs="宋体"/>
          <w:sz w:val="19"/>
          <w:szCs w:val="19"/>
        </w:rPr>
      </w:pPr>
      <w:r>
        <w:rPr>
          <w:rFonts w:ascii="宋体" w:hAnsi="宋体" w:eastAsia="宋体" w:cs="宋体"/>
          <w:spacing w:val="18"/>
          <w:sz w:val="19"/>
          <w:szCs w:val="19"/>
        </w:rPr>
        <w:t>(4</w:t>
      </w:r>
      <w:r>
        <w:rPr>
          <w:rFonts w:ascii="宋体" w:hAnsi="宋体" w:eastAsia="宋体" w:cs="宋体"/>
          <w:spacing w:val="9"/>
          <w:sz w:val="19"/>
          <w:szCs w:val="19"/>
        </w:rPr>
        <w:t>) 供应商请认真阅读和理解上述内容，避免投标响应文件中有违背上述审查标准之一的情况发生而造</w:t>
      </w:r>
      <w:r>
        <w:rPr>
          <w:rFonts w:ascii="宋体" w:hAnsi="宋体" w:eastAsia="宋体" w:cs="宋体"/>
          <w:sz w:val="19"/>
          <w:szCs w:val="19"/>
        </w:rPr>
        <w:t xml:space="preserve"> </w:t>
      </w:r>
      <w:r>
        <w:rPr>
          <w:rFonts w:ascii="宋体" w:hAnsi="宋体" w:eastAsia="宋体" w:cs="宋体"/>
          <w:spacing w:val="8"/>
          <w:sz w:val="19"/>
          <w:szCs w:val="19"/>
        </w:rPr>
        <w:t>成</w:t>
      </w:r>
      <w:r>
        <w:rPr>
          <w:rFonts w:ascii="宋体" w:hAnsi="宋体" w:eastAsia="宋体" w:cs="宋体"/>
          <w:spacing w:val="7"/>
          <w:sz w:val="19"/>
          <w:szCs w:val="19"/>
        </w:rPr>
        <w:t>投标被否决。</w:t>
      </w:r>
    </w:p>
    <w:p>
      <w:pPr>
        <w:rPr>
          <w:rFonts w:hint="eastAsia"/>
        </w:rPr>
      </w:pPr>
    </w:p>
    <w:p>
      <w:r>
        <w:rPr>
          <w:szCs w:val="21"/>
        </w:rPr>
        <w:br w:type="page"/>
      </w:r>
    </w:p>
    <w:p>
      <w:pPr>
        <w:tabs>
          <w:tab w:val="left" w:pos="-94"/>
          <w:tab w:val="left" w:pos="428"/>
        </w:tabs>
        <w:adjustRightInd w:val="0"/>
        <w:spacing w:line="360" w:lineRule="auto"/>
        <w:ind w:left="23" w:leftChars="11"/>
        <w:jc w:val="center"/>
        <w:textAlignment w:val="baseline"/>
        <w:outlineLvl w:val="1"/>
        <w:rPr>
          <w:b/>
          <w:sz w:val="28"/>
          <w:szCs w:val="28"/>
        </w:rPr>
      </w:pPr>
      <w:bookmarkStart w:id="190" w:name="_Toc23742"/>
      <w:r>
        <w:rPr>
          <w:b/>
          <w:sz w:val="28"/>
          <w:szCs w:val="28"/>
        </w:rPr>
        <w:t>附表二 符合性审查表</w:t>
      </w:r>
      <w:bookmarkEnd w:id="185"/>
      <w:bookmarkEnd w:id="186"/>
      <w:bookmarkEnd w:id="187"/>
      <w:bookmarkEnd w:id="188"/>
      <w:bookmarkEnd w:id="189"/>
      <w:bookmarkEnd w:id="190"/>
    </w:p>
    <w:tbl>
      <w:tblPr>
        <w:tblStyle w:val="40"/>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pPr>
              <w:jc w:val="center"/>
              <w:rPr>
                <w:szCs w:val="21"/>
              </w:rPr>
            </w:pPr>
            <w:r>
              <w:rPr>
                <w:szCs w:val="21"/>
              </w:rPr>
              <w:t>评审内容</w:t>
            </w:r>
          </w:p>
        </w:tc>
        <w:tc>
          <w:tcPr>
            <w:tcW w:w="2330" w:type="dxa"/>
            <w:gridSpan w:val="4"/>
            <w:tcBorders>
              <w:left w:val="single" w:color="auto" w:sz="4" w:space="0"/>
              <w:bottom w:val="single" w:color="auto" w:sz="4" w:space="0"/>
            </w:tcBorders>
            <w:vAlign w:val="center"/>
          </w:tcPr>
          <w:p>
            <w:pPr>
              <w:jc w:val="center"/>
              <w:rPr>
                <w:b/>
                <w:szCs w:val="21"/>
              </w:rPr>
            </w:pPr>
            <w:r>
              <w:rPr>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pPr>
              <w:jc w:val="center"/>
              <w:rPr>
                <w:szCs w:val="21"/>
              </w:rPr>
            </w:pPr>
          </w:p>
        </w:tc>
        <w:tc>
          <w:tcPr>
            <w:tcW w:w="593" w:type="dxa"/>
            <w:tcBorders>
              <w:top w:val="single" w:color="auto" w:sz="4" w:space="0"/>
              <w:left w:val="single" w:color="auto" w:sz="4" w:space="0"/>
              <w:right w:val="single" w:color="auto" w:sz="4" w:space="0"/>
            </w:tcBorders>
            <w:vAlign w:val="center"/>
          </w:tcPr>
          <w:p>
            <w:pPr>
              <w:jc w:val="center"/>
              <w:rPr>
                <w:b/>
                <w:szCs w:val="21"/>
              </w:rPr>
            </w:pPr>
            <w:r>
              <w:rPr>
                <w:b/>
                <w:szCs w:val="21"/>
              </w:rPr>
              <w:t>1</w:t>
            </w:r>
          </w:p>
        </w:tc>
        <w:tc>
          <w:tcPr>
            <w:tcW w:w="593" w:type="dxa"/>
            <w:tcBorders>
              <w:top w:val="single" w:color="auto" w:sz="4" w:space="0"/>
              <w:left w:val="single" w:color="auto" w:sz="4" w:space="0"/>
            </w:tcBorders>
            <w:vAlign w:val="center"/>
          </w:tcPr>
          <w:p>
            <w:pPr>
              <w:jc w:val="center"/>
              <w:rPr>
                <w:b/>
                <w:szCs w:val="21"/>
              </w:rPr>
            </w:pPr>
            <w:r>
              <w:rPr>
                <w:b/>
                <w:szCs w:val="21"/>
              </w:rPr>
              <w:t>2</w:t>
            </w:r>
          </w:p>
        </w:tc>
        <w:tc>
          <w:tcPr>
            <w:tcW w:w="593" w:type="dxa"/>
            <w:vAlign w:val="center"/>
          </w:tcPr>
          <w:p>
            <w:pPr>
              <w:jc w:val="center"/>
              <w:rPr>
                <w:b/>
                <w:szCs w:val="21"/>
              </w:rPr>
            </w:pPr>
            <w:r>
              <w:rPr>
                <w:b/>
                <w:szCs w:val="21"/>
              </w:rPr>
              <w:t>3</w:t>
            </w:r>
          </w:p>
        </w:tc>
        <w:tc>
          <w:tcPr>
            <w:tcW w:w="551" w:type="dxa"/>
            <w:vAlign w:val="center"/>
          </w:tcPr>
          <w:p>
            <w:pPr>
              <w:jc w:val="center"/>
              <w:rPr>
                <w:b/>
                <w:szCs w:val="21"/>
              </w:rPr>
            </w:pPr>
            <w:r>
              <w:rPr>
                <w:b/>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1</w:t>
            </w:r>
          </w:p>
        </w:tc>
        <w:tc>
          <w:tcPr>
            <w:tcW w:w="6136" w:type="dxa"/>
            <w:tcBorders>
              <w:right w:val="single" w:color="auto" w:sz="4" w:space="0"/>
            </w:tcBorders>
            <w:vAlign w:val="center"/>
          </w:tcPr>
          <w:p>
            <w:pPr>
              <w:rPr>
                <w:rFonts w:hint="eastAsia" w:eastAsia="宋体"/>
                <w:szCs w:val="21"/>
                <w:lang w:eastAsia="zh-CN"/>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r>
              <w:rPr>
                <w:rFonts w:hint="eastAsia"/>
                <w:szCs w:val="21"/>
                <w:lang w:eastAsia="zh-CN"/>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2</w:t>
            </w:r>
          </w:p>
        </w:tc>
        <w:tc>
          <w:tcPr>
            <w:tcW w:w="6136" w:type="dxa"/>
            <w:tcBorders>
              <w:right w:val="single" w:color="auto" w:sz="4" w:space="0"/>
            </w:tcBorders>
            <w:vAlign w:val="center"/>
          </w:tcPr>
          <w:p>
            <w:pPr>
              <w:rPr>
                <w:rFonts w:hint="eastAsia" w:eastAsia="宋体"/>
                <w:szCs w:val="21"/>
                <w:lang w:eastAsia="zh-CN"/>
              </w:rPr>
            </w:pPr>
            <w:r>
              <w:rPr>
                <w:szCs w:val="21"/>
              </w:rPr>
              <w:t>投标文件有效期是否满足招标文件要求的</w:t>
            </w:r>
            <w:r>
              <w:rPr>
                <w:rFonts w:hint="eastAsia"/>
                <w:szCs w:val="21"/>
                <w:lang w:eastAsia="zh-CN"/>
              </w:rPr>
              <w:t>。</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rFonts w:hint="eastAsia" w:eastAsia="宋体"/>
                <w:szCs w:val="21"/>
                <w:lang w:eastAsia="zh-CN"/>
              </w:rPr>
            </w:pPr>
            <w:r>
              <w:rPr>
                <w:rFonts w:hint="eastAsia"/>
                <w:szCs w:val="21"/>
                <w:lang w:val="en-US" w:eastAsia="zh-CN"/>
              </w:rPr>
              <w:t>3</w:t>
            </w:r>
          </w:p>
        </w:tc>
        <w:tc>
          <w:tcPr>
            <w:tcW w:w="6136" w:type="dxa"/>
            <w:tcBorders>
              <w:right w:val="single" w:color="auto" w:sz="4" w:space="0"/>
            </w:tcBorders>
            <w:vAlign w:val="center"/>
          </w:tcPr>
          <w:p>
            <w:pPr>
              <w:textAlignment w:val="center"/>
              <w:rPr>
                <w:rFonts w:hint="eastAsia" w:ascii="Times New Roman" w:hAnsi="Times New Roman" w:eastAsia="宋体" w:cs="Times New Roman"/>
                <w:kern w:val="2"/>
                <w:sz w:val="21"/>
                <w:szCs w:val="21"/>
                <w:lang w:val="en-US" w:eastAsia="zh-CN" w:bidi="ar-SA"/>
              </w:rPr>
            </w:pPr>
            <w:r>
              <w:rPr>
                <w:szCs w:val="21"/>
              </w:rPr>
              <w:t>投标文件是否按照要求签署、盖章</w:t>
            </w:r>
            <w:r>
              <w:rPr>
                <w:rFonts w:hint="eastAsia"/>
                <w:szCs w:val="21"/>
                <w:lang w:eastAsia="zh-CN"/>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rFonts w:hint="eastAsia" w:eastAsia="宋体"/>
                <w:szCs w:val="21"/>
                <w:lang w:eastAsia="zh-CN"/>
              </w:rPr>
            </w:pPr>
            <w:r>
              <w:rPr>
                <w:rFonts w:hint="eastAsia"/>
                <w:szCs w:val="21"/>
                <w:lang w:val="en-US" w:eastAsia="zh-CN"/>
              </w:rPr>
              <w:t>4</w:t>
            </w:r>
          </w:p>
        </w:tc>
        <w:tc>
          <w:tcPr>
            <w:tcW w:w="6136" w:type="dxa"/>
            <w:tcBorders>
              <w:right w:val="single" w:color="auto" w:sz="4" w:space="0"/>
            </w:tcBorders>
            <w:vAlign w:val="center"/>
          </w:tcPr>
          <w:p>
            <w:pPr>
              <w:rPr>
                <w:rFonts w:hint="eastAsia" w:ascii="Times New Roman" w:hAnsi="Times New Roman" w:eastAsia="宋体" w:cs="Times New Roman"/>
                <w:kern w:val="2"/>
                <w:sz w:val="21"/>
                <w:szCs w:val="21"/>
                <w:lang w:val="en-US" w:eastAsia="zh-CN" w:bidi="ar-SA"/>
              </w:rPr>
            </w:pPr>
            <w:r>
              <w:rPr>
                <w:rFonts w:hint="eastAsia"/>
                <w:szCs w:val="21"/>
              </w:rPr>
              <w:t>投标</w:t>
            </w:r>
            <w:r>
              <w:rPr>
                <w:szCs w:val="21"/>
              </w:rPr>
              <w:t>报价是否在采购预算或最高限价以内</w:t>
            </w:r>
            <w:r>
              <w:rPr>
                <w:rFonts w:hint="eastAsia"/>
                <w:szCs w:val="21"/>
                <w:lang w:val="en-US" w:eastAsia="zh-CN"/>
              </w:rPr>
              <w:t>且</w:t>
            </w:r>
            <w:r>
              <w:rPr>
                <w:szCs w:val="21"/>
              </w:rPr>
              <w:t>一份响应文件应只有一个投标</w:t>
            </w:r>
            <w:r>
              <w:rPr>
                <w:rFonts w:hint="eastAsia"/>
                <w:szCs w:val="21"/>
                <w:lang w:val="en-US" w:eastAsia="zh-CN"/>
              </w:rPr>
              <w:t>总</w:t>
            </w:r>
            <w:r>
              <w:rPr>
                <w:szCs w:val="21"/>
              </w:rPr>
              <w:t>报价，在</w:t>
            </w:r>
            <w:r>
              <w:rPr>
                <w:rFonts w:hint="eastAsia"/>
                <w:szCs w:val="21"/>
                <w:lang w:val="en-US" w:eastAsia="zh-CN"/>
              </w:rPr>
              <w:t>招标</w:t>
            </w:r>
            <w:r>
              <w:rPr>
                <w:szCs w:val="21"/>
              </w:rPr>
              <w:t>文件没有规定的情况下，未提交选择性 的报价</w:t>
            </w:r>
            <w:r>
              <w:rPr>
                <w:rFonts w:hint="eastAsia"/>
                <w:szCs w:val="21"/>
                <w:lang w:eastAsia="zh-CN"/>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rFonts w:hint="eastAsia" w:eastAsia="宋体"/>
                <w:szCs w:val="21"/>
                <w:highlight w:val="none"/>
                <w:lang w:eastAsia="zh-CN"/>
              </w:rPr>
            </w:pPr>
            <w:r>
              <w:rPr>
                <w:rFonts w:hint="eastAsia"/>
                <w:szCs w:val="21"/>
                <w:highlight w:val="none"/>
                <w:lang w:val="en-US" w:eastAsia="zh-CN"/>
              </w:rPr>
              <w:t>5</w:t>
            </w:r>
          </w:p>
        </w:tc>
        <w:tc>
          <w:tcPr>
            <w:tcW w:w="6136" w:type="dxa"/>
            <w:tcBorders>
              <w:right w:val="single" w:color="auto" w:sz="4" w:space="0"/>
            </w:tcBorders>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投标人</w:t>
            </w:r>
            <w:r>
              <w:rPr>
                <w:szCs w:val="21"/>
                <w:highlight w:val="none"/>
              </w:rPr>
              <w:t>所报</w:t>
            </w:r>
            <w:r>
              <w:rPr>
                <w:rFonts w:hint="eastAsia"/>
                <w:szCs w:val="21"/>
                <w:highlight w:val="none"/>
              </w:rPr>
              <w:t>交货期</w:t>
            </w:r>
            <w:r>
              <w:rPr>
                <w:szCs w:val="21"/>
                <w:highlight w:val="none"/>
              </w:rPr>
              <w:t>限是否超过招标文件规定期限的</w:t>
            </w:r>
            <w:r>
              <w:rPr>
                <w:rFonts w:hint="eastAsia"/>
                <w:szCs w:val="21"/>
                <w:highlight w:val="none"/>
                <w:lang w:eastAsia="zh-CN"/>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rFonts w:hint="eastAsia" w:eastAsia="宋体"/>
                <w:szCs w:val="21"/>
                <w:highlight w:val="none"/>
                <w:lang w:eastAsia="zh-CN"/>
              </w:rPr>
            </w:pPr>
            <w:r>
              <w:rPr>
                <w:rFonts w:hint="eastAsia"/>
                <w:szCs w:val="21"/>
                <w:highlight w:val="none"/>
                <w:lang w:val="en-US" w:eastAsia="zh-CN"/>
              </w:rPr>
              <w:t>6</w:t>
            </w:r>
          </w:p>
        </w:tc>
        <w:tc>
          <w:tcPr>
            <w:tcW w:w="6136" w:type="dxa"/>
            <w:tcBorders>
              <w:right w:val="single" w:color="auto" w:sz="4" w:space="0"/>
            </w:tcBorders>
            <w:vAlign w:val="center"/>
          </w:tcPr>
          <w:p>
            <w:pPr>
              <w:rPr>
                <w:rFonts w:hint="eastAsia" w:ascii="Times New Roman" w:hAnsi="Times New Roman" w:eastAsia="宋体" w:cs="Times New Roman"/>
                <w:kern w:val="2"/>
                <w:sz w:val="21"/>
                <w:szCs w:val="21"/>
                <w:highlight w:val="none"/>
                <w:lang w:val="en-US" w:eastAsia="zh-CN" w:bidi="ar-SA"/>
              </w:rPr>
            </w:pPr>
            <w:r>
              <w:rPr>
                <w:szCs w:val="21"/>
                <w:highlight w:val="none"/>
              </w:rPr>
              <w:t>是否满足招标文件规定</w:t>
            </w:r>
            <w:r>
              <w:rPr>
                <w:rFonts w:hint="eastAsia"/>
                <w:szCs w:val="21"/>
                <w:highlight w:val="none"/>
                <w:lang w:val="en-US" w:eastAsia="zh-CN"/>
              </w:rPr>
              <w:t>的</w:t>
            </w:r>
            <w:r>
              <w:rPr>
                <w:rFonts w:hint="default"/>
                <w:szCs w:val="21"/>
                <w:highlight w:val="none"/>
                <w:lang w:val="en-US" w:eastAsia="zh-CN"/>
              </w:rPr>
              <w:t>质保及服务年限</w:t>
            </w:r>
            <w:r>
              <w:rPr>
                <w:rFonts w:hint="eastAsia"/>
                <w:szCs w:val="21"/>
                <w:highlight w:val="none"/>
                <w:lang w:eastAsia="zh-CN"/>
              </w:rPr>
              <w:t>。</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rFonts w:hint="default"/>
                <w:szCs w:val="21"/>
                <w:highlight w:val="none"/>
                <w:lang w:val="en-US" w:eastAsia="zh-CN"/>
              </w:rPr>
            </w:pPr>
            <w:r>
              <w:rPr>
                <w:rFonts w:hint="eastAsia"/>
                <w:szCs w:val="21"/>
                <w:highlight w:val="none"/>
                <w:lang w:val="en-US" w:eastAsia="zh-CN"/>
              </w:rPr>
              <w:t>7</w:t>
            </w:r>
          </w:p>
        </w:tc>
        <w:tc>
          <w:tcPr>
            <w:tcW w:w="6136" w:type="dxa"/>
            <w:tcBorders>
              <w:right w:val="single" w:color="auto" w:sz="4" w:space="0"/>
            </w:tcBorders>
            <w:vAlign w:val="center"/>
          </w:tcPr>
          <w:p>
            <w:pPr>
              <w:rPr>
                <w:rFonts w:hint="eastAsia" w:eastAsia="宋体"/>
                <w:szCs w:val="21"/>
                <w:highlight w:val="none"/>
                <w:lang w:eastAsia="zh-CN"/>
              </w:rPr>
            </w:pPr>
            <w:r>
              <w:rPr>
                <w:szCs w:val="21"/>
                <w:highlight w:val="none"/>
              </w:rPr>
              <w:t>投标响应文件组成齐全完整</w:t>
            </w:r>
            <w:r>
              <w:rPr>
                <w:rFonts w:hint="eastAsia"/>
                <w:szCs w:val="21"/>
                <w:highlight w:val="none"/>
                <w:lang w:eastAsia="zh-CN"/>
              </w:rPr>
              <w:t>，</w:t>
            </w:r>
            <w:r>
              <w:rPr>
                <w:szCs w:val="21"/>
                <w:highlight w:val="none"/>
              </w:rPr>
              <w:t>内容均按规定填写；投标响应文件的关键内容无字迹模糊</w:t>
            </w:r>
            <w:r>
              <w:rPr>
                <w:rFonts w:hint="eastAsia"/>
                <w:szCs w:val="21"/>
                <w:highlight w:val="none"/>
                <w:lang w:eastAsia="zh-CN"/>
              </w:rPr>
              <w:t>、</w:t>
            </w:r>
            <w:r>
              <w:rPr>
                <w:szCs w:val="21"/>
                <w:highlight w:val="none"/>
              </w:rPr>
              <w:t>无法辨认的</w:t>
            </w:r>
            <w:r>
              <w:rPr>
                <w:rFonts w:hint="eastAsia"/>
                <w:szCs w:val="21"/>
                <w:highlight w:val="none"/>
                <w:lang w:eastAsia="zh-CN"/>
              </w:rPr>
              <w:t>。</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rFonts w:hint="default"/>
                <w:szCs w:val="21"/>
                <w:lang w:val="en-US" w:eastAsia="zh-CN"/>
              </w:rPr>
            </w:pPr>
            <w:r>
              <w:rPr>
                <w:rFonts w:hint="eastAsia"/>
                <w:szCs w:val="21"/>
                <w:lang w:val="en-US" w:eastAsia="zh-CN"/>
              </w:rPr>
              <w:t>8</w:t>
            </w:r>
          </w:p>
        </w:tc>
        <w:tc>
          <w:tcPr>
            <w:tcW w:w="6136" w:type="dxa"/>
            <w:tcBorders>
              <w:right w:val="single" w:color="auto" w:sz="4" w:space="0"/>
            </w:tcBorders>
            <w:vAlign w:val="center"/>
          </w:tcPr>
          <w:p>
            <w:pPr>
              <w:rPr>
                <w:rFonts w:hint="default" w:eastAsia="宋体"/>
                <w:szCs w:val="21"/>
                <w:lang w:val="en-US" w:eastAsia="zh-CN"/>
              </w:rPr>
            </w:pPr>
            <w:r>
              <w:rPr>
                <w:rFonts w:hint="eastAsia"/>
                <w:szCs w:val="21"/>
                <w:lang w:val="en-US" w:eastAsia="zh-CN"/>
              </w:rPr>
              <w:t>投标文件中是否存在实质性偏离。</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rFonts w:hint="eastAsia" w:eastAsia="宋体"/>
                <w:szCs w:val="21"/>
                <w:lang w:eastAsia="zh-CN"/>
              </w:rPr>
            </w:pPr>
            <w:r>
              <w:rPr>
                <w:rFonts w:hint="eastAsia"/>
                <w:szCs w:val="21"/>
                <w:lang w:val="en-US" w:eastAsia="zh-CN"/>
              </w:rPr>
              <w:t>9</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szCs w:val="21"/>
              </w:rPr>
              <w:t>是否存在法律、法规和招标文件规定的其他无效情形</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pPr>
              <w:jc w:val="center"/>
              <w:rPr>
                <w:szCs w:val="21"/>
              </w:rPr>
            </w:pPr>
            <w:r>
              <w:rPr>
                <w:szCs w:val="21"/>
              </w:rPr>
              <w:t>审查结果</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pPr>
              <w:jc w:val="center"/>
              <w:rPr>
                <w:szCs w:val="21"/>
              </w:rPr>
            </w:pPr>
            <w:r>
              <w:rPr>
                <w:szCs w:val="21"/>
              </w:rPr>
              <w:t>不通过理由说明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bl>
    <w:p>
      <w:pPr>
        <w:tabs>
          <w:tab w:val="left" w:pos="1260"/>
          <w:tab w:val="left" w:pos="1620"/>
        </w:tabs>
        <w:adjustRightInd w:val="0"/>
        <w:spacing w:line="360" w:lineRule="auto"/>
        <w:jc w:val="left"/>
        <w:textAlignment w:val="baseline"/>
        <w:rPr>
          <w:bCs/>
          <w:szCs w:val="21"/>
        </w:rPr>
      </w:pPr>
      <w:r>
        <w:rPr>
          <w:bCs/>
          <w:szCs w:val="21"/>
        </w:rPr>
        <w:t>注：1、符合招标文件要求用“√”表示，不符合用“×”表示。有一项不符合要求，结论为不合格。</w:t>
      </w:r>
    </w:p>
    <w:p>
      <w:pPr>
        <w:tabs>
          <w:tab w:val="left" w:pos="1260"/>
          <w:tab w:val="left" w:pos="1620"/>
        </w:tabs>
        <w:adjustRightInd w:val="0"/>
        <w:spacing w:line="360" w:lineRule="auto"/>
        <w:jc w:val="left"/>
        <w:textAlignment w:val="baseline"/>
        <w:rPr>
          <w:b/>
          <w:szCs w:val="21"/>
        </w:rPr>
      </w:pPr>
    </w:p>
    <w:p>
      <w:pPr>
        <w:tabs>
          <w:tab w:val="left" w:pos="1260"/>
          <w:tab w:val="left" w:pos="1620"/>
        </w:tabs>
        <w:adjustRightInd w:val="0"/>
        <w:spacing w:line="360" w:lineRule="auto"/>
        <w:jc w:val="left"/>
        <w:textAlignment w:val="baseline"/>
        <w:rPr>
          <w:b/>
          <w:szCs w:val="21"/>
        </w:rPr>
      </w:pPr>
      <w:r>
        <w:rPr>
          <w:b/>
          <w:szCs w:val="21"/>
        </w:rPr>
        <w:br w:type="page"/>
      </w:r>
    </w:p>
    <w:p>
      <w:pPr>
        <w:tabs>
          <w:tab w:val="left" w:pos="-94"/>
          <w:tab w:val="left" w:pos="428"/>
        </w:tabs>
        <w:adjustRightInd w:val="0"/>
        <w:spacing w:line="360" w:lineRule="auto"/>
        <w:ind w:left="23" w:leftChars="11"/>
        <w:jc w:val="left"/>
        <w:textAlignment w:val="baseline"/>
        <w:outlineLvl w:val="1"/>
        <w:rPr>
          <w:b/>
          <w:sz w:val="28"/>
          <w:szCs w:val="28"/>
        </w:rPr>
      </w:pPr>
      <w:bookmarkStart w:id="191" w:name="_Toc414446034"/>
      <w:bookmarkStart w:id="192" w:name="_Toc410631198"/>
      <w:bookmarkStart w:id="193" w:name="_Toc22496"/>
      <w:bookmarkStart w:id="194" w:name="_Toc11463"/>
      <w:bookmarkStart w:id="195" w:name="_Toc15146"/>
      <w:bookmarkStart w:id="196" w:name="_Toc8395"/>
      <w:r>
        <w:rPr>
          <w:b/>
          <w:sz w:val="28"/>
          <w:szCs w:val="28"/>
        </w:rPr>
        <w:t>附表三 详细评审表</w:t>
      </w:r>
      <w:bookmarkEnd w:id="191"/>
      <w:bookmarkEnd w:id="192"/>
      <w:bookmarkEnd w:id="193"/>
      <w:bookmarkEnd w:id="194"/>
      <w:bookmarkEnd w:id="195"/>
      <w:bookmarkEnd w:id="196"/>
    </w:p>
    <w:p>
      <w:pPr>
        <w:widowControl/>
        <w:snapToGrid w:val="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bCs w:val="0"/>
          <w:color w:val="auto"/>
          <w:kern w:val="0"/>
          <w:sz w:val="28"/>
          <w:szCs w:val="28"/>
          <w:highlight w:val="none"/>
        </w:rPr>
        <w:t>商务部分</w:t>
      </w:r>
      <w:r>
        <w:rPr>
          <w:rFonts w:hint="eastAsia" w:asciiTheme="minorEastAsia" w:hAnsiTheme="minorEastAsia" w:eastAsiaTheme="minorEastAsia" w:cstheme="minorEastAsia"/>
          <w:bCs w:val="0"/>
          <w:color w:val="auto"/>
          <w:kern w:val="0"/>
          <w:sz w:val="28"/>
          <w:szCs w:val="28"/>
          <w:highlight w:val="none"/>
          <w:lang w:eastAsia="zh-CN"/>
        </w:rPr>
        <w:t>（</w:t>
      </w:r>
      <w:r>
        <w:rPr>
          <w:rFonts w:hint="eastAsia" w:asciiTheme="minorEastAsia" w:hAnsiTheme="minorEastAsia" w:eastAsiaTheme="minorEastAsia" w:cstheme="minorEastAsia"/>
          <w:bCs w:val="0"/>
          <w:color w:val="auto"/>
          <w:kern w:val="0"/>
          <w:sz w:val="28"/>
          <w:szCs w:val="28"/>
          <w:highlight w:val="none"/>
          <w:lang w:val="en-US" w:eastAsia="zh-CN"/>
        </w:rPr>
        <w:t>20</w:t>
      </w:r>
      <w:r>
        <w:rPr>
          <w:rFonts w:hint="eastAsia" w:asciiTheme="minorEastAsia" w:hAnsiTheme="minorEastAsia" w:eastAsiaTheme="minorEastAsia" w:cstheme="minorEastAsia"/>
          <w:bCs w:val="0"/>
          <w:color w:val="auto"/>
          <w:kern w:val="0"/>
          <w:sz w:val="28"/>
          <w:szCs w:val="28"/>
          <w:highlight w:val="none"/>
        </w:rPr>
        <w:t>分</w:t>
      </w:r>
      <w:r>
        <w:rPr>
          <w:rFonts w:hint="eastAsia" w:asciiTheme="minorEastAsia" w:hAnsiTheme="minorEastAsia" w:eastAsiaTheme="minorEastAsia" w:cstheme="minorEastAsia"/>
          <w:bCs w:val="0"/>
          <w:color w:val="auto"/>
          <w:kern w:val="0"/>
          <w:sz w:val="28"/>
          <w:szCs w:val="28"/>
          <w:highlight w:val="none"/>
          <w:lang w:eastAsia="zh-CN"/>
        </w:rPr>
        <w:t>）</w:t>
      </w:r>
    </w:p>
    <w:p>
      <w:pPr>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商务</w:t>
      </w:r>
      <w:r>
        <w:rPr>
          <w:rFonts w:hint="eastAsia" w:asciiTheme="minorEastAsia" w:hAnsiTheme="minorEastAsia" w:eastAsiaTheme="minorEastAsia" w:cstheme="minorEastAsia"/>
          <w:sz w:val="28"/>
          <w:szCs w:val="36"/>
          <w:lang w:val="en-US" w:eastAsia="zh-CN"/>
        </w:rPr>
        <w:t>详细评审表</w:t>
      </w:r>
    </w:p>
    <w:tbl>
      <w:tblPr>
        <w:tblStyle w:val="40"/>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6"/>
        <w:gridCol w:w="1218"/>
        <w:gridCol w:w="953"/>
        <w:gridCol w:w="6098"/>
        <w:gridCol w:w="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trHeight w:val="567" w:hRule="atLeast"/>
          <w:jc w:val="center"/>
        </w:trPr>
        <w:tc>
          <w:tcPr>
            <w:tcW w:w="833"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评分内容</w:t>
            </w:r>
          </w:p>
        </w:tc>
        <w:tc>
          <w:tcPr>
            <w:tcW w:w="9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609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trHeight w:val="1725" w:hRule="atLeast"/>
          <w:jc w:val="center"/>
        </w:trPr>
        <w:tc>
          <w:tcPr>
            <w:tcW w:w="8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olor w:val="auto"/>
                <w:sz w:val="22"/>
                <w:szCs w:val="18"/>
                <w:highlight w:val="none"/>
              </w:rPr>
            </w:pPr>
            <w:r>
              <w:rPr>
                <w:rFonts w:hint="eastAsia" w:ascii="宋体" w:hAnsi="宋体" w:eastAsia="宋体"/>
                <w:color w:val="auto"/>
                <w:sz w:val="22"/>
                <w:szCs w:val="18"/>
                <w:highlight w:val="none"/>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项目人员构成（4分）</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4</w:t>
            </w:r>
            <w:r>
              <w:rPr>
                <w:rFonts w:hint="eastAsia" w:ascii="宋体" w:hAnsi="宋体" w:eastAsia="宋体" w:cs="宋体"/>
                <w:bCs w:val="0"/>
                <w:color w:val="auto"/>
                <w:kern w:val="0"/>
                <w:sz w:val="21"/>
                <w:szCs w:val="21"/>
                <w:highlight w:val="none"/>
              </w:rPr>
              <w:t>分</w:t>
            </w:r>
          </w:p>
        </w:tc>
        <w:tc>
          <w:tcPr>
            <w:tcW w:w="609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napToGrid w:val="0"/>
              <w:jc w:val="left"/>
              <w:rPr>
                <w:rFonts w:hint="default"/>
                <w:color w:val="auto"/>
                <w:highlight w:val="none"/>
                <w:lang w:val="en-US" w:eastAsia="zh-CN"/>
              </w:rPr>
            </w:pPr>
            <w:r>
              <w:rPr>
                <w:rFonts w:hint="eastAsia"/>
                <w:color w:val="auto"/>
                <w:highlight w:val="none"/>
                <w:lang w:val="en-US" w:eastAsia="zh-CN"/>
              </w:rPr>
              <w:t>1、为本项目提供的项目负责人为软件工程师的得0.5分，高级软件工程师的得1分（提供相关证明材料）；</w:t>
            </w:r>
          </w:p>
          <w:p>
            <w:pPr>
              <w:widowControl/>
              <w:numPr>
                <w:ilvl w:val="0"/>
                <w:numId w:val="0"/>
              </w:numPr>
              <w:snapToGrid w:val="0"/>
              <w:jc w:val="left"/>
              <w:rPr>
                <w:rFonts w:hint="eastAsia"/>
                <w:color w:val="auto"/>
                <w:highlight w:val="none"/>
                <w:lang w:val="en-US" w:eastAsia="zh-CN"/>
              </w:rPr>
            </w:pPr>
            <w:r>
              <w:rPr>
                <w:rFonts w:hint="eastAsia"/>
                <w:color w:val="auto"/>
                <w:highlight w:val="none"/>
                <w:lang w:val="en-US" w:eastAsia="zh-CN"/>
              </w:rPr>
              <w:t>2、为本项目配备4人的项目团队得2分（团队成员不包含项目负责人），在此基础上每增加1人加0.5分，最多加1分；少于4人不得分。（证明材料包括团队成员身份证、学历证、相关资格证书及近三个月社保证明）资料不全不得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trHeight w:val="1657" w:hRule="atLeast"/>
          <w:jc w:val="center"/>
        </w:trPr>
        <w:tc>
          <w:tcPr>
            <w:tcW w:w="8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olor w:val="auto"/>
                <w:sz w:val="22"/>
                <w:szCs w:val="18"/>
                <w:highlight w:val="none"/>
              </w:rPr>
            </w:pPr>
            <w:r>
              <w:rPr>
                <w:rFonts w:hint="eastAsia" w:ascii="宋体" w:hAnsi="宋体" w:eastAsia="宋体"/>
                <w:color w:val="auto"/>
                <w:sz w:val="22"/>
                <w:szCs w:val="18"/>
                <w:highlight w:val="none"/>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相关项目业绩</w:t>
            </w:r>
          </w:p>
          <w:p>
            <w:pPr>
              <w:widowControl/>
              <w:snapToGrid w:val="0"/>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rPr>
              <w:t>（10分）</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rPr>
              <w:t>10分</w:t>
            </w:r>
          </w:p>
        </w:tc>
        <w:tc>
          <w:tcPr>
            <w:tcW w:w="609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rPr>
              <w:t>投标人近三年(20</w:t>
            </w:r>
            <w:r>
              <w:rPr>
                <w:rFonts w:hint="eastAsia" w:ascii="宋体" w:hAnsi="宋体" w:cs="宋体"/>
                <w:bCs w:val="0"/>
                <w:color w:val="auto"/>
                <w:kern w:val="0"/>
                <w:sz w:val="21"/>
                <w:szCs w:val="21"/>
                <w:highlight w:val="none"/>
                <w:lang w:val="en-US" w:eastAsia="zh-CN"/>
              </w:rPr>
              <w:t>20</w:t>
            </w:r>
            <w:r>
              <w:rPr>
                <w:rFonts w:hint="eastAsia" w:ascii="宋体" w:hAnsi="宋体" w:eastAsia="宋体" w:cs="宋体"/>
                <w:bCs w:val="0"/>
                <w:color w:val="auto"/>
                <w:kern w:val="0"/>
                <w:sz w:val="21"/>
                <w:szCs w:val="21"/>
                <w:highlight w:val="none"/>
              </w:rPr>
              <w:t>年1月1日至今)有类似项目业绩，每提供一个2分，最高得10分。（需提供合同及中标通知书，以上材料须在投标文件中提供复印件并加盖公章）</w:t>
            </w:r>
            <w:r>
              <w:rPr>
                <w:rFonts w:hint="eastAsia" w:ascii="宋体" w:hAnsi="宋体" w:cs="宋体"/>
                <w:bCs w:val="0"/>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trHeight w:val="1657" w:hRule="atLeast"/>
          <w:jc w:val="center"/>
        </w:trPr>
        <w:tc>
          <w:tcPr>
            <w:tcW w:w="8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olor w:val="auto"/>
                <w:sz w:val="22"/>
                <w:szCs w:val="18"/>
                <w:highlight w:val="none"/>
                <w:lang w:val="en-US" w:eastAsia="zh-CN"/>
              </w:rPr>
            </w:pPr>
            <w:r>
              <w:rPr>
                <w:rFonts w:hint="eastAsia" w:ascii="宋体" w:hAnsi="宋体"/>
                <w:color w:val="auto"/>
                <w:sz w:val="22"/>
                <w:szCs w:val="18"/>
                <w:highlight w:val="none"/>
                <w:lang w:val="en-US" w:eastAsia="zh-CN"/>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lang w:eastAsia="zh-CN"/>
              </w:rPr>
            </w:pPr>
            <w:r>
              <w:rPr>
                <w:rFonts w:hint="eastAsia" w:ascii="宋体" w:hAnsi="宋体" w:eastAsia="宋体" w:cs="宋体"/>
                <w:bCs w:val="0"/>
                <w:color w:val="auto"/>
                <w:kern w:val="0"/>
                <w:sz w:val="21"/>
                <w:szCs w:val="21"/>
                <w:highlight w:val="none"/>
              </w:rPr>
              <w:t>认证证书</w:t>
            </w:r>
            <w:r>
              <w:rPr>
                <w:rFonts w:hint="eastAsia" w:ascii="宋体" w:hAnsi="宋体" w:cs="宋体"/>
                <w:bCs w:val="0"/>
                <w:color w:val="auto"/>
                <w:kern w:val="0"/>
                <w:sz w:val="21"/>
                <w:szCs w:val="21"/>
                <w:highlight w:val="none"/>
                <w:lang w:eastAsia="zh-CN"/>
              </w:rPr>
              <w:t>（</w:t>
            </w:r>
            <w:r>
              <w:rPr>
                <w:rFonts w:hint="eastAsia" w:ascii="宋体" w:hAnsi="宋体" w:cs="宋体"/>
                <w:bCs w:val="0"/>
                <w:color w:val="auto"/>
                <w:kern w:val="0"/>
                <w:sz w:val="21"/>
                <w:szCs w:val="21"/>
                <w:highlight w:val="none"/>
                <w:lang w:val="en-US" w:eastAsia="zh-CN"/>
              </w:rPr>
              <w:t>6分</w:t>
            </w:r>
            <w:r>
              <w:rPr>
                <w:rFonts w:hint="eastAsia" w:ascii="宋体" w:hAnsi="宋体" w:cs="宋体"/>
                <w:bCs w:val="0"/>
                <w:color w:val="auto"/>
                <w:kern w:val="0"/>
                <w:sz w:val="21"/>
                <w:szCs w:val="21"/>
                <w:highlight w:val="none"/>
                <w:lang w:eastAsia="zh-CN"/>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6分</w:t>
            </w:r>
          </w:p>
        </w:tc>
        <w:tc>
          <w:tcPr>
            <w:tcW w:w="609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供应商具有质量管理体系认证、环境管理体系认证、 职业安全健康管理体系认证书，每有一项，得2分。最多得6分。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4" w:type="dxa"/>
          <w:trHeight w:val="1367" w:hRule="atLeast"/>
          <w:jc w:val="center"/>
        </w:trPr>
        <w:tc>
          <w:tcPr>
            <w:tcW w:w="9102" w:type="dxa"/>
            <w:gridSpan w:val="5"/>
            <w:tcBorders>
              <w:top w:val="single" w:color="auto" w:sz="4" w:space="0"/>
              <w:left w:val="nil"/>
              <w:bottom w:val="nil"/>
              <w:right w:val="nil"/>
            </w:tcBorders>
            <w:noWrap w:val="0"/>
            <w:vAlign w:val="center"/>
          </w:tcPr>
          <w:p>
            <w:pPr>
              <w:widowControl/>
              <w:snapToGrid w:val="0"/>
              <w:jc w:val="left"/>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28"/>
                <w:highlight w:val="none"/>
                <w:lang w:val="en-US" w:eastAsia="zh-CN"/>
              </w:rPr>
              <w:t>2、技术部分（50分）</w:t>
            </w:r>
          </w:p>
          <w:p>
            <w:pPr>
              <w:widowControl/>
              <w:snapToGrid w:val="0"/>
              <w:jc w:val="center"/>
              <w:rPr>
                <w:rFonts w:hint="eastAsia" w:ascii="宋体" w:hAnsi="宋体" w:eastAsia="宋体" w:cs="宋体"/>
                <w:bCs w:val="0"/>
                <w:color w:val="auto"/>
                <w:kern w:val="0"/>
                <w:sz w:val="21"/>
                <w:szCs w:val="21"/>
                <w:highlight w:val="none"/>
              </w:rPr>
            </w:pPr>
            <w:r>
              <w:rPr>
                <w:rFonts w:hint="eastAsia" w:asciiTheme="minorEastAsia" w:hAnsiTheme="minorEastAsia" w:eastAsiaTheme="minorEastAsia" w:cstheme="minorEastAsia"/>
                <w:color w:val="auto"/>
                <w:sz w:val="28"/>
                <w:szCs w:val="36"/>
                <w:highlight w:val="none"/>
                <w:lang w:val="en-US" w:eastAsia="zh-CN"/>
              </w:rPr>
              <w:t>技术详细评审表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ascii="宋体" w:hAnsi="宋体" w:cs="宋体"/>
                <w:b/>
                <w:bCs/>
                <w:color w:val="auto"/>
                <w:sz w:val="22"/>
                <w:highlight w:val="none"/>
              </w:rPr>
            </w:pPr>
            <w:r>
              <w:rPr>
                <w:rFonts w:hint="eastAsia" w:ascii="宋体" w:hAnsi="宋体" w:cs="宋体"/>
                <w:b/>
                <w:bCs/>
                <w:color w:val="auto"/>
                <w:sz w:val="22"/>
                <w:highlight w:val="none"/>
              </w:rPr>
              <w:t>评分项目</w:t>
            </w:r>
          </w:p>
        </w:tc>
        <w:tc>
          <w:tcPr>
            <w:tcW w:w="9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ascii="宋体" w:hAnsi="宋体" w:cs="宋体"/>
                <w:b/>
                <w:bCs/>
                <w:color w:val="auto"/>
                <w:sz w:val="22"/>
                <w:highlight w:val="none"/>
              </w:rPr>
            </w:pPr>
            <w:r>
              <w:rPr>
                <w:rFonts w:hint="eastAsia" w:ascii="宋体" w:hAnsi="宋体" w:cs="宋体"/>
                <w:b/>
                <w:bCs/>
                <w:color w:val="auto"/>
                <w:sz w:val="22"/>
                <w:highlight w:val="none"/>
              </w:rPr>
              <w:t>满分值</w:t>
            </w:r>
          </w:p>
        </w:tc>
        <w:tc>
          <w:tcPr>
            <w:tcW w:w="61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ascii="宋体" w:hAnsi="宋体" w:cs="宋体"/>
                <w:b/>
                <w:bCs/>
                <w:color w:val="auto"/>
                <w:sz w:val="22"/>
                <w:highlight w:val="none"/>
              </w:rPr>
            </w:pPr>
            <w:r>
              <w:rPr>
                <w:rFonts w:hint="eastAsia" w:ascii="宋体" w:hAnsi="宋体" w:cs="宋体"/>
                <w:b/>
                <w:bCs/>
                <w:color w:val="auto"/>
                <w:sz w:val="22"/>
                <w:highlight w:val="none"/>
              </w:rPr>
              <w:t>评分内容及标准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1</w:t>
            </w:r>
          </w:p>
        </w:tc>
        <w:tc>
          <w:tcPr>
            <w:tcW w:w="12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cs="宋体"/>
                <w:bCs w:val="0"/>
                <w:color w:val="auto"/>
                <w:kern w:val="0"/>
                <w:sz w:val="21"/>
                <w:szCs w:val="21"/>
                <w:highlight w:val="none"/>
                <w:lang w:val="en-US" w:eastAsia="zh-CN"/>
              </w:rPr>
              <w:t>软件</w:t>
            </w:r>
            <w:r>
              <w:rPr>
                <w:rFonts w:hint="eastAsia" w:ascii="宋体" w:hAnsi="宋体" w:eastAsia="宋体" w:cs="宋体"/>
                <w:bCs w:val="0"/>
                <w:color w:val="auto"/>
                <w:kern w:val="0"/>
                <w:sz w:val="21"/>
                <w:szCs w:val="21"/>
                <w:highlight w:val="none"/>
              </w:rPr>
              <w:t>功能的符合性（</w:t>
            </w:r>
            <w:r>
              <w:rPr>
                <w:rFonts w:hint="eastAsia" w:ascii="宋体" w:hAnsi="宋体" w:cs="宋体"/>
                <w:bCs w:val="0"/>
                <w:color w:val="auto"/>
                <w:kern w:val="0"/>
                <w:sz w:val="21"/>
                <w:szCs w:val="21"/>
                <w:highlight w:val="none"/>
                <w:lang w:val="en-US" w:eastAsia="zh-CN"/>
              </w:rPr>
              <w:t>35</w:t>
            </w:r>
            <w:r>
              <w:rPr>
                <w:rFonts w:hint="eastAsia" w:ascii="宋体" w:hAnsi="宋体" w:eastAsia="宋体" w:cs="宋体"/>
                <w:bCs w:val="0"/>
                <w:color w:val="auto"/>
                <w:kern w:val="0"/>
                <w:sz w:val="21"/>
                <w:szCs w:val="21"/>
                <w:highlight w:val="none"/>
              </w:rPr>
              <w:t>分）</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cs="宋体"/>
                <w:bCs w:val="0"/>
                <w:color w:val="auto"/>
                <w:kern w:val="0"/>
                <w:sz w:val="21"/>
                <w:szCs w:val="21"/>
                <w:highlight w:val="none"/>
                <w:lang w:val="en-US" w:eastAsia="zh-CN"/>
              </w:rPr>
              <w:t>35</w:t>
            </w:r>
            <w:r>
              <w:rPr>
                <w:rFonts w:hint="eastAsia" w:ascii="宋体" w:hAnsi="宋体" w:eastAsia="宋体" w:cs="宋体"/>
                <w:bCs w:val="0"/>
                <w:color w:val="auto"/>
                <w:kern w:val="0"/>
                <w:sz w:val="21"/>
                <w:szCs w:val="21"/>
                <w:highlight w:val="none"/>
              </w:rPr>
              <w:t>分</w:t>
            </w:r>
          </w:p>
        </w:tc>
        <w:tc>
          <w:tcPr>
            <w:tcW w:w="6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评委根据供应商的投标文件打分：</w:t>
            </w:r>
          </w:p>
          <w:p>
            <w:pPr>
              <w:widowControl/>
              <w:snapToGrid w:val="0"/>
              <w:jc w:val="left"/>
              <w:rPr>
                <w:rFonts w:hint="eastAsia" w:ascii="宋体" w:hAnsi="宋体" w:eastAsia="宋体" w:cs="宋体"/>
                <w:bCs w:val="0"/>
                <w:color w:val="auto"/>
                <w:kern w:val="0"/>
                <w:sz w:val="21"/>
                <w:szCs w:val="21"/>
                <w:highlight w:val="none"/>
                <w:lang w:eastAsia="zh-CN"/>
              </w:rPr>
            </w:pPr>
            <w:r>
              <w:rPr>
                <w:rFonts w:hint="eastAsia" w:ascii="宋体" w:hAnsi="宋体" w:eastAsia="宋体" w:cs="宋体"/>
                <w:bCs w:val="0"/>
                <w:color w:val="auto"/>
                <w:kern w:val="0"/>
                <w:sz w:val="21"/>
                <w:szCs w:val="21"/>
                <w:highlight w:val="none"/>
              </w:rPr>
              <w:t>(1)</w:t>
            </w:r>
            <w:r>
              <w:rPr>
                <w:rFonts w:hint="eastAsia" w:ascii="宋体" w:hAnsi="宋体" w:eastAsia="宋体" w:cs="宋体"/>
                <w:bCs w:val="0"/>
                <w:color w:val="auto"/>
                <w:kern w:val="0"/>
                <w:sz w:val="21"/>
                <w:szCs w:val="21"/>
                <w:highlight w:val="none"/>
                <w:u w:val="none"/>
              </w:rPr>
              <w:t>全部满足</w:t>
            </w:r>
            <w:r>
              <w:rPr>
                <w:rFonts w:hint="eastAsia" w:ascii="宋体" w:hAnsi="宋体" w:cs="宋体"/>
                <w:bCs w:val="0"/>
                <w:color w:val="auto"/>
                <w:kern w:val="0"/>
                <w:sz w:val="21"/>
                <w:szCs w:val="21"/>
                <w:highlight w:val="none"/>
                <w:u w:val="none"/>
                <w:lang w:val="en-US" w:eastAsia="zh-CN"/>
              </w:rPr>
              <w:t>招标</w:t>
            </w:r>
            <w:r>
              <w:rPr>
                <w:rFonts w:hint="eastAsia" w:ascii="宋体" w:hAnsi="宋体" w:eastAsia="宋体" w:cs="宋体"/>
                <w:bCs w:val="0"/>
                <w:color w:val="auto"/>
                <w:kern w:val="0"/>
                <w:sz w:val="21"/>
                <w:szCs w:val="21"/>
                <w:highlight w:val="none"/>
                <w:u w:val="none"/>
              </w:rPr>
              <w:t>文件要求，打</w:t>
            </w:r>
            <w:r>
              <w:rPr>
                <w:rFonts w:hint="eastAsia" w:ascii="宋体" w:hAnsi="宋体" w:cs="宋体"/>
                <w:bCs w:val="0"/>
                <w:color w:val="auto"/>
                <w:kern w:val="0"/>
                <w:sz w:val="21"/>
                <w:szCs w:val="21"/>
                <w:highlight w:val="none"/>
                <w:u w:val="none"/>
                <w:lang w:val="en-US" w:eastAsia="zh-CN"/>
              </w:rPr>
              <w:t>35</w:t>
            </w:r>
            <w:r>
              <w:rPr>
                <w:rFonts w:hint="eastAsia" w:ascii="宋体" w:hAnsi="宋体" w:eastAsia="宋体" w:cs="宋体"/>
                <w:bCs w:val="0"/>
                <w:color w:val="auto"/>
                <w:kern w:val="0"/>
                <w:sz w:val="21"/>
                <w:szCs w:val="21"/>
                <w:highlight w:val="none"/>
                <w:u w:val="none"/>
              </w:rPr>
              <w:t>分</w:t>
            </w:r>
            <w:r>
              <w:rPr>
                <w:rFonts w:hint="eastAsia" w:ascii="宋体" w:hAnsi="宋体" w:cs="宋体"/>
                <w:bCs w:val="0"/>
                <w:color w:val="auto"/>
                <w:kern w:val="0"/>
                <w:sz w:val="21"/>
                <w:szCs w:val="21"/>
                <w:highlight w:val="none"/>
                <w:u w:val="none"/>
                <w:lang w:eastAsia="zh-CN"/>
              </w:rPr>
              <w:t>；</w:t>
            </w:r>
          </w:p>
          <w:p>
            <w:pPr>
              <w:widowControl/>
              <w:snapToGrid w:val="0"/>
              <w:jc w:val="left"/>
              <w:rPr>
                <w:rFonts w:hint="eastAsia" w:ascii="宋体" w:hAnsi="宋体" w:cs="宋体"/>
                <w:bCs w:val="0"/>
                <w:color w:val="auto"/>
                <w:kern w:val="0"/>
                <w:sz w:val="21"/>
                <w:szCs w:val="21"/>
                <w:highlight w:val="none"/>
                <w:lang w:eastAsia="zh-CN"/>
              </w:rPr>
            </w:pPr>
            <w:r>
              <w:rPr>
                <w:rFonts w:hint="eastAsia" w:ascii="宋体" w:hAnsi="宋体" w:eastAsia="宋体" w:cs="宋体"/>
                <w:bCs w:val="0"/>
                <w:color w:val="auto"/>
                <w:kern w:val="0"/>
                <w:sz w:val="21"/>
                <w:szCs w:val="21"/>
                <w:highlight w:val="none"/>
              </w:rPr>
              <w:t>(2)</w:t>
            </w:r>
            <w:r>
              <w:rPr>
                <w:rFonts w:hint="eastAsia" w:ascii="宋体" w:hAnsi="宋体" w:cs="宋体"/>
                <w:bCs w:val="0"/>
                <w:color w:val="auto"/>
                <w:kern w:val="0"/>
                <w:sz w:val="21"/>
                <w:szCs w:val="21"/>
                <w:highlight w:val="none"/>
                <w:lang w:eastAsia="zh-CN"/>
              </w:rPr>
              <w:t>“★”符号的条款为实质性要求条款 (即重要条款)，“★”有一项不满足投标被否决；</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(3)“▲”</w:t>
            </w:r>
            <w:r>
              <w:rPr>
                <w:rFonts w:hint="eastAsia" w:ascii="宋体" w:hAnsi="宋体" w:eastAsia="宋体" w:cs="宋体"/>
                <w:bCs w:val="0"/>
                <w:color w:val="auto"/>
                <w:kern w:val="0"/>
                <w:sz w:val="21"/>
                <w:szCs w:val="21"/>
                <w:highlight w:val="none"/>
                <w:lang w:eastAsia="zh-CN"/>
              </w:rPr>
              <w:t>符号的</w:t>
            </w:r>
            <w:r>
              <w:rPr>
                <w:rFonts w:hint="eastAsia" w:ascii="宋体" w:hAnsi="宋体" w:cs="宋体"/>
                <w:bCs w:val="0"/>
                <w:color w:val="auto"/>
                <w:kern w:val="0"/>
                <w:sz w:val="21"/>
                <w:szCs w:val="21"/>
                <w:highlight w:val="none"/>
                <w:lang w:val="en-US" w:eastAsia="zh-CN"/>
              </w:rPr>
              <w:t>一般条款</w:t>
            </w:r>
            <w:r>
              <w:rPr>
                <w:rFonts w:hint="eastAsia" w:ascii="宋体" w:hAnsi="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rPr>
              <w:t>有一项不满足，扣除2分；</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w:t>
            </w:r>
            <w:r>
              <w:rPr>
                <w:rFonts w:hint="eastAsia" w:ascii="宋体" w:hAnsi="宋体" w:cs="宋体"/>
                <w:bCs w:val="0"/>
                <w:color w:val="auto"/>
                <w:kern w:val="0"/>
                <w:sz w:val="21"/>
                <w:szCs w:val="21"/>
                <w:highlight w:val="none"/>
                <w:lang w:val="en-US" w:eastAsia="zh-CN"/>
              </w:rPr>
              <w:t>4</w:t>
            </w:r>
            <w:r>
              <w:rPr>
                <w:rFonts w:hint="eastAsia" w:ascii="宋体" w:hAnsi="宋体" w:eastAsia="宋体" w:cs="宋体"/>
                <w:bCs w:val="0"/>
                <w:color w:val="auto"/>
                <w:kern w:val="0"/>
                <w:sz w:val="21"/>
                <w:szCs w:val="21"/>
                <w:highlight w:val="none"/>
              </w:rPr>
              <w:t>) 无标识技术指标</w:t>
            </w:r>
            <w:r>
              <w:rPr>
                <w:rFonts w:hint="eastAsia" w:ascii="宋体" w:hAnsi="宋体" w:cs="宋体"/>
                <w:bCs w:val="0"/>
                <w:color w:val="auto"/>
                <w:kern w:val="0"/>
                <w:sz w:val="21"/>
                <w:szCs w:val="21"/>
                <w:highlight w:val="none"/>
                <w:lang w:val="en-US" w:eastAsia="zh-CN"/>
              </w:rPr>
              <w:t>的一般条款</w:t>
            </w:r>
            <w:r>
              <w:rPr>
                <w:rFonts w:hint="eastAsia" w:ascii="宋体" w:hAnsi="宋体" w:eastAsia="宋体" w:cs="宋体"/>
                <w:bCs w:val="0"/>
                <w:color w:val="auto"/>
                <w:kern w:val="0"/>
                <w:sz w:val="21"/>
                <w:szCs w:val="21"/>
                <w:highlight w:val="none"/>
              </w:rPr>
              <w:t>，有一项不满足，扣除</w:t>
            </w:r>
            <w:r>
              <w:rPr>
                <w:rFonts w:hint="eastAsia" w:ascii="宋体" w:hAnsi="宋体" w:cs="宋体"/>
                <w:bCs w:val="0"/>
                <w:color w:val="auto"/>
                <w:kern w:val="0"/>
                <w:sz w:val="21"/>
                <w:szCs w:val="21"/>
                <w:highlight w:val="none"/>
                <w:lang w:val="en-US" w:eastAsia="zh-CN"/>
              </w:rPr>
              <w:t>0.17</w:t>
            </w:r>
            <w:r>
              <w:rPr>
                <w:rFonts w:hint="eastAsia" w:ascii="宋体" w:hAnsi="宋体" w:eastAsia="宋体" w:cs="宋体"/>
                <w:bCs w:val="0"/>
                <w:color w:val="auto"/>
                <w:kern w:val="0"/>
                <w:sz w:val="21"/>
                <w:szCs w:val="21"/>
                <w:highlight w:val="none"/>
              </w:rPr>
              <w:t>分。</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上述分值扣完为止，直至0分。</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注：供应商需对本项目技术要求进行点对点应答，应在引用本</w:t>
            </w:r>
            <w:r>
              <w:rPr>
                <w:rFonts w:hint="eastAsia" w:ascii="宋体" w:hAnsi="宋体" w:cs="宋体"/>
                <w:bCs w:val="0"/>
                <w:color w:val="auto"/>
                <w:kern w:val="0"/>
                <w:sz w:val="21"/>
                <w:szCs w:val="21"/>
                <w:highlight w:val="none"/>
                <w:lang w:val="en-US" w:eastAsia="zh-CN"/>
              </w:rPr>
              <w:t>招标</w:t>
            </w:r>
            <w:r>
              <w:rPr>
                <w:rFonts w:hint="eastAsia" w:ascii="宋体" w:hAnsi="宋体" w:eastAsia="宋体" w:cs="宋体"/>
                <w:bCs w:val="0"/>
                <w:color w:val="auto"/>
                <w:kern w:val="0"/>
                <w:sz w:val="21"/>
                <w:szCs w:val="21"/>
                <w:highlight w:val="none"/>
              </w:rPr>
              <w:t>文件的基础上,进行逐条逐项答复、说明和解释,特别对有具体参数要求的指标，供应商需提供所涉及的软件的具体参数值。</w:t>
            </w:r>
            <w:r>
              <w:rPr>
                <w:rFonts w:hint="eastAsia" w:ascii="宋体" w:hAnsi="宋体" w:cs="宋体"/>
                <w:bCs w:val="0"/>
                <w:color w:val="auto"/>
                <w:kern w:val="0"/>
                <w:sz w:val="21"/>
                <w:szCs w:val="21"/>
                <w:highlight w:val="none"/>
                <w:lang w:val="en-US" w:eastAsia="zh-CN"/>
              </w:rPr>
              <w:t>招标</w:t>
            </w:r>
            <w:r>
              <w:rPr>
                <w:rFonts w:hint="eastAsia" w:ascii="宋体" w:hAnsi="宋体" w:eastAsia="宋体" w:cs="宋体"/>
                <w:bCs w:val="0"/>
                <w:color w:val="auto"/>
                <w:kern w:val="0"/>
                <w:sz w:val="21"/>
                <w:szCs w:val="21"/>
                <w:highlight w:val="none"/>
              </w:rPr>
              <w:t>文件中要求提供证明材料的，证明材料包括：</w:t>
            </w:r>
            <w:r>
              <w:rPr>
                <w:rFonts w:hint="eastAsia" w:ascii="宋体" w:hAnsi="宋体" w:cs="宋体"/>
                <w:bCs w:val="0"/>
                <w:color w:val="auto"/>
                <w:kern w:val="0"/>
                <w:sz w:val="21"/>
                <w:szCs w:val="21"/>
                <w:highlight w:val="none"/>
                <w:lang w:val="en-US" w:eastAsia="zh-CN"/>
              </w:rPr>
              <w:t>招标</w:t>
            </w:r>
            <w:r>
              <w:rPr>
                <w:rFonts w:hint="eastAsia" w:ascii="宋体" w:hAnsi="宋体" w:eastAsia="宋体" w:cs="宋体"/>
                <w:bCs w:val="0"/>
                <w:color w:val="auto"/>
                <w:kern w:val="0"/>
                <w:sz w:val="21"/>
                <w:szCs w:val="21"/>
                <w:highlight w:val="none"/>
              </w:rPr>
              <w:t>文件要求的相关材料，如检测报告或技术资料截图等</w:t>
            </w:r>
            <w:r>
              <w:rPr>
                <w:rFonts w:hint="eastAsia" w:ascii="宋体" w:hAnsi="宋体" w:cs="宋体"/>
                <w:bCs w:val="0"/>
                <w:color w:val="auto"/>
                <w:kern w:val="0"/>
                <w:sz w:val="21"/>
                <w:szCs w:val="21"/>
                <w:highlight w:val="none"/>
                <w:lang w:eastAsia="zh-CN"/>
              </w:rPr>
              <w:t>（</w:t>
            </w:r>
            <w:r>
              <w:rPr>
                <w:rFonts w:hint="eastAsia" w:ascii="宋体" w:hAnsi="宋体" w:cs="宋体"/>
                <w:bCs w:val="0"/>
                <w:color w:val="auto"/>
                <w:kern w:val="0"/>
                <w:sz w:val="21"/>
                <w:szCs w:val="21"/>
                <w:highlight w:val="none"/>
                <w:lang w:val="en-US" w:eastAsia="zh-CN"/>
              </w:rPr>
              <w:t>以采购需求清单中要求的证明材料为准</w:t>
            </w:r>
            <w:r>
              <w:rPr>
                <w:rFonts w:hint="eastAsia" w:ascii="宋体" w:hAnsi="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rPr>
              <w:t>不满足上述要求的视为负偏离。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lang w:eastAsia="zh-CN"/>
              </w:rPr>
            </w:pPr>
            <w:r>
              <w:rPr>
                <w:rFonts w:hint="eastAsia" w:ascii="宋体" w:hAnsi="宋体" w:eastAsia="宋体" w:cs="宋体"/>
                <w:bCs w:val="0"/>
                <w:color w:val="auto"/>
                <w:kern w:val="0"/>
                <w:sz w:val="21"/>
                <w:szCs w:val="21"/>
                <w:highlight w:val="none"/>
                <w:lang w:val="en-US" w:eastAsia="zh-CN"/>
              </w:rPr>
              <w:t>2</w:t>
            </w:r>
          </w:p>
        </w:tc>
        <w:tc>
          <w:tcPr>
            <w:tcW w:w="12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技术方案（</w:t>
            </w:r>
            <w:r>
              <w:rPr>
                <w:rFonts w:hint="eastAsia" w:ascii="宋体" w:hAnsi="宋体" w:cs="宋体"/>
                <w:bCs w:val="0"/>
                <w:color w:val="auto"/>
                <w:kern w:val="0"/>
                <w:sz w:val="21"/>
                <w:szCs w:val="21"/>
                <w:highlight w:val="none"/>
                <w:lang w:val="en-US" w:eastAsia="zh-CN"/>
              </w:rPr>
              <w:t>5</w:t>
            </w:r>
            <w:r>
              <w:rPr>
                <w:rFonts w:hint="eastAsia" w:ascii="宋体" w:hAnsi="宋体" w:eastAsia="宋体" w:cs="宋体"/>
                <w:bCs w:val="0"/>
                <w:color w:val="auto"/>
                <w:kern w:val="0"/>
                <w:sz w:val="21"/>
                <w:szCs w:val="21"/>
                <w:highlight w:val="none"/>
              </w:rPr>
              <w:t>分）</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cs="宋体"/>
                <w:bCs w:val="0"/>
                <w:color w:val="auto"/>
                <w:kern w:val="0"/>
                <w:sz w:val="21"/>
                <w:szCs w:val="21"/>
                <w:highlight w:val="none"/>
                <w:lang w:val="en-US" w:eastAsia="zh-CN"/>
              </w:rPr>
              <w:t>5</w:t>
            </w:r>
            <w:r>
              <w:rPr>
                <w:rFonts w:hint="eastAsia" w:ascii="宋体" w:hAnsi="宋体" w:eastAsia="宋体" w:cs="宋体"/>
                <w:bCs w:val="0"/>
                <w:color w:val="auto"/>
                <w:kern w:val="0"/>
                <w:sz w:val="21"/>
                <w:szCs w:val="21"/>
                <w:highlight w:val="none"/>
              </w:rPr>
              <w:t>分</w:t>
            </w:r>
          </w:p>
        </w:tc>
        <w:tc>
          <w:tcPr>
            <w:tcW w:w="6162"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紧密结合项目需求，对项目实施中的调查数据质检、核查、汇交， 数据库平台建设与培训等工作的调查、重点隐患调查、项目需求 的特点、难点、重点分析等进行全面分析，提出全面完整的技术 方案：</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1 、技术方案合理性、可行性和针对性强得</w:t>
            </w:r>
            <w:r>
              <w:rPr>
                <w:rFonts w:hint="eastAsia" w:ascii="宋体" w:hAnsi="宋体" w:cs="宋体"/>
                <w:bCs w:val="0"/>
                <w:color w:val="auto"/>
                <w:kern w:val="0"/>
                <w:sz w:val="21"/>
                <w:szCs w:val="21"/>
                <w:highlight w:val="none"/>
                <w:lang w:val="en-US" w:eastAsia="zh-CN"/>
              </w:rPr>
              <w:t>5</w:t>
            </w:r>
            <w:r>
              <w:rPr>
                <w:rFonts w:hint="eastAsia" w:ascii="宋体" w:hAnsi="宋体" w:eastAsia="宋体" w:cs="宋体"/>
                <w:bCs w:val="0"/>
                <w:color w:val="auto"/>
                <w:kern w:val="0"/>
                <w:sz w:val="21"/>
                <w:szCs w:val="21"/>
                <w:highlight w:val="none"/>
              </w:rPr>
              <w:t>分；</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2 、技术方案合理性、可行性和针对性较强得</w:t>
            </w: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rPr>
              <w:t>分；</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3 、技术方案合理性、可行性和针对性一般得</w:t>
            </w:r>
            <w:r>
              <w:rPr>
                <w:rFonts w:hint="eastAsia" w:ascii="宋体" w:hAnsi="宋体" w:cs="宋体"/>
                <w:bCs w:val="0"/>
                <w:color w:val="auto"/>
                <w:kern w:val="0"/>
                <w:sz w:val="21"/>
                <w:szCs w:val="21"/>
                <w:highlight w:val="none"/>
                <w:lang w:val="en-US" w:eastAsia="zh-CN"/>
              </w:rPr>
              <w:t>1</w:t>
            </w:r>
            <w:r>
              <w:rPr>
                <w:rFonts w:hint="eastAsia" w:ascii="宋体" w:hAnsi="宋体" w:eastAsia="宋体" w:cs="宋体"/>
                <w:bCs w:val="0"/>
                <w:color w:val="auto"/>
                <w:kern w:val="0"/>
                <w:sz w:val="21"/>
                <w:szCs w:val="21"/>
                <w:highlight w:val="none"/>
              </w:rPr>
              <w:t>分；</w:t>
            </w:r>
          </w:p>
          <w:p>
            <w:pPr>
              <w:widowControl/>
              <w:snapToGrid w:val="0"/>
              <w:jc w:val="left"/>
              <w:rPr>
                <w:rFonts w:hint="default"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rPr>
              <w:t>4 、技术方案合理性、可行性和针对性</w:t>
            </w:r>
            <w:r>
              <w:rPr>
                <w:rFonts w:hint="eastAsia" w:ascii="宋体" w:hAnsi="宋体" w:cs="宋体"/>
                <w:bCs w:val="0"/>
                <w:color w:val="auto"/>
                <w:kern w:val="0"/>
                <w:sz w:val="21"/>
                <w:szCs w:val="21"/>
                <w:highlight w:val="none"/>
                <w:lang w:val="en-US" w:eastAsia="zh-CN"/>
              </w:rPr>
              <w:t>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3</w:t>
            </w:r>
          </w:p>
        </w:tc>
        <w:tc>
          <w:tcPr>
            <w:tcW w:w="12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质量及进度保障措施</w:t>
            </w:r>
          </w:p>
          <w:p>
            <w:pPr>
              <w:widowControl/>
              <w:snapToGrid w:val="0"/>
              <w:jc w:val="center"/>
              <w:rPr>
                <w:rFonts w:hint="eastAsia" w:ascii="宋体" w:hAnsi="宋体" w:eastAsia="宋体" w:cs="宋体"/>
                <w:bCs w:val="0"/>
                <w:color w:val="auto"/>
                <w:kern w:val="0"/>
                <w:sz w:val="21"/>
                <w:szCs w:val="21"/>
                <w:highlight w:val="none"/>
                <w:lang w:eastAsia="zh-CN"/>
              </w:rPr>
            </w:pPr>
            <w:r>
              <w:rPr>
                <w:rFonts w:hint="eastAsia" w:ascii="宋体" w:hAnsi="宋体" w:cs="宋体"/>
                <w:bCs w:val="0"/>
                <w:color w:val="auto"/>
                <w:kern w:val="0"/>
                <w:sz w:val="21"/>
                <w:szCs w:val="21"/>
                <w:highlight w:val="none"/>
                <w:lang w:eastAsia="zh-CN"/>
              </w:rPr>
              <w:t>（</w:t>
            </w:r>
            <w:r>
              <w:rPr>
                <w:rFonts w:hint="eastAsia" w:ascii="宋体" w:hAnsi="宋体" w:cs="宋体"/>
                <w:bCs w:val="0"/>
                <w:color w:val="auto"/>
                <w:kern w:val="0"/>
                <w:sz w:val="21"/>
                <w:szCs w:val="21"/>
                <w:highlight w:val="none"/>
                <w:lang w:val="en-US" w:eastAsia="zh-CN"/>
              </w:rPr>
              <w:t>4分</w:t>
            </w:r>
            <w:r>
              <w:rPr>
                <w:rFonts w:hint="eastAsia" w:ascii="宋体" w:hAnsi="宋体" w:cs="宋体"/>
                <w:bCs w:val="0"/>
                <w:color w:val="auto"/>
                <w:kern w:val="0"/>
                <w:sz w:val="21"/>
                <w:szCs w:val="21"/>
                <w:highlight w:val="none"/>
                <w:lang w:eastAsia="zh-CN"/>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4分</w:t>
            </w:r>
          </w:p>
        </w:tc>
        <w:tc>
          <w:tcPr>
            <w:tcW w:w="6162"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项目质量保障措施及进度保障措施等</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①质量保障措施；</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②各阶段进度计划与措施；</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③进度保障实施方案；</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④本地化服务。</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 xml:space="preserve">上述 </w:t>
            </w:r>
            <w:r>
              <w:rPr>
                <w:rFonts w:hint="eastAsia" w:ascii="宋体" w:hAnsi="宋体" w:cs="宋体"/>
                <w:bCs w:val="0"/>
                <w:color w:val="auto"/>
                <w:kern w:val="0"/>
                <w:sz w:val="21"/>
                <w:szCs w:val="21"/>
                <w:highlight w:val="none"/>
                <w:lang w:val="en-US" w:eastAsia="zh-CN"/>
              </w:rPr>
              <w:t>4</w:t>
            </w:r>
            <w:r>
              <w:rPr>
                <w:rFonts w:hint="eastAsia" w:ascii="宋体" w:hAnsi="宋体" w:eastAsia="宋体" w:cs="宋体"/>
                <w:bCs w:val="0"/>
                <w:color w:val="auto"/>
                <w:kern w:val="0"/>
                <w:sz w:val="21"/>
                <w:szCs w:val="21"/>
                <w:highlight w:val="none"/>
              </w:rPr>
              <w:t xml:space="preserve"> 项每项内容全面完整，合理、可行性较强、且具有针对性 的，得 </w:t>
            </w:r>
            <w:r>
              <w:rPr>
                <w:rFonts w:hint="eastAsia" w:ascii="宋体" w:hAnsi="宋体" w:cs="宋体"/>
                <w:bCs w:val="0"/>
                <w:color w:val="auto"/>
                <w:kern w:val="0"/>
                <w:sz w:val="21"/>
                <w:szCs w:val="21"/>
                <w:highlight w:val="none"/>
                <w:lang w:val="en-US" w:eastAsia="zh-CN"/>
              </w:rPr>
              <w:t>4</w:t>
            </w:r>
            <w:r>
              <w:rPr>
                <w:rFonts w:hint="eastAsia" w:ascii="宋体" w:hAnsi="宋体" w:eastAsia="宋体" w:cs="宋体"/>
                <w:bCs w:val="0"/>
                <w:color w:val="auto"/>
                <w:kern w:val="0"/>
                <w:sz w:val="21"/>
                <w:szCs w:val="21"/>
                <w:highlight w:val="none"/>
              </w:rPr>
              <w:t xml:space="preserve"> 分；每有一项内容缺失(或未能满足采购需求或逻辑性不强或无针对性等)的，扣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4</w:t>
            </w:r>
          </w:p>
        </w:tc>
        <w:tc>
          <w:tcPr>
            <w:tcW w:w="12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color w:val="auto"/>
                <w:highlight w:val="none"/>
              </w:rPr>
            </w:pPr>
            <w:r>
              <w:rPr>
                <w:rFonts w:hint="eastAsia"/>
                <w:color w:val="auto"/>
                <w:highlight w:val="none"/>
              </w:rPr>
              <w:t>故障应急预案以及风险管理</w:t>
            </w:r>
          </w:p>
          <w:p>
            <w:pPr>
              <w:pStyle w:val="14"/>
              <w:ind w:left="0" w:leftChars="0" w:firstLine="0" w:firstLineChars="0"/>
              <w:jc w:val="center"/>
              <w:rPr>
                <w:rFonts w:hint="eastAsia"/>
                <w:color w:val="auto"/>
                <w:highlight w:val="none"/>
              </w:rPr>
            </w:pPr>
            <w:r>
              <w:rPr>
                <w:rFonts w:hint="eastAsia" w:ascii="宋体" w:hAnsi="宋体" w:eastAsia="宋体" w:cs="宋体"/>
                <w:bCs w:val="0"/>
                <w:color w:val="auto"/>
                <w:kern w:val="0"/>
                <w:sz w:val="21"/>
                <w:szCs w:val="21"/>
                <w:highlight w:val="none"/>
                <w:lang w:val="en-US" w:eastAsia="zh-CN" w:bidi="ar-SA"/>
              </w:rPr>
              <w:t>（</w:t>
            </w:r>
            <w:r>
              <w:rPr>
                <w:rFonts w:hint="eastAsia" w:ascii="宋体" w:hAnsi="宋体" w:cs="宋体"/>
                <w:bCs w:val="0"/>
                <w:color w:val="auto"/>
                <w:kern w:val="0"/>
                <w:sz w:val="21"/>
                <w:szCs w:val="21"/>
                <w:highlight w:val="none"/>
                <w:lang w:val="en-US" w:eastAsia="zh-CN" w:bidi="ar-SA"/>
              </w:rPr>
              <w:t>3</w:t>
            </w:r>
            <w:r>
              <w:rPr>
                <w:rFonts w:hint="eastAsia" w:ascii="宋体" w:hAnsi="宋体" w:eastAsia="宋体" w:cs="宋体"/>
                <w:bCs w:val="0"/>
                <w:color w:val="auto"/>
                <w:kern w:val="0"/>
                <w:sz w:val="21"/>
                <w:szCs w:val="21"/>
                <w:highlight w:val="none"/>
                <w:lang w:val="en-US" w:eastAsia="zh-CN" w:bidi="ar-SA"/>
              </w:rPr>
              <w:t>分）</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3分</w:t>
            </w:r>
          </w:p>
        </w:tc>
        <w:tc>
          <w:tcPr>
            <w:tcW w:w="6162"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综合考虑供应商提供的故障应急预案和风险管理方案：        1、故障应急预案和风险管理方案完善，有针对性、切实可行</w:t>
            </w:r>
            <w:r>
              <w:rPr>
                <w:rFonts w:hint="eastAsia" w:ascii="宋体" w:hAnsi="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rPr>
              <w:t xml:space="preserve">得 </w:t>
            </w: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rPr>
              <w:t xml:space="preserve">分；                                                 </w:t>
            </w:r>
          </w:p>
          <w:p>
            <w:pPr>
              <w:widowControl/>
              <w:numPr>
                <w:ilvl w:val="0"/>
                <w:numId w:val="3"/>
              </w:numPr>
              <w:snapToGrid w:val="0"/>
              <w:ind w:left="0" w:leftChars="0" w:firstLine="0" w:firstLineChars="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 xml:space="preserve">故障应急预案和风险管理方案有一定的完整度、针对性、可操作性，得 </w:t>
            </w:r>
            <w:r>
              <w:rPr>
                <w:rFonts w:hint="eastAsia" w:ascii="宋体" w:hAnsi="宋体" w:cs="宋体"/>
                <w:bCs w:val="0"/>
                <w:color w:val="auto"/>
                <w:kern w:val="0"/>
                <w:sz w:val="21"/>
                <w:szCs w:val="21"/>
                <w:highlight w:val="none"/>
                <w:lang w:val="en-US" w:eastAsia="zh-CN"/>
              </w:rPr>
              <w:t>2</w:t>
            </w:r>
            <w:r>
              <w:rPr>
                <w:rFonts w:hint="eastAsia" w:ascii="宋体" w:hAnsi="宋体" w:eastAsia="宋体" w:cs="宋体"/>
                <w:bCs w:val="0"/>
                <w:color w:val="auto"/>
                <w:kern w:val="0"/>
                <w:sz w:val="21"/>
                <w:szCs w:val="21"/>
                <w:highlight w:val="none"/>
              </w:rPr>
              <w:t xml:space="preserve">分；                                         </w:t>
            </w:r>
          </w:p>
          <w:p>
            <w:pPr>
              <w:widowControl/>
              <w:numPr>
                <w:ilvl w:val="0"/>
                <w:numId w:val="3"/>
              </w:numPr>
              <w:snapToGrid w:val="0"/>
              <w:ind w:left="0" w:leftChars="0" w:firstLine="0" w:firstLineChars="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故障应急预案和风险管理方案的完整度、针对性、可操作性一般</w:t>
            </w:r>
            <w:r>
              <w:rPr>
                <w:rFonts w:hint="eastAsia" w:ascii="宋体" w:hAnsi="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rPr>
              <w:t xml:space="preserve">得 </w:t>
            </w:r>
            <w:r>
              <w:rPr>
                <w:rFonts w:hint="eastAsia" w:ascii="宋体" w:hAnsi="宋体" w:cs="宋体"/>
                <w:bCs w:val="0"/>
                <w:color w:val="auto"/>
                <w:kern w:val="0"/>
                <w:sz w:val="21"/>
                <w:szCs w:val="21"/>
                <w:highlight w:val="none"/>
                <w:lang w:val="en-US" w:eastAsia="zh-CN"/>
              </w:rPr>
              <w:t>1</w:t>
            </w:r>
            <w:r>
              <w:rPr>
                <w:rFonts w:hint="eastAsia" w:ascii="宋体" w:hAnsi="宋体" w:eastAsia="宋体" w:cs="宋体"/>
                <w:bCs w:val="0"/>
                <w:color w:val="auto"/>
                <w:kern w:val="0"/>
                <w:sz w:val="21"/>
                <w:szCs w:val="21"/>
                <w:highlight w:val="none"/>
              </w:rPr>
              <w:t xml:space="preserve"> 分；                                           </w:t>
            </w:r>
          </w:p>
          <w:p>
            <w:pPr>
              <w:widowControl/>
              <w:numPr>
                <w:ilvl w:val="0"/>
                <w:numId w:val="0"/>
              </w:numPr>
              <w:snapToGrid w:val="0"/>
              <w:ind w:leftChars="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4、故障应急预案和风险管理方案的内容不完备，针对性、可操作性差，得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5</w:t>
            </w:r>
          </w:p>
        </w:tc>
        <w:tc>
          <w:tcPr>
            <w:tcW w:w="12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后续服</w:t>
            </w:r>
          </w:p>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务保证</w:t>
            </w:r>
          </w:p>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措施</w:t>
            </w:r>
          </w:p>
          <w:p>
            <w:pPr>
              <w:widowControl/>
              <w:snapToGrid w:val="0"/>
              <w:jc w:val="center"/>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lang w:val="en-US" w:eastAsia="zh-CN" w:bidi="ar-SA"/>
              </w:rPr>
              <w:t>（</w:t>
            </w:r>
            <w:r>
              <w:rPr>
                <w:rFonts w:hint="eastAsia" w:ascii="宋体" w:hAnsi="宋体" w:cs="宋体"/>
                <w:bCs w:val="0"/>
                <w:color w:val="auto"/>
                <w:kern w:val="0"/>
                <w:sz w:val="21"/>
                <w:szCs w:val="21"/>
                <w:highlight w:val="none"/>
                <w:lang w:val="en-US" w:eastAsia="zh-CN" w:bidi="ar-SA"/>
              </w:rPr>
              <w:t>3</w:t>
            </w:r>
            <w:r>
              <w:rPr>
                <w:rFonts w:hint="eastAsia" w:ascii="宋体" w:hAnsi="宋体" w:eastAsia="宋体" w:cs="宋体"/>
                <w:bCs w:val="0"/>
                <w:color w:val="auto"/>
                <w:kern w:val="0"/>
                <w:sz w:val="21"/>
                <w:szCs w:val="21"/>
                <w:highlight w:val="none"/>
                <w:lang w:val="en-US" w:eastAsia="zh-CN" w:bidi="ar-SA"/>
              </w:rPr>
              <w:t>分）</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宋体" w:hAnsi="宋体" w:eastAsia="宋体" w:cs="宋体"/>
                <w:bCs w:val="0"/>
                <w:color w:val="auto"/>
                <w:kern w:val="0"/>
                <w:sz w:val="21"/>
                <w:szCs w:val="21"/>
                <w:highlight w:val="none"/>
                <w:lang w:val="en-US" w:eastAsia="zh-CN"/>
              </w:rPr>
            </w:pPr>
            <w:r>
              <w:rPr>
                <w:rFonts w:hint="eastAsia" w:ascii="宋体" w:hAnsi="宋体" w:cs="宋体"/>
                <w:bCs w:val="0"/>
                <w:color w:val="auto"/>
                <w:kern w:val="0"/>
                <w:sz w:val="21"/>
                <w:szCs w:val="21"/>
                <w:highlight w:val="none"/>
                <w:lang w:val="en-US" w:eastAsia="zh-CN"/>
              </w:rPr>
              <w:t>3分</w:t>
            </w:r>
          </w:p>
        </w:tc>
        <w:tc>
          <w:tcPr>
            <w:tcW w:w="6162"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 xml:space="preserve">根据本次平台建设采购需求的服务内容，针对运维期内的系统更新与维护要求，提供(1)技术咨询；(2)系统维护；(3)系统培训等各上述相关内容的后续服务保证措施。             </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1、客户服务体系完善，响应时间迅速、后续服务措施方案详实、 完善、科学、先进，可行性强，高度契合项目需求</w:t>
            </w:r>
            <w:r>
              <w:rPr>
                <w:rFonts w:hint="eastAsia" w:ascii="宋体" w:hAnsi="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rPr>
              <w:t xml:space="preserve">得 </w:t>
            </w: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rPr>
              <w:t xml:space="preserve"> 分； </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 xml:space="preserve">2、客户服务体系完善，响应时间迅速、后续服务措施方案具体、 完整、专业、可行，完全符合项目需求，得 </w:t>
            </w:r>
            <w:r>
              <w:rPr>
                <w:rFonts w:hint="eastAsia" w:ascii="宋体" w:hAnsi="宋体" w:cs="宋体"/>
                <w:bCs w:val="0"/>
                <w:color w:val="auto"/>
                <w:kern w:val="0"/>
                <w:sz w:val="21"/>
                <w:szCs w:val="21"/>
                <w:highlight w:val="none"/>
                <w:lang w:val="en-US" w:eastAsia="zh-CN"/>
              </w:rPr>
              <w:t>2</w:t>
            </w:r>
            <w:r>
              <w:rPr>
                <w:rFonts w:hint="eastAsia" w:ascii="宋体" w:hAnsi="宋体" w:eastAsia="宋体" w:cs="宋体"/>
                <w:bCs w:val="0"/>
                <w:color w:val="auto"/>
                <w:kern w:val="0"/>
                <w:sz w:val="21"/>
                <w:szCs w:val="21"/>
                <w:highlight w:val="none"/>
              </w:rPr>
              <w:t xml:space="preserve">分；             </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 xml:space="preserve">3、客户服务体系完善，响应时间迅速、后续服务措施方案具体、 完整，不存在技术缺陷，具有一定的可行性，基本符合项目需求， 得 </w:t>
            </w:r>
            <w:r>
              <w:rPr>
                <w:rFonts w:hint="eastAsia" w:ascii="宋体" w:hAnsi="宋体" w:cs="宋体"/>
                <w:bCs w:val="0"/>
                <w:color w:val="auto"/>
                <w:kern w:val="0"/>
                <w:sz w:val="21"/>
                <w:szCs w:val="21"/>
                <w:highlight w:val="none"/>
                <w:lang w:val="en-US" w:eastAsia="zh-CN"/>
              </w:rPr>
              <w:t>1</w:t>
            </w:r>
            <w:r>
              <w:rPr>
                <w:rFonts w:hint="eastAsia" w:ascii="宋体" w:hAnsi="宋体" w:eastAsia="宋体" w:cs="宋体"/>
                <w:bCs w:val="0"/>
                <w:color w:val="auto"/>
                <w:kern w:val="0"/>
                <w:sz w:val="21"/>
                <w:szCs w:val="21"/>
                <w:highlight w:val="none"/>
              </w:rPr>
              <w:t>分；</w:t>
            </w:r>
          </w:p>
          <w:p>
            <w:pPr>
              <w:widowControl/>
              <w:snapToGrid w:val="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4、客户服务体系完善，响应时间迅速、后续服务措施方案存在 内容缺失或技术缺陷，不符合项目需求或未提供，该项得 0 分。</w:t>
            </w:r>
          </w:p>
        </w:tc>
      </w:tr>
    </w:tbl>
    <w:p>
      <w:pPr>
        <w:pStyle w:val="14"/>
        <w:ind w:left="0" w:leftChars="0" w:firstLine="0" w:firstLineChars="0"/>
        <w:sectPr>
          <w:footerReference r:id="rId5" w:type="default"/>
          <w:pgSz w:w="11906" w:h="16838"/>
          <w:pgMar w:top="1440" w:right="1440"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sz w:val="28"/>
          <w:szCs w:val="36"/>
        </w:rPr>
        <w:t>投标报价（30分）</w:t>
      </w:r>
    </w:p>
    <w:tbl>
      <w:tblPr>
        <w:tblStyle w:val="4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9" w:type="dxa"/>
            <w:vAlign w:val="center"/>
          </w:tcPr>
          <w:p>
            <w:pPr>
              <w:jc w:val="center"/>
            </w:pPr>
            <w:r>
              <w:rPr>
                <w:rFonts w:hint="eastAsia"/>
                <w:b/>
                <w:bCs/>
              </w:rPr>
              <w:t>序号</w:t>
            </w:r>
          </w:p>
        </w:tc>
        <w:tc>
          <w:tcPr>
            <w:tcW w:w="1276" w:type="dxa"/>
            <w:vAlign w:val="center"/>
          </w:tcPr>
          <w:p>
            <w:pPr>
              <w:jc w:val="center"/>
            </w:pPr>
            <w:r>
              <w:rPr>
                <w:rFonts w:hint="eastAsia"/>
                <w:b/>
                <w:bCs/>
              </w:rPr>
              <w:t>评审项目</w:t>
            </w:r>
          </w:p>
        </w:tc>
        <w:tc>
          <w:tcPr>
            <w:tcW w:w="6662" w:type="dxa"/>
            <w:vAlign w:val="center"/>
          </w:tcPr>
          <w:p>
            <w:pPr>
              <w:jc w:val="cente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09" w:type="dxa"/>
            <w:vAlign w:val="center"/>
          </w:tcPr>
          <w:p>
            <w:pPr>
              <w:jc w:val="center"/>
            </w:pPr>
            <w:r>
              <w:rPr>
                <w:rFonts w:hint="eastAsia"/>
              </w:rPr>
              <w:t>1</w:t>
            </w:r>
          </w:p>
        </w:tc>
        <w:tc>
          <w:tcPr>
            <w:tcW w:w="1276" w:type="dxa"/>
            <w:vAlign w:val="center"/>
          </w:tcPr>
          <w:p>
            <w:pPr>
              <w:jc w:val="center"/>
            </w:pPr>
            <w:r>
              <w:rPr>
                <w:rFonts w:hint="eastAsia"/>
              </w:rPr>
              <w:t>投标报价</w:t>
            </w:r>
          </w:p>
        </w:tc>
        <w:tc>
          <w:tcPr>
            <w:tcW w:w="6662" w:type="dxa"/>
            <w:vAlign w:val="center"/>
          </w:tcPr>
          <w:p>
            <w:pPr>
              <w:jc w:val="left"/>
            </w:pPr>
            <w:r>
              <w:rPr>
                <w:rFonts w:hint="eastAsia"/>
              </w:rPr>
              <w:t>在满足招标文件要求的前提下，取各投标人有效</w:t>
            </w:r>
            <w:r>
              <w:rPr>
                <w:rFonts w:hint="eastAsia"/>
                <w:lang w:val="en-US" w:eastAsia="zh-CN"/>
              </w:rPr>
              <w:t>投标总</w:t>
            </w:r>
            <w:r>
              <w:rPr>
                <w:rFonts w:hint="eastAsia"/>
              </w:rPr>
              <w:t>报价的最低投标报价作为评标基准价,满分为30分；</w:t>
            </w:r>
          </w:p>
          <w:p>
            <w:pPr>
              <w:jc w:val="left"/>
            </w:pPr>
            <w:r>
              <w:rPr>
                <w:rFonts w:hint="eastAsia"/>
              </w:rPr>
              <w:t>价格分的计算投标报价得分=(评标基准价／投标报价)×</w:t>
            </w:r>
            <w:r>
              <w:t>30</w:t>
            </w:r>
            <w:r>
              <w:rPr>
                <w:rFonts w:hint="eastAsia"/>
              </w:rPr>
              <w:t>。</w:t>
            </w:r>
          </w:p>
          <w:p>
            <w:pPr>
              <w:jc w:val="left"/>
            </w:pPr>
            <w:r>
              <w:rPr>
                <w:rFonts w:hint="eastAsia"/>
              </w:rPr>
              <w:t>（计算分值时，百分比按四舍五入原则，保留小数点后二位数）</w:t>
            </w:r>
          </w:p>
        </w:tc>
      </w:tr>
      <w:bookmarkEnd w:id="183"/>
      <w:bookmarkEnd w:id="184"/>
    </w:tbl>
    <w:p>
      <w:pPr>
        <w:tabs>
          <w:tab w:val="left" w:pos="0"/>
        </w:tabs>
        <w:adjustRightInd w:val="0"/>
        <w:snapToGrid w:val="0"/>
        <w:spacing w:line="440" w:lineRule="exact"/>
        <w:ind w:firstLine="420" w:firstLineChars="200"/>
        <w:rPr>
          <w:bCs/>
          <w:szCs w:val="21"/>
        </w:rPr>
      </w:pPr>
      <w:bookmarkStart w:id="197" w:name="_Toc7522"/>
      <w:r>
        <w:rPr>
          <w:kern w:val="0"/>
          <w:szCs w:val="21"/>
        </w:rPr>
        <w:t>注：评标委员会将根据政府采购政策对投标报价进行价格扣除，扣除后的价格将作为评标价格</w:t>
      </w:r>
      <w:r>
        <w:rPr>
          <w:bCs/>
          <w:szCs w:val="21"/>
        </w:rPr>
        <w:t>，具体如下：</w:t>
      </w:r>
    </w:p>
    <w:p>
      <w:pPr>
        <w:tabs>
          <w:tab w:val="left" w:pos="0"/>
        </w:tabs>
        <w:adjustRightInd w:val="0"/>
        <w:snapToGrid w:val="0"/>
        <w:spacing w:line="440" w:lineRule="exact"/>
        <w:ind w:firstLine="420" w:firstLineChars="200"/>
        <w:rPr>
          <w:rFonts w:hint="eastAsia" w:eastAsia="宋体"/>
          <w:lang w:eastAsia="zh-CN"/>
        </w:rPr>
      </w:pPr>
      <w:r>
        <w:rPr>
          <w:rFonts w:hint="eastAsia"/>
          <w:bCs/>
          <w:szCs w:val="21"/>
        </w:rPr>
        <w:t>（一）</w:t>
      </w:r>
      <w:r>
        <w:rPr>
          <w:rFonts w:hint="eastAsia"/>
        </w:rPr>
        <w:t>节能产品及环保产品价格折扣比例及方法</w:t>
      </w:r>
      <w:r>
        <w:rPr>
          <w:rFonts w:hint="eastAsia"/>
          <w:b/>
          <w:bCs/>
          <w:lang w:eastAsia="zh-CN"/>
        </w:rPr>
        <w:t>（</w:t>
      </w:r>
      <w:r>
        <w:rPr>
          <w:rFonts w:hint="eastAsia"/>
          <w:b/>
          <w:bCs/>
          <w:lang w:val="en-US" w:eastAsia="zh-CN"/>
        </w:rPr>
        <w:t>本项目不适用</w:t>
      </w:r>
      <w:r>
        <w:rPr>
          <w:rFonts w:hint="eastAsia"/>
          <w:b/>
          <w:bCs/>
          <w:lang w:eastAsia="zh-CN"/>
        </w:rPr>
        <w:t>）</w:t>
      </w:r>
    </w:p>
    <w:tbl>
      <w:tblPr>
        <w:tblStyle w:val="40"/>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b/>
              </w:rPr>
            </w:pPr>
            <w:r>
              <w:rPr>
                <w:rFonts w:hint="eastAsia"/>
                <w:b/>
              </w:rPr>
              <w:t>序号</w:t>
            </w:r>
          </w:p>
        </w:tc>
        <w:tc>
          <w:tcPr>
            <w:tcW w:w="1532" w:type="dxa"/>
            <w:tcBorders>
              <w:top w:val="single" w:color="auto" w:sz="4" w:space="0"/>
            </w:tcBorders>
            <w:vAlign w:val="center"/>
          </w:tcPr>
          <w:p>
            <w:pPr>
              <w:adjustRightInd w:val="0"/>
              <w:snapToGrid w:val="0"/>
              <w:spacing w:line="440" w:lineRule="exact"/>
              <w:jc w:val="center"/>
              <w:rPr>
                <w:b/>
              </w:rPr>
            </w:pPr>
            <w:r>
              <w:rPr>
                <w:rFonts w:hint="eastAsia"/>
                <w:b/>
              </w:rPr>
              <w:t>项目</w:t>
            </w:r>
          </w:p>
        </w:tc>
        <w:tc>
          <w:tcPr>
            <w:tcW w:w="6379" w:type="dxa"/>
            <w:tcBorders>
              <w:top w:val="single" w:color="auto" w:sz="4" w:space="0"/>
            </w:tcBorders>
            <w:vAlign w:val="center"/>
          </w:tcPr>
          <w:p>
            <w:pPr>
              <w:adjustRightInd w:val="0"/>
              <w:snapToGrid w:val="0"/>
              <w:spacing w:line="440" w:lineRule="exact"/>
              <w:jc w:val="center"/>
              <w:rPr>
                <w:b/>
              </w:rPr>
            </w:pPr>
            <w:r>
              <w:rPr>
                <w:rFonts w:hint="eastAsia"/>
                <w:b/>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pPr>
            <w:r>
              <w:t>1</w:t>
            </w:r>
          </w:p>
        </w:tc>
        <w:tc>
          <w:tcPr>
            <w:tcW w:w="1532" w:type="dxa"/>
            <w:vAlign w:val="center"/>
          </w:tcPr>
          <w:p>
            <w:pPr>
              <w:adjustRightInd w:val="0"/>
              <w:snapToGrid w:val="0"/>
              <w:spacing w:line="440" w:lineRule="exact"/>
              <w:jc w:val="center"/>
            </w:pPr>
            <w:r>
              <w:rPr>
                <w:rFonts w:hint="eastAsia"/>
              </w:rPr>
              <w:t>节能产品</w:t>
            </w:r>
          </w:p>
        </w:tc>
        <w:tc>
          <w:tcPr>
            <w:tcW w:w="6379" w:type="dxa"/>
            <w:vAlign w:val="center"/>
          </w:tcPr>
          <w:p>
            <w:pPr>
              <w:spacing w:line="440" w:lineRule="exact"/>
            </w:pPr>
            <w:r>
              <w:rPr>
                <w:rFonts w:hint="eastAsia"/>
              </w:rPr>
              <w:t>折扣金额</w:t>
            </w:r>
            <w:r>
              <w:t>=</w:t>
            </w:r>
            <w:r>
              <w:rPr>
                <w:rFonts w:hint="eastAsia"/>
              </w:rPr>
              <w:t>（节能清单部分产品的价格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pPr>
            <w:r>
              <w:t>2</w:t>
            </w:r>
          </w:p>
        </w:tc>
        <w:tc>
          <w:tcPr>
            <w:tcW w:w="1532" w:type="dxa"/>
            <w:vAlign w:val="center"/>
          </w:tcPr>
          <w:p>
            <w:pPr>
              <w:adjustRightInd w:val="0"/>
              <w:snapToGrid w:val="0"/>
              <w:spacing w:line="440" w:lineRule="exact"/>
              <w:jc w:val="center"/>
            </w:pPr>
            <w:r>
              <w:rPr>
                <w:rFonts w:hint="eastAsia"/>
              </w:rPr>
              <w:t>环保产品</w:t>
            </w:r>
          </w:p>
        </w:tc>
        <w:tc>
          <w:tcPr>
            <w:tcW w:w="6379" w:type="dxa"/>
            <w:vAlign w:val="center"/>
          </w:tcPr>
          <w:p>
            <w:pPr>
              <w:spacing w:line="440" w:lineRule="exact"/>
            </w:pPr>
            <w:r>
              <w:rPr>
                <w:rFonts w:hint="eastAsia"/>
              </w:rPr>
              <w:t>折扣金额</w:t>
            </w:r>
            <w:r>
              <w:t>=</w:t>
            </w:r>
            <w:r>
              <w:rPr>
                <w:rFonts w:hint="eastAsia"/>
              </w:rPr>
              <w:t>（环境清单部分产品的价格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pPr>
            <w:r>
              <w:t>3</w:t>
            </w:r>
          </w:p>
        </w:tc>
        <w:tc>
          <w:tcPr>
            <w:tcW w:w="1532" w:type="dxa"/>
            <w:tcBorders>
              <w:bottom w:val="single" w:color="auto" w:sz="4" w:space="0"/>
            </w:tcBorders>
            <w:vAlign w:val="center"/>
          </w:tcPr>
          <w:p>
            <w:pPr>
              <w:adjustRightInd w:val="0"/>
              <w:snapToGrid w:val="0"/>
              <w:spacing w:line="440" w:lineRule="exact"/>
              <w:jc w:val="center"/>
            </w:pPr>
            <w:r>
              <w:rPr>
                <w:rFonts w:hint="eastAsia"/>
              </w:rPr>
              <w:t>证明材料说明</w:t>
            </w:r>
          </w:p>
        </w:tc>
        <w:tc>
          <w:tcPr>
            <w:tcW w:w="6379" w:type="dxa"/>
            <w:tcBorders>
              <w:bottom w:val="single" w:color="auto" w:sz="4" w:space="0"/>
            </w:tcBorders>
            <w:vAlign w:val="center"/>
          </w:tcPr>
          <w:p>
            <w:pPr>
              <w:spacing w:line="440" w:lineRule="exact"/>
            </w:pPr>
            <w:r>
              <w:rPr>
                <w:rFonts w:hint="eastAsia"/>
              </w:rPr>
              <w:t>须提供中国政府采购网节能环保查询结果</w:t>
            </w:r>
          </w:p>
        </w:tc>
      </w:tr>
    </w:tbl>
    <w:p>
      <w:pPr>
        <w:tabs>
          <w:tab w:val="left" w:pos="0"/>
        </w:tabs>
        <w:adjustRightInd w:val="0"/>
        <w:snapToGrid w:val="0"/>
        <w:spacing w:line="440" w:lineRule="exact"/>
      </w:pPr>
      <w:r>
        <w:rPr>
          <w:rFonts w:hint="eastAsia"/>
        </w:rPr>
        <w:t>说明：1.如有多种产品符合此项政策时，折扣价格为每种产品的折扣金额汇总。</w:t>
      </w:r>
    </w:p>
    <w:p>
      <w:pPr>
        <w:tabs>
          <w:tab w:val="left" w:pos="0"/>
        </w:tabs>
        <w:adjustRightInd w:val="0"/>
        <w:snapToGrid w:val="0"/>
        <w:spacing w:line="440" w:lineRule="exact"/>
      </w:pPr>
      <w:r>
        <w:rPr>
          <w:rFonts w:hint="eastAsia"/>
        </w:rPr>
        <w:t xml:space="preserve">      2.若所投产品同时属于节能产品及环保产品，只进行一次价格折扣认定。</w:t>
      </w:r>
    </w:p>
    <w:p>
      <w:pPr>
        <w:tabs>
          <w:tab w:val="left" w:pos="0"/>
        </w:tabs>
        <w:adjustRightInd w:val="0"/>
        <w:snapToGrid w:val="0"/>
        <w:spacing w:line="440" w:lineRule="exact"/>
        <w:ind w:firstLine="420" w:firstLineChars="200"/>
      </w:pPr>
      <w:r>
        <w:rPr>
          <w:kern w:val="0"/>
          <w:szCs w:val="21"/>
        </w:rPr>
        <w:t xml:space="preserve"> </w:t>
      </w:r>
      <w:r>
        <w:rPr>
          <w:rFonts w:hint="eastAsia"/>
          <w:bCs/>
          <w:szCs w:val="21"/>
        </w:rPr>
        <w:t>（二）</w:t>
      </w:r>
      <w:r>
        <w:rPr>
          <w:rFonts w:hint="eastAsia"/>
        </w:rPr>
        <w:t>中小企业产品价格折扣比例及方法</w:t>
      </w:r>
      <w:r>
        <w:rPr>
          <w:rFonts w:hint="eastAsia"/>
          <w:b/>
          <w:bCs/>
        </w:rPr>
        <w:t>（适用于非专门面向中小企业采购项目）</w:t>
      </w:r>
    </w:p>
    <w:tbl>
      <w:tblPr>
        <w:tblStyle w:val="40"/>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pPr>
              <w:snapToGrid w:val="0"/>
              <w:spacing w:line="300" w:lineRule="auto"/>
              <w:ind w:firstLine="315" w:firstLineChars="150"/>
              <w:rPr>
                <w:szCs w:val="21"/>
              </w:rPr>
            </w:pPr>
            <w:r>
              <w:rPr>
                <w:szCs w:val="21"/>
              </w:rPr>
              <w:t>根据中华人民共和国财政部、中华人民共和国工业和信息化部</w:t>
            </w:r>
            <w:r>
              <w:rPr>
                <w:rFonts w:hint="eastAsia"/>
                <w:szCs w:val="21"/>
              </w:rPr>
              <w:t>《政府采购促进中小企业发展管理办法》（财库〔2020〕46号）及《关于进一步加大政府采购支持中小企业力度的通知》（财库〔2022〕19号）</w:t>
            </w:r>
            <w:r>
              <w:rPr>
                <w:szCs w:val="21"/>
              </w:rPr>
              <w:t>文件的规定，</w:t>
            </w:r>
            <w:r>
              <w:rPr>
                <w:bCs/>
                <w:szCs w:val="21"/>
              </w:rPr>
              <w:t>属于中小企业</w:t>
            </w:r>
            <w:r>
              <w:rPr>
                <w:szCs w:val="21"/>
              </w:rPr>
              <w:t>评审优惠内容及幅度如下：</w:t>
            </w:r>
          </w:p>
          <w:p>
            <w:pPr>
              <w:snapToGrid w:val="0"/>
              <w:spacing w:line="300" w:lineRule="auto"/>
              <w:ind w:firstLine="211" w:firstLineChars="100"/>
              <w:rPr>
                <w:szCs w:val="21"/>
              </w:rPr>
            </w:pPr>
            <w:r>
              <w:rPr>
                <w:b/>
                <w:szCs w:val="21"/>
              </w:rPr>
              <w:t>（一）</w:t>
            </w:r>
            <w:r>
              <w:rPr>
                <w:szCs w:val="21"/>
              </w:rPr>
              <w:t>中小企业（含中型、小型、微型企业）应当</w:t>
            </w:r>
            <w:r>
              <w:rPr>
                <w:b/>
                <w:szCs w:val="21"/>
              </w:rPr>
              <w:t>同时符合</w:t>
            </w:r>
            <w:r>
              <w:rPr>
                <w:szCs w:val="21"/>
              </w:rPr>
              <w:t>以下条件：</w:t>
            </w:r>
          </w:p>
          <w:p>
            <w:pPr>
              <w:pStyle w:val="436"/>
              <w:spacing w:line="300" w:lineRule="auto"/>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符合中小企业划分标准（按《关于印发中小企业划型标准规定的通知》（工信部联企业〔2011〕300号）执行）；</w:t>
            </w:r>
          </w:p>
          <w:p>
            <w:pPr>
              <w:pStyle w:val="436"/>
              <w:spacing w:line="300" w:lineRule="auto"/>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提供本企业制造的货物、承建的</w:t>
            </w:r>
            <w:r>
              <w:rPr>
                <w:rFonts w:hint="eastAsia" w:ascii="Times New Roman" w:hAnsi="Times New Roman"/>
                <w:szCs w:val="21"/>
              </w:rPr>
              <w:t>工程</w:t>
            </w:r>
            <w:r>
              <w:rPr>
                <w:rFonts w:ascii="Times New Roman" w:hAnsi="Times New Roman"/>
                <w:szCs w:val="21"/>
              </w:rPr>
              <w:t>或者承担的服务，或者提供其他中小企业制造的货物。本项所称货物不包括使用大型企业注册商标的货物；</w:t>
            </w:r>
          </w:p>
          <w:p>
            <w:pPr>
              <w:pStyle w:val="436"/>
              <w:spacing w:line="300" w:lineRule="auto"/>
              <w:ind w:firstLine="420" w:firstLineChars="200"/>
              <w:rPr>
                <w:rFonts w:ascii="Times New Roman" w:hAnsi="Times New Roman"/>
                <w:szCs w:val="21"/>
              </w:rPr>
            </w:pPr>
            <w:r>
              <w:rPr>
                <w:rFonts w:hint="eastAsia" w:ascii="宋体" w:hAnsi="宋体" w:cs="宋体"/>
                <w:szCs w:val="21"/>
              </w:rPr>
              <w:t>③</w:t>
            </w:r>
            <w:r>
              <w:rPr>
                <w:rFonts w:ascii="Times New Roman" w:hAnsi="Times New Roman"/>
                <w:szCs w:val="21"/>
              </w:rPr>
              <w:t>小型、微型企业提供中型企业制造的货物的，视同为中型企业。</w:t>
            </w:r>
          </w:p>
          <w:p>
            <w:pPr>
              <w:snapToGrid w:val="0"/>
              <w:spacing w:line="300" w:lineRule="auto"/>
              <w:ind w:firstLine="316" w:firstLineChars="150"/>
              <w:rPr>
                <w:szCs w:val="21"/>
              </w:rPr>
            </w:pPr>
            <w:r>
              <w:rPr>
                <w:b/>
                <w:szCs w:val="21"/>
              </w:rPr>
              <w:t>（二）</w:t>
            </w:r>
            <w:r>
              <w:rPr>
                <w:szCs w:val="21"/>
              </w:rPr>
              <w:t>价格扣除办法：</w:t>
            </w:r>
          </w:p>
          <w:p>
            <w:pPr>
              <w:pStyle w:val="436"/>
              <w:spacing w:line="300" w:lineRule="auto"/>
              <w:ind w:firstLine="420" w:firstLineChars="20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w:t>
            </w:r>
            <w:r>
              <w:rPr>
                <w:rFonts w:hint="eastAsia" w:ascii="Times New Roman" w:hAnsi="Times New Roman"/>
                <w:szCs w:val="21"/>
              </w:rPr>
              <w:t>10</w:t>
            </w:r>
            <w:r>
              <w:rPr>
                <w:rFonts w:ascii="Times New Roman" w:hAnsi="Times New Roman"/>
                <w:szCs w:val="21"/>
              </w:rPr>
              <w:t>%的扣除，用扣除后的价格参与价格的评审。</w:t>
            </w:r>
          </w:p>
          <w:p>
            <w:pPr>
              <w:snapToGrid w:val="0"/>
              <w:spacing w:line="300" w:lineRule="auto"/>
              <w:ind w:firstLine="316" w:firstLineChars="150"/>
              <w:rPr>
                <w:szCs w:val="21"/>
              </w:rPr>
            </w:pPr>
            <w:r>
              <w:rPr>
                <w:b/>
                <w:szCs w:val="21"/>
              </w:rPr>
              <w:t>（三）</w:t>
            </w:r>
            <w:r>
              <w:rPr>
                <w:szCs w:val="21"/>
              </w:rPr>
              <w:t>小型和微型企业适用价格扣除办法时应提供的相关资料：</w:t>
            </w:r>
            <w:r>
              <w:rPr>
                <w:rFonts w:hint="eastAsia"/>
                <w:szCs w:val="21"/>
              </w:rPr>
              <w:t>供应商</w:t>
            </w:r>
            <w:r>
              <w:rPr>
                <w:szCs w:val="21"/>
              </w:rPr>
              <w:t>《中小企业声明函》或《残疾人福利性单位声明函》或《监狱企业证明》。</w:t>
            </w:r>
          </w:p>
          <w:p>
            <w:pPr>
              <w:pStyle w:val="436"/>
              <w:spacing w:line="300" w:lineRule="auto"/>
              <w:ind w:firstLine="420" w:firstLineChars="200"/>
              <w:rPr>
                <w:rFonts w:ascii="Times New Roman" w:hAnsi="Times New Roman"/>
                <w:szCs w:val="21"/>
              </w:rPr>
            </w:pPr>
            <w:r>
              <w:rPr>
                <w:rFonts w:hint="eastAsia" w:ascii="Times New Roman" w:hAnsi="Times New Roman"/>
                <w:szCs w:val="21"/>
              </w:rPr>
              <w:t>供应商</w:t>
            </w:r>
            <w:r>
              <w:rPr>
                <w:rFonts w:ascii="Times New Roman" w:hAnsi="Times New Roman"/>
                <w:szCs w:val="21"/>
              </w:rPr>
              <w:t>应提供以上材料，否则将不给予价格扣除。若所供应产品为进口产品的，不适用《政府采购促进中小企业发展暂行办法》。</w:t>
            </w:r>
          </w:p>
          <w:p>
            <w:pPr>
              <w:pStyle w:val="436"/>
              <w:spacing w:line="300" w:lineRule="auto"/>
              <w:ind w:firstLine="420" w:firstLineChars="20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198" w:name="_Toc19501"/>
      <w:r>
        <w:rPr>
          <w:rFonts w:eastAsia="黑体"/>
          <w:kern w:val="0"/>
          <w:sz w:val="32"/>
          <w:szCs w:val="32"/>
        </w:rPr>
        <w:t>第四章 合同条款</w:t>
      </w:r>
      <w:bookmarkEnd w:id="197"/>
      <w:bookmarkEnd w:id="198"/>
    </w:p>
    <w:p>
      <w:pPr>
        <w:jc w:val="center"/>
        <w:rPr>
          <w:sz w:val="24"/>
        </w:rPr>
      </w:pPr>
    </w:p>
    <w:p>
      <w:pPr>
        <w:jc w:val="center"/>
        <w:rPr>
          <w:sz w:val="24"/>
        </w:rPr>
      </w:pPr>
      <w:bookmarkStart w:id="199" w:name="_Toc15800"/>
      <w:r>
        <w:rPr>
          <w:sz w:val="24"/>
        </w:rPr>
        <w:t>（所提供为合同</w:t>
      </w:r>
      <w:r>
        <w:rPr>
          <w:rFonts w:hint="eastAsia"/>
          <w:sz w:val="24"/>
        </w:rPr>
        <w:t>条款格式</w:t>
      </w:r>
      <w:r>
        <w:rPr>
          <w:sz w:val="24"/>
        </w:rPr>
        <w:t>，</w:t>
      </w:r>
      <w:r>
        <w:rPr>
          <w:rFonts w:hint="eastAsia"/>
          <w:sz w:val="24"/>
        </w:rPr>
        <w:t>中标人与</w:t>
      </w:r>
      <w:r>
        <w:rPr>
          <w:sz w:val="24"/>
        </w:rPr>
        <w:t>采购人可根据项目实际情况进行编制</w:t>
      </w:r>
      <w:r>
        <w:rPr>
          <w:rFonts w:hint="eastAsia"/>
          <w:sz w:val="24"/>
          <w:lang w:eastAsia="zh-CN"/>
        </w:rPr>
        <w:t>，</w:t>
      </w:r>
      <w:r>
        <w:rPr>
          <w:rFonts w:hint="eastAsia"/>
          <w:sz w:val="24"/>
          <w:lang w:val="en-US" w:eastAsia="zh-CN"/>
        </w:rPr>
        <w:t>最终以签订版本为准</w:t>
      </w:r>
      <w:r>
        <w:rPr>
          <w:sz w:val="24"/>
        </w:rPr>
        <w:t>）</w:t>
      </w:r>
      <w:bookmarkEnd w:id="199"/>
    </w:p>
    <w:p>
      <w:pPr>
        <w:pStyle w:val="81"/>
        <w:snapToGrid w:val="0"/>
        <w:spacing w:after="120" w:afterLines="50"/>
        <w:jc w:val="center"/>
        <w:rPr>
          <w:rFonts w:ascii="宋体" w:hAnsi="宋体" w:cs="仿宋"/>
          <w:sz w:val="48"/>
          <w:szCs w:val="48"/>
        </w:rPr>
      </w:pPr>
      <w:r>
        <w:rPr>
          <w:rFonts w:ascii="Times New Roman" w:hAnsi="Times New Roman" w:cs="Times New Roman"/>
          <w:sz w:val="24"/>
          <w:szCs w:val="24"/>
        </w:rPr>
        <w:br w:type="page"/>
      </w:r>
    </w:p>
    <w:p>
      <w:pPr>
        <w:keepNext w:val="0"/>
        <w:keepLines w:val="0"/>
        <w:pageBreakBefore w:val="0"/>
        <w:widowControl w:val="0"/>
        <w:kinsoku/>
        <w:wordWrap/>
        <w:topLinePunct w:val="0"/>
        <w:autoSpaceDE/>
        <w:autoSpaceDN/>
        <w:bidi w:val="0"/>
        <w:adjustRightInd/>
        <w:spacing w:line="360" w:lineRule="auto"/>
        <w:textAlignment w:val="auto"/>
        <w:rPr>
          <w:rFonts w:ascii="宋体" w:hAnsi="宋体"/>
          <w:szCs w:val="24"/>
        </w:rPr>
      </w:pPr>
    </w:p>
    <w:p>
      <w:pPr>
        <w:keepNext w:val="0"/>
        <w:keepLines w:val="0"/>
        <w:pageBreakBefore w:val="0"/>
        <w:widowControl w:val="0"/>
        <w:kinsoku/>
        <w:wordWrap/>
        <w:topLinePunct w:val="0"/>
        <w:autoSpaceDE/>
        <w:autoSpaceDN/>
        <w:bidi w:val="0"/>
        <w:adjustRightInd/>
        <w:spacing w:before="273" w:line="360" w:lineRule="auto"/>
        <w:jc w:val="center"/>
        <w:textAlignment w:val="auto"/>
        <w:rPr>
          <w:rFonts w:ascii="宋体" w:hAnsi="宋体" w:cs="黑体"/>
          <w:sz w:val="84"/>
          <w:szCs w:val="84"/>
        </w:rPr>
      </w:pPr>
      <w:r>
        <w:rPr>
          <w:rFonts w:ascii="宋体" w:hAnsi="宋体" w:cs="黑体"/>
          <w:spacing w:val="-10"/>
          <w:sz w:val="84"/>
          <w:szCs w:val="84"/>
        </w:rPr>
        <w:t>合</w:t>
      </w:r>
      <w:r>
        <w:rPr>
          <w:rFonts w:ascii="宋体" w:hAnsi="宋体" w:cs="黑体"/>
          <w:spacing w:val="-6"/>
          <w:sz w:val="84"/>
          <w:szCs w:val="84"/>
        </w:rPr>
        <w:t>同范本</w:t>
      </w:r>
    </w:p>
    <w:p>
      <w:pPr>
        <w:keepNext w:val="0"/>
        <w:keepLines w:val="0"/>
        <w:pageBreakBefore w:val="0"/>
        <w:widowControl w:val="0"/>
        <w:kinsoku/>
        <w:wordWrap/>
        <w:topLinePunct w:val="0"/>
        <w:autoSpaceDE/>
        <w:autoSpaceDN/>
        <w:bidi w:val="0"/>
        <w:adjustRightInd/>
        <w:spacing w:line="360" w:lineRule="auto"/>
        <w:textAlignment w:val="auto"/>
        <w:rPr>
          <w:rFonts w:ascii="宋体" w:hAnsi="宋体"/>
          <w:szCs w:val="24"/>
        </w:rPr>
      </w:pPr>
    </w:p>
    <w:p>
      <w:pPr>
        <w:keepNext w:val="0"/>
        <w:keepLines w:val="0"/>
        <w:pageBreakBefore w:val="0"/>
        <w:widowControl w:val="0"/>
        <w:kinsoku/>
        <w:wordWrap/>
        <w:topLinePunct w:val="0"/>
        <w:autoSpaceDE/>
        <w:autoSpaceDN/>
        <w:bidi w:val="0"/>
        <w:adjustRightInd/>
        <w:spacing w:before="104" w:line="360" w:lineRule="auto"/>
        <w:ind w:left="1419"/>
        <w:textAlignment w:val="auto"/>
        <w:rPr>
          <w:rFonts w:ascii="宋体" w:hAnsi="宋体" w:cs="仿宋"/>
          <w:spacing w:val="-6"/>
          <w:sz w:val="32"/>
          <w:szCs w:val="32"/>
        </w:rPr>
      </w:pPr>
    </w:p>
    <w:p>
      <w:pPr>
        <w:keepNext w:val="0"/>
        <w:keepLines w:val="0"/>
        <w:pageBreakBefore w:val="0"/>
        <w:widowControl w:val="0"/>
        <w:kinsoku/>
        <w:wordWrap/>
        <w:topLinePunct w:val="0"/>
        <w:autoSpaceDE/>
        <w:autoSpaceDN/>
        <w:bidi w:val="0"/>
        <w:adjustRightInd/>
        <w:spacing w:before="104" w:line="360" w:lineRule="auto"/>
        <w:ind w:left="1419"/>
        <w:textAlignment w:val="auto"/>
        <w:rPr>
          <w:rFonts w:ascii="宋体" w:hAnsi="宋体" w:cs="仿宋"/>
          <w:sz w:val="32"/>
          <w:szCs w:val="32"/>
        </w:rPr>
      </w:pPr>
      <w:r>
        <w:rPr>
          <w:rFonts w:ascii="宋体" w:hAnsi="宋体" w:cs="仿宋"/>
          <w:spacing w:val="-6"/>
          <w:sz w:val="32"/>
          <w:szCs w:val="32"/>
        </w:rPr>
        <w:t>项</w:t>
      </w:r>
      <w:r>
        <w:rPr>
          <w:rFonts w:ascii="宋体" w:hAnsi="宋体" w:cs="仿宋"/>
          <w:spacing w:val="-3"/>
          <w:sz w:val="32"/>
          <w:szCs w:val="32"/>
        </w:rPr>
        <w:t>目名称:</w:t>
      </w:r>
    </w:p>
    <w:p>
      <w:pPr>
        <w:keepNext w:val="0"/>
        <w:keepLines w:val="0"/>
        <w:pageBreakBefore w:val="0"/>
        <w:widowControl w:val="0"/>
        <w:kinsoku/>
        <w:wordWrap/>
        <w:topLinePunct w:val="0"/>
        <w:autoSpaceDE/>
        <w:autoSpaceDN/>
        <w:bidi w:val="0"/>
        <w:adjustRightInd/>
        <w:spacing w:before="1" w:line="360" w:lineRule="auto"/>
        <w:ind w:left="1419"/>
        <w:textAlignment w:val="auto"/>
        <w:rPr>
          <w:rFonts w:ascii="宋体" w:hAnsi="宋体" w:cs="仿宋"/>
          <w:sz w:val="32"/>
          <w:szCs w:val="32"/>
        </w:rPr>
      </w:pPr>
      <w:r>
        <w:rPr>
          <w:rFonts w:ascii="宋体" w:hAnsi="宋体" w:cs="仿宋"/>
          <w:spacing w:val="-6"/>
          <w:sz w:val="32"/>
          <w:szCs w:val="32"/>
        </w:rPr>
        <w:t>项</w:t>
      </w:r>
      <w:r>
        <w:rPr>
          <w:rFonts w:ascii="宋体" w:hAnsi="宋体" w:cs="仿宋"/>
          <w:spacing w:val="-3"/>
          <w:sz w:val="32"/>
          <w:szCs w:val="32"/>
        </w:rPr>
        <w:t>目编号:</w:t>
      </w:r>
    </w:p>
    <w:p>
      <w:pPr>
        <w:keepNext w:val="0"/>
        <w:keepLines w:val="0"/>
        <w:pageBreakBefore w:val="0"/>
        <w:widowControl w:val="0"/>
        <w:kinsoku/>
        <w:wordWrap/>
        <w:topLinePunct w:val="0"/>
        <w:autoSpaceDE/>
        <w:autoSpaceDN/>
        <w:bidi w:val="0"/>
        <w:adjustRightInd/>
        <w:spacing w:before="241" w:line="360" w:lineRule="auto"/>
        <w:ind w:left="1426"/>
        <w:textAlignment w:val="auto"/>
        <w:rPr>
          <w:rFonts w:ascii="宋体" w:hAnsi="宋体" w:cs="仿宋"/>
          <w:sz w:val="32"/>
          <w:szCs w:val="32"/>
        </w:rPr>
      </w:pPr>
      <w:r>
        <w:rPr>
          <w:rFonts w:ascii="宋体" w:hAnsi="宋体" w:cs="仿宋"/>
          <w:spacing w:val="-5"/>
          <w:sz w:val="32"/>
          <w:szCs w:val="32"/>
        </w:rPr>
        <w:t>合同编号:</w:t>
      </w:r>
    </w:p>
    <w:p>
      <w:pPr>
        <w:keepNext w:val="0"/>
        <w:keepLines w:val="0"/>
        <w:pageBreakBefore w:val="0"/>
        <w:widowControl w:val="0"/>
        <w:kinsoku/>
        <w:wordWrap/>
        <w:topLinePunct w:val="0"/>
        <w:autoSpaceDE/>
        <w:autoSpaceDN/>
        <w:bidi w:val="0"/>
        <w:adjustRightInd/>
        <w:spacing w:line="360" w:lineRule="auto"/>
        <w:textAlignment w:val="auto"/>
        <w:rPr>
          <w:rFonts w:ascii="宋体" w:hAnsi="宋体"/>
          <w:szCs w:val="24"/>
        </w:rPr>
      </w:pPr>
    </w:p>
    <w:p>
      <w:pPr>
        <w:keepNext w:val="0"/>
        <w:keepLines w:val="0"/>
        <w:pageBreakBefore w:val="0"/>
        <w:widowControl w:val="0"/>
        <w:kinsoku/>
        <w:wordWrap/>
        <w:topLinePunct w:val="0"/>
        <w:autoSpaceDE/>
        <w:autoSpaceDN/>
        <w:bidi w:val="0"/>
        <w:adjustRightInd/>
        <w:spacing w:before="105" w:line="360" w:lineRule="auto"/>
        <w:ind w:left="1323"/>
        <w:textAlignment w:val="auto"/>
        <w:rPr>
          <w:rFonts w:ascii="宋体" w:hAnsi="宋体" w:cs="仿宋"/>
          <w:spacing w:val="-6"/>
          <w:sz w:val="32"/>
          <w:szCs w:val="32"/>
        </w:rPr>
      </w:pPr>
    </w:p>
    <w:p>
      <w:pPr>
        <w:keepNext w:val="0"/>
        <w:keepLines w:val="0"/>
        <w:pageBreakBefore w:val="0"/>
        <w:widowControl w:val="0"/>
        <w:kinsoku/>
        <w:wordWrap/>
        <w:topLinePunct w:val="0"/>
        <w:autoSpaceDE/>
        <w:autoSpaceDN/>
        <w:bidi w:val="0"/>
        <w:adjustRightInd/>
        <w:spacing w:before="105" w:line="360" w:lineRule="auto"/>
        <w:ind w:left="1323"/>
        <w:textAlignment w:val="auto"/>
        <w:rPr>
          <w:rFonts w:ascii="宋体" w:hAnsi="宋体" w:cs="仿宋"/>
          <w:spacing w:val="-6"/>
          <w:sz w:val="32"/>
          <w:szCs w:val="32"/>
        </w:rPr>
      </w:pPr>
    </w:p>
    <w:p>
      <w:pPr>
        <w:keepNext w:val="0"/>
        <w:keepLines w:val="0"/>
        <w:pageBreakBefore w:val="0"/>
        <w:widowControl w:val="0"/>
        <w:kinsoku/>
        <w:wordWrap/>
        <w:topLinePunct w:val="0"/>
        <w:autoSpaceDE/>
        <w:autoSpaceDN/>
        <w:bidi w:val="0"/>
        <w:adjustRightInd/>
        <w:spacing w:before="105" w:line="360" w:lineRule="auto"/>
        <w:ind w:left="1323"/>
        <w:textAlignment w:val="auto"/>
        <w:rPr>
          <w:rFonts w:ascii="宋体" w:hAnsi="宋体" w:cs="仿宋"/>
          <w:sz w:val="32"/>
          <w:szCs w:val="32"/>
        </w:rPr>
      </w:pPr>
      <w:r>
        <w:rPr>
          <w:rFonts w:ascii="宋体" w:hAnsi="宋体" w:cs="仿宋"/>
          <w:spacing w:val="-6"/>
          <w:sz w:val="32"/>
          <w:szCs w:val="32"/>
        </w:rPr>
        <w:t>采</w:t>
      </w:r>
      <w:r>
        <w:rPr>
          <w:rFonts w:ascii="宋体" w:hAnsi="宋体" w:cs="仿宋"/>
          <w:spacing w:val="-4"/>
          <w:sz w:val="32"/>
          <w:szCs w:val="32"/>
        </w:rPr>
        <w:t>购</w:t>
      </w:r>
      <w:r>
        <w:rPr>
          <w:rFonts w:ascii="宋体" w:hAnsi="宋体" w:cs="仿宋"/>
          <w:spacing w:val="-3"/>
          <w:sz w:val="32"/>
          <w:szCs w:val="32"/>
        </w:rPr>
        <w:t>单位:</w:t>
      </w:r>
    </w:p>
    <w:p>
      <w:pPr>
        <w:keepNext w:val="0"/>
        <w:keepLines w:val="0"/>
        <w:pageBreakBefore w:val="0"/>
        <w:widowControl w:val="0"/>
        <w:kinsoku/>
        <w:wordWrap/>
        <w:topLinePunct w:val="0"/>
        <w:autoSpaceDE/>
        <w:autoSpaceDN/>
        <w:bidi w:val="0"/>
        <w:adjustRightInd/>
        <w:spacing w:line="360" w:lineRule="auto"/>
        <w:ind w:left="1312"/>
        <w:textAlignment w:val="auto"/>
        <w:rPr>
          <w:rFonts w:ascii="宋体" w:hAnsi="宋体" w:cs="仿宋"/>
          <w:sz w:val="32"/>
          <w:szCs w:val="32"/>
        </w:rPr>
      </w:pPr>
      <w:r>
        <w:rPr>
          <w:rFonts w:ascii="宋体" w:hAnsi="宋体" w:cs="仿宋"/>
          <w:spacing w:val="-3"/>
          <w:sz w:val="32"/>
          <w:szCs w:val="32"/>
        </w:rPr>
        <w:t>供应商:</w:t>
      </w:r>
    </w:p>
    <w:p>
      <w:pPr>
        <w:keepNext w:val="0"/>
        <w:keepLines w:val="0"/>
        <w:pageBreakBefore w:val="0"/>
        <w:widowControl w:val="0"/>
        <w:kinsoku/>
        <w:wordWrap/>
        <w:topLinePunct w:val="0"/>
        <w:autoSpaceDE/>
        <w:autoSpaceDN/>
        <w:bidi w:val="0"/>
        <w:adjustRightInd/>
        <w:spacing w:before="244" w:line="360" w:lineRule="auto"/>
        <w:ind w:left="1313"/>
        <w:textAlignment w:val="auto"/>
        <w:rPr>
          <w:rFonts w:ascii="宋体" w:hAnsi="宋体" w:cs="仿宋"/>
          <w:sz w:val="32"/>
          <w:szCs w:val="32"/>
        </w:rPr>
      </w:pPr>
      <w:r>
        <w:rPr>
          <w:rFonts w:ascii="宋体" w:hAnsi="宋体" w:cs="仿宋"/>
          <w:spacing w:val="-5"/>
          <w:sz w:val="32"/>
          <w:szCs w:val="32"/>
        </w:rPr>
        <w:t>采</w:t>
      </w:r>
      <w:r>
        <w:rPr>
          <w:rFonts w:ascii="宋体" w:hAnsi="宋体" w:cs="仿宋"/>
          <w:spacing w:val="-4"/>
          <w:sz w:val="32"/>
          <w:szCs w:val="32"/>
        </w:rPr>
        <w:t>购机构：</w:t>
      </w:r>
    </w:p>
    <w:p>
      <w:pPr>
        <w:keepNext w:val="0"/>
        <w:keepLines w:val="0"/>
        <w:pageBreakBefore w:val="0"/>
        <w:widowControl w:val="0"/>
        <w:kinsoku/>
        <w:wordWrap/>
        <w:topLinePunct w:val="0"/>
        <w:autoSpaceDE/>
        <w:autoSpaceDN/>
        <w:bidi w:val="0"/>
        <w:adjustRightInd/>
        <w:spacing w:line="360" w:lineRule="auto"/>
        <w:textAlignment w:val="auto"/>
        <w:rPr>
          <w:rFonts w:ascii="宋体" w:hAnsi="宋体"/>
          <w:szCs w:val="24"/>
        </w:rPr>
      </w:pPr>
    </w:p>
    <w:p>
      <w:pPr>
        <w:keepNext w:val="0"/>
        <w:keepLines w:val="0"/>
        <w:pageBreakBefore w:val="0"/>
        <w:widowControl w:val="0"/>
        <w:kinsoku/>
        <w:wordWrap/>
        <w:topLinePunct w:val="0"/>
        <w:autoSpaceDE/>
        <w:autoSpaceDN/>
        <w:bidi w:val="0"/>
        <w:adjustRightInd/>
        <w:spacing w:before="88" w:line="360" w:lineRule="auto"/>
        <w:ind w:left="1332"/>
        <w:textAlignment w:val="auto"/>
        <w:rPr>
          <w:rFonts w:ascii="宋体" w:hAnsi="宋体" w:cs="仿宋"/>
          <w:spacing w:val="3"/>
          <w:sz w:val="27"/>
          <w:szCs w:val="27"/>
        </w:rPr>
      </w:pPr>
    </w:p>
    <w:p>
      <w:pPr>
        <w:keepNext w:val="0"/>
        <w:keepLines w:val="0"/>
        <w:pageBreakBefore w:val="0"/>
        <w:widowControl w:val="0"/>
        <w:kinsoku/>
        <w:wordWrap/>
        <w:topLinePunct w:val="0"/>
        <w:autoSpaceDE/>
        <w:autoSpaceDN/>
        <w:bidi w:val="0"/>
        <w:adjustRightInd/>
        <w:spacing w:before="105" w:line="360" w:lineRule="auto"/>
        <w:ind w:left="1323"/>
        <w:textAlignment w:val="auto"/>
        <w:rPr>
          <w:rFonts w:ascii="宋体" w:hAnsi="宋体" w:cs="仿宋"/>
          <w:spacing w:val="-6"/>
          <w:sz w:val="32"/>
          <w:szCs w:val="32"/>
        </w:rPr>
      </w:pPr>
    </w:p>
    <w:p>
      <w:pPr>
        <w:keepNext w:val="0"/>
        <w:keepLines w:val="0"/>
        <w:pageBreakBefore w:val="0"/>
        <w:widowControl w:val="0"/>
        <w:kinsoku/>
        <w:wordWrap/>
        <w:topLinePunct w:val="0"/>
        <w:autoSpaceDE/>
        <w:autoSpaceDN/>
        <w:bidi w:val="0"/>
        <w:adjustRightInd/>
        <w:spacing w:before="105" w:line="360" w:lineRule="auto"/>
        <w:ind w:left="1323"/>
        <w:textAlignment w:val="auto"/>
        <w:rPr>
          <w:rFonts w:ascii="宋体" w:hAnsi="宋体" w:cs="仿宋"/>
          <w:spacing w:val="-6"/>
          <w:sz w:val="32"/>
          <w:szCs w:val="32"/>
        </w:rPr>
      </w:pPr>
      <w:r>
        <w:rPr>
          <w:rFonts w:ascii="宋体" w:hAnsi="宋体" w:cs="仿宋"/>
          <w:spacing w:val="-6"/>
          <w:sz w:val="32"/>
          <w:szCs w:val="32"/>
        </w:rPr>
        <w:t>签订时间：</w:t>
      </w:r>
    </w:p>
    <w:p>
      <w:pPr>
        <w:keepNext w:val="0"/>
        <w:keepLines w:val="0"/>
        <w:pageBreakBefore w:val="0"/>
        <w:widowControl w:val="0"/>
        <w:kinsoku/>
        <w:wordWrap/>
        <w:topLinePunct w:val="0"/>
        <w:autoSpaceDE/>
        <w:autoSpaceDN/>
        <w:bidi w:val="0"/>
        <w:adjustRightInd/>
        <w:spacing w:before="105" w:line="360" w:lineRule="auto"/>
        <w:ind w:left="1323"/>
        <w:textAlignment w:val="auto"/>
        <w:rPr>
          <w:rFonts w:ascii="宋体" w:hAnsi="宋体" w:cs="仿宋"/>
          <w:spacing w:val="-6"/>
          <w:sz w:val="32"/>
          <w:szCs w:val="32"/>
        </w:rPr>
      </w:pPr>
      <w:r>
        <w:rPr>
          <w:rFonts w:ascii="宋体" w:hAnsi="宋体" w:cs="仿宋"/>
          <w:spacing w:val="-6"/>
          <w:sz w:val="32"/>
          <w:szCs w:val="32"/>
        </w:rPr>
        <w:t>签订地点：</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rPr>
          <w:rFonts w:hint="eastAsia" w:ascii="宋体" w:hAnsi="宋体"/>
          <w:sz w:val="24"/>
          <w:szCs w:val="24"/>
        </w:rPr>
      </w:pPr>
      <w:r>
        <w:rPr>
          <w:rFonts w:eastAsia="仿宋_GB2312"/>
          <w:sz w:val="32"/>
          <w:szCs w:val="32"/>
        </w:rPr>
        <w:br w:type="page"/>
      </w:r>
      <w:r>
        <w:rPr>
          <w:rFonts w:ascii="宋体" w:hAnsi="宋体"/>
          <w:sz w:val="24"/>
          <w:szCs w:val="24"/>
        </w:rPr>
        <w:t>甲方（采购</w:t>
      </w:r>
      <w:r>
        <w:rPr>
          <w:rFonts w:hint="eastAsia" w:ascii="宋体" w:hAnsi="宋体"/>
          <w:sz w:val="24"/>
          <w:szCs w:val="24"/>
        </w:rPr>
        <w:t>单位</w:t>
      </w:r>
      <w:r>
        <w:rPr>
          <w:rFonts w:ascii="宋体" w:hAnsi="宋体"/>
          <w:sz w:val="24"/>
          <w:szCs w:val="24"/>
        </w:rPr>
        <w:t>）：</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rPr>
          <w:rFonts w:ascii="宋体" w:hAnsi="宋体"/>
          <w:sz w:val="24"/>
          <w:szCs w:val="24"/>
        </w:rPr>
      </w:pPr>
      <w:r>
        <w:rPr>
          <w:rFonts w:ascii="宋体" w:hAnsi="宋体"/>
          <w:sz w:val="24"/>
          <w:szCs w:val="24"/>
        </w:rPr>
        <w:t>乙方（供应商）：</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rPr>
          <w:rFonts w:hint="eastAsia" w:ascii="宋体" w:hAnsi="宋体"/>
          <w:sz w:val="24"/>
          <w:szCs w:val="24"/>
        </w:rPr>
      </w:pPr>
    </w:p>
    <w:p>
      <w:pPr>
        <w:keepNext w:val="0"/>
        <w:keepLines w:val="0"/>
        <w:pageBreakBefore w:val="0"/>
        <w:widowControl w:val="0"/>
        <w:kinsoku/>
        <w:wordWrap/>
        <w:overflowPunct w:val="0"/>
        <w:topLinePunct w:val="0"/>
        <w:autoSpaceDE/>
        <w:autoSpaceDN/>
        <w:bidi w:val="0"/>
        <w:adjustRightInd/>
        <w:snapToGrid w:val="0"/>
        <w:spacing w:line="360" w:lineRule="auto"/>
        <w:ind w:firstLine="597" w:firstLineChars="249"/>
        <w:textAlignment w:val="auto"/>
        <w:rPr>
          <w:rFonts w:ascii="宋体" w:hAnsi="宋体"/>
          <w:sz w:val="24"/>
          <w:szCs w:val="24"/>
        </w:rPr>
      </w:pPr>
      <w:r>
        <w:rPr>
          <w:rFonts w:ascii="宋体" w:hAnsi="宋体"/>
          <w:sz w:val="24"/>
          <w:szCs w:val="24"/>
        </w:rPr>
        <w:t>甲乙双方根据</w:t>
      </w:r>
      <w:r>
        <w:rPr>
          <w:rFonts w:hint="eastAsia" w:ascii="宋体" w:hAnsi="宋体"/>
          <w:sz w:val="24"/>
          <w:szCs w:val="24"/>
        </w:rPr>
        <w:t>《中华人民共和国民法典》及</w:t>
      </w:r>
      <w:r>
        <w:rPr>
          <w:rFonts w:ascii="宋体" w:hAnsi="宋体"/>
          <w:sz w:val="24"/>
          <w:szCs w:val="24"/>
        </w:rPr>
        <w:t>政府采购</w:t>
      </w:r>
      <w:r>
        <w:rPr>
          <w:rFonts w:hint="eastAsia" w:ascii="宋体" w:hAnsi="宋体"/>
          <w:sz w:val="24"/>
          <w:szCs w:val="24"/>
        </w:rPr>
        <w:t>法</w:t>
      </w:r>
      <w:r>
        <w:rPr>
          <w:rFonts w:ascii="宋体" w:hAnsi="宋体"/>
          <w:sz w:val="24"/>
          <w:szCs w:val="24"/>
        </w:rPr>
        <w:t>的有关规定</w:t>
      </w:r>
      <w:r>
        <w:rPr>
          <w:rFonts w:hint="eastAsia" w:ascii="宋体" w:hAnsi="宋体"/>
          <w:sz w:val="24"/>
          <w:szCs w:val="24"/>
          <w:lang w:eastAsia="zh-CN"/>
        </w:rPr>
        <w:t>、</w:t>
      </w:r>
      <w:r>
        <w:rPr>
          <w:rFonts w:ascii="宋体" w:hAnsi="宋体"/>
          <w:sz w:val="24"/>
          <w:szCs w:val="24"/>
        </w:rPr>
        <w:t>中标通知书的要求，经双方友好协商，一致同意达成如下内容，特订立本合同，以便共同遵守。</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ascii="宋体" w:hAnsi="宋体"/>
          <w:b/>
          <w:sz w:val="24"/>
          <w:szCs w:val="24"/>
        </w:rPr>
      </w:pPr>
      <w:bookmarkStart w:id="200" w:name="_Toc27678"/>
      <w:r>
        <w:rPr>
          <w:rFonts w:ascii="宋体" w:hAnsi="宋体"/>
          <w:b/>
          <w:sz w:val="24"/>
          <w:szCs w:val="24"/>
        </w:rPr>
        <w:t>第一条：合同标的</w:t>
      </w:r>
      <w:bookmarkEnd w:id="200"/>
    </w:p>
    <w:p>
      <w:pPr>
        <w:keepNext w:val="0"/>
        <w:keepLines w:val="0"/>
        <w:pageBreakBefore w:val="0"/>
        <w:widowControl w:val="0"/>
        <w:kinsoku/>
        <w:wordWrap/>
        <w:overflowPunct w:val="0"/>
        <w:topLinePunct w:val="0"/>
        <w:autoSpaceDE/>
        <w:autoSpaceDN/>
        <w:bidi w:val="0"/>
        <w:adjustRightInd/>
        <w:snapToGrid w:val="0"/>
        <w:spacing w:line="360" w:lineRule="auto"/>
        <w:ind w:firstLine="470" w:firstLineChars="196"/>
        <w:textAlignment w:val="auto"/>
        <w:rPr>
          <w:rFonts w:ascii="宋体" w:hAnsi="宋体"/>
          <w:sz w:val="24"/>
          <w:szCs w:val="24"/>
        </w:rPr>
      </w:pPr>
      <w:r>
        <w:rPr>
          <w:rFonts w:hint="eastAsia" w:ascii="宋体" w:hAnsi="宋体"/>
          <w:sz w:val="24"/>
          <w:szCs w:val="24"/>
        </w:rPr>
        <w:t>1.1</w:t>
      </w:r>
      <w:r>
        <w:rPr>
          <w:rFonts w:ascii="宋体" w:hAnsi="宋体"/>
          <w:sz w:val="24"/>
          <w:szCs w:val="24"/>
        </w:rPr>
        <w:t>乙方根据甲方需求提供下列货物：</w:t>
      </w:r>
    </w:p>
    <w:tbl>
      <w:tblPr>
        <w:tblStyle w:val="40"/>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42"/>
        <w:gridCol w:w="1276"/>
        <w:gridCol w:w="709"/>
        <w:gridCol w:w="1276"/>
        <w:gridCol w:w="850"/>
        <w:gridCol w:w="850"/>
        <w:gridCol w:w="1418"/>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1" w:hRule="atLeast"/>
        </w:trPr>
        <w:tc>
          <w:tcPr>
            <w:tcW w:w="1242"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ascii="宋体" w:hAnsi="宋体"/>
                <w:sz w:val="24"/>
                <w:szCs w:val="24"/>
              </w:rPr>
              <w:t>货物名称</w:t>
            </w: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ascii="宋体" w:hAnsi="宋体"/>
                <w:sz w:val="24"/>
                <w:szCs w:val="24"/>
              </w:rPr>
              <w:t>规格型号</w:t>
            </w:r>
          </w:p>
        </w:tc>
        <w:tc>
          <w:tcPr>
            <w:tcW w:w="709" w:type="dxa"/>
            <w:noWrap w:val="0"/>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hint="eastAsia" w:ascii="宋体" w:hAnsi="宋体"/>
                <w:sz w:val="24"/>
                <w:szCs w:val="24"/>
              </w:rPr>
              <w:t>品牌</w:t>
            </w: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ascii="宋体" w:hAnsi="宋体"/>
                <w:sz w:val="24"/>
                <w:szCs w:val="24"/>
              </w:rPr>
              <w:t>单价（元）</w:t>
            </w:r>
          </w:p>
        </w:tc>
        <w:tc>
          <w:tcPr>
            <w:tcW w:w="850" w:type="dxa"/>
            <w:noWrap w:val="0"/>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hint="eastAsia" w:ascii="宋体" w:hAnsi="宋体"/>
                <w:sz w:val="24"/>
                <w:szCs w:val="24"/>
              </w:rPr>
              <w:t>单位</w:t>
            </w:r>
          </w:p>
        </w:tc>
        <w:tc>
          <w:tcPr>
            <w:tcW w:w="850"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ascii="宋体" w:hAnsi="宋体"/>
                <w:sz w:val="24"/>
                <w:szCs w:val="24"/>
              </w:rPr>
              <w:t>数量</w:t>
            </w:r>
          </w:p>
        </w:tc>
        <w:tc>
          <w:tcPr>
            <w:tcW w:w="1418"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ascii="宋体" w:hAnsi="宋体"/>
                <w:sz w:val="24"/>
                <w:szCs w:val="24"/>
              </w:rPr>
              <w:t>金额（元）</w:t>
            </w:r>
          </w:p>
        </w:tc>
        <w:tc>
          <w:tcPr>
            <w:tcW w:w="1134"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r>
              <w:rPr>
                <w:rFonts w:ascii="宋体" w:hAnsi="宋体"/>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1242"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709" w:type="dxa"/>
            <w:noWrap w:val="0"/>
            <w:vAlign w:val="top"/>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850" w:type="dxa"/>
            <w:noWrap w:val="0"/>
            <w:vAlign w:val="top"/>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850"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1418"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1134"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1242"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709" w:type="dxa"/>
            <w:noWrap w:val="0"/>
            <w:vAlign w:val="top"/>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850" w:type="dxa"/>
            <w:noWrap w:val="0"/>
            <w:vAlign w:val="top"/>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850"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1418"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1134"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42"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709" w:type="dxa"/>
            <w:noWrap w:val="0"/>
            <w:vAlign w:val="top"/>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1276"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850" w:type="dxa"/>
            <w:noWrap w:val="0"/>
            <w:vAlign w:val="top"/>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850"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c>
          <w:tcPr>
            <w:tcW w:w="1418"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ind w:firstLine="480"/>
              <w:jc w:val="center"/>
              <w:textAlignment w:val="auto"/>
              <w:rPr>
                <w:rFonts w:ascii="宋体" w:hAnsi="宋体"/>
                <w:sz w:val="24"/>
                <w:szCs w:val="24"/>
              </w:rPr>
            </w:pPr>
          </w:p>
        </w:tc>
        <w:tc>
          <w:tcPr>
            <w:tcW w:w="1134" w:type="dxa"/>
            <w:noWrap w:val="0"/>
            <w:tcMar>
              <w:top w:w="0" w:type="dxa"/>
              <w:left w:w="108" w:type="dxa"/>
              <w:bottom w:w="0" w:type="dxa"/>
              <w:right w:w="108" w:type="dxa"/>
            </w:tcMar>
            <w:vAlign w:val="center"/>
          </w:tcPr>
          <w:p>
            <w:pPr>
              <w:keepNext w:val="0"/>
              <w:keepLines w:val="0"/>
              <w:pageBreakBefore w:val="0"/>
              <w:widowControl w:val="0"/>
              <w:kinsoku/>
              <w:wordWrap/>
              <w:topLinePunct w:val="0"/>
              <w:autoSpaceDE/>
              <w:autoSpaceDN/>
              <w:bidi w:val="0"/>
              <w:adjustRightInd/>
              <w:snapToGrid w:val="0"/>
              <w:spacing w:line="360" w:lineRule="auto"/>
              <w:jc w:val="center"/>
              <w:textAlignment w:val="auto"/>
              <w:rPr>
                <w:rFonts w:ascii="宋体" w:hAnsi="宋体"/>
                <w:sz w:val="24"/>
                <w:szCs w:val="24"/>
              </w:rPr>
            </w:pPr>
          </w:p>
        </w:tc>
      </w:tr>
    </w:tbl>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ascii="宋体" w:hAnsi="宋体"/>
          <w:b/>
          <w:sz w:val="24"/>
          <w:szCs w:val="24"/>
        </w:rPr>
      </w:pPr>
      <w:bookmarkStart w:id="201" w:name="_Toc19443"/>
      <w:r>
        <w:rPr>
          <w:rFonts w:ascii="宋体" w:hAnsi="宋体"/>
          <w:b/>
          <w:sz w:val="24"/>
          <w:szCs w:val="24"/>
        </w:rPr>
        <w:t>第二条：合同价格</w:t>
      </w:r>
      <w:r>
        <w:rPr>
          <w:rFonts w:hint="eastAsia" w:ascii="宋体" w:hAnsi="宋体"/>
          <w:b/>
          <w:sz w:val="24"/>
          <w:szCs w:val="24"/>
        </w:rPr>
        <w:t>及交货</w:t>
      </w:r>
      <w:bookmarkEnd w:id="201"/>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ascii="宋体" w:hAnsi="宋体"/>
          <w:sz w:val="24"/>
          <w:szCs w:val="24"/>
        </w:rPr>
      </w:pPr>
      <w:r>
        <w:rPr>
          <w:rFonts w:hint="eastAsia" w:ascii="宋体" w:hAnsi="宋体"/>
          <w:sz w:val="24"/>
          <w:szCs w:val="24"/>
        </w:rPr>
        <w:t>2.</w:t>
      </w:r>
      <w:r>
        <w:rPr>
          <w:rFonts w:ascii="宋体" w:hAnsi="宋体"/>
          <w:sz w:val="24"/>
          <w:szCs w:val="24"/>
        </w:rPr>
        <w:t>1货物总价为人民币（大写）：</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元整。</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ascii="宋体" w:hAnsi="宋体"/>
          <w:sz w:val="24"/>
          <w:szCs w:val="24"/>
        </w:rPr>
      </w:pPr>
      <w:r>
        <w:rPr>
          <w:rFonts w:hint="eastAsia" w:ascii="宋体" w:hAnsi="宋体"/>
          <w:sz w:val="24"/>
          <w:szCs w:val="24"/>
        </w:rPr>
        <w:t>2.</w:t>
      </w:r>
      <w:r>
        <w:rPr>
          <w:rFonts w:ascii="宋体" w:hAnsi="宋体"/>
          <w:sz w:val="24"/>
          <w:szCs w:val="24"/>
        </w:rPr>
        <w:t>2总价中包括</w:t>
      </w:r>
      <w:r>
        <w:rPr>
          <w:rFonts w:hint="eastAsia" w:ascii="宋体" w:hAnsi="宋体"/>
          <w:sz w:val="24"/>
          <w:szCs w:val="24"/>
        </w:rPr>
        <w:t>货物金额、包装费、运输费、装卸费、保险、税金等及其它产生的相关所有费用</w:t>
      </w:r>
      <w:r>
        <w:rPr>
          <w:rFonts w:ascii="宋体" w:hAnsi="宋体"/>
          <w:sz w:val="24"/>
          <w:szCs w:val="24"/>
        </w:rPr>
        <w:t>。本合同价格一般不得做任何变更与调整。</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2.3交货时间、地点、方式</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2.3.1交货时间：乙方于________年____月____日将软件送到甲方指定地点。</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2.3.2交货地点：</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2.3.3交货方式：</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02" w:name="_Toc6738"/>
      <w:r>
        <w:rPr>
          <w:rFonts w:hint="eastAsia" w:ascii="宋体" w:hAnsi="宋体"/>
          <w:b/>
          <w:sz w:val="24"/>
          <w:szCs w:val="24"/>
        </w:rPr>
        <w:t>第三条：安装调试及培训</w:t>
      </w:r>
      <w:bookmarkEnd w:id="202"/>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3.1乙方交货后___日内，由乙方指派专业人员完成安装以及调试工作。</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3.2乙方应针对软件的特点对甲方人员在软件的性能、原理、操作要领、维修和保养等方面进行免费培训，并保证其熟悉软件的基本操作。培训地点在____，培训日程为___个工作日。</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3.3安装测试所需要的材料和测试样品等均由方负责提供。</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3.4期间涉及的交通费、膳食费、住宿费及其他一切费用均由方负责。</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ascii="宋体" w:hAnsi="宋体"/>
          <w:b/>
          <w:sz w:val="24"/>
          <w:szCs w:val="24"/>
        </w:rPr>
      </w:pPr>
      <w:bookmarkStart w:id="203" w:name="_Toc4131"/>
      <w:r>
        <w:rPr>
          <w:rFonts w:ascii="宋体" w:hAnsi="宋体"/>
          <w:b/>
          <w:sz w:val="24"/>
          <w:szCs w:val="24"/>
        </w:rPr>
        <w:t>第</w:t>
      </w:r>
      <w:r>
        <w:rPr>
          <w:rFonts w:hint="eastAsia" w:ascii="宋体" w:hAnsi="宋体"/>
          <w:b/>
          <w:sz w:val="24"/>
          <w:szCs w:val="24"/>
        </w:rPr>
        <w:t>四</w:t>
      </w:r>
      <w:r>
        <w:rPr>
          <w:rFonts w:ascii="宋体" w:hAnsi="宋体"/>
          <w:b/>
          <w:sz w:val="24"/>
          <w:szCs w:val="24"/>
        </w:rPr>
        <w:t>条：质量保证和售后服务</w:t>
      </w:r>
      <w:bookmarkEnd w:id="203"/>
    </w:p>
    <w:p>
      <w:pPr>
        <w:keepNext w:val="0"/>
        <w:keepLines w:val="0"/>
        <w:pageBreakBefore w:val="0"/>
        <w:widowControl w:val="0"/>
        <w:kinsoku/>
        <w:wordWrap/>
        <w:overflowPunct w:val="0"/>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4.1卖方应保证合同项下所供货物是全新的、未使用过的，是最新或目前的型号，除非合同另有规定，货物应含有设计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现行条件下正常使用可能产生的。</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hint="eastAsia" w:ascii="宋体" w:hAnsi="宋体"/>
          <w:sz w:val="24"/>
          <w:szCs w:val="24"/>
        </w:rPr>
      </w:pPr>
      <w:r>
        <w:rPr>
          <w:rFonts w:hint="eastAsia" w:ascii="宋体" w:hAnsi="宋体"/>
          <w:sz w:val="24"/>
          <w:szCs w:val="24"/>
        </w:rPr>
        <w:t>4.1.1双方约定的质量保修期为</w:t>
      </w:r>
      <w:r>
        <w:rPr>
          <w:rFonts w:hint="eastAsia" w:ascii="宋体" w:hAnsi="宋体"/>
          <w:sz w:val="24"/>
          <w:szCs w:val="24"/>
          <w:u w:val="single"/>
        </w:rPr>
        <w:t xml:space="preserve">        个</w:t>
      </w:r>
      <w:r>
        <w:rPr>
          <w:rFonts w:hint="eastAsia" w:ascii="宋体" w:hAnsi="宋体"/>
          <w:sz w:val="24"/>
          <w:szCs w:val="24"/>
        </w:rPr>
        <w:t>月，质量保修期自设备调试验收合格之日起计算。</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hint="eastAsia" w:ascii="宋体" w:hAnsi="宋体"/>
          <w:sz w:val="24"/>
          <w:szCs w:val="24"/>
        </w:rPr>
      </w:pPr>
      <w:r>
        <w:rPr>
          <w:rFonts w:hint="eastAsia" w:ascii="宋体" w:hAnsi="宋体"/>
          <w:sz w:val="24"/>
          <w:szCs w:val="24"/>
        </w:rPr>
        <w:t>4.1.2乙方在质量保修期内，按照有关法律、法规和双方约定，承担设备保修责任。</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hint="eastAsia" w:ascii="宋体" w:hAnsi="宋体"/>
          <w:sz w:val="24"/>
          <w:szCs w:val="24"/>
        </w:rPr>
      </w:pPr>
      <w:r>
        <w:rPr>
          <w:rFonts w:hint="eastAsia" w:ascii="宋体" w:hAnsi="宋体"/>
          <w:sz w:val="24"/>
          <w:szCs w:val="24"/>
        </w:rPr>
        <w:t>4.2本保证应在合同货物最终验收后的</w:t>
      </w:r>
      <w:r>
        <w:rPr>
          <w:rFonts w:hint="eastAsia" w:ascii="宋体" w:hAnsi="宋体"/>
          <w:sz w:val="24"/>
          <w:szCs w:val="24"/>
          <w:u w:val="single"/>
        </w:rPr>
        <w:t xml:space="preserve">       </w:t>
      </w:r>
      <w:r>
        <w:rPr>
          <w:rFonts w:hint="eastAsia" w:ascii="宋体" w:hAnsi="宋体"/>
          <w:sz w:val="24"/>
          <w:szCs w:val="24"/>
        </w:rPr>
        <w:t>个月内保持有效，或在最后一批合同货物到达交货地点后的</w:t>
      </w:r>
      <w:r>
        <w:rPr>
          <w:rFonts w:ascii="宋体" w:hAnsi="宋体"/>
          <w:sz w:val="24"/>
          <w:szCs w:val="24"/>
          <w:u w:val="single"/>
        </w:rPr>
        <w:t xml:space="preserve">       </w:t>
      </w:r>
      <w:r>
        <w:rPr>
          <w:rFonts w:hint="eastAsia" w:ascii="宋体" w:hAnsi="宋体"/>
          <w:sz w:val="24"/>
          <w:szCs w:val="24"/>
        </w:rPr>
        <w:t>个月内保持有效，以先发生的为准。</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hint="eastAsia" w:ascii="宋体" w:hAnsi="宋体"/>
          <w:sz w:val="24"/>
          <w:szCs w:val="24"/>
        </w:rPr>
      </w:pPr>
      <w:r>
        <w:rPr>
          <w:rFonts w:hint="eastAsia" w:ascii="宋体" w:hAnsi="宋体"/>
          <w:sz w:val="24"/>
          <w:szCs w:val="24"/>
        </w:rPr>
        <w:t>4.3买方应尽快以书面形式通知卖方保证期内所发现的缺陷。</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hint="eastAsia" w:ascii="宋体" w:hAnsi="宋体"/>
          <w:sz w:val="24"/>
          <w:szCs w:val="24"/>
        </w:rPr>
      </w:pPr>
      <w:r>
        <w:rPr>
          <w:rFonts w:hint="eastAsia" w:ascii="宋体" w:hAnsi="宋体"/>
          <w:sz w:val="24"/>
          <w:szCs w:val="24"/>
        </w:rPr>
        <w:t>4.4卖方收到通知后应在</w:t>
      </w:r>
      <w:r>
        <w:rPr>
          <w:rFonts w:hint="eastAsia" w:ascii="宋体" w:hAnsi="宋体"/>
          <w:sz w:val="24"/>
          <w:szCs w:val="24"/>
          <w:u w:val="single"/>
        </w:rPr>
        <w:t>（48）</w:t>
      </w:r>
      <w:r>
        <w:rPr>
          <w:rFonts w:hint="eastAsia" w:ascii="宋体" w:hAnsi="宋体"/>
          <w:sz w:val="24"/>
          <w:szCs w:val="24"/>
        </w:rPr>
        <w:t>小时内以合理的速度免费维修或更换有缺陷的货物或部件。</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hint="eastAsia" w:ascii="宋体" w:hAnsi="宋体"/>
          <w:sz w:val="24"/>
          <w:szCs w:val="24"/>
        </w:rPr>
      </w:pPr>
      <w:r>
        <w:rPr>
          <w:rFonts w:hint="eastAsia" w:ascii="宋体" w:hAnsi="宋体"/>
          <w:sz w:val="24"/>
          <w:szCs w:val="24"/>
        </w:rPr>
        <w:t>4.5如果卖方收到通知后在合同规定的时间内没有以合理的速度弥补缺陷，买方可采取必要的补救措施，但其风险和费用将由卖方承担，买方根据合同规定对卖方行使的其他权力不受影响。</w:t>
      </w:r>
    </w:p>
    <w:p>
      <w:pPr>
        <w:overflowPunct w:val="0"/>
        <w:spacing w:line="360" w:lineRule="auto"/>
        <w:ind w:firstLine="360" w:firstLineChars="150"/>
        <w:rPr>
          <w:rFonts w:hint="default" w:ascii="宋体" w:hAnsi="宋体"/>
          <w:sz w:val="24"/>
          <w:lang w:val="en-US" w:eastAsia="zh-CN"/>
        </w:rPr>
      </w:pPr>
      <w:r>
        <w:rPr>
          <w:rFonts w:hint="eastAsia" w:ascii="宋体" w:hAnsi="宋体"/>
          <w:sz w:val="24"/>
          <w:szCs w:val="24"/>
          <w:lang w:val="en-US" w:eastAsia="zh-CN"/>
        </w:rPr>
        <w:t>4.6</w:t>
      </w:r>
      <w:r>
        <w:rPr>
          <w:rFonts w:hint="eastAsia" w:ascii="宋体" w:hAnsi="宋体"/>
          <w:sz w:val="24"/>
          <w:lang w:val="en-US" w:eastAsia="zh-CN"/>
        </w:rPr>
        <w:t>乙方不履行合同义务、履行合同义务不符合约定或者违反合同项下所作保证的， 应向甲方承担继续履行、采取补救措施或者赔偿损失等违约责任。</w:t>
      </w:r>
    </w:p>
    <w:p>
      <w:pPr>
        <w:keepNext w:val="0"/>
        <w:keepLines w:val="0"/>
        <w:pageBreakBefore w:val="0"/>
        <w:widowControl w:val="0"/>
        <w:kinsoku/>
        <w:wordWrap/>
        <w:overflowPunct w:val="0"/>
        <w:topLinePunct w:val="0"/>
        <w:autoSpaceDE/>
        <w:autoSpaceDN/>
        <w:bidi w:val="0"/>
        <w:adjustRightInd/>
        <w:snapToGrid w:val="0"/>
        <w:spacing w:line="360" w:lineRule="auto"/>
        <w:ind w:firstLine="360" w:firstLineChars="150"/>
        <w:textAlignment w:val="auto"/>
        <w:rPr>
          <w:rFonts w:hint="default" w:ascii="宋体" w:hAnsi="宋体" w:eastAsia="宋体"/>
          <w:sz w:val="24"/>
          <w:szCs w:val="24"/>
          <w:lang w:val="en-US" w:eastAsia="zh-CN"/>
        </w:rPr>
      </w:pP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04" w:name="_Toc26568"/>
      <w:r>
        <w:rPr>
          <w:rFonts w:hint="eastAsia" w:ascii="宋体" w:hAnsi="宋体"/>
          <w:b/>
          <w:sz w:val="24"/>
          <w:szCs w:val="24"/>
        </w:rPr>
        <w:t>第五条：软件验收</w:t>
      </w:r>
      <w:bookmarkEnd w:id="204"/>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5.1验收时间：乙方完成安装及调试后___个工作日内，由甲方指定人员完成验收，并于验收合格后在验收单上进行签名。</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5.2验收标准：双方按照_____________________标准进行验收。</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5.3对软件质量进行验收，必须是甲方事先指定人员负责，否则验收无效。</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5.4甲方在验收中如发现软件的型号、规格、包装和质量等不符合本合同约定的，自软件验收完成后____日内向乙方提出书面异议。乙方在接到甲方书面异议后，应在____日内负责处理并通知甲方处理情况，否则，即视为乙方已接受甲方提出的异议和处理意见。</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05" w:name="_Toc1532"/>
      <w:r>
        <w:rPr>
          <w:rFonts w:hint="eastAsia" w:ascii="宋体" w:hAnsi="宋体"/>
          <w:b/>
          <w:sz w:val="24"/>
          <w:szCs w:val="24"/>
        </w:rPr>
        <w:t>第六条：退货与换货</w:t>
      </w:r>
      <w:bookmarkEnd w:id="205"/>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6.1甲方根据本合同第4条提出书面异议的，如果乙方在上述约定时间内未能按照甲方要求进行处理的，则甲方有权要求退货或换货，乙方在收到甲方的书面退换货通知后___日内完成退货或换货。</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6.2软件交付甲方使用后，若甲方在生产作业过程中发现软件确实存在以下问题的，甲方有权退还软件并且解除本合同，同时乙方须退还甲方的所付款项。存在的情况为：</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6.2.1软件不能正常安装的；</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6.2.2软件的使用会影响甲方操作系统的稳定或其他软件的正常使用的；</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6.2.3软件的实际使用功能不能达到乙方软件承诺的功能，而乙方不能在___个工作日内解决的。</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06" w:name="_Toc2724"/>
      <w:r>
        <w:rPr>
          <w:rFonts w:hint="eastAsia" w:ascii="宋体" w:hAnsi="宋体"/>
          <w:b/>
          <w:sz w:val="24"/>
          <w:szCs w:val="24"/>
        </w:rPr>
        <w:t>第七条：付款：</w:t>
      </w:r>
      <w:bookmarkEnd w:id="206"/>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7.1于本合同签署后，乙方开具发票给甲方，甲方收到发票且经核对无误后___个工作日内，甲方支付合同总价款的___%（即￥元，大写：___________）作为预付款。</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7.2甲方收到货物后，由甲方专业人员进行验收，经甲方验收合格后___个工作日内由甲方支付合同总价款的___%（即￥元，大写：_____________）</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7.3货款以转账的形式转入乙方于本合同中指定的账号。</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7.4甲方根据本合同条款提出退货或解除合同的，乙方应在收到甲方通知后___日内退还甲方全部已付款项。</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07" w:name="_Toc13008"/>
      <w:r>
        <w:rPr>
          <w:rFonts w:hint="eastAsia" w:ascii="宋体" w:hAnsi="宋体"/>
          <w:b/>
          <w:sz w:val="24"/>
          <w:szCs w:val="24"/>
        </w:rPr>
        <w:t>第八条：甲方的权利和义务</w:t>
      </w:r>
      <w:bookmarkEnd w:id="207"/>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8.1乙方保证其提供给甲方的软件产品享受厂方升级政策范围内的升级。</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8.2甲方拥有该套软件的使用权，并且享有使用该套软件所产生的全部信息资源和产生的社会及经济效益。</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8.3甲方需准备好安装软件的环境，乙方需对甲方准备工作进行协助、指导。</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08" w:name="_Toc23570"/>
      <w:r>
        <w:rPr>
          <w:rFonts w:hint="eastAsia" w:ascii="宋体" w:hAnsi="宋体"/>
          <w:b/>
          <w:sz w:val="24"/>
          <w:szCs w:val="24"/>
        </w:rPr>
        <w:t>第九条：乙方的权利</w:t>
      </w:r>
      <w:r>
        <w:rPr>
          <w:rFonts w:hint="eastAsia" w:ascii="宋体" w:hAnsi="宋体"/>
          <w:b/>
          <w:sz w:val="24"/>
          <w:szCs w:val="24"/>
          <w:lang w:val="en-US" w:eastAsia="zh-CN"/>
        </w:rPr>
        <w:t>和</w:t>
      </w:r>
      <w:r>
        <w:rPr>
          <w:rFonts w:hint="eastAsia" w:ascii="宋体" w:hAnsi="宋体"/>
          <w:b/>
          <w:sz w:val="24"/>
          <w:szCs w:val="24"/>
        </w:rPr>
        <w:t>义务</w:t>
      </w:r>
      <w:bookmarkEnd w:id="208"/>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9.1乙方必须保证本合同所述软件是乙方目前的最新版本。</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9.2乙方负责以电子文件方式向甲方提供全部功能的图库样例。</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9.3如甲方以后有需要对软件进行改动的，乙方应在一定范围内提供支持，该范围及改动费用由甲乙双方另行协商确定。</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9.4乙方保证其软件系统不带有定期的密码输入。</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9.5乙方的软件不可隐含任何恶意功能，包括但不限于病毒、蠕虫和特洛伊木马等程序，也不可以于未经甲方及其相关联公司授权下透过软件收集和扩散任何甲方及其相关联公司之数据各信息。</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9.6需要时，乙方交付相关的部分源代码作检测，交付的源代码由甲方随机抽取。</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09" w:name="_Toc28266"/>
      <w:r>
        <w:rPr>
          <w:rFonts w:hint="eastAsia" w:ascii="宋体" w:hAnsi="宋体"/>
          <w:b/>
          <w:sz w:val="24"/>
          <w:szCs w:val="24"/>
        </w:rPr>
        <w:t>第十条：保证条款</w:t>
      </w:r>
      <w:bookmarkEnd w:id="209"/>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10.1乙方保证交付甲方的软件来源合法，并且对交付的软件拥有出售转让的合法权利。</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10.2乙方保证提供给甲方的软件不侵犯任何第三方的合法权益，包括但不限于商标权、专利权或商业秘密等。如出现第三方对甲方使用或销售本合同软件提出所有权异议、索赔等情况的，甲方有权拒绝并立即通知乙方，由乙方自行处理由此导致的问题，并且乙方应在自行承担相关费用的情况下按照甲方之要求采取必要的补救措施确保甲方的损失降至最低。</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10.3本合同所述软件若是须通过国家相关认证的，乙方须保证向甲方提供的软件已办理合法的手续和通过相关的许可，并且向甲方提供相应的有效证明。</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10.4如乙方出现不履行义务、迟延履行义务或其他瑕疵履行的，因此而产生的费用和导致甲方损失的责任均由乙方承担。</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10" w:name="_Toc29368"/>
      <w:r>
        <w:rPr>
          <w:rFonts w:hint="eastAsia" w:ascii="宋体" w:hAnsi="宋体"/>
          <w:b/>
          <w:sz w:val="24"/>
          <w:szCs w:val="24"/>
        </w:rPr>
        <w:t>第十一条：保修</w:t>
      </w:r>
      <w:bookmarkEnd w:id="210"/>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11.1保修期</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保修期为____个月，自验收合格日起至_______年____月____日止。</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11.2保修标准：乙方承诺为甲方提供的保修服务不低于如下之要求：厂商保修标准；甲乙双方约定要求；其他要求。</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11.3同时乙方承诺遵循如下保修服务约定：</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11.3.1保修方式：保修期内，乙方免费更换损坏零件（不包括人为损坏及损耗性零件）和免费派技术人员上门保修。保修期内，乙方在收到甲方要求保修的通知后___小时内到达甲方进行保修，并且须按时按质完成保修工作。保修期间生产的一切费用均由乙方承担，包括但不限于材料费、人工费、差旅费等。</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11.3.2保修责任：若乙方不能按时按质完成约定之保修的，则甲方有权选择如下任何一种处理方式：</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a、要求乙方继续履行保修义务，且甲方有权要求乙方每延迟一天按照合同总价款___%的标准支付违约金。若因此造成甲方损失的，乙方还须承担赔偿责任。</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b、甲方有权视情况而定要求乙方支付本合同总价___款%至___%不等的数额作为违约金，同时，甲方可另找其他厂家维修，维修费等相关费用均由乙方承担。</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11" w:name="_Toc17083"/>
      <w:r>
        <w:rPr>
          <w:rFonts w:hint="eastAsia" w:ascii="宋体" w:hAnsi="宋体"/>
          <w:b/>
          <w:sz w:val="24"/>
          <w:szCs w:val="24"/>
        </w:rPr>
        <w:t>第十二条：不可抗力</w:t>
      </w:r>
      <w:bookmarkEnd w:id="211"/>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12.1不可抗力包括影响合同义务的执行的严重火灾、水灾、台风、地震、罢工等。</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12.2不可抗力事故受到影响的一方应在____个工作日内通知对方，并出具相关证明。当不可抗力事故消除后，受到影响的一方应尽快书面通知另一方。</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12.3由于不可抗力事故而影响合同履行的，但不影响合同目的实现的，可延迟履行合同期限，延迟时间相当于事故所影响的时间。</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12" w:name="_Toc20256"/>
      <w:r>
        <w:rPr>
          <w:rFonts w:hint="eastAsia" w:ascii="宋体" w:hAnsi="宋体"/>
          <w:b/>
          <w:sz w:val="24"/>
          <w:szCs w:val="24"/>
        </w:rPr>
        <w:t>第十三条：违约责任</w:t>
      </w:r>
      <w:bookmarkEnd w:id="212"/>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13.1若乙方不能按时交货，甲方有权选择如下任何一种处理方式：</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13.1.1甲方有权要求乙方每延迟一天按照合同总价款___%的标准支付违约金。如果逾期天，甲方有权实时解除本合同，自解除通知书送达乙方后即发生效力。</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13.1.2甲方有权让步接受逾期软件，并视情况而定要求乙方支付本合同总价款___%至___%不等的数额作为违约金。</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13.2如甲方按照本合同第1条要求更换软件的，甲方有权视情况而定要求乙方支付本合同总价款___%至___%不等的数额作为违约金。若乙方在收到甲方换货通知后未按时履行交货义务的或者更换后的软件质量仍不符合本合同要求的，甲方有权实时解除本合同，自解除通知书送达乙方后即发生效力，并且乙方须另行向甲方支付本合同总价款的___%作为违约金。如该违约金不足以弥补甲方实际损失的，乙方还应按甲方实际损失赔偿。</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13.3如甲方按照本合同第5条要求退货并要求解除合同的，甲方有权解除本合同且乙方应返还甲方该软件已付货款，同时乙方须支付本合同总价款的___%作为违约金给甲方。如该违约金不足以弥补甲方实际损失的，乙方还应按甲方实际损失赔偿。</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13.4若乙方未能在约定期限内完成有关安装或培训的，甲方有权要求乙方每延迟一天按照合同总价款___%的标准支付违约金。</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13.5除了本合同违约条款约定的违约责任外，如乙方原因导致甲方遭受其他损失的，乙方还须承担相应赔偿责任（包括但不限于实际损失、可得利益损失、为追究乙方责任所支付的费用等）。</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13" w:name="_Toc15124"/>
      <w:r>
        <w:rPr>
          <w:rFonts w:hint="eastAsia" w:ascii="宋体" w:hAnsi="宋体"/>
          <w:b/>
          <w:sz w:val="24"/>
          <w:szCs w:val="24"/>
        </w:rPr>
        <w:t>第十四条：适用法律及争议解决</w:t>
      </w:r>
      <w:bookmarkEnd w:id="213"/>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本合同受中华人民共和国法律管辖并依其进行解释。本合同在执行中发生争议时，由双方友好协商解决，如协商未果，则提交______________人民法院诉讼解决。</w:t>
      </w:r>
    </w:p>
    <w:p>
      <w:pPr>
        <w:keepNext w:val="0"/>
        <w:keepLines w:val="0"/>
        <w:pageBreakBefore w:val="0"/>
        <w:widowControl w:val="0"/>
        <w:kinsoku/>
        <w:wordWrap/>
        <w:overflowPunct w:val="0"/>
        <w:topLinePunct w:val="0"/>
        <w:autoSpaceDE/>
        <w:autoSpaceDN/>
        <w:bidi w:val="0"/>
        <w:adjustRightInd/>
        <w:snapToGrid w:val="0"/>
        <w:spacing w:line="360" w:lineRule="auto"/>
        <w:textAlignment w:val="auto"/>
        <w:outlineLvl w:val="0"/>
        <w:rPr>
          <w:rFonts w:hint="eastAsia" w:ascii="宋体" w:hAnsi="宋体"/>
          <w:b/>
          <w:sz w:val="24"/>
          <w:szCs w:val="24"/>
        </w:rPr>
      </w:pPr>
      <w:bookmarkStart w:id="214" w:name="_Toc28798"/>
      <w:r>
        <w:rPr>
          <w:rFonts w:hint="eastAsia" w:ascii="宋体" w:hAnsi="宋体"/>
          <w:b/>
          <w:sz w:val="24"/>
          <w:szCs w:val="24"/>
        </w:rPr>
        <w:t>第十五条：其他</w:t>
      </w:r>
      <w:bookmarkEnd w:id="214"/>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15.1乙方应向甲方提供加盖乙方公章的工商营业执照复印件、税务登记表复印件、银行账号资料复印件，以供甲方备案。</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15.2乙方必须对本合同履行过程中知悉的甲方的商业秘密负保密义务，不得向任何第三方透露。否则，乙方应赔偿甲方因此造成的经济损失，包括但不限于实际损失、可得利益损失及为此支付的律师代理费用等。</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15.3乙方到甲方公司或指定地点工作的人员必须具备相应的资质，并遵守甲方有关外来人员管理的规定。</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15.4乙方人员在甲方公司提供服务过程中，非因甲方原因造成乙方的人员伤亡或财产损失等均由乙方自行承担。如因此造成甲方遭受追索的，乙方应承担甲方为此支付的费用及损失。</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15.5任何一方在未征得对方书面同意，不得将本合同的权利或义务转让给第三方。</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15.6本合同附件为本合同不可分割的组成部分，与合同正文具有同等法律效力。</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15.7本合同一式两份，甲乙双方各执一份，自双方签字盖章之日起生效。</w:t>
      </w:r>
    </w:p>
    <w:p>
      <w:pPr>
        <w:keepNext w:val="0"/>
        <w:keepLines w:val="0"/>
        <w:pageBreakBefore w:val="0"/>
        <w:widowControl w:val="0"/>
        <w:kinsoku/>
        <w:wordWrap/>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甲乙双方签字盖公章：</w:t>
      </w:r>
    </w:p>
    <w:p>
      <w:pPr>
        <w:rPr>
          <w:rFonts w:hint="eastAsia" w:ascii="宋体" w:hAnsi="宋体"/>
          <w:sz w:val="24"/>
          <w:szCs w:val="24"/>
        </w:rPr>
      </w:pPr>
      <w:r>
        <w:rPr>
          <w:rFonts w:hint="eastAsia" w:ascii="宋体" w:hAnsi="宋体"/>
          <w:sz w:val="24"/>
          <w:szCs w:val="24"/>
        </w:rPr>
        <w:br w:type="page"/>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甲方：</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联系人：</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 xml:space="preserve">地址： </w:t>
      </w:r>
      <w:r>
        <w:rPr>
          <w:rFonts w:ascii="宋体" w:hAnsi="宋体" w:cs="宋体"/>
          <w:color w:val="000000"/>
          <w:sz w:val="24"/>
          <w:szCs w:val="24"/>
        </w:rPr>
        <w:t xml:space="preserve">                                     </w:t>
      </w:r>
      <w:r>
        <w:rPr>
          <w:rFonts w:hint="eastAsia" w:ascii="宋体" w:hAnsi="宋体" w:cs="宋体"/>
          <w:color w:val="000000"/>
          <w:sz w:val="24"/>
          <w:szCs w:val="24"/>
        </w:rPr>
        <w:t>邮编：</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 xml:space="preserve">电话： </w:t>
      </w:r>
      <w:r>
        <w:rPr>
          <w:rFonts w:ascii="宋体" w:hAnsi="宋体" w:cs="宋体"/>
          <w:color w:val="000000"/>
          <w:sz w:val="24"/>
          <w:szCs w:val="24"/>
        </w:rPr>
        <w:t xml:space="preserve">                                     </w:t>
      </w:r>
      <w:r>
        <w:rPr>
          <w:rFonts w:hint="eastAsia" w:ascii="宋体" w:hAnsi="宋体" w:cs="宋体"/>
          <w:color w:val="000000"/>
          <w:sz w:val="24"/>
          <w:szCs w:val="24"/>
        </w:rPr>
        <w:t>传真：</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开户银行及帐号：</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olor w:val="000000"/>
          <w:sz w:val="24"/>
          <w:szCs w:val="24"/>
        </w:rPr>
      </w:pPr>
      <w:r>
        <w:rPr>
          <w:rFonts w:hint="eastAsia" w:ascii="宋体" w:hAnsi="宋体" w:cs="宋体"/>
          <w:color w:val="000000"/>
          <w:sz w:val="24"/>
          <w:szCs w:val="24"/>
        </w:rPr>
        <w:t>法人</w:t>
      </w:r>
      <w:r>
        <w:rPr>
          <w:rFonts w:ascii="宋体" w:hAnsi="宋体" w:cs="宋体"/>
          <w:color w:val="000000"/>
          <w:sz w:val="24"/>
          <w:szCs w:val="24"/>
        </w:rPr>
        <w:t>或授权代表</w:t>
      </w:r>
      <w:r>
        <w:rPr>
          <w:rFonts w:hint="eastAsia" w:ascii="宋体" w:hAnsi="宋体" w:cs="宋体"/>
          <w:color w:val="000000"/>
          <w:sz w:val="24"/>
          <w:szCs w:val="24"/>
        </w:rPr>
        <w:t>：</w:t>
      </w:r>
      <w:r>
        <w:rPr>
          <w:rFonts w:hint="eastAsia" w:ascii="宋体" w:hAnsi="宋体" w:cs="宋体"/>
          <w:color w:val="000000"/>
          <w:sz w:val="24"/>
          <w:szCs w:val="24"/>
          <w:u w:val="single"/>
        </w:rPr>
        <w:t>（签名）</w:t>
      </w:r>
    </w:p>
    <w:p>
      <w:pPr>
        <w:keepNext w:val="0"/>
        <w:keepLines w:val="0"/>
        <w:pageBreakBefore w:val="0"/>
        <w:widowControl w:val="0"/>
        <w:kinsoku/>
        <w:wordWrap/>
        <w:topLinePunct w:val="0"/>
        <w:autoSpaceDE/>
        <w:autoSpaceDN/>
        <w:bidi w:val="0"/>
        <w:adjustRightInd/>
        <w:snapToGrid w:val="0"/>
        <w:spacing w:line="360" w:lineRule="auto"/>
        <w:ind w:right="480" w:firstLine="4800" w:firstLineChars="2000"/>
        <w:textAlignment w:val="auto"/>
        <w:rPr>
          <w:rFonts w:ascii="宋体"/>
          <w:color w:val="000000"/>
          <w:sz w:val="24"/>
          <w:szCs w:val="24"/>
        </w:rPr>
      </w:pPr>
    </w:p>
    <w:p>
      <w:pPr>
        <w:keepNext w:val="0"/>
        <w:keepLines w:val="0"/>
        <w:pageBreakBefore w:val="0"/>
        <w:widowControl w:val="0"/>
        <w:kinsoku/>
        <w:wordWrap/>
        <w:topLinePunct w:val="0"/>
        <w:autoSpaceDE/>
        <w:autoSpaceDN/>
        <w:bidi w:val="0"/>
        <w:adjustRightInd/>
        <w:snapToGrid w:val="0"/>
        <w:spacing w:line="360" w:lineRule="auto"/>
        <w:ind w:right="480" w:firstLine="5760" w:firstLineChars="2400"/>
        <w:textAlignment w:val="auto"/>
        <w:rPr>
          <w:rFonts w:ascii="宋体" w:cs="宋体"/>
          <w:color w:val="000000"/>
          <w:sz w:val="24"/>
          <w:szCs w:val="24"/>
        </w:rPr>
      </w:pP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rPr>
        <w:t>月</w:t>
      </w:r>
      <w:r>
        <w:rPr>
          <w:rFonts w:ascii="宋体" w:hAnsi="宋体" w:cs="宋体"/>
          <w:color w:val="000000"/>
          <w:sz w:val="24"/>
          <w:szCs w:val="24"/>
        </w:rPr>
        <w:t xml:space="preserve">  </w:t>
      </w:r>
      <w:r>
        <w:rPr>
          <w:rFonts w:hint="eastAsia" w:ascii="宋体" w:hAnsi="宋体" w:cs="宋体"/>
          <w:color w:val="000000"/>
          <w:sz w:val="24"/>
          <w:szCs w:val="24"/>
        </w:rPr>
        <w:t>日</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乙方：</w:t>
      </w:r>
      <w:r>
        <w:rPr>
          <w:rFonts w:ascii="宋体" w:cs="宋体"/>
          <w:color w:val="000000"/>
          <w:sz w:val="24"/>
          <w:szCs w:val="24"/>
        </w:rPr>
        <w:tab/>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联系人：</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 xml:space="preserve">地址： </w:t>
      </w:r>
      <w:r>
        <w:rPr>
          <w:rFonts w:ascii="宋体" w:hAnsi="宋体" w:cs="宋体"/>
          <w:color w:val="000000"/>
          <w:sz w:val="24"/>
          <w:szCs w:val="24"/>
        </w:rPr>
        <w:t xml:space="preserve">                                     </w:t>
      </w:r>
      <w:r>
        <w:rPr>
          <w:rFonts w:hint="eastAsia" w:ascii="宋体" w:hAnsi="宋体" w:cs="宋体"/>
          <w:color w:val="000000"/>
          <w:sz w:val="24"/>
          <w:szCs w:val="24"/>
        </w:rPr>
        <w:t>邮编：</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 xml:space="preserve">电话： </w:t>
      </w:r>
      <w:r>
        <w:rPr>
          <w:rFonts w:ascii="宋体" w:hAnsi="宋体" w:cs="宋体"/>
          <w:color w:val="000000"/>
          <w:sz w:val="24"/>
          <w:szCs w:val="24"/>
        </w:rPr>
        <w:t xml:space="preserve">                                     </w:t>
      </w:r>
      <w:r>
        <w:rPr>
          <w:rFonts w:hint="eastAsia" w:ascii="宋体" w:hAnsi="宋体" w:cs="宋体"/>
          <w:color w:val="000000"/>
          <w:sz w:val="24"/>
          <w:szCs w:val="24"/>
        </w:rPr>
        <w:t>传真：</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s="宋体"/>
          <w:color w:val="000000"/>
          <w:sz w:val="24"/>
          <w:szCs w:val="24"/>
        </w:rPr>
      </w:pPr>
      <w:r>
        <w:rPr>
          <w:rFonts w:hint="eastAsia" w:ascii="宋体" w:hAnsi="宋体" w:cs="宋体"/>
          <w:color w:val="000000"/>
          <w:sz w:val="24"/>
          <w:szCs w:val="24"/>
        </w:rPr>
        <w:t>开户银行及帐号：</w:t>
      </w:r>
    </w:p>
    <w:p>
      <w:pPr>
        <w:keepNext w:val="0"/>
        <w:keepLines w:val="0"/>
        <w:pageBreakBefore w:val="0"/>
        <w:widowControl w:val="0"/>
        <w:kinsoku/>
        <w:wordWrap/>
        <w:topLinePunct w:val="0"/>
        <w:autoSpaceDE/>
        <w:autoSpaceDN/>
        <w:bidi w:val="0"/>
        <w:adjustRightInd/>
        <w:snapToGrid w:val="0"/>
        <w:spacing w:line="360" w:lineRule="auto"/>
        <w:textAlignment w:val="auto"/>
        <w:rPr>
          <w:rFonts w:ascii="宋体"/>
          <w:color w:val="000000"/>
          <w:sz w:val="24"/>
          <w:szCs w:val="24"/>
        </w:rPr>
      </w:pPr>
      <w:r>
        <w:rPr>
          <w:rFonts w:hint="eastAsia" w:ascii="宋体" w:hAnsi="宋体" w:cs="宋体"/>
          <w:color w:val="000000"/>
          <w:sz w:val="24"/>
          <w:szCs w:val="24"/>
        </w:rPr>
        <w:t>法人</w:t>
      </w:r>
      <w:r>
        <w:rPr>
          <w:rFonts w:ascii="宋体" w:hAnsi="宋体" w:cs="宋体"/>
          <w:color w:val="000000"/>
          <w:sz w:val="24"/>
          <w:szCs w:val="24"/>
        </w:rPr>
        <w:t>或授权代表</w:t>
      </w:r>
      <w:r>
        <w:rPr>
          <w:rFonts w:hint="eastAsia" w:ascii="宋体" w:hAnsi="宋体" w:cs="宋体"/>
          <w:color w:val="000000"/>
          <w:sz w:val="24"/>
          <w:szCs w:val="24"/>
        </w:rPr>
        <w:t>：</w:t>
      </w:r>
      <w:r>
        <w:rPr>
          <w:rFonts w:hint="eastAsia" w:ascii="宋体" w:hAnsi="宋体" w:cs="宋体"/>
          <w:color w:val="000000"/>
          <w:sz w:val="24"/>
          <w:szCs w:val="24"/>
          <w:u w:val="single"/>
        </w:rPr>
        <w:t>（签名）</w:t>
      </w:r>
    </w:p>
    <w:p>
      <w:pPr>
        <w:keepNext w:val="0"/>
        <w:keepLines w:val="0"/>
        <w:pageBreakBefore w:val="0"/>
        <w:widowControl w:val="0"/>
        <w:kinsoku/>
        <w:wordWrap/>
        <w:topLinePunct w:val="0"/>
        <w:autoSpaceDE/>
        <w:autoSpaceDN/>
        <w:bidi w:val="0"/>
        <w:adjustRightInd/>
        <w:snapToGrid w:val="0"/>
        <w:spacing w:line="360" w:lineRule="auto"/>
        <w:ind w:right="480" w:firstLine="4800" w:firstLineChars="2000"/>
        <w:textAlignment w:val="auto"/>
        <w:rPr>
          <w:rFonts w:ascii="宋体"/>
          <w:color w:val="000000"/>
          <w:sz w:val="24"/>
          <w:szCs w:val="24"/>
        </w:rPr>
      </w:pPr>
    </w:p>
    <w:p>
      <w:pPr>
        <w:keepNext w:val="0"/>
        <w:keepLines w:val="0"/>
        <w:pageBreakBefore w:val="0"/>
        <w:widowControl w:val="0"/>
        <w:kinsoku/>
        <w:wordWrap/>
        <w:topLinePunct w:val="0"/>
        <w:autoSpaceDE/>
        <w:autoSpaceDN/>
        <w:bidi w:val="0"/>
        <w:adjustRightInd/>
        <w:snapToGrid w:val="0"/>
        <w:spacing w:line="360" w:lineRule="auto"/>
        <w:ind w:right="480" w:firstLine="5760" w:firstLineChars="2400"/>
        <w:textAlignment w:val="auto"/>
        <w:rPr>
          <w:rFonts w:ascii="Times New Roman" w:hAnsi="Times New Roman" w:cs="Times New Roman"/>
          <w:sz w:val="24"/>
          <w:szCs w:val="24"/>
        </w:rPr>
      </w:pP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rPr>
        <w:t>月</w:t>
      </w:r>
      <w:r>
        <w:rPr>
          <w:rFonts w:ascii="宋体" w:hAnsi="宋体" w:cs="宋体"/>
          <w:color w:val="000000"/>
          <w:sz w:val="24"/>
          <w:szCs w:val="24"/>
        </w:rPr>
        <w:t xml:space="preserve">  </w:t>
      </w:r>
      <w:r>
        <w:rPr>
          <w:rFonts w:hint="eastAsia" w:ascii="宋体" w:hAnsi="宋体" w:cs="宋体"/>
          <w:color w:val="000000"/>
          <w:sz w:val="24"/>
          <w:szCs w:val="24"/>
        </w:rPr>
        <w:t>日</w:t>
      </w:r>
    </w:p>
    <w:p>
      <w:pPr>
        <w:widowControl/>
        <w:jc w:val="left"/>
        <w:rPr>
          <w:sz w:val="24"/>
        </w:rPr>
        <w:sectPr>
          <w:headerReference r:id="rId6" w:type="default"/>
          <w:footerReference r:id="rId7"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15" w:name="_Toc7774"/>
      <w:bookmarkStart w:id="216" w:name="_Toc12898"/>
      <w:bookmarkStart w:id="217" w:name="_Toc5432"/>
      <w:r>
        <w:rPr>
          <w:rFonts w:eastAsia="黑体"/>
          <w:kern w:val="0"/>
          <w:sz w:val="32"/>
          <w:szCs w:val="32"/>
        </w:rPr>
        <w:t>第五章 采购需求</w:t>
      </w:r>
      <w:bookmarkEnd w:id="215"/>
      <w:bookmarkEnd w:id="216"/>
      <w:bookmarkEnd w:id="21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bookmarkStart w:id="218" w:name="_Toc1195"/>
      <w:bookmarkStart w:id="219" w:name="_Toc10452"/>
      <w:r>
        <w:rPr>
          <w:rFonts w:hint="eastAsia" w:asciiTheme="minorEastAsia" w:hAnsiTheme="minorEastAsia" w:eastAsiaTheme="minorEastAsia" w:cstheme="minorEastAsia"/>
          <w:sz w:val="24"/>
          <w:szCs w:val="24"/>
        </w:rPr>
        <w:t>一、项目建设目标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通过公共管理应急虚拟仿真综合实验平台建设项目，把实践育人创新创业基地建设成高校、政府、社会组织参与人才培养的立交桥，培植成学生知识传授、能力提升、素质拓展的交汇地，构建成高等学校、共建单位、学生教学相长的大平台</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打造成人才培养创新、就业方式创新、教师理念创新的示范点，孕育成开拓人才培养、社会治理研究、多元主体合作的孵化园。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建成后的公共管理虚拟仿真综合实验平台将满足每年2000人次的教育教学、创新创业需要。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二、项目建设内容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（一）公共管理决策演练沙盘对抗比赛平台软件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管理决策演练沙盘对抗比赛平台软件是以城市为载体，通过学生的模拟操作和运营，帮助学生理解并应对城市管理过程中可能出现的问题。在实景模拟沙盘平台，学生扮演规划局、水务局、交通局、城管局、园林局、财政局、经信局、人社局、公安局、教育局、卫生局和文旅局的一员，面对统一的外部经济环境和国家政策法律环境，通过招商引资、发展工业和商业服务业，投资公共事业、增强当地居民幸福感、提高城市竞争力。学生进行具体实操模拟，通过数理模拟、量化实施，进行若干周期的组间竞争对抗，最终得出不同团队的排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（二）公共政策智能场景化互动教学实训平台软件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政策智能场景化互动教学实训平台软件是一款模拟公共政策从制定、执行、评估到终结全过程的仿真教学实训软件。在实训过程中，软件会根据案例及实训需求设置不同的场景，学生需要在各场景中扮演不同的角色完成实训任务。实训任务是基于课程的重难点设置，包括甄别和分析各方利益主体的观点和诉求、界定政策问题、撰写政策方案、选择政策工具达到政策目标，以及运用多种方法和模型分析和评估政策实施效果等。实训流程致力于帮助学生融会贯通课程知识，为学生学以致用提供专业生动的仿真环境，培养学生运用现代公共政策原理和方法分析问题、解决问题的能力；提升公共政策问题界定能力、公共政策方案规划和抉择能力，公共政策执行能力和公共政策评估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（三）智慧政务实验教学平台软件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智慧政务实验教学平台软件基于政府政务、以社会功能为出发点，以游戏化的形式高度情景再现政务治理中的各种现实情景，让学生模拟政务领导者，灵活运用所学政务治理理论知识，通过政策规划和实施的形式解决各种政务问题、推动政务健康发展、预测智慧政务未来发展。实验内容涵盖电子政务规划建设、政务流程再造、行政审批改革、G2C、G2B、G2G办事流程和最新的电子政务国家政策和地方发展措施。系统对学生操作进行智能评分，实验结束后自动生成实验报告。启发式的游戏操作，充分考验学生的政务治理能力，提升学生的学习兴趣和实践能力，帮助教师减轻教学负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（四）公共部门人力资源平台软件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部门人力资源平台软件以高质量公共部门管理案例为载体，通过动画、视频、图片、文字等多样化信息形式展现案例；让学生深入到案例中，用标准化的实验流程实训录用与甄选的综合流程及结构化面试、半结构化面试、角色扮演、无领导小组等面试技术，最大化实操专业理论知识、最大化达到实训效果。绩效管理的理论知识与实际应用相结合，通过综合实训和单项训练两种模式安排实训内容。综合实训包含绩效计划、绩效实施、绩效评估、绩效反馈这四个部分组成的完整绩效考核流程；单项训练涵盖平衡计分卡、360度评估法等常用绩效考核方法的实际应用流程。</w:t>
      </w:r>
    </w:p>
    <w:p>
      <w:pPr>
        <w:snapToGrid w:val="0"/>
        <w:spacing w:after="120" w:afterLines="50"/>
        <w:jc w:val="center"/>
        <w:rPr>
          <w:sz w:val="32"/>
          <w:szCs w:val="32"/>
        </w:rPr>
      </w:pPr>
    </w:p>
    <w:p>
      <w:pPr>
        <w:snapToGrid w:val="0"/>
        <w:spacing w:after="120" w:afterLines="50"/>
        <w:jc w:val="center"/>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14"/>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23"/>
        <w:gridCol w:w="8918"/>
        <w:gridCol w:w="813"/>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6" w:type="dxa"/>
            <w:gridSpan w:val="5"/>
            <w:vAlign w:val="center"/>
          </w:tcPr>
          <w:p>
            <w:pPr>
              <w:jc w:val="center"/>
              <w:rPr>
                <w:rFonts w:hint="eastAsia" w:ascii="宋体" w:hAnsi="宋体" w:eastAsia="宋体" w:cs="宋体"/>
                <w:sz w:val="21"/>
                <w:szCs w:val="21"/>
              </w:rPr>
            </w:pPr>
            <w:r>
              <w:rPr>
                <w:rFonts w:hint="eastAsia" w:ascii="宋体" w:hAnsi="宋体" w:eastAsia="宋体" w:cs="宋体"/>
                <w:b/>
                <w:bCs/>
                <w:sz w:val="32"/>
                <w:szCs w:val="32"/>
                <w:lang w:val="en-US" w:eastAsia="zh-CN"/>
              </w:rPr>
              <w:t>2023年中央专项公共管理应急虚拟仿真综合实验平台建设项目-软件清单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2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设备名称/支出名称</w:t>
            </w:r>
          </w:p>
        </w:tc>
        <w:tc>
          <w:tcPr>
            <w:tcW w:w="891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设备型号规格/参数</w:t>
            </w:r>
          </w:p>
        </w:tc>
        <w:tc>
          <w:tcPr>
            <w:tcW w:w="81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68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23" w:type="dxa"/>
            <w:vAlign w:val="center"/>
          </w:tcPr>
          <w:p>
            <w:pPr>
              <w:spacing w:beforeLines="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公共管理决策演练沙盘对抗比赛平台软件</w:t>
            </w:r>
          </w:p>
        </w:tc>
        <w:tc>
          <w:tcPr>
            <w:tcW w:w="8918" w:type="dxa"/>
            <w:vAlign w:val="center"/>
          </w:tcPr>
          <w:p>
            <w:pPr>
              <w:rPr>
                <w:rFonts w:hint="eastAsia" w:ascii="宋体" w:hAnsi="宋体" w:eastAsia="宋体" w:cs="宋体"/>
                <w:sz w:val="21"/>
                <w:szCs w:val="21"/>
              </w:rPr>
            </w:pPr>
            <w:r>
              <w:rPr>
                <w:rFonts w:hint="eastAsia" w:ascii="宋体" w:hAnsi="宋体" w:eastAsia="宋体" w:cs="宋体"/>
                <w:sz w:val="21"/>
                <w:szCs w:val="21"/>
              </w:rPr>
              <w:t>（一）技术要求：</w:t>
            </w:r>
          </w:p>
          <w:p>
            <w:pPr>
              <w:rPr>
                <w:rFonts w:hint="eastAsia" w:ascii="宋体" w:hAnsi="宋体" w:eastAsia="宋体" w:cs="宋体"/>
                <w:sz w:val="21"/>
                <w:szCs w:val="21"/>
              </w:rPr>
            </w:pPr>
            <w:r>
              <w:rPr>
                <w:rFonts w:hint="eastAsia" w:ascii="宋体" w:hAnsi="宋体" w:eastAsia="宋体" w:cs="宋体"/>
                <w:sz w:val="21"/>
                <w:szCs w:val="21"/>
              </w:rPr>
              <w:t>1.B/S架构，支持至少120人并发访问；</w:t>
            </w:r>
          </w:p>
          <w:p>
            <w:pPr>
              <w:rPr>
                <w:rFonts w:hint="eastAsia" w:ascii="宋体" w:hAnsi="宋体" w:eastAsia="宋体" w:cs="宋体"/>
                <w:sz w:val="21"/>
                <w:szCs w:val="21"/>
              </w:rPr>
            </w:pPr>
            <w:r>
              <w:rPr>
                <w:rFonts w:hint="eastAsia" w:ascii="宋体" w:hAnsi="宋体" w:eastAsia="宋体" w:cs="宋体"/>
                <w:sz w:val="21"/>
                <w:szCs w:val="21"/>
              </w:rPr>
              <w:t>2.使用的技术或架构:java web;spring;html5；</w:t>
            </w:r>
          </w:p>
          <w:p>
            <w:pPr>
              <w:rPr>
                <w:rFonts w:hint="eastAsia" w:ascii="宋体" w:hAnsi="宋体" w:eastAsia="宋体" w:cs="宋体"/>
                <w:sz w:val="21"/>
                <w:szCs w:val="21"/>
              </w:rPr>
            </w:pPr>
            <w:r>
              <w:rPr>
                <w:rFonts w:hint="eastAsia" w:ascii="宋体" w:hAnsi="宋体" w:eastAsia="宋体" w:cs="宋体"/>
                <w:sz w:val="21"/>
                <w:szCs w:val="21"/>
              </w:rPr>
              <w:t xml:space="preserve">（二）功能要求： </w:t>
            </w:r>
          </w:p>
          <w:p>
            <w:pPr>
              <w:rPr>
                <w:rFonts w:hint="eastAsia" w:ascii="宋体" w:hAnsi="宋体" w:eastAsia="宋体" w:cs="宋体"/>
                <w:sz w:val="21"/>
                <w:szCs w:val="21"/>
              </w:rPr>
            </w:pPr>
            <w:r>
              <w:rPr>
                <w:rFonts w:hint="eastAsia" w:ascii="宋体" w:hAnsi="宋体" w:eastAsia="宋体" w:cs="宋体"/>
                <w:sz w:val="21"/>
                <w:szCs w:val="21"/>
              </w:rPr>
              <w:t>公共管理决策演练平台需要分为工业城市发展</w:t>
            </w:r>
            <w:r>
              <w:rPr>
                <w:rFonts w:hint="eastAsia" w:ascii="宋体" w:hAnsi="宋体" w:eastAsia="宋体" w:cs="宋体"/>
                <w:sz w:val="21"/>
                <w:szCs w:val="21"/>
                <w:lang w:eastAsia="zh-CN"/>
              </w:rPr>
              <w:t>、</w:t>
            </w:r>
            <w:r>
              <w:rPr>
                <w:rFonts w:hint="eastAsia" w:ascii="宋体" w:hAnsi="宋体" w:eastAsia="宋体" w:cs="宋体"/>
                <w:sz w:val="21"/>
                <w:szCs w:val="21"/>
              </w:rPr>
              <w:t>生态城市发展</w:t>
            </w:r>
            <w:r>
              <w:rPr>
                <w:rFonts w:hint="eastAsia" w:ascii="宋体" w:hAnsi="宋体" w:eastAsia="宋体" w:cs="宋体"/>
                <w:sz w:val="21"/>
                <w:szCs w:val="21"/>
                <w:lang w:eastAsia="zh-CN"/>
              </w:rPr>
              <w:t>、</w:t>
            </w:r>
            <w:r>
              <w:rPr>
                <w:rFonts w:hint="eastAsia" w:ascii="宋体" w:hAnsi="宋体" w:eastAsia="宋体" w:cs="宋体"/>
                <w:sz w:val="21"/>
                <w:szCs w:val="21"/>
              </w:rPr>
              <w:t>综合城市发展</w:t>
            </w:r>
            <w:r>
              <w:rPr>
                <w:rFonts w:hint="eastAsia" w:ascii="宋体" w:hAnsi="宋体" w:eastAsia="宋体" w:cs="宋体"/>
                <w:sz w:val="21"/>
                <w:szCs w:val="21"/>
                <w:lang w:eastAsia="zh-CN"/>
              </w:rPr>
              <w:t>、</w:t>
            </w:r>
            <w:r>
              <w:rPr>
                <w:rFonts w:hint="eastAsia" w:ascii="宋体" w:hAnsi="宋体" w:eastAsia="宋体" w:cs="宋体"/>
                <w:sz w:val="21"/>
                <w:szCs w:val="21"/>
              </w:rPr>
              <w:t>国家中心城市建设</w:t>
            </w:r>
            <w:r>
              <w:rPr>
                <w:rFonts w:hint="eastAsia" w:ascii="宋体" w:hAnsi="宋体" w:eastAsia="宋体" w:cs="宋体"/>
                <w:sz w:val="21"/>
                <w:szCs w:val="21"/>
                <w:lang w:val="en-US" w:eastAsia="zh-CN"/>
              </w:rPr>
              <w:t>四</w:t>
            </w:r>
            <w:r>
              <w:rPr>
                <w:rFonts w:hint="eastAsia" w:ascii="宋体" w:hAnsi="宋体" w:eastAsia="宋体" w:cs="宋体"/>
                <w:sz w:val="21"/>
                <w:szCs w:val="21"/>
              </w:rPr>
              <w:t>个模块</w:t>
            </w:r>
            <w:r>
              <w:rPr>
                <w:rFonts w:hint="eastAsia" w:ascii="宋体" w:hAnsi="宋体" w:eastAsia="宋体" w:cs="宋体"/>
                <w:sz w:val="21"/>
                <w:szCs w:val="21"/>
                <w:lang w:val="en-US" w:eastAsia="zh-CN"/>
              </w:rPr>
              <w:t>构成</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1.公共管理决策演练平台需要包含管理员、教师和学生三个端口；不同端口支持管理权限不同：</w:t>
            </w:r>
          </w:p>
          <w:p>
            <w:pPr>
              <w:rPr>
                <w:rFonts w:hint="eastAsia" w:ascii="宋体" w:hAnsi="宋体" w:eastAsia="宋体" w:cs="宋体"/>
                <w:sz w:val="21"/>
                <w:szCs w:val="21"/>
              </w:rPr>
            </w:pPr>
            <w:r>
              <w:rPr>
                <w:rFonts w:hint="eastAsia" w:ascii="宋体" w:hAnsi="宋体" w:eastAsia="宋体" w:cs="宋体"/>
                <w:sz w:val="21"/>
                <w:szCs w:val="21"/>
              </w:rPr>
              <w:t>（1）管理员端口需要支持用户管理、班级管理、实验管理、自定义案例；</w:t>
            </w:r>
          </w:p>
          <w:p>
            <w:pPr>
              <w:rPr>
                <w:rFonts w:hint="eastAsia" w:ascii="宋体" w:hAnsi="宋体" w:eastAsia="宋体" w:cs="宋体"/>
                <w:sz w:val="21"/>
                <w:szCs w:val="21"/>
              </w:rPr>
            </w:pPr>
            <w:r>
              <w:rPr>
                <w:rFonts w:hint="eastAsia" w:ascii="宋体" w:hAnsi="宋体" w:eastAsia="宋体" w:cs="宋体"/>
                <w:sz w:val="21"/>
                <w:szCs w:val="21"/>
              </w:rPr>
              <w:t>（2）教师端口需要支持班级管理、实验管理；</w:t>
            </w:r>
          </w:p>
          <w:p>
            <w:pPr>
              <w:rPr>
                <w:rFonts w:hint="eastAsia" w:ascii="宋体" w:hAnsi="宋体" w:eastAsia="宋体" w:cs="宋体"/>
                <w:sz w:val="21"/>
                <w:szCs w:val="21"/>
              </w:rPr>
            </w:pPr>
            <w:r>
              <w:rPr>
                <w:rFonts w:hint="eastAsia" w:ascii="宋体" w:hAnsi="宋体" w:eastAsia="宋体" w:cs="宋体"/>
                <w:sz w:val="21"/>
                <w:szCs w:val="21"/>
              </w:rPr>
              <w:t>（3）学生端口需要包括不限于决策演练、实验报告、通知消息、个人中心功能；</w:t>
            </w:r>
          </w:p>
          <w:p>
            <w:pPr>
              <w:rPr>
                <w:rFonts w:hint="eastAsia" w:ascii="宋体" w:hAnsi="宋体" w:eastAsia="宋体" w:cs="宋体"/>
                <w:sz w:val="21"/>
                <w:szCs w:val="21"/>
              </w:rPr>
            </w:pPr>
            <w:r>
              <w:rPr>
                <w:rFonts w:hint="eastAsia" w:ascii="宋体" w:hAnsi="宋体" w:eastAsia="宋体" w:cs="宋体"/>
                <w:sz w:val="21"/>
                <w:szCs w:val="21"/>
              </w:rPr>
              <w:t>2.★软件需要包括不限于土地管理、水务管理、交通管理、环境管理、公共财政管理、产业结构管理、社会安全管理和公共事业管理管理内容，并支持根据职能，划分为包含不限于规划和自然资源局、水务局、交通运输局、城市管理局、园林和林业局、财政局、经济和信息化局、人力资源和社会保障局、公安局、教育局、卫生健康委员会和文化和旅游局政府职能部门；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3.软件需要具备不同城市背景模型，包括不限于综合城市、生态城市模型；</w:t>
            </w:r>
          </w:p>
          <w:p>
            <w:pPr>
              <w:rPr>
                <w:rFonts w:hint="eastAsia" w:ascii="宋体" w:hAnsi="宋体" w:eastAsia="宋体" w:cs="宋体"/>
                <w:sz w:val="21"/>
                <w:szCs w:val="21"/>
              </w:rPr>
            </w:pPr>
            <w:r>
              <w:rPr>
                <w:rFonts w:hint="eastAsia" w:ascii="宋体" w:hAnsi="宋体" w:eastAsia="宋体" w:cs="宋体"/>
                <w:sz w:val="21"/>
                <w:szCs w:val="21"/>
              </w:rPr>
              <w:t>4.软件需要采用动态竞争机制，支持招标人通过公共政策制定，竞争制造业、服务业和高层次人才外部资源；</w:t>
            </w:r>
          </w:p>
          <w:p>
            <w:pPr>
              <w:rPr>
                <w:rFonts w:hint="eastAsia" w:ascii="宋体" w:hAnsi="宋体" w:eastAsia="宋体" w:cs="宋体"/>
                <w:sz w:val="21"/>
                <w:szCs w:val="21"/>
              </w:rPr>
            </w:pPr>
            <w:r>
              <w:rPr>
                <w:rFonts w:hint="eastAsia" w:ascii="宋体" w:hAnsi="宋体" w:eastAsia="宋体" w:cs="宋体"/>
                <w:sz w:val="21"/>
                <w:szCs w:val="21"/>
              </w:rPr>
              <w:t>5.软件需要支持招标人查看城市土地和资金资源实时变化的数据图表，支持调整策略，分配这两大资源；</w:t>
            </w:r>
          </w:p>
          <w:p>
            <w:pPr>
              <w:rPr>
                <w:rFonts w:hint="eastAsia" w:ascii="宋体" w:hAnsi="宋体" w:eastAsia="宋体" w:cs="宋体"/>
                <w:sz w:val="21"/>
                <w:szCs w:val="21"/>
              </w:rPr>
            </w:pPr>
            <w:r>
              <w:rPr>
                <w:rFonts w:hint="eastAsia" w:ascii="宋体" w:hAnsi="宋体" w:eastAsia="宋体" w:cs="宋体"/>
                <w:sz w:val="21"/>
                <w:szCs w:val="21"/>
              </w:rPr>
              <w:t>6.</w:t>
            </w:r>
            <w:r>
              <w:rPr>
                <w:rFonts w:hint="eastAsia" w:ascii="仿宋" w:hAnsi="仿宋" w:eastAsia="仿宋" w:cs="仿宋"/>
                <w:color w:val="auto"/>
                <w:sz w:val="21"/>
                <w:szCs w:val="21"/>
                <w:lang w:eastAsia="zh-CN"/>
              </w:rPr>
              <w:t>▲</w:t>
            </w:r>
            <w:r>
              <w:rPr>
                <w:rFonts w:hint="eastAsia" w:ascii="宋体" w:hAnsi="宋体" w:eastAsia="宋体" w:cs="宋体"/>
                <w:sz w:val="21"/>
                <w:szCs w:val="21"/>
              </w:rPr>
              <w:t>软件需要具备专业知识考点题库，实验每期支持数据变化，同时实验时间内，需要系统自动推送的以材料题形式呈现的知识考点题目；注：该功能需提供系统功能截图或说明书等证明材料加盖投标人单位公章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7.实时监控功能需要支持招标人查看各阶段每组完成的状态、招标人的所有操作以及运营数据变化的趋势；</w:t>
            </w:r>
          </w:p>
          <w:p>
            <w:pPr>
              <w:rPr>
                <w:rFonts w:hint="eastAsia" w:ascii="宋体" w:hAnsi="宋体" w:eastAsia="宋体" w:cs="宋体"/>
                <w:sz w:val="21"/>
                <w:szCs w:val="21"/>
              </w:rPr>
            </w:pPr>
            <w:r>
              <w:rPr>
                <w:rFonts w:hint="eastAsia" w:ascii="宋体" w:hAnsi="宋体" w:eastAsia="宋体" w:cs="宋体"/>
                <w:sz w:val="21"/>
                <w:szCs w:val="21"/>
              </w:rPr>
              <w:t>8.</w:t>
            </w:r>
            <w:r>
              <w:rPr>
                <w:rFonts w:hint="eastAsia" w:ascii="仿宋" w:hAnsi="仿宋" w:eastAsia="仿宋" w:cs="仿宋"/>
                <w:color w:val="auto"/>
                <w:sz w:val="21"/>
                <w:szCs w:val="21"/>
                <w:lang w:eastAsia="zh-CN"/>
              </w:rPr>
              <w:t>▲</w:t>
            </w:r>
            <w:r>
              <w:rPr>
                <w:rFonts w:hint="eastAsia" w:ascii="宋体" w:hAnsi="宋体" w:eastAsia="宋体" w:cs="宋体"/>
                <w:sz w:val="21"/>
                <w:szCs w:val="21"/>
              </w:rPr>
              <w:t>公共管理决策演练平台需要支持以城市竞争力和知识考点这两项评价指标进行自动打分，确定城市的排名；评分需要采用动态打分制，依据其他城市经营情况以及模型公式共同得出小组分数；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9.实验管理功能需要支持自定义创建实验，支持招标人设定包括不限于实验期数，实验阶段时长、评价指标权重和角色分配规则内容；需要支持记录招标人操作，支持以包括不限于数据表、柱状图、折线图统计方式展现每个模块不同期数的数据变化；同时支持下载生成PDF格式的实验报告；</w:t>
            </w:r>
          </w:p>
          <w:p>
            <w:pPr>
              <w:rPr>
                <w:rFonts w:hint="eastAsia" w:ascii="宋体" w:hAnsi="宋体" w:eastAsia="宋体" w:cs="宋体"/>
                <w:sz w:val="21"/>
                <w:szCs w:val="21"/>
              </w:rPr>
            </w:pPr>
            <w:r>
              <w:rPr>
                <w:rFonts w:hint="eastAsia" w:ascii="宋体" w:hAnsi="宋体" w:eastAsia="宋体" w:cs="宋体"/>
                <w:sz w:val="21"/>
                <w:szCs w:val="21"/>
              </w:rPr>
              <w:t>10.软件需要支持自定义增加或修改固定元素、变量元素、城市竞争力指标的公式与限制条件；</w:t>
            </w:r>
          </w:p>
          <w:p>
            <w:pPr>
              <w:rPr>
                <w:rFonts w:hint="eastAsia" w:ascii="宋体" w:hAnsi="宋体" w:eastAsia="宋体" w:cs="宋体"/>
                <w:sz w:val="21"/>
                <w:szCs w:val="21"/>
              </w:rPr>
            </w:pPr>
            <w:r>
              <w:rPr>
                <w:rFonts w:hint="eastAsia" w:ascii="宋体" w:hAnsi="宋体" w:eastAsia="宋体" w:cs="宋体"/>
                <w:sz w:val="21"/>
                <w:szCs w:val="21"/>
              </w:rPr>
              <w:t>11.软件需要支持自定义包括不限于增加或修改城市背景、国家政策、知识题库和方案设计问题框架内容；</w:t>
            </w:r>
          </w:p>
          <w:p>
            <w:pPr>
              <w:rPr>
                <w:rFonts w:hint="eastAsia" w:ascii="宋体" w:hAnsi="宋体" w:eastAsia="宋体" w:cs="宋体"/>
                <w:sz w:val="21"/>
                <w:szCs w:val="21"/>
              </w:rPr>
            </w:pPr>
            <w:r>
              <w:rPr>
                <w:rFonts w:hint="eastAsia" w:ascii="宋体" w:hAnsi="宋体" w:eastAsia="宋体" w:cs="宋体"/>
                <w:sz w:val="21"/>
                <w:szCs w:val="21"/>
              </w:rPr>
              <w:t>12.软件需要支持团队模式和单人模式：团队模式下，支持分角色组团练习，比赛以团队形式展开，比赛结束后展示团队排名，支持每个团队包含2-6人；单人模式下，招标人独自完成所有职能部门的决策；</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13、含虚拟教研室云平台1年使用权</w:t>
            </w:r>
          </w:p>
          <w:p>
            <w:pPr>
              <w:rPr>
                <w:rFonts w:hint="eastAsia" w:ascii="宋体" w:hAnsi="宋体" w:eastAsia="宋体" w:cs="宋体"/>
                <w:sz w:val="21"/>
                <w:szCs w:val="21"/>
              </w:rPr>
            </w:pPr>
            <w:r>
              <w:rPr>
                <w:rFonts w:hint="eastAsia" w:ascii="宋体" w:hAnsi="宋体" w:eastAsia="宋体" w:cs="宋体"/>
                <w:sz w:val="21"/>
                <w:szCs w:val="21"/>
              </w:rPr>
              <w:t>成员数：300 人</w:t>
            </w:r>
          </w:p>
          <w:p>
            <w:pPr>
              <w:rPr>
                <w:rFonts w:hint="eastAsia" w:ascii="宋体" w:hAnsi="宋体" w:eastAsia="宋体" w:cs="宋体"/>
                <w:sz w:val="21"/>
                <w:szCs w:val="21"/>
              </w:rPr>
            </w:pPr>
            <w:r>
              <w:rPr>
                <w:rFonts w:hint="eastAsia" w:ascii="宋体" w:hAnsi="宋体" w:eastAsia="宋体" w:cs="宋体"/>
                <w:sz w:val="21"/>
                <w:szCs w:val="21"/>
              </w:rPr>
              <w:t>资源规格</w:t>
            </w:r>
          </w:p>
          <w:p>
            <w:pPr>
              <w:rPr>
                <w:rFonts w:hint="eastAsia" w:ascii="宋体" w:hAnsi="宋体" w:eastAsia="宋体" w:cs="宋体"/>
                <w:sz w:val="21"/>
                <w:szCs w:val="21"/>
              </w:rPr>
            </w:pPr>
            <w:r>
              <w:rPr>
                <w:rFonts w:hint="eastAsia" w:ascii="宋体" w:hAnsi="宋体" w:eastAsia="宋体" w:cs="宋体"/>
                <w:sz w:val="21"/>
                <w:szCs w:val="21"/>
              </w:rPr>
              <w:t>存储：600 GB</w:t>
            </w:r>
          </w:p>
          <w:p>
            <w:pPr>
              <w:rPr>
                <w:rFonts w:hint="eastAsia" w:ascii="宋体" w:hAnsi="宋体" w:eastAsia="宋体" w:cs="宋体"/>
                <w:sz w:val="21"/>
                <w:szCs w:val="21"/>
              </w:rPr>
            </w:pPr>
            <w:r>
              <w:rPr>
                <w:rFonts w:hint="eastAsia" w:ascii="宋体" w:hAnsi="宋体" w:eastAsia="宋体" w:cs="宋体"/>
                <w:sz w:val="21"/>
                <w:szCs w:val="21"/>
              </w:rPr>
              <w:t>流量：6 TB/年</w:t>
            </w:r>
          </w:p>
          <w:p>
            <w:pPr>
              <w:rPr>
                <w:rFonts w:hint="eastAsia" w:ascii="宋体" w:hAnsi="宋体" w:eastAsia="宋体" w:cs="宋体"/>
                <w:sz w:val="21"/>
                <w:szCs w:val="21"/>
              </w:rPr>
            </w:pPr>
            <w:r>
              <w:rPr>
                <w:rFonts w:hint="eastAsia" w:ascii="宋体" w:hAnsi="宋体" w:eastAsia="宋体" w:cs="宋体"/>
                <w:sz w:val="21"/>
                <w:szCs w:val="21"/>
              </w:rPr>
              <w:t>会议：10 万分钟/年</w:t>
            </w:r>
          </w:p>
          <w:p>
            <w:pPr>
              <w:rPr>
                <w:rFonts w:hint="eastAsia" w:ascii="宋体" w:hAnsi="宋体" w:eastAsia="宋体" w:cs="宋体"/>
                <w:sz w:val="21"/>
                <w:szCs w:val="21"/>
              </w:rPr>
            </w:pPr>
            <w:r>
              <w:rPr>
                <w:rFonts w:hint="eastAsia" w:ascii="宋体" w:hAnsi="宋体" w:eastAsia="宋体" w:cs="宋体"/>
                <w:sz w:val="21"/>
                <w:szCs w:val="21"/>
              </w:rPr>
              <w:t>直播：10 万分钟/年</w:t>
            </w:r>
          </w:p>
          <w:p>
            <w:pPr>
              <w:rPr>
                <w:rFonts w:hint="eastAsia" w:ascii="宋体" w:hAnsi="宋体" w:eastAsia="宋体" w:cs="宋体"/>
                <w:sz w:val="21"/>
                <w:szCs w:val="21"/>
              </w:rPr>
            </w:pPr>
            <w:r>
              <w:rPr>
                <w:rFonts w:hint="eastAsia" w:ascii="宋体" w:hAnsi="宋体" w:eastAsia="宋体" w:cs="宋体"/>
                <w:sz w:val="21"/>
                <w:szCs w:val="21"/>
              </w:rPr>
              <w:t>功能参数：资源管理、协同编辑、模板与案例、即时聊天、主题交流、通知公告、会议直播、运行数据、教研画像</w:t>
            </w:r>
          </w:p>
          <w:p>
            <w:pPr>
              <w:rPr>
                <w:rFonts w:hint="default" w:ascii="宋体" w:hAnsi="宋体" w:eastAsia="宋体" w:cs="宋体"/>
                <w:sz w:val="21"/>
                <w:szCs w:val="21"/>
                <w:lang w:val="en-US"/>
              </w:rPr>
            </w:pPr>
            <w:r>
              <w:rPr>
                <w:rFonts w:hint="eastAsia" w:ascii="宋体" w:hAnsi="宋体" w:eastAsia="宋体" w:cs="宋体"/>
                <w:sz w:val="21"/>
                <w:szCs w:val="21"/>
                <w:lang w:val="en-US" w:eastAsia="zh-CN"/>
              </w:rPr>
              <w:t>14、要求厂商具有自主研发能力，可以根据用户最终需求进行合理化调整</w:t>
            </w:r>
          </w:p>
        </w:tc>
        <w:tc>
          <w:tcPr>
            <w:tcW w:w="813"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68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23" w:type="dxa"/>
            <w:vAlign w:val="center"/>
          </w:tcPr>
          <w:p>
            <w:pPr>
              <w:spacing w:beforeLines="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公共政策智能场景化互动教学实训平台软件</w:t>
            </w:r>
          </w:p>
        </w:tc>
        <w:tc>
          <w:tcPr>
            <w:tcW w:w="8918" w:type="dxa"/>
            <w:vAlign w:val="center"/>
          </w:tcPr>
          <w:p>
            <w:pPr>
              <w:rPr>
                <w:rFonts w:hint="eastAsia" w:ascii="宋体" w:hAnsi="宋体" w:eastAsia="宋体" w:cs="宋体"/>
                <w:sz w:val="21"/>
                <w:szCs w:val="21"/>
              </w:rPr>
            </w:pPr>
            <w:r>
              <w:rPr>
                <w:rFonts w:hint="eastAsia" w:ascii="宋体" w:hAnsi="宋体" w:eastAsia="宋体" w:cs="宋体"/>
                <w:sz w:val="21"/>
                <w:szCs w:val="21"/>
              </w:rPr>
              <w:t>（一）技术要求：</w:t>
            </w:r>
          </w:p>
          <w:p>
            <w:pPr>
              <w:rPr>
                <w:rFonts w:hint="eastAsia" w:ascii="宋体" w:hAnsi="宋体" w:eastAsia="宋体" w:cs="宋体"/>
                <w:sz w:val="21"/>
                <w:szCs w:val="21"/>
              </w:rPr>
            </w:pPr>
            <w:r>
              <w:rPr>
                <w:rFonts w:hint="eastAsia" w:ascii="宋体" w:hAnsi="宋体" w:eastAsia="宋体" w:cs="宋体"/>
                <w:sz w:val="21"/>
                <w:szCs w:val="21"/>
              </w:rPr>
              <w:t>1.B/S架构，支持至少200人并发访问；</w:t>
            </w:r>
          </w:p>
          <w:p>
            <w:pPr>
              <w:rPr>
                <w:rFonts w:hint="eastAsia" w:ascii="宋体" w:hAnsi="宋体" w:eastAsia="宋体" w:cs="宋体"/>
                <w:sz w:val="21"/>
                <w:szCs w:val="21"/>
              </w:rPr>
            </w:pPr>
            <w:r>
              <w:rPr>
                <w:rFonts w:hint="eastAsia" w:ascii="宋体" w:hAnsi="宋体" w:eastAsia="宋体" w:cs="宋体"/>
                <w:sz w:val="21"/>
                <w:szCs w:val="21"/>
              </w:rPr>
              <w:t>2.使用的技术或架构:java web;spring;html5；</w:t>
            </w:r>
          </w:p>
          <w:p>
            <w:pPr>
              <w:rPr>
                <w:rFonts w:hint="eastAsia" w:ascii="宋体" w:hAnsi="宋体" w:eastAsia="宋体" w:cs="宋体"/>
                <w:sz w:val="21"/>
                <w:szCs w:val="21"/>
              </w:rPr>
            </w:pPr>
            <w:r>
              <w:rPr>
                <w:rFonts w:hint="eastAsia" w:ascii="宋体" w:hAnsi="宋体" w:eastAsia="宋体" w:cs="宋体"/>
                <w:sz w:val="21"/>
                <w:szCs w:val="21"/>
              </w:rPr>
              <w:t>（二）功能要求：</w:t>
            </w:r>
          </w:p>
          <w:p>
            <w:pPr>
              <w:jc w:val="left"/>
              <w:rPr>
                <w:rFonts w:hint="eastAsia" w:ascii="宋体" w:hAnsi="宋体" w:eastAsia="宋体" w:cs="宋体"/>
                <w:sz w:val="21"/>
                <w:szCs w:val="21"/>
              </w:rPr>
            </w:pPr>
            <w:r>
              <w:rPr>
                <w:rFonts w:hint="eastAsia" w:ascii="宋体" w:hAnsi="宋体" w:eastAsia="宋体" w:cs="宋体"/>
                <w:sz w:val="21"/>
                <w:szCs w:val="21"/>
              </w:rPr>
              <w:t>公共政策智能场景化互动教学实训平台软件需要分为公共政策智能场景化互动教学实训平台软件和公共政策智能分析决策对抗实训平台软件两个模块：                                                                                                                                                   模块一：公共政策智能场景化互动教学实训平台软件：</w:t>
            </w:r>
          </w:p>
          <w:p>
            <w:pPr>
              <w:jc w:val="left"/>
              <w:rPr>
                <w:rFonts w:hint="eastAsia" w:ascii="宋体" w:hAnsi="宋体" w:eastAsia="宋体" w:cs="宋体"/>
                <w:sz w:val="21"/>
                <w:szCs w:val="21"/>
              </w:rPr>
            </w:pPr>
            <w:r>
              <w:rPr>
                <w:rFonts w:hint="eastAsia" w:ascii="宋体" w:hAnsi="宋体" w:eastAsia="宋体" w:cs="宋体"/>
                <w:sz w:val="21"/>
                <w:szCs w:val="21"/>
              </w:rPr>
              <w:t>1.公共政策智能场景化互动教学实训平台软件需要包含管理员、教师和学生三个端口；不同端口管理权限不同：</w:t>
            </w:r>
          </w:p>
          <w:p>
            <w:pPr>
              <w:rPr>
                <w:rFonts w:hint="eastAsia" w:ascii="宋体" w:hAnsi="宋体" w:eastAsia="宋体" w:cs="宋体"/>
                <w:sz w:val="21"/>
                <w:szCs w:val="21"/>
              </w:rPr>
            </w:pPr>
            <w:r>
              <w:rPr>
                <w:rFonts w:hint="eastAsia" w:ascii="宋体" w:hAnsi="宋体" w:eastAsia="宋体" w:cs="宋体"/>
                <w:sz w:val="21"/>
                <w:szCs w:val="21"/>
              </w:rPr>
              <w:t>（1）管理员端口需要支持用户管理、班级管理、实验管理、报告管理、自定义和资料中心，资料中心需要包含学习资料、专业名词、网络链接；</w:t>
            </w:r>
          </w:p>
          <w:p>
            <w:pPr>
              <w:rPr>
                <w:rFonts w:hint="eastAsia" w:ascii="宋体" w:hAnsi="宋体" w:eastAsia="宋体" w:cs="宋体"/>
                <w:sz w:val="21"/>
                <w:szCs w:val="21"/>
              </w:rPr>
            </w:pPr>
            <w:r>
              <w:rPr>
                <w:rFonts w:hint="eastAsia" w:ascii="宋体" w:hAnsi="宋体" w:eastAsia="宋体" w:cs="宋体"/>
                <w:sz w:val="21"/>
                <w:szCs w:val="21"/>
              </w:rPr>
              <w:t>（2）教师端口需要支持班级管理、实验管理、报告管理、自定义和资料中心；</w:t>
            </w:r>
          </w:p>
          <w:p>
            <w:pPr>
              <w:rPr>
                <w:rFonts w:hint="eastAsia" w:ascii="宋体" w:hAnsi="宋体" w:eastAsia="宋体" w:cs="宋体"/>
                <w:sz w:val="21"/>
                <w:szCs w:val="21"/>
              </w:rPr>
            </w:pPr>
            <w:r>
              <w:rPr>
                <w:rFonts w:hint="eastAsia" w:ascii="宋体" w:hAnsi="宋体" w:eastAsia="宋体" w:cs="宋体"/>
                <w:sz w:val="21"/>
                <w:szCs w:val="21"/>
              </w:rPr>
              <w:t>（3）学生端口需要包括不限于实验报告、流程演练、通知消息、人物角色；</w:t>
            </w:r>
          </w:p>
          <w:p>
            <w:pPr>
              <w:rPr>
                <w:rFonts w:hint="eastAsia" w:ascii="宋体" w:hAnsi="宋体" w:eastAsia="宋体" w:cs="宋体"/>
                <w:sz w:val="21"/>
                <w:szCs w:val="21"/>
              </w:rPr>
            </w:pPr>
            <w:r>
              <w:rPr>
                <w:rFonts w:hint="eastAsia" w:ascii="宋体" w:hAnsi="宋体" w:eastAsia="宋体" w:cs="宋体"/>
                <w:sz w:val="21"/>
                <w:szCs w:val="21"/>
              </w:rPr>
              <w:t>2.案例类型需要包括不限于公共卫生、经济政策、就业政策、医疗政策、社会政策、土地政策；</w:t>
            </w:r>
          </w:p>
          <w:p>
            <w:pPr>
              <w:rPr>
                <w:rFonts w:hint="eastAsia" w:ascii="宋体" w:hAnsi="宋体" w:eastAsia="宋体" w:cs="宋体"/>
                <w:sz w:val="21"/>
                <w:szCs w:val="21"/>
              </w:rPr>
            </w:pPr>
            <w:r>
              <w:rPr>
                <w:rFonts w:hint="eastAsia" w:ascii="宋体" w:hAnsi="宋体" w:eastAsia="宋体" w:cs="宋体"/>
                <w:sz w:val="21"/>
                <w:szCs w:val="21"/>
              </w:rPr>
              <w:t>3.软件需要视频形式介绍案例背景；支持包含不限于人社部、民政部、统计局不同部门场景之间的切换；</w:t>
            </w:r>
          </w:p>
          <w:p>
            <w:pPr>
              <w:rPr>
                <w:rFonts w:hint="eastAsia" w:ascii="宋体" w:hAnsi="宋体" w:eastAsia="宋体" w:cs="宋体"/>
                <w:sz w:val="21"/>
                <w:szCs w:val="21"/>
              </w:rPr>
            </w:pPr>
            <w:r>
              <w:rPr>
                <w:rFonts w:hint="eastAsia" w:ascii="宋体" w:hAnsi="宋体" w:eastAsia="宋体" w:cs="宋体"/>
                <w:sz w:val="21"/>
                <w:szCs w:val="21"/>
              </w:rPr>
              <w:t>4.★软件需要支持流程演练和案例自定义：</w:t>
            </w:r>
          </w:p>
          <w:p>
            <w:pPr>
              <w:rPr>
                <w:rFonts w:hint="eastAsia" w:ascii="宋体" w:hAnsi="宋体" w:eastAsia="宋体" w:cs="宋体"/>
                <w:sz w:val="21"/>
                <w:szCs w:val="21"/>
              </w:rPr>
            </w:pPr>
            <w:r>
              <w:rPr>
                <w:rFonts w:hint="eastAsia" w:ascii="宋体" w:hAnsi="宋体" w:eastAsia="宋体" w:cs="宋体"/>
                <w:sz w:val="21"/>
                <w:szCs w:val="21"/>
              </w:rPr>
              <w:t>（1）流程演练中，需要支持招标人分配系统提供的实训案例；</w:t>
            </w:r>
          </w:p>
          <w:p>
            <w:pPr>
              <w:rPr>
                <w:rFonts w:hint="eastAsia" w:ascii="宋体" w:hAnsi="宋体" w:eastAsia="宋体" w:cs="宋体"/>
                <w:sz w:val="21"/>
                <w:szCs w:val="21"/>
              </w:rPr>
            </w:pPr>
            <w:r>
              <w:rPr>
                <w:rFonts w:hint="eastAsia" w:ascii="宋体" w:hAnsi="宋体" w:eastAsia="宋体" w:cs="宋体"/>
                <w:sz w:val="21"/>
                <w:szCs w:val="21"/>
              </w:rPr>
              <w:t>（2）案例自定义中，需要支持招标人自主创建并编辑案例流程；</w:t>
            </w:r>
          </w:p>
          <w:p>
            <w:pPr>
              <w:rPr>
                <w:rFonts w:hint="eastAsia" w:ascii="宋体" w:hAnsi="宋体" w:eastAsia="宋体" w:cs="宋体"/>
                <w:sz w:val="21"/>
                <w:szCs w:val="21"/>
              </w:rPr>
            </w:pPr>
            <w:r>
              <w:rPr>
                <w:rFonts w:hint="eastAsia" w:ascii="宋体" w:hAnsi="宋体" w:eastAsia="宋体" w:cs="宋体"/>
                <w:sz w:val="21"/>
                <w:szCs w:val="21"/>
              </w:rPr>
              <w:t>（2.1）基本信息模块需要包含不限于案例标题、案例类型、案例简介、案例介绍、实验资料、上传案例封面；</w:t>
            </w:r>
          </w:p>
          <w:p>
            <w:pPr>
              <w:rPr>
                <w:rFonts w:hint="eastAsia" w:ascii="宋体" w:hAnsi="宋体" w:eastAsia="宋体" w:cs="宋体"/>
                <w:sz w:val="21"/>
                <w:szCs w:val="21"/>
              </w:rPr>
            </w:pPr>
            <w:r>
              <w:rPr>
                <w:rFonts w:hint="eastAsia" w:ascii="宋体" w:hAnsi="宋体" w:eastAsia="宋体" w:cs="宋体"/>
                <w:sz w:val="21"/>
                <w:szCs w:val="21"/>
              </w:rPr>
              <w:t>（2.2）政策制定/政策执行/政策评估/政策终结模块自定义需要包含不限于场景选择、题型选择（单选题、多选题、填空题、问答题、选择填空题）、案例内容（案例引导语、人物对话、文字图片、视频文件）；</w:t>
            </w:r>
          </w:p>
          <w:p>
            <w:pPr>
              <w:rPr>
                <w:rFonts w:hint="eastAsia" w:ascii="宋体" w:hAnsi="宋体" w:eastAsia="宋体" w:cs="宋体"/>
                <w:sz w:val="21"/>
                <w:szCs w:val="21"/>
              </w:rPr>
            </w:pPr>
            <w:r>
              <w:rPr>
                <w:rFonts w:hint="eastAsia" w:ascii="宋体" w:hAnsi="宋体" w:eastAsia="宋体" w:cs="宋体"/>
                <w:sz w:val="21"/>
                <w:szCs w:val="21"/>
              </w:rPr>
              <w:t>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5.实验管理功能需要支持按照政策制定、政策执行、政策评估、政策终结四个步骤分阶段分配实验，需要支持设置是否允许学生角色查看答案/下载报告，需要支持选择对单个人/单个班级/多个班级分配实验，支持延续分配实验；</w:t>
            </w:r>
          </w:p>
          <w:p>
            <w:pPr>
              <w:rPr>
                <w:rFonts w:hint="eastAsia" w:ascii="宋体" w:hAnsi="宋体" w:eastAsia="宋体" w:cs="宋体"/>
                <w:sz w:val="21"/>
                <w:szCs w:val="21"/>
              </w:rPr>
            </w:pPr>
            <w:r>
              <w:rPr>
                <w:rFonts w:hint="eastAsia" w:ascii="宋体" w:hAnsi="宋体" w:eastAsia="宋体" w:cs="宋体"/>
                <w:sz w:val="21"/>
                <w:szCs w:val="21"/>
              </w:rPr>
              <w:t>6.★实验内容需要包括政策制定、政策执行、政策评估、政策终结四个阶段：</w:t>
            </w:r>
          </w:p>
          <w:p>
            <w:pPr>
              <w:rPr>
                <w:rFonts w:hint="eastAsia" w:ascii="宋体" w:hAnsi="宋体" w:eastAsia="宋体" w:cs="宋体"/>
                <w:sz w:val="21"/>
                <w:szCs w:val="21"/>
              </w:rPr>
            </w:pPr>
            <w:r>
              <w:rPr>
                <w:rFonts w:hint="eastAsia" w:ascii="宋体" w:hAnsi="宋体" w:eastAsia="宋体" w:cs="宋体"/>
                <w:sz w:val="21"/>
                <w:szCs w:val="21"/>
              </w:rPr>
              <w:t>（1）政策制定阶段需要支持包含不限于：问题察觉，调研计划，调研实施，撰写调研报告，问题认定，方案规划，方案抉择，政策再入议程，政策合法化；</w:t>
            </w:r>
          </w:p>
          <w:p>
            <w:pPr>
              <w:rPr>
                <w:rFonts w:hint="eastAsia" w:ascii="宋体" w:hAnsi="宋体" w:eastAsia="宋体" w:cs="宋体"/>
                <w:sz w:val="21"/>
                <w:szCs w:val="21"/>
              </w:rPr>
            </w:pPr>
            <w:r>
              <w:rPr>
                <w:rFonts w:hint="eastAsia" w:ascii="宋体" w:hAnsi="宋体" w:eastAsia="宋体" w:cs="宋体"/>
                <w:sz w:val="21"/>
                <w:szCs w:val="21"/>
              </w:rPr>
              <w:t>（2）政策执行阶段需要支持：政策试点，政策分解，政策执行过程，总结执行结果；</w:t>
            </w:r>
          </w:p>
          <w:p>
            <w:pPr>
              <w:rPr>
                <w:rFonts w:hint="eastAsia" w:ascii="宋体" w:hAnsi="宋体" w:eastAsia="宋体" w:cs="宋体"/>
                <w:sz w:val="21"/>
                <w:szCs w:val="21"/>
              </w:rPr>
            </w:pPr>
            <w:r>
              <w:rPr>
                <w:rFonts w:hint="eastAsia" w:ascii="宋体" w:hAnsi="宋体" w:eastAsia="宋体" w:cs="宋体"/>
                <w:sz w:val="21"/>
                <w:szCs w:val="21"/>
              </w:rPr>
              <w:t>（3）政策评估阶段需要支持包含不限于：评估准备，制定评估计划，收集评估资料，撰写评估报告，发布总结；</w:t>
            </w:r>
          </w:p>
          <w:p>
            <w:pPr>
              <w:rPr>
                <w:rFonts w:hint="eastAsia" w:ascii="宋体" w:hAnsi="宋体" w:eastAsia="宋体" w:cs="宋体"/>
                <w:sz w:val="21"/>
                <w:szCs w:val="21"/>
              </w:rPr>
            </w:pPr>
            <w:r>
              <w:rPr>
                <w:rFonts w:hint="eastAsia" w:ascii="宋体" w:hAnsi="宋体" w:eastAsia="宋体" w:cs="宋体"/>
                <w:sz w:val="21"/>
                <w:szCs w:val="21"/>
              </w:rPr>
              <w:t>（4）政策终结阶段需要支持：政策终结；</w:t>
            </w:r>
          </w:p>
          <w:p>
            <w:pPr>
              <w:rPr>
                <w:rFonts w:hint="eastAsia" w:ascii="宋体" w:hAnsi="宋体" w:eastAsia="宋体" w:cs="宋体"/>
                <w:sz w:val="21"/>
                <w:szCs w:val="21"/>
              </w:rPr>
            </w:pPr>
            <w:r>
              <w:rPr>
                <w:rFonts w:hint="eastAsia" w:ascii="宋体" w:hAnsi="宋体" w:eastAsia="宋体" w:cs="宋体"/>
                <w:sz w:val="21"/>
                <w:szCs w:val="21"/>
              </w:rPr>
              <w:t>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7.软件需要支持招标人在实训界面通过按钮辅助学生角色实训，包含不限于案例分析和笔记，需要支持实验界面通过搜索按钮访问百度获取外部资料；</w:t>
            </w:r>
          </w:p>
          <w:p>
            <w:pPr>
              <w:rPr>
                <w:rFonts w:hint="eastAsia" w:ascii="宋体" w:hAnsi="宋体" w:eastAsia="宋体" w:cs="宋体"/>
                <w:sz w:val="21"/>
                <w:szCs w:val="21"/>
              </w:rPr>
            </w:pPr>
            <w:r>
              <w:rPr>
                <w:rFonts w:hint="eastAsia" w:ascii="宋体" w:hAnsi="宋体" w:eastAsia="宋体" w:cs="宋体"/>
                <w:sz w:val="21"/>
                <w:szCs w:val="21"/>
              </w:rPr>
              <w:t>8.软件需要支持招标人实验结束后，通过平台对实验结果进行智能评分，自动生成实验报告，支持下载查看报告；软件实验报告封面需要包含不限于学生角色的基本信息、实验案例基本信息，报告结构需要包含不限于基本信息、题目信息、答案、解题思路、实验得分、建议；</w:t>
            </w:r>
          </w:p>
          <w:p>
            <w:pPr>
              <w:rPr>
                <w:rFonts w:hint="eastAsia" w:ascii="宋体" w:hAnsi="宋体" w:eastAsia="宋体" w:cs="宋体"/>
                <w:sz w:val="21"/>
                <w:szCs w:val="21"/>
              </w:rPr>
            </w:pPr>
            <w:r>
              <w:rPr>
                <w:rFonts w:hint="eastAsia" w:ascii="宋体" w:hAnsi="宋体" w:eastAsia="宋体" w:cs="宋体"/>
                <w:sz w:val="21"/>
                <w:szCs w:val="21"/>
              </w:rPr>
              <w:t>9.软件需要支持教师端通过报告管理查看学生角色实验状态（进行中、已结束），并支持对学生角色实验报告进行评分操作，支持教师端单个/批量下载学生角色实验报告；同时支持按班级下载学生角色成绩统计Excel表，表格中需要包含不限于班级内学生角色各个阶段得分、实训总分、班级平均分信息；软件需要支持对招标人填答的主观内容进行智能评分，同时支持招标人手动评分；</w:t>
            </w:r>
          </w:p>
          <w:p>
            <w:pPr>
              <w:rPr>
                <w:rFonts w:hint="eastAsia" w:ascii="宋体" w:hAnsi="宋体" w:eastAsia="宋体" w:cs="宋体"/>
                <w:sz w:val="21"/>
                <w:szCs w:val="21"/>
              </w:rPr>
            </w:pPr>
            <w:r>
              <w:rPr>
                <w:rFonts w:hint="eastAsia" w:ascii="宋体" w:hAnsi="宋体" w:eastAsia="宋体" w:cs="宋体"/>
                <w:sz w:val="21"/>
                <w:szCs w:val="21"/>
              </w:rPr>
              <w:t xml:space="preserve">10.软件需要支持教师端一键切换至学生端，以学生角色视角体验实训流程；同时支持教师角色之间分享案例资源和课程资料；                   </w:t>
            </w:r>
          </w:p>
          <w:p>
            <w:pPr>
              <w:rPr>
                <w:rFonts w:hint="eastAsia" w:ascii="宋体" w:hAnsi="宋体" w:eastAsia="宋体" w:cs="宋体"/>
                <w:sz w:val="21"/>
                <w:szCs w:val="21"/>
              </w:rPr>
            </w:pPr>
            <w:r>
              <w:rPr>
                <w:rFonts w:hint="eastAsia" w:ascii="宋体" w:hAnsi="宋体" w:eastAsia="宋体" w:cs="宋体"/>
                <w:sz w:val="21"/>
                <w:szCs w:val="21"/>
              </w:rPr>
              <w:t>模块二：公共政策智能分析决策对抗实训平台软件：</w:t>
            </w:r>
          </w:p>
          <w:p>
            <w:pPr>
              <w:rPr>
                <w:rFonts w:hint="eastAsia" w:ascii="宋体" w:hAnsi="宋体" w:eastAsia="宋体" w:cs="宋体"/>
                <w:sz w:val="21"/>
                <w:szCs w:val="21"/>
              </w:rPr>
            </w:pPr>
            <w:r>
              <w:rPr>
                <w:rFonts w:hint="eastAsia" w:ascii="宋体" w:hAnsi="宋体" w:eastAsia="宋体" w:cs="宋体"/>
                <w:sz w:val="21"/>
                <w:szCs w:val="21"/>
              </w:rPr>
              <w:t>1.软件需要支持政策分析和案例自定义：</w:t>
            </w:r>
          </w:p>
          <w:p>
            <w:pPr>
              <w:rPr>
                <w:rFonts w:hint="eastAsia" w:ascii="宋体" w:hAnsi="宋体" w:eastAsia="宋体" w:cs="宋体"/>
                <w:sz w:val="21"/>
                <w:szCs w:val="21"/>
              </w:rPr>
            </w:pPr>
            <w:r>
              <w:rPr>
                <w:rFonts w:hint="eastAsia" w:ascii="宋体" w:hAnsi="宋体" w:eastAsia="宋体" w:cs="宋体"/>
                <w:sz w:val="21"/>
                <w:szCs w:val="21"/>
              </w:rPr>
              <w:t>（1）政策分析：需要支持招标人分配系统提供的实训案例；</w:t>
            </w:r>
          </w:p>
          <w:p>
            <w:pPr>
              <w:rPr>
                <w:rFonts w:hint="eastAsia" w:ascii="宋体" w:hAnsi="宋体" w:eastAsia="宋体" w:cs="宋体"/>
                <w:sz w:val="21"/>
                <w:szCs w:val="21"/>
              </w:rPr>
            </w:pPr>
            <w:r>
              <w:rPr>
                <w:rFonts w:hint="eastAsia" w:ascii="宋体" w:hAnsi="宋体" w:eastAsia="宋体" w:cs="宋体"/>
                <w:sz w:val="21"/>
                <w:szCs w:val="21"/>
              </w:rPr>
              <w:t>（2）案例自定义：需要支持招标人自主创建案例模型，在基本信息模块需要包含不限于案例名称、案例类型、案例简介、案例封面、案例时长；</w:t>
            </w:r>
          </w:p>
          <w:p>
            <w:pPr>
              <w:rPr>
                <w:rFonts w:hint="eastAsia" w:ascii="宋体" w:hAnsi="宋体" w:eastAsia="宋体" w:cs="宋体"/>
                <w:sz w:val="21"/>
                <w:szCs w:val="21"/>
              </w:rPr>
            </w:pPr>
            <w:r>
              <w:rPr>
                <w:rFonts w:hint="eastAsia" w:ascii="宋体" w:hAnsi="宋体" w:eastAsia="宋体" w:cs="宋体"/>
                <w:sz w:val="21"/>
                <w:szCs w:val="21"/>
              </w:rPr>
              <w:t>2.★软件需要具备案例内容自定义功能，其中自定义内容包括不限于案例背景模块、地图系统、指标系统、变量公式、事件系统、指标触发事件内容：</w:t>
            </w:r>
          </w:p>
          <w:p>
            <w:pPr>
              <w:rPr>
                <w:rFonts w:hint="eastAsia" w:ascii="宋体" w:hAnsi="宋体" w:eastAsia="宋体" w:cs="宋体"/>
                <w:sz w:val="21"/>
                <w:szCs w:val="21"/>
              </w:rPr>
            </w:pPr>
            <w:r>
              <w:rPr>
                <w:rFonts w:hint="eastAsia" w:ascii="宋体" w:hAnsi="宋体" w:eastAsia="宋体" w:cs="宋体"/>
                <w:sz w:val="21"/>
                <w:szCs w:val="21"/>
              </w:rPr>
              <w:t>（1）案例背景模块需要支持自定义包含不限于背景信息、执行介绍、公共政策；</w:t>
            </w:r>
          </w:p>
          <w:p>
            <w:pPr>
              <w:rPr>
                <w:rFonts w:hint="eastAsia" w:ascii="宋体" w:hAnsi="宋体" w:eastAsia="宋体" w:cs="宋体"/>
                <w:sz w:val="21"/>
                <w:szCs w:val="21"/>
              </w:rPr>
            </w:pPr>
            <w:r>
              <w:rPr>
                <w:rFonts w:hint="eastAsia" w:ascii="宋体" w:hAnsi="宋体" w:eastAsia="宋体" w:cs="宋体"/>
                <w:sz w:val="21"/>
                <w:szCs w:val="21"/>
              </w:rPr>
              <w:t>（2）地图系统中需要支持自定义包含不限于地区设置、部门设置；</w:t>
            </w:r>
          </w:p>
          <w:p>
            <w:pPr>
              <w:rPr>
                <w:rFonts w:hint="eastAsia" w:ascii="宋体" w:hAnsi="宋体" w:eastAsia="宋体" w:cs="宋体"/>
                <w:sz w:val="21"/>
                <w:szCs w:val="21"/>
              </w:rPr>
            </w:pPr>
            <w:r>
              <w:rPr>
                <w:rFonts w:hint="eastAsia" w:ascii="宋体" w:hAnsi="宋体" w:eastAsia="宋体" w:cs="宋体"/>
                <w:sz w:val="21"/>
                <w:szCs w:val="21"/>
              </w:rPr>
              <w:t>（3）措施系统中需要支持自定义包含不限于基础设置、措施设置；</w:t>
            </w:r>
          </w:p>
          <w:p>
            <w:pPr>
              <w:rPr>
                <w:rFonts w:hint="eastAsia" w:ascii="宋体" w:hAnsi="宋体" w:eastAsia="宋体" w:cs="宋体"/>
                <w:sz w:val="21"/>
                <w:szCs w:val="21"/>
              </w:rPr>
            </w:pPr>
            <w:r>
              <w:rPr>
                <w:rFonts w:hint="eastAsia" w:ascii="宋体" w:hAnsi="宋体" w:eastAsia="宋体" w:cs="宋体"/>
                <w:sz w:val="21"/>
                <w:szCs w:val="21"/>
              </w:rPr>
              <w:t>（4）指标系统中需要支持自定义包含不限于核心指标、执行指标、措施指标；</w:t>
            </w:r>
          </w:p>
          <w:p>
            <w:pPr>
              <w:rPr>
                <w:rFonts w:hint="eastAsia" w:ascii="宋体" w:hAnsi="宋体" w:eastAsia="宋体" w:cs="宋体"/>
                <w:sz w:val="21"/>
                <w:szCs w:val="21"/>
              </w:rPr>
            </w:pPr>
            <w:r>
              <w:rPr>
                <w:rFonts w:hint="eastAsia" w:ascii="宋体" w:hAnsi="宋体" w:eastAsia="宋体" w:cs="宋体"/>
                <w:sz w:val="21"/>
                <w:szCs w:val="21"/>
              </w:rPr>
              <w:t>（5）变量公式中需要支持自定义包含不限于涵盖所有措施的公式；</w:t>
            </w:r>
          </w:p>
          <w:p>
            <w:pPr>
              <w:rPr>
                <w:rFonts w:hint="eastAsia" w:ascii="宋体" w:hAnsi="宋体" w:eastAsia="宋体" w:cs="宋体"/>
                <w:sz w:val="21"/>
                <w:szCs w:val="21"/>
              </w:rPr>
            </w:pPr>
            <w:r>
              <w:rPr>
                <w:rFonts w:hint="eastAsia" w:ascii="宋体" w:hAnsi="宋体" w:eastAsia="宋体" w:cs="宋体"/>
                <w:sz w:val="21"/>
                <w:szCs w:val="21"/>
              </w:rPr>
              <w:t>（6）事件系统中需要支持自定义包含不限于，措施触发事件、时间触发事件、指标触发事件；</w:t>
            </w:r>
          </w:p>
          <w:p>
            <w:pPr>
              <w:rPr>
                <w:rFonts w:hint="eastAsia" w:ascii="宋体" w:hAnsi="宋体" w:eastAsia="宋体" w:cs="宋体"/>
                <w:sz w:val="21"/>
                <w:szCs w:val="21"/>
              </w:rPr>
            </w:pPr>
            <w:r>
              <w:rPr>
                <w:rFonts w:hint="eastAsia" w:ascii="宋体" w:hAnsi="宋体" w:eastAsia="宋体" w:cs="宋体"/>
                <w:sz w:val="21"/>
                <w:szCs w:val="21"/>
              </w:rPr>
              <w:t>（7）评估系统中需要支持自定义包含不限于评估指标和评估等级；</w:t>
            </w:r>
          </w:p>
          <w:p>
            <w:pPr>
              <w:rPr>
                <w:rFonts w:hint="eastAsia" w:ascii="宋体" w:hAnsi="宋体" w:eastAsia="宋体" w:cs="宋体"/>
                <w:sz w:val="21"/>
                <w:szCs w:val="21"/>
              </w:rPr>
            </w:pPr>
            <w:r>
              <w:rPr>
                <w:rFonts w:hint="eastAsia" w:ascii="宋体" w:hAnsi="宋体" w:eastAsia="宋体" w:cs="宋体"/>
                <w:sz w:val="21"/>
                <w:szCs w:val="21"/>
              </w:rPr>
              <w:t>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3.★软件需要提供至少3个政策执行部门、25个政策执行措施（手段）供招标人组合成不同的执行策略：</w:t>
            </w:r>
          </w:p>
          <w:p>
            <w:pPr>
              <w:rPr>
                <w:rFonts w:hint="eastAsia" w:ascii="宋体" w:hAnsi="宋体" w:eastAsia="宋体" w:cs="宋体"/>
                <w:sz w:val="21"/>
                <w:szCs w:val="21"/>
              </w:rPr>
            </w:pPr>
            <w:r>
              <w:rPr>
                <w:rFonts w:hint="eastAsia" w:ascii="宋体" w:hAnsi="宋体" w:eastAsia="宋体" w:cs="宋体"/>
                <w:sz w:val="21"/>
                <w:szCs w:val="21"/>
              </w:rPr>
              <w:t>（1）其中教育局的执行措施需要包含不限于：挖掘现有教师资源、招聘新教师、创成优质幼儿园；</w:t>
            </w:r>
          </w:p>
          <w:p>
            <w:pPr>
              <w:rPr>
                <w:rFonts w:hint="eastAsia" w:ascii="宋体" w:hAnsi="宋体" w:eastAsia="宋体" w:cs="宋体"/>
                <w:sz w:val="21"/>
                <w:szCs w:val="21"/>
              </w:rPr>
            </w:pPr>
            <w:r>
              <w:rPr>
                <w:rFonts w:hint="eastAsia" w:ascii="宋体" w:hAnsi="宋体" w:eastAsia="宋体" w:cs="宋体"/>
                <w:sz w:val="21"/>
                <w:szCs w:val="21"/>
              </w:rPr>
              <w:t>（2）民政局的执行措施需要包含不限于：加大养老机构建设、开展医养结合服务；</w:t>
            </w:r>
          </w:p>
          <w:p>
            <w:pPr>
              <w:rPr>
                <w:rFonts w:hint="eastAsia" w:ascii="宋体" w:hAnsi="宋体" w:eastAsia="宋体" w:cs="宋体"/>
                <w:sz w:val="21"/>
                <w:szCs w:val="21"/>
              </w:rPr>
            </w:pPr>
            <w:r>
              <w:rPr>
                <w:rFonts w:hint="eastAsia" w:ascii="宋体" w:hAnsi="宋体" w:eastAsia="宋体" w:cs="宋体"/>
                <w:sz w:val="21"/>
                <w:szCs w:val="21"/>
              </w:rPr>
              <w:t>（3）妇幼保健院的执行措施需要包含不限于：建立产妇重症救治中心、成立产前管制中心；</w:t>
            </w:r>
          </w:p>
          <w:p>
            <w:pPr>
              <w:rPr>
                <w:rFonts w:hint="eastAsia" w:ascii="宋体" w:hAnsi="宋体" w:eastAsia="宋体" w:cs="宋体"/>
                <w:sz w:val="21"/>
                <w:szCs w:val="21"/>
              </w:rPr>
            </w:pPr>
            <w:r>
              <w:rPr>
                <w:rFonts w:hint="eastAsia" w:ascii="宋体" w:hAnsi="宋体" w:eastAsia="宋体" w:cs="宋体"/>
                <w:sz w:val="21"/>
                <w:szCs w:val="21"/>
              </w:rPr>
              <w:t>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4.软件需要支持模拟政策执行过程，支持招标人实验中制定政策发展策略；包括不限于在医院部门执行操作时，支持通过调配政策执行权威资源和财政资源，操作扩增产科床位、接产机构人才激励机制、培训全科医生措施达到政策执行目标；</w:t>
            </w:r>
          </w:p>
          <w:p>
            <w:pPr>
              <w:rPr>
                <w:rFonts w:hint="eastAsia" w:ascii="宋体" w:hAnsi="宋体" w:eastAsia="宋体" w:cs="宋体"/>
                <w:sz w:val="21"/>
                <w:szCs w:val="21"/>
              </w:rPr>
            </w:pPr>
            <w:r>
              <w:rPr>
                <w:rFonts w:hint="eastAsia" w:ascii="宋体" w:hAnsi="宋体" w:eastAsia="宋体" w:cs="宋体"/>
                <w:sz w:val="21"/>
                <w:szCs w:val="21"/>
              </w:rPr>
              <w:t>5.需要支持招标人实施政策措施后，具备实时反馈政策执行结果数据能力，展示消耗权威资源保障、固定花费（财政资源）、实施时间；</w:t>
            </w:r>
          </w:p>
          <w:p>
            <w:pPr>
              <w:rPr>
                <w:rFonts w:hint="eastAsia" w:ascii="宋体" w:hAnsi="宋体" w:eastAsia="宋体" w:cs="宋体"/>
                <w:sz w:val="21"/>
                <w:szCs w:val="21"/>
              </w:rPr>
            </w:pPr>
            <w:r>
              <w:rPr>
                <w:rFonts w:hint="eastAsia" w:ascii="宋体" w:hAnsi="宋体" w:eastAsia="宋体" w:cs="宋体"/>
                <w:sz w:val="21"/>
                <w:szCs w:val="21"/>
              </w:rPr>
              <w:t>6.需要支持招标人自由调整执行措施强度，并支持实时查看不同强度下关联指标的变化；</w:t>
            </w:r>
          </w:p>
          <w:p>
            <w:pPr>
              <w:rPr>
                <w:rFonts w:hint="eastAsia" w:ascii="宋体" w:hAnsi="宋体" w:eastAsia="宋体" w:cs="宋体"/>
                <w:sz w:val="21"/>
                <w:szCs w:val="21"/>
              </w:rPr>
            </w:pPr>
            <w:r>
              <w:rPr>
                <w:rFonts w:hint="eastAsia" w:ascii="宋体" w:hAnsi="宋体" w:eastAsia="宋体" w:cs="宋体"/>
                <w:sz w:val="21"/>
                <w:szCs w:val="21"/>
              </w:rPr>
              <w:t>7.数据监测功能需要支持数据呈现招标人操作路径，包括不限于目标人群满意度、意愿人数、登记人数、生育人数、措施、事件、反馈信息；</w:t>
            </w:r>
          </w:p>
          <w:p>
            <w:pPr>
              <w:rPr>
                <w:rFonts w:hint="eastAsia" w:ascii="宋体" w:hAnsi="宋体" w:eastAsia="宋体" w:cs="宋体"/>
                <w:sz w:val="21"/>
                <w:szCs w:val="21"/>
              </w:rPr>
            </w:pPr>
            <w:r>
              <w:rPr>
                <w:rFonts w:hint="eastAsia" w:ascii="宋体" w:hAnsi="宋体" w:eastAsia="宋体" w:cs="宋体"/>
                <w:sz w:val="21"/>
                <w:szCs w:val="21"/>
              </w:rPr>
              <w:t>8.需要支持招标人实验完成后，系统自动生成执行力评级报告；</w:t>
            </w:r>
          </w:p>
          <w:p>
            <w:pPr>
              <w:rPr>
                <w:rFonts w:hint="eastAsia" w:ascii="宋体" w:hAnsi="宋体" w:eastAsia="宋体" w:cs="宋体"/>
                <w:sz w:val="21"/>
                <w:szCs w:val="21"/>
              </w:rPr>
            </w:pPr>
            <w:r>
              <w:rPr>
                <w:rFonts w:hint="eastAsia" w:ascii="宋体" w:hAnsi="宋体" w:eastAsia="宋体" w:cs="宋体"/>
                <w:sz w:val="21"/>
                <w:szCs w:val="21"/>
              </w:rPr>
              <w:t>9.★实验管理功能需要支持根据课时需要，自主设置实训时长，支持设置是否允许学生角色下载报告，可选择对单个角色/单个班级/多个班级分配实验；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10.实验结束后平台需要支持对实验结果进行智能评分，自动生成实验报告，支持下载查看报告；实验报告封面需要包含不限于实验参与者的基本信息、实验案例基本信息，报告结构需要包含基本信息、报告信息、分数反馈、政策介绍、评估说明、操作详情；</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、要求厂商具有自主研发能力，可以根据用户最终需求进行合理化调整</w:t>
            </w:r>
          </w:p>
        </w:tc>
        <w:tc>
          <w:tcPr>
            <w:tcW w:w="813"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68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23" w:type="dxa"/>
            <w:vAlign w:val="center"/>
          </w:tcPr>
          <w:p>
            <w:pPr>
              <w:spacing w:beforeLines="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智慧政务实验教学平台软件</w:t>
            </w:r>
          </w:p>
        </w:tc>
        <w:tc>
          <w:tcPr>
            <w:tcW w:w="8918" w:type="dxa"/>
            <w:vAlign w:val="center"/>
          </w:tcPr>
          <w:p>
            <w:pPr>
              <w:rPr>
                <w:rFonts w:hint="eastAsia" w:ascii="宋体" w:hAnsi="宋体" w:eastAsia="宋体" w:cs="宋体"/>
                <w:sz w:val="21"/>
                <w:szCs w:val="21"/>
              </w:rPr>
            </w:pPr>
            <w:r>
              <w:rPr>
                <w:rFonts w:hint="eastAsia" w:ascii="宋体" w:hAnsi="宋体" w:eastAsia="宋体" w:cs="宋体"/>
                <w:sz w:val="21"/>
                <w:szCs w:val="21"/>
              </w:rPr>
              <w:t>第一部分：技术要求</w:t>
            </w:r>
          </w:p>
          <w:p>
            <w:pPr>
              <w:rPr>
                <w:rFonts w:hint="eastAsia" w:ascii="宋体" w:hAnsi="宋体" w:eastAsia="宋体" w:cs="宋体"/>
                <w:sz w:val="21"/>
                <w:szCs w:val="21"/>
              </w:rPr>
            </w:pPr>
            <w:r>
              <w:rPr>
                <w:rFonts w:hint="eastAsia" w:ascii="宋体" w:hAnsi="宋体" w:eastAsia="宋体" w:cs="宋体"/>
                <w:sz w:val="21"/>
                <w:szCs w:val="21"/>
              </w:rPr>
              <w:t>1．B/S架构，支持至少120人并发访问</w:t>
            </w:r>
          </w:p>
          <w:p>
            <w:pPr>
              <w:rPr>
                <w:rFonts w:hint="eastAsia" w:ascii="宋体" w:hAnsi="宋体" w:eastAsia="宋体" w:cs="宋体"/>
                <w:sz w:val="21"/>
                <w:szCs w:val="21"/>
              </w:rPr>
            </w:pPr>
            <w:r>
              <w:rPr>
                <w:rFonts w:hint="eastAsia" w:ascii="宋体" w:hAnsi="宋体" w:eastAsia="宋体" w:cs="宋体"/>
                <w:sz w:val="21"/>
                <w:szCs w:val="21"/>
              </w:rPr>
              <w:t>2．使用的技术或架构:java web;spring;html5;unity3D等</w:t>
            </w:r>
          </w:p>
          <w:p>
            <w:pPr>
              <w:rPr>
                <w:rFonts w:hint="eastAsia" w:ascii="宋体" w:hAnsi="宋体" w:eastAsia="宋体" w:cs="宋体"/>
                <w:sz w:val="21"/>
                <w:szCs w:val="21"/>
              </w:rPr>
            </w:pPr>
            <w:r>
              <w:rPr>
                <w:rFonts w:hint="eastAsia" w:ascii="宋体" w:hAnsi="宋体" w:eastAsia="宋体" w:cs="宋体"/>
                <w:sz w:val="21"/>
                <w:szCs w:val="21"/>
              </w:rPr>
              <w:t>第二部分：功能要求</w:t>
            </w:r>
          </w:p>
          <w:p>
            <w:pPr>
              <w:rPr>
                <w:rFonts w:hint="eastAsia" w:ascii="宋体" w:hAnsi="宋体" w:eastAsia="宋体" w:cs="宋体"/>
                <w:sz w:val="21"/>
                <w:szCs w:val="21"/>
              </w:rPr>
            </w:pPr>
            <w:r>
              <w:rPr>
                <w:rFonts w:hint="eastAsia" w:ascii="宋体" w:hAnsi="宋体" w:eastAsia="宋体" w:cs="宋体"/>
                <w:sz w:val="21"/>
                <w:szCs w:val="21"/>
              </w:rPr>
              <w:t>1．智慧政务实验教学平台软件包含管理员、教师和学生三个端口，不同端口管理权限不同：管理员端口支持用户管理、班级管理、实验管理、报告管理、自定义和资料中心，资料中心包含学习资料、专业名词、网络链接；教师端口支持用户管理、班级管理、实验管理、报告管理、自定义和资料中心；学生端口包括实验报告、实训演练、资料中心、通知消息。</w:t>
            </w:r>
          </w:p>
          <w:p>
            <w:pPr>
              <w:rPr>
                <w:rFonts w:hint="eastAsia" w:ascii="宋体" w:hAnsi="宋体" w:eastAsia="宋体" w:cs="宋体"/>
                <w:sz w:val="21"/>
                <w:szCs w:val="21"/>
              </w:rPr>
            </w:pPr>
            <w:r>
              <w:rPr>
                <w:rFonts w:hint="eastAsia" w:ascii="宋体" w:hAnsi="宋体" w:eastAsia="宋体" w:cs="宋体"/>
                <w:sz w:val="21"/>
                <w:szCs w:val="21"/>
              </w:rPr>
              <w:t>2．案例涵盖上海市、江苏省、广东省等地区的智慧政务建设真实数据。</w:t>
            </w:r>
          </w:p>
          <w:p>
            <w:pPr>
              <w:rPr>
                <w:rFonts w:hint="eastAsia" w:ascii="宋体" w:hAnsi="宋体" w:eastAsia="宋体" w:cs="宋体"/>
                <w:sz w:val="21"/>
                <w:szCs w:val="21"/>
              </w:rPr>
            </w:pPr>
            <w:r>
              <w:rPr>
                <w:rFonts w:hint="eastAsia" w:ascii="宋体" w:hAnsi="宋体" w:eastAsia="宋体" w:cs="宋体"/>
                <w:sz w:val="21"/>
                <w:szCs w:val="21"/>
              </w:rPr>
              <w:t>3．软件采用第一人称情景模拟的形式，学生角色扮演行政管理体制改革领导小组，模拟职能部门改造、政务流程改造和社区全局改造，进行地区政务治理。学生完成内部流程改造、外部流程改造和地区系统工具改造，影响财政资金、公众满意度、政府管理效率、跑动次数等指标变化，最终作为学生评价依据。</w:t>
            </w:r>
          </w:p>
          <w:p>
            <w:pPr>
              <w:rPr>
                <w:rFonts w:hint="eastAsia" w:ascii="宋体" w:hAnsi="宋体" w:eastAsia="宋体" w:cs="宋体"/>
                <w:sz w:val="21"/>
                <w:szCs w:val="21"/>
              </w:rPr>
            </w:pPr>
            <w:r>
              <w:rPr>
                <w:rFonts w:hint="eastAsia" w:ascii="宋体" w:hAnsi="宋体" w:eastAsia="宋体" w:cs="宋体"/>
                <w:sz w:val="21"/>
                <w:szCs w:val="21"/>
              </w:rPr>
              <w:t>4．</w:t>
            </w:r>
            <w:r>
              <w:rPr>
                <w:rFonts w:hint="eastAsia" w:ascii="仿宋" w:hAnsi="仿宋" w:eastAsia="仿宋" w:cs="仿宋"/>
                <w:color w:val="auto"/>
                <w:sz w:val="21"/>
                <w:szCs w:val="21"/>
              </w:rPr>
              <w:t>▲</w:t>
            </w:r>
            <w:r>
              <w:rPr>
                <w:rFonts w:hint="eastAsia" w:ascii="宋体" w:hAnsi="宋体" w:eastAsia="宋体" w:cs="宋体"/>
                <w:sz w:val="21"/>
                <w:szCs w:val="21"/>
              </w:rPr>
              <w:t>学生可通过职能部门进行内部业务重组，根据案例背景和业务描述进行业务的删除、合并和并联，提升业务效率相关指标；在外部流程改造步骤，学生可按照政策事件引导，结合案例背景分析，调整业务办理顺序等操作，对部门间业务流转进行升级。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5．职能部门改造涵盖：税务局、市场监督管理局、公安局、教育局、房地产股交易中心、消防局、卫生健康局、文化广电旅游局、烟草专卖局、人力资源和社会保障局、社会保险基金管理局等。</w:t>
            </w:r>
          </w:p>
          <w:p>
            <w:pPr>
              <w:rPr>
                <w:rFonts w:hint="eastAsia" w:ascii="宋体" w:hAnsi="宋体" w:eastAsia="宋体" w:cs="宋体"/>
                <w:sz w:val="21"/>
                <w:szCs w:val="21"/>
              </w:rPr>
            </w:pPr>
            <w:r>
              <w:rPr>
                <w:rFonts w:hint="eastAsia" w:ascii="宋体" w:hAnsi="宋体" w:eastAsia="宋体" w:cs="宋体"/>
                <w:sz w:val="21"/>
                <w:szCs w:val="21"/>
              </w:rPr>
              <w:t>6．</w:t>
            </w:r>
            <w:r>
              <w:rPr>
                <w:rFonts w:hint="eastAsia" w:ascii="仿宋" w:hAnsi="仿宋" w:eastAsia="仿宋" w:cs="仿宋"/>
                <w:color w:val="auto"/>
                <w:sz w:val="21"/>
                <w:szCs w:val="21"/>
              </w:rPr>
              <w:t>▲</w:t>
            </w:r>
            <w:r>
              <w:rPr>
                <w:rFonts w:hint="eastAsia" w:ascii="宋体" w:hAnsi="宋体" w:eastAsia="宋体" w:cs="宋体"/>
                <w:sz w:val="21"/>
                <w:szCs w:val="21"/>
              </w:rPr>
              <w:t>学生可通过购买和部署政务工具模拟政务建设。政务工具类型：部门、流程、全局，其中根据案例可设定正向工具和反向工具。部门工具：人员培训、在线业务绩效考评、AB岗工作制、办公自动化等；流程工具：电子签章制、业务流程再造、好差评制度、打包审批等；全局工具：政民互动平台、移动政务直播、清单管理制度、数据共享、信息安全管理等。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7．流程再造环节，学生对G2B电子政务模式的企业注册、企业注销、开设餐饮店等，G2C电子政务模式的房地产交易、落户审批、生育登记、医保清算、城乡居民保险、失业登记等流程进行设计，促进流程效率的提升。</w:t>
            </w:r>
          </w:p>
          <w:p>
            <w:pPr>
              <w:rPr>
                <w:rFonts w:hint="eastAsia" w:ascii="宋体" w:hAnsi="宋体" w:eastAsia="宋体" w:cs="宋体"/>
                <w:sz w:val="21"/>
                <w:szCs w:val="21"/>
              </w:rPr>
            </w:pPr>
            <w:r>
              <w:rPr>
                <w:rFonts w:hint="eastAsia" w:ascii="宋体" w:hAnsi="宋体" w:eastAsia="宋体" w:cs="宋体"/>
                <w:sz w:val="21"/>
                <w:szCs w:val="21"/>
              </w:rPr>
              <w:t>8．系统设置初始的投资成本，学生在优化决策时对人力、物力、技术、时间等进行分配，使政务治理效果最大化。</w:t>
            </w:r>
          </w:p>
          <w:p>
            <w:pPr>
              <w:rPr>
                <w:rFonts w:hint="eastAsia" w:ascii="宋体" w:hAnsi="宋体" w:eastAsia="宋体" w:cs="宋体"/>
                <w:sz w:val="21"/>
                <w:szCs w:val="21"/>
              </w:rPr>
            </w:pPr>
            <w:r>
              <w:rPr>
                <w:rFonts w:hint="eastAsia" w:ascii="宋体" w:hAnsi="宋体" w:eastAsia="宋体" w:cs="宋体"/>
                <w:sz w:val="21"/>
                <w:szCs w:val="21"/>
              </w:rPr>
              <w:t>9．系统内置知识答题库，包括单选题和判断题，题目按照时间逐个释放，学生答对可赚取资金，作为政务改造的资金成本。</w:t>
            </w:r>
          </w:p>
          <w:p>
            <w:pPr>
              <w:rPr>
                <w:rFonts w:hint="eastAsia" w:ascii="宋体" w:hAnsi="宋体" w:eastAsia="宋体" w:cs="宋体"/>
                <w:sz w:val="21"/>
                <w:szCs w:val="21"/>
              </w:rPr>
            </w:pPr>
            <w:r>
              <w:rPr>
                <w:rFonts w:hint="eastAsia" w:ascii="宋体" w:hAnsi="宋体" w:eastAsia="宋体" w:cs="宋体"/>
                <w:sz w:val="21"/>
                <w:szCs w:val="21"/>
              </w:rPr>
              <w:t>10．学生实验结束后平台对实验结果进行智能评分，自动生成学生实验报告，教师可下载查看报告；实验报告封面包含学生的基本信息、实验案例基本信息，报告结构包含案例背景、考核点信息、参考答案、指标变化、实验得分、建议。</w:t>
            </w:r>
          </w:p>
          <w:p>
            <w:pPr>
              <w:rPr>
                <w:rFonts w:hint="eastAsia" w:ascii="宋体" w:hAnsi="宋体" w:eastAsia="宋体" w:cs="宋体"/>
                <w:color w:val="auto"/>
                <w:sz w:val="21"/>
                <w:szCs w:val="21"/>
              </w:rPr>
            </w:pPr>
            <w:r>
              <w:rPr>
                <w:rFonts w:hint="eastAsia" w:ascii="宋体" w:hAnsi="宋体" w:eastAsia="宋体" w:cs="宋体"/>
                <w:sz w:val="21"/>
                <w:szCs w:val="21"/>
              </w:rPr>
              <w:t>11．教师可进行实验自定义，自行创建编辑具有特色的案例，通过文字描述的编辑和函数公式逻辑的编辑对基本信息、地图系统、业务系统、工具系统、任务系统、指标系统、事件系统和评分</w:t>
            </w:r>
            <w:r>
              <w:rPr>
                <w:rFonts w:hint="eastAsia" w:ascii="宋体" w:hAnsi="宋体" w:eastAsia="宋体" w:cs="宋体"/>
                <w:color w:val="auto"/>
                <w:sz w:val="21"/>
                <w:szCs w:val="21"/>
              </w:rPr>
              <w:t>系统进行新建。</w:t>
            </w:r>
          </w:p>
          <w:p>
            <w:pPr>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仿宋" w:hAnsi="仿宋" w:eastAsia="仿宋" w:cs="仿宋"/>
                <w:color w:val="auto"/>
                <w:sz w:val="21"/>
                <w:szCs w:val="21"/>
              </w:rPr>
              <w:t>▲</w:t>
            </w:r>
            <w:r>
              <w:rPr>
                <w:rFonts w:hint="eastAsia" w:ascii="宋体" w:hAnsi="宋体" w:eastAsia="宋体" w:cs="宋体"/>
                <w:color w:val="auto"/>
                <w:sz w:val="21"/>
                <w:szCs w:val="21"/>
              </w:rPr>
              <w:t>政务工具系统有各自属性，每个工具作为元素通过函数计算公式作用于指标，指标变化后，可触发满足相应指标条件的随机事件；教师可自主添加新的政务工具和指标变化规则，丰富游戏过程。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color w:val="auto"/>
                <w:sz w:val="21"/>
                <w:szCs w:val="21"/>
              </w:rPr>
              <w:t>13．</w:t>
            </w:r>
            <w:r>
              <w:rPr>
                <w:rFonts w:hint="eastAsia" w:ascii="仿宋" w:hAnsi="仿宋" w:eastAsia="仿宋" w:cs="仿宋"/>
                <w:color w:val="auto"/>
                <w:sz w:val="21"/>
                <w:szCs w:val="21"/>
              </w:rPr>
              <w:t>▲</w:t>
            </w:r>
            <w:r>
              <w:rPr>
                <w:rFonts w:hint="eastAsia" w:ascii="宋体" w:hAnsi="宋体" w:eastAsia="宋体" w:cs="宋体"/>
                <w:color w:val="auto"/>
                <w:sz w:val="21"/>
                <w:szCs w:val="21"/>
              </w:rPr>
              <w:t>教师端自定义支持随机事件添加，事件系统分为两类，一类为系统预设突发事件，即在特实验时</w:t>
            </w:r>
            <w:r>
              <w:rPr>
                <w:rFonts w:hint="eastAsia" w:ascii="宋体" w:hAnsi="宋体" w:eastAsia="宋体" w:cs="宋体"/>
                <w:sz w:val="21"/>
                <w:szCs w:val="21"/>
              </w:rPr>
              <w:t>间触发，一类为元素属性值到达某一阈值时触发事件。注：该功能需提供系统功能截图或说明书等证明材料加盖投标人单位公章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14．教师可进行学生信息编辑，导入和删除，可批量上传也可单个上传。</w:t>
            </w:r>
          </w:p>
          <w:p>
            <w:pPr>
              <w:rPr>
                <w:rFonts w:hint="eastAsia" w:ascii="宋体" w:hAnsi="宋体" w:eastAsia="宋体" w:cs="宋体"/>
                <w:sz w:val="21"/>
                <w:szCs w:val="21"/>
              </w:rPr>
            </w:pPr>
            <w:r>
              <w:rPr>
                <w:rFonts w:hint="eastAsia" w:ascii="宋体" w:hAnsi="宋体" w:eastAsia="宋体" w:cs="宋体"/>
                <w:sz w:val="21"/>
                <w:szCs w:val="21"/>
              </w:rPr>
              <w:t>15．教师可通过报告管理查看学生实验状态（进行中、已结束），支持教师单个/批量下载学生实验报告；同时可按班级下载学生成绩统计Excel表，表格中包含班级内学生各指标得分、实训总分、班级平均分等信息。</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、要求厂商具有自主研发能力，可以根据用户最终需求进行合理化调整</w:t>
            </w:r>
          </w:p>
        </w:tc>
        <w:tc>
          <w:tcPr>
            <w:tcW w:w="813"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681" w:type="dxa"/>
            <w:vAlign w:val="center"/>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23" w:type="dxa"/>
            <w:vAlign w:val="center"/>
          </w:tcPr>
          <w:p>
            <w:pPr>
              <w:spacing w:beforeLines="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公共部门人力资源平台软件</w:t>
            </w:r>
          </w:p>
        </w:tc>
        <w:tc>
          <w:tcPr>
            <w:tcW w:w="8918" w:type="dxa"/>
            <w:vAlign w:val="center"/>
          </w:tcPr>
          <w:p>
            <w:pPr>
              <w:rPr>
                <w:rFonts w:hint="eastAsia" w:ascii="宋体" w:hAnsi="宋体" w:eastAsia="宋体" w:cs="宋体"/>
                <w:sz w:val="21"/>
                <w:szCs w:val="21"/>
              </w:rPr>
            </w:pPr>
            <w:r>
              <w:rPr>
                <w:rFonts w:hint="eastAsia" w:ascii="宋体" w:hAnsi="宋体" w:eastAsia="宋体" w:cs="宋体"/>
                <w:sz w:val="21"/>
                <w:szCs w:val="21"/>
              </w:rPr>
              <w:t>第一部分：技术要求</w:t>
            </w:r>
          </w:p>
          <w:p>
            <w:pPr>
              <w:rPr>
                <w:rFonts w:hint="eastAsia" w:ascii="宋体" w:hAnsi="宋体" w:eastAsia="宋体" w:cs="宋体"/>
                <w:sz w:val="21"/>
                <w:szCs w:val="21"/>
              </w:rPr>
            </w:pPr>
            <w:r>
              <w:rPr>
                <w:rFonts w:hint="eastAsia" w:ascii="宋体" w:hAnsi="宋体" w:eastAsia="宋体" w:cs="宋体"/>
                <w:sz w:val="21"/>
                <w:szCs w:val="21"/>
              </w:rPr>
              <w:t>1.软件为B/S架构，可以支持500人并发访问。</w:t>
            </w:r>
          </w:p>
          <w:p>
            <w:pPr>
              <w:rPr>
                <w:rFonts w:hint="eastAsia" w:ascii="宋体" w:hAnsi="宋体" w:eastAsia="宋体" w:cs="宋体"/>
                <w:sz w:val="21"/>
                <w:szCs w:val="21"/>
              </w:rPr>
            </w:pPr>
            <w:r>
              <w:rPr>
                <w:rFonts w:hint="eastAsia" w:ascii="宋体" w:hAnsi="宋体" w:eastAsia="宋体" w:cs="宋体"/>
                <w:sz w:val="21"/>
                <w:szCs w:val="21"/>
              </w:rPr>
              <w:t>2.软件开发使用的技术有:java web;spring;html5;unity3D等。</w:t>
            </w:r>
          </w:p>
          <w:p>
            <w:pPr>
              <w:rPr>
                <w:rFonts w:hint="eastAsia" w:ascii="宋体" w:hAnsi="宋体" w:eastAsia="宋体" w:cs="宋体"/>
                <w:sz w:val="21"/>
                <w:szCs w:val="21"/>
              </w:rPr>
            </w:pPr>
            <w:r>
              <w:rPr>
                <w:rFonts w:hint="eastAsia" w:ascii="宋体" w:hAnsi="宋体" w:eastAsia="宋体" w:cs="宋体"/>
                <w:sz w:val="21"/>
                <w:szCs w:val="21"/>
              </w:rPr>
              <w:t>第二部分：功能要求</w:t>
            </w:r>
          </w:p>
          <w:p>
            <w:pPr>
              <w:rPr>
                <w:rFonts w:hint="eastAsia" w:ascii="宋体" w:hAnsi="宋体" w:eastAsia="宋体" w:cs="宋体"/>
                <w:sz w:val="21"/>
                <w:szCs w:val="21"/>
                <w:lang w:val="en-US" w:eastAsia="zh-CN"/>
              </w:rPr>
            </w:pPr>
            <w:r>
              <w:rPr>
                <w:rFonts w:hint="eastAsia" w:ascii="宋体" w:hAnsi="宋体" w:eastAsia="宋体" w:cs="宋体"/>
                <w:sz w:val="21"/>
                <w:szCs w:val="21"/>
              </w:rPr>
              <w:t>软件分为</w:t>
            </w:r>
            <w:r>
              <w:rPr>
                <w:rFonts w:hint="eastAsia" w:ascii="宋体" w:hAnsi="宋体" w:eastAsia="宋体" w:cs="宋体"/>
                <w:sz w:val="21"/>
                <w:szCs w:val="21"/>
                <w:lang w:val="en-US" w:eastAsia="zh-CN"/>
              </w:rPr>
              <w:t>两个模块构成，模块一：公共部门绩效管理实训平台；模块二：公共部门录用与甄选平台软件</w:t>
            </w:r>
          </w:p>
          <w:p>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模块一：公共部门绩效管理实训平台</w:t>
            </w:r>
          </w:p>
          <w:p>
            <w:pPr>
              <w:rPr>
                <w:rFonts w:hint="eastAsia" w:ascii="宋体" w:hAnsi="宋体" w:eastAsia="宋体" w:cs="宋体"/>
                <w:sz w:val="21"/>
                <w:szCs w:val="21"/>
              </w:rPr>
            </w:pPr>
            <w:r>
              <w:rPr>
                <w:rFonts w:hint="eastAsia" w:ascii="宋体" w:hAnsi="宋体" w:eastAsia="宋体" w:cs="宋体"/>
                <w:sz w:val="21"/>
                <w:szCs w:val="21"/>
              </w:rPr>
              <w:t>公共部门绩效管理实训平台以实践案例为基本素材，搭建公共部门绩效考核的实际场景，通过</w:t>
            </w:r>
            <w:r>
              <w:rPr>
                <w:rFonts w:hint="eastAsia" w:ascii="宋体" w:hAnsi="宋体" w:eastAsia="宋体" w:cs="宋体"/>
                <w:sz w:val="21"/>
                <w:szCs w:val="21"/>
                <w:lang w:eastAsia="zh-CN"/>
              </w:rPr>
              <w:t>动画</w:t>
            </w:r>
            <w:r>
              <w:rPr>
                <w:rFonts w:hint="eastAsia" w:ascii="宋体" w:hAnsi="宋体" w:eastAsia="宋体" w:cs="宋体"/>
                <w:sz w:val="21"/>
                <w:szCs w:val="21"/>
              </w:rPr>
              <w:t>等生动的形式让学生掌握绩效考核的要点和内容。</w:t>
            </w:r>
          </w:p>
          <w:p>
            <w:pPr>
              <w:rPr>
                <w:rFonts w:hint="eastAsia" w:ascii="宋体" w:hAnsi="宋体" w:eastAsia="宋体" w:cs="宋体"/>
                <w:sz w:val="21"/>
                <w:szCs w:val="21"/>
              </w:rPr>
            </w:pPr>
            <w:r>
              <w:rPr>
                <w:rFonts w:hint="eastAsia" w:ascii="宋体" w:hAnsi="宋体" w:eastAsia="宋体" w:cs="宋体"/>
                <w:sz w:val="21"/>
                <w:szCs w:val="21"/>
              </w:rPr>
              <w:t>1.公共部门绩效管理实训平台软件包含管理员、教师和学生三个端口，不同端口管理权限不同：管理员端口支持用户管理、班级管理、实验管理、报告管理、资料中心和自定义，资料中心包含学习资料、专业名词、网络链接；教师端口支持班级管理、实验管理、报告管理、资料中心、自定义和审核；学生端口支持开展绩效管理模拟实训、平衡计分卡和360度评估法实训和案例自定义，包括资料中心和私信功能；</w:t>
            </w:r>
          </w:p>
          <w:p>
            <w:pPr>
              <w:rPr>
                <w:rFonts w:hint="eastAsia" w:ascii="宋体" w:hAnsi="宋体" w:eastAsia="宋体" w:cs="宋体"/>
                <w:color w:val="auto"/>
                <w:sz w:val="21"/>
                <w:szCs w:val="21"/>
              </w:rPr>
            </w:pPr>
            <w:r>
              <w:rPr>
                <w:rFonts w:hint="eastAsia" w:ascii="宋体" w:hAnsi="宋体" w:eastAsia="宋体" w:cs="宋体"/>
                <w:sz w:val="21"/>
                <w:szCs w:val="21"/>
              </w:rPr>
              <w:t>2.</w:t>
            </w:r>
            <w:r>
              <w:rPr>
                <w:rFonts w:hint="eastAsia" w:ascii="仿宋" w:hAnsi="仿宋" w:eastAsia="仿宋" w:cs="仿宋"/>
                <w:color w:val="auto"/>
                <w:sz w:val="21"/>
                <w:szCs w:val="21"/>
              </w:rPr>
              <w:t>▲</w:t>
            </w:r>
            <w:r>
              <w:rPr>
                <w:rFonts w:hint="eastAsia" w:ascii="宋体" w:hAnsi="宋体" w:eastAsia="宋体" w:cs="宋体"/>
                <w:color w:val="auto"/>
                <w:sz w:val="21"/>
                <w:szCs w:val="21"/>
              </w:rPr>
              <w:t>支持实训案例和案例自定义：实训案例中，教师可分配系统提供的实训案例；案例自定义中，老师可自主创建并编辑案例流程；同时支持学生自定义案例，可选择案例模式、编辑案例名称、案例背景和案例内容，预览案例并提交教师进行审核；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3.软件包括绩效管理模拟实训和评估方法专项实训两种模式；</w:t>
            </w:r>
          </w:p>
          <w:p>
            <w:pPr>
              <w:rPr>
                <w:rFonts w:hint="eastAsia" w:ascii="宋体" w:hAnsi="宋体" w:eastAsia="宋体" w:cs="宋体"/>
                <w:color w:val="auto"/>
                <w:sz w:val="21"/>
                <w:szCs w:val="21"/>
              </w:rPr>
            </w:pPr>
            <w:r>
              <w:rPr>
                <w:rFonts w:hint="eastAsia" w:ascii="宋体" w:hAnsi="宋体" w:eastAsia="宋体" w:cs="宋体"/>
                <w:color w:val="auto"/>
                <w:sz w:val="21"/>
                <w:szCs w:val="21"/>
              </w:rPr>
              <w:t>4.绩效模拟实训包括：案例背景、绩效计划、绩效实施、绩效评估、绩效反馈五大主流程，以及案例背景、设定绩效目标、选定考核方法、选定考评主体、设定绩效考核标准、设置权重、审核公示、绩效沟通、绩效调整、成果认定、评分、结果确认等若干子流程。</w:t>
            </w:r>
          </w:p>
          <w:p>
            <w:pPr>
              <w:rPr>
                <w:rFonts w:hint="eastAsia" w:ascii="宋体" w:hAnsi="宋体" w:eastAsia="宋体" w:cs="宋体"/>
                <w:color w:val="auto"/>
                <w:sz w:val="21"/>
                <w:szCs w:val="21"/>
              </w:rPr>
            </w:pPr>
            <w:r>
              <w:rPr>
                <w:rFonts w:hint="eastAsia" w:ascii="宋体" w:hAnsi="宋体" w:eastAsia="宋体" w:cs="宋体"/>
                <w:color w:val="auto"/>
                <w:sz w:val="21"/>
                <w:szCs w:val="21"/>
              </w:rPr>
              <w:t>5.评估方法专项实训包括：平衡计分卡和360度评估法，且评估方法中涉及SWOT分析法、层次分析法的应用；</w:t>
            </w:r>
          </w:p>
          <w:p>
            <w:pPr>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仿宋" w:hAnsi="仿宋" w:eastAsia="仿宋" w:cs="仿宋"/>
                <w:color w:val="auto"/>
                <w:sz w:val="21"/>
                <w:szCs w:val="21"/>
              </w:rPr>
              <w:t>▲</w:t>
            </w:r>
            <w:r>
              <w:rPr>
                <w:rFonts w:hint="eastAsia" w:ascii="宋体" w:hAnsi="宋体" w:eastAsia="宋体" w:cs="宋体"/>
                <w:color w:val="auto"/>
                <w:sz w:val="21"/>
                <w:szCs w:val="21"/>
              </w:rPr>
              <w:t>实训模拟包含阶段索引，可快速查询跳转至所在步骤；注：该功能需提供系统功能截图或说明书等证明材料加盖投标人单位公章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color w:val="auto"/>
                <w:sz w:val="21"/>
                <w:szCs w:val="21"/>
              </w:rPr>
              <w:t>7.</w:t>
            </w:r>
            <w:r>
              <w:rPr>
                <w:rFonts w:hint="eastAsia" w:ascii="仿宋" w:hAnsi="仿宋" w:eastAsia="仿宋" w:cs="仿宋"/>
                <w:color w:val="auto"/>
                <w:sz w:val="21"/>
                <w:szCs w:val="21"/>
              </w:rPr>
              <w:t>▲</w:t>
            </w:r>
            <w:r>
              <w:rPr>
                <w:rFonts w:hint="eastAsia" w:ascii="宋体" w:hAnsi="宋体" w:eastAsia="宋体" w:cs="宋体"/>
                <w:color w:val="auto"/>
                <w:sz w:val="21"/>
                <w:szCs w:val="21"/>
              </w:rPr>
              <w:t>绩</w:t>
            </w:r>
            <w:r>
              <w:rPr>
                <w:rFonts w:hint="eastAsia" w:ascii="宋体" w:hAnsi="宋体" w:eastAsia="宋体" w:cs="宋体"/>
                <w:sz w:val="21"/>
                <w:szCs w:val="21"/>
              </w:rPr>
              <w:t>效模拟实训软件包含多个</w:t>
            </w:r>
            <w:r>
              <w:rPr>
                <w:rFonts w:hint="eastAsia" w:ascii="宋体" w:hAnsi="宋体" w:eastAsia="宋体" w:cs="宋体"/>
                <w:sz w:val="21"/>
                <w:szCs w:val="21"/>
                <w:lang w:val="en-US" w:eastAsia="zh-CN"/>
              </w:rPr>
              <w:t>动画</w:t>
            </w:r>
            <w:r>
              <w:rPr>
                <w:rFonts w:hint="eastAsia" w:ascii="宋体" w:hAnsi="宋体" w:eastAsia="宋体" w:cs="宋体"/>
                <w:sz w:val="21"/>
                <w:szCs w:val="21"/>
              </w:rPr>
              <w:t>（审核公示阶段、绩效沟通阶段、绩效调整阶段、结果确认阶段），以场景化的形式帮助学生进行实训；注：该功能需提供系统功能截图或说明书等证明材料加盖投标人单位公章</w:t>
            </w:r>
          </w:p>
          <w:p>
            <w:pPr>
              <w:rPr>
                <w:rFonts w:hint="eastAsia" w:ascii="宋体" w:hAnsi="宋体" w:eastAsia="宋体" w:cs="宋体"/>
                <w:sz w:val="21"/>
                <w:szCs w:val="21"/>
              </w:rPr>
            </w:pPr>
            <w:r>
              <w:rPr>
                <w:rFonts w:hint="eastAsia" w:ascii="宋体" w:hAnsi="宋体" w:eastAsia="宋体" w:cs="宋体"/>
                <w:sz w:val="21"/>
                <w:szCs w:val="21"/>
              </w:rPr>
              <w:t>8.实验管理功能可设置是否允许学生查看参考答案/下载参考报告，可选择对单个学生/单个班级/多个班级分配实验；</w:t>
            </w:r>
          </w:p>
          <w:p>
            <w:pPr>
              <w:rPr>
                <w:rFonts w:hint="eastAsia" w:ascii="宋体" w:hAnsi="宋体" w:eastAsia="宋体" w:cs="宋体"/>
                <w:sz w:val="21"/>
                <w:szCs w:val="21"/>
              </w:rPr>
            </w:pPr>
            <w:r>
              <w:rPr>
                <w:rFonts w:hint="eastAsia" w:ascii="宋体" w:hAnsi="宋体" w:eastAsia="宋体" w:cs="宋体"/>
                <w:sz w:val="21"/>
                <w:szCs w:val="21"/>
              </w:rPr>
              <w:t>9.学生实验结束后平台对实验结果进行智能评分，自动生成学生实验报告，教师可下载查看报告；实验报告封面包含学生的基本信息、实验案例基本信息，报告结构包含基本信息、题目信息、答案、解题思路、实验得分、建议；</w:t>
            </w:r>
          </w:p>
          <w:p>
            <w:pPr>
              <w:rPr>
                <w:rFonts w:hint="eastAsia" w:ascii="宋体" w:hAnsi="宋体" w:eastAsia="宋体" w:cs="宋体"/>
                <w:sz w:val="21"/>
                <w:szCs w:val="21"/>
              </w:rPr>
            </w:pPr>
            <w:r>
              <w:rPr>
                <w:rFonts w:hint="eastAsia" w:ascii="宋体" w:hAnsi="宋体" w:eastAsia="宋体" w:cs="宋体"/>
                <w:sz w:val="21"/>
                <w:szCs w:val="21"/>
              </w:rPr>
              <w:t>10.教师可通过报告管理查看学生实验完成进度，支持教师单个/批量下载学生实验报告；同时可按班级下载学生成绩统计Excel表，表格中包含班级内学生各个阶段得分、实训总分、班级平均分等信息；</w:t>
            </w:r>
          </w:p>
          <w:p>
            <w:pPr>
              <w:rPr>
                <w:rFonts w:hint="eastAsia" w:ascii="宋体" w:hAnsi="宋体" w:eastAsia="宋体" w:cs="宋体"/>
                <w:sz w:val="21"/>
                <w:szCs w:val="21"/>
              </w:rPr>
            </w:pPr>
            <w:r>
              <w:rPr>
                <w:rFonts w:hint="eastAsia" w:ascii="宋体" w:hAnsi="宋体" w:eastAsia="宋体" w:cs="宋体"/>
                <w:sz w:val="21"/>
                <w:szCs w:val="21"/>
              </w:rPr>
              <w:t>11.支持教师用户之间分享案例资源和课程资料(资料中心），支持教师和学生通过私信功能进行沟通，交流实训课程相关信息；</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模块二：公共部门录用与甄选平台软件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共部门录用与甄选平台软件通过视频、动画、图片、文字等多样化信息展现案例；以标准化的实验流程实训录用与甄选的综合流程及结构化面试、角色扮演、无领导小组等面试技术，让学生深入到案例中，最大化实操专业理论知识、最大化达到实训效果。同时，软件引入智能反馈技术，对学生的操作内容实时引导、对操作结果智能反馈。</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（一）综合实训</w:t>
            </w:r>
          </w:p>
          <w:p>
            <w:pP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1.软件涉及如上所述公务员招录的所有环节，并将公务员招录各个环节中的要点内容融入实训步骤</w:t>
            </w:r>
            <w:r>
              <w:rPr>
                <w:rFonts w:hint="eastAsia" w:ascii="宋体" w:hAnsi="宋体" w:eastAsia="宋体" w:cs="宋体"/>
                <w:color w:val="auto"/>
                <w:sz w:val="21"/>
                <w:szCs w:val="21"/>
                <w:lang w:val="en-US" w:eastAsia="zh-CN"/>
              </w:rPr>
              <w:t>呈现给学生；软件完整呈现公务员招录中人力资源规划、岗位分析、制作招聘计划、申报计划、发布考试公告、资格审查、笔试、面试、录用、体检、审核等步骤，通过3D场景模拟将学生带入案例情景；</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仿宋" w:hAnsi="仿宋" w:eastAsia="仿宋" w:cs="仿宋"/>
                <w:color w:val="auto"/>
                <w:sz w:val="21"/>
                <w:szCs w:val="21"/>
                <w:lang w:val="en-US" w:eastAsia="zh-CN"/>
              </w:rPr>
              <w:t>▲</w:t>
            </w:r>
            <w:r>
              <w:rPr>
                <w:rFonts w:hint="eastAsia" w:ascii="宋体" w:hAnsi="宋体" w:eastAsia="宋体" w:cs="宋体"/>
                <w:color w:val="auto"/>
                <w:sz w:val="21"/>
                <w:szCs w:val="21"/>
                <w:lang w:val="en-US" w:eastAsia="zh-CN"/>
              </w:rPr>
              <w:t>实训过程中，学习者会首先经历岗位分析，选择评价指标、选择评估这些指标的评价方法，然后一边观看公务员录用面试视频，一边做行为记录和打分；操作结束后，系统会自动生成相应的评价报告；注：该功能需提供系统功能截图或说明书等证明材料加盖投标人单位公章</w:t>
            </w:r>
          </w:p>
          <w:p>
            <w:pP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3.</w:t>
            </w:r>
            <w:r>
              <w:rPr>
                <w:rFonts w:hint="eastAsia" w:ascii="仿宋" w:hAnsi="仿宋" w:eastAsia="仿宋" w:cs="仿宋"/>
                <w:color w:val="auto"/>
                <w:sz w:val="21"/>
                <w:szCs w:val="21"/>
                <w:lang w:val="en-US" w:eastAsia="zh-CN"/>
              </w:rPr>
              <w:t>▲</w:t>
            </w:r>
            <w:r>
              <w:rPr>
                <w:rFonts w:hint="eastAsia" w:ascii="宋体" w:hAnsi="宋体" w:eastAsia="宋体" w:cs="宋体"/>
                <w:color w:val="auto"/>
                <w:sz w:val="21"/>
                <w:szCs w:val="21"/>
                <w:lang w:val="en-US" w:eastAsia="zh-CN"/>
              </w:rPr>
              <w:t>学生实验结束后平台对实验结果进行智能评分，自动生成学生实验报告，教师可下载查看报告；实验报告封面包含学生的基本信息、实验案例基本信息，报告结构包含题目信息、参考答案、解题思路、实验得分、建议；注：该功能需提供系统功能截图或说明书等证明材料加盖投标人单位</w:t>
            </w:r>
            <w:r>
              <w:rPr>
                <w:rFonts w:hint="eastAsia" w:ascii="宋体" w:hAnsi="宋体" w:eastAsia="宋体" w:cs="宋体"/>
                <w:sz w:val="21"/>
                <w:szCs w:val="21"/>
                <w:lang w:val="en-US" w:eastAsia="zh-CN"/>
              </w:rPr>
              <w:t>公章</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4.教师可通过报告管理查看学生实验状态（进行中、已结束），支持教师单个/批量下载学生实验报告；同时可按班级下载学生成绩统计Excel表，表格中包含班级内学生各步骤得分、实训总分、班级平均分等信息；</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教师后台支持综合实训全流程自定义，包括案例背景、人力资源规划、岗位分析、制作招聘计划、申报计划、考试公告、资格审查、笔试、面试视频及实施标准、体检、审核报案和报告阅读建议；在面试自定义步骤，教师可管理测评维度，增删或修改测评维度、参考测评维度、维度权重数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6.教师可一键切换至学生端，并且可以直接跳转到任意流程步骤实时查看案例；</w:t>
            </w:r>
          </w:p>
          <w:p>
            <w:pP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7.软</w:t>
            </w:r>
            <w:r>
              <w:rPr>
                <w:rFonts w:hint="eastAsia" w:ascii="宋体" w:hAnsi="宋体" w:eastAsia="宋体" w:cs="宋体"/>
                <w:color w:val="auto"/>
                <w:sz w:val="21"/>
                <w:szCs w:val="21"/>
                <w:lang w:val="en-US" w:eastAsia="zh-CN"/>
              </w:rPr>
              <w:t>件包含笔试、体检和审核报案多个动画动画。</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（二）方法实训</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 </w:t>
            </w:r>
            <w:r>
              <w:rPr>
                <w:rFonts w:hint="eastAsia" w:ascii="仿宋" w:hAnsi="仿宋" w:eastAsia="仿宋" w:cs="仿宋"/>
                <w:color w:val="auto"/>
                <w:sz w:val="21"/>
                <w:szCs w:val="21"/>
                <w:lang w:val="en-US" w:eastAsia="zh-CN"/>
              </w:rPr>
              <w:t>▲</w:t>
            </w:r>
            <w:r>
              <w:rPr>
                <w:rFonts w:hint="eastAsia" w:ascii="宋体" w:hAnsi="宋体" w:eastAsia="宋体" w:cs="宋体"/>
                <w:color w:val="auto"/>
                <w:sz w:val="21"/>
                <w:szCs w:val="21"/>
                <w:lang w:val="en-US" w:eastAsia="zh-CN"/>
              </w:rPr>
              <w:t>方法包含无领导小组讨论、结构化面试和角色扮演的经典公务员面试方法；注：该功能需提供系统功能截图或说明书等证明材料加盖投标人单位公章</w:t>
            </w:r>
          </w:p>
          <w:p>
            <w:pP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2.系统支持学生自定义分组，在线组成面试官考评小组，在确定评价维度、标准、等级后，系统提供无领导小组讨论/结构化面试/角色扮演的候选人实景模拟面试视频，学生小组进行在线讨论</w:t>
            </w:r>
            <w:r>
              <w:rPr>
                <w:rFonts w:hint="eastAsia" w:ascii="宋体" w:hAnsi="宋体" w:eastAsia="宋体" w:cs="宋体"/>
                <w:sz w:val="21"/>
                <w:szCs w:val="21"/>
                <w:lang w:val="en-US" w:eastAsia="zh-CN"/>
              </w:rPr>
              <w:t>，对每个候选人进行评价和打分，最终确定候选人是否录用或者进行下一轮的复试；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分配实验后，学生依次进行岗位维度分析、方法定位、权重划分、评委组团、评价实施、评价撰写的固定程序，根据该职位的胜任特征要求，采用专门的题库、评价标准和评价方法，通过考官小组与应考者的交流等方式来评价应考者是否符合招聘岗位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学生实验结束后平台对实验结果进行智能评分，自动生成学生实验报告，教师可下载查看报告；实训报告部分提供行为记录范本、维度评价标准、参考答案和解析；同时，系统会根据专家或老师设定的“参考答案”给每个步骤进行自动打分，最后汇总得到总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5.支持学生自定义案例，教师审核通过后，案例可继续用于实验分配，拓展学生实践能力的同时增加案例数量。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6、要求厂商具有自主研发能力，可以根据用户最终需求进行合理化调整</w:t>
            </w:r>
          </w:p>
        </w:tc>
        <w:tc>
          <w:tcPr>
            <w:tcW w:w="813"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68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bl>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autoSpaceDE w:val="0"/>
        <w:autoSpaceDN w:val="0"/>
        <w:adjustRightInd w:val="0"/>
        <w:snapToGrid w:val="0"/>
        <w:spacing w:after="120" w:afterLines="50"/>
        <w:outlineLvl w:val="0"/>
        <w:rPr>
          <w:rFonts w:eastAsia="黑体"/>
          <w:kern w:val="0"/>
          <w:sz w:val="32"/>
          <w:szCs w:val="32"/>
        </w:rPr>
        <w:sectPr>
          <w:pgSz w:w="16838" w:h="11906" w:orient="landscape"/>
          <w:pgMar w:top="1797"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20" w:name="_Toc15507"/>
      <w:r>
        <w:rPr>
          <w:rFonts w:hint="eastAsia" w:eastAsia="黑体"/>
          <w:kern w:val="0"/>
          <w:sz w:val="32"/>
          <w:szCs w:val="32"/>
        </w:rPr>
        <w:t xml:space="preserve">第六章 </w:t>
      </w:r>
      <w:r>
        <w:rPr>
          <w:rFonts w:eastAsia="黑体"/>
          <w:kern w:val="0"/>
          <w:sz w:val="32"/>
          <w:szCs w:val="32"/>
        </w:rPr>
        <w:t>投标文件格式</w:t>
      </w:r>
      <w:bookmarkEnd w:id="218"/>
      <w:bookmarkEnd w:id="219"/>
      <w:bookmarkEnd w:id="220"/>
    </w:p>
    <w:p>
      <w:pPr>
        <w:jc w:val="center"/>
        <w:rPr>
          <w:i/>
          <w:iCs/>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i/>
          <w:iCs/>
        </w:rPr>
        <w:t>注：供应商可根据项目实际情况编制投标文件。</w:t>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kern w:val="0"/>
          <w:szCs w:val="21"/>
          <w:u w:val="single"/>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（商务部分）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3"/>
        <w:rPr>
          <w:rFonts w:ascii="Times New Roman" w:hAnsi="Times New Roman" w:cs="Times New Roman"/>
        </w:rPr>
      </w:pPr>
    </w:p>
    <w:p>
      <w:pPr>
        <w:pStyle w:val="433"/>
        <w:jc w:val="center"/>
        <w:rPr>
          <w:rFonts w:ascii="Times New Roman" w:hAnsi="Times New Roman" w:cs="Times New Roman"/>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jc w:val="center"/>
        <w:rPr>
          <w:rFonts w:eastAsia="黑体"/>
          <w:b/>
          <w:bCs/>
          <w:sz w:val="30"/>
          <w:szCs w:val="30"/>
        </w:rPr>
      </w:pPr>
      <w:bookmarkStart w:id="221" w:name="_Toc2190"/>
      <w:bookmarkStart w:id="222" w:name="_Toc350418253"/>
      <w:bookmarkStart w:id="223" w:name="_Toc9860"/>
      <w:bookmarkStart w:id="224" w:name="_Toc298745650"/>
      <w:bookmarkStart w:id="225" w:name="_Toc9978"/>
      <w:bookmarkStart w:id="226" w:name="_Toc23024"/>
      <w:bookmarkStart w:id="227" w:name="_Toc327276295"/>
      <w:bookmarkStart w:id="228" w:name="_Toc332094984"/>
      <w:bookmarkStart w:id="229" w:name="_Toc410631171"/>
      <w:bookmarkStart w:id="230" w:name="_Toc4228"/>
      <w:bookmarkStart w:id="231" w:name="_Toc298434528"/>
      <w:bookmarkStart w:id="232" w:name="_Toc22735"/>
      <w:bookmarkStart w:id="233" w:name="_Toc298745568"/>
      <w:bookmarkStart w:id="234" w:name="_Toc416103813"/>
      <w:bookmarkStart w:id="235" w:name="_Toc298458725"/>
      <w:bookmarkStart w:id="236" w:name="_Toc298434671"/>
      <w:bookmarkStart w:id="237" w:name="_Toc414445763"/>
      <w:r>
        <w:rPr>
          <w:rFonts w:eastAsia="黑体"/>
          <w:b/>
          <w:bCs/>
          <w:sz w:val="30"/>
          <w:szCs w:val="30"/>
        </w:rPr>
        <w:t>评标索引</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vAlign w:val="center"/>
          </w:tcPr>
          <w:p>
            <w:pPr>
              <w:snapToGrid w:val="0"/>
              <w:jc w:val="center"/>
              <w:rPr>
                <w:rFonts w:eastAsia="仿宋"/>
                <w:b/>
                <w:bCs/>
                <w:szCs w:val="21"/>
              </w:rPr>
            </w:pPr>
            <w:r>
              <w:rPr>
                <w:b/>
                <w:bCs/>
                <w:szCs w:val="21"/>
              </w:rPr>
              <w:t>评标办法审查标准</w:t>
            </w:r>
          </w:p>
        </w:tc>
        <w:tc>
          <w:tcPr>
            <w:tcW w:w="1843"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pStyle w:val="25"/>
              <w:spacing w:line="240" w:lineRule="auto"/>
              <w:ind w:firstLine="0"/>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详见资格审查表内容</w:t>
            </w:r>
            <w:r>
              <w:rPr>
                <w:rFonts w:hint="eastAsia" w:ascii="Times New Roman" w:hAnsi="Times New Roman"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须一一对应</w:t>
            </w:r>
          </w:p>
        </w:tc>
        <w:tc>
          <w:tcPr>
            <w:tcW w:w="4372" w:type="dxa"/>
            <w:vAlign w:val="center"/>
          </w:tcPr>
          <w:p>
            <w:pPr>
              <w:pStyle w:val="25"/>
              <w:spacing w:line="240" w:lineRule="auto"/>
              <w:ind w:firstLine="0"/>
              <w:rPr>
                <w:rFonts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详见资格审查表内容</w:t>
            </w:r>
            <w:r>
              <w:rPr>
                <w:rFonts w:hint="eastAsia" w:ascii="Times New Roman" w:hAnsi="Times New Roman"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须一一对应</w:t>
            </w:r>
          </w:p>
        </w:tc>
        <w:tc>
          <w:tcPr>
            <w:tcW w:w="1843" w:type="dxa"/>
            <w:vAlign w:val="center"/>
          </w:tcPr>
          <w:p>
            <w:pPr>
              <w:snapToGrid w:val="0"/>
              <w:jc w:val="center"/>
              <w:rPr>
                <w:i/>
                <w:iCs/>
                <w:szCs w:val="21"/>
              </w:rPr>
            </w:pPr>
            <w:r>
              <w:rPr>
                <w:szCs w:val="21"/>
              </w:rPr>
              <w:t xml:space="preserve">第  </w:t>
            </w:r>
            <w:r>
              <w:rPr>
                <w:rFonts w:hint="eastAsia"/>
                <w:szCs w:val="21"/>
                <w:lang w:val="en-US" w:eastAsia="zh-CN"/>
              </w:rPr>
              <w:t xml:space="preserve"> </w:t>
            </w:r>
            <w:r>
              <w:rPr>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pStyle w:val="25"/>
              <w:spacing w:line="240" w:lineRule="auto"/>
              <w:ind w:firstLine="0"/>
              <w:rPr>
                <w:rFonts w:eastAsia="仿宋"/>
                <w:b w:val="0"/>
                <w:bCs w:val="0"/>
              </w:rPr>
            </w:pPr>
            <w:r>
              <w:rPr>
                <w:rFonts w:hint="eastAsia" w:eastAsia="仿宋"/>
                <w:b w:val="0"/>
                <w:bCs w:val="0"/>
              </w:rPr>
              <w:t>……</w:t>
            </w:r>
          </w:p>
        </w:tc>
        <w:tc>
          <w:tcPr>
            <w:tcW w:w="4372" w:type="dxa"/>
            <w:vAlign w:val="center"/>
          </w:tcPr>
          <w:p>
            <w:pPr>
              <w:spacing w:after="100" w:afterAutospacing="1"/>
              <w:rPr>
                <w:rFonts w:ascii="Arial" w:hAnsi="Arial" w:cs="Arial"/>
                <w:b w:val="0"/>
                <w:bCs w:val="0"/>
                <w:snapToGrid w:val="0"/>
                <w:kern w:val="0"/>
                <w:szCs w:val="21"/>
              </w:rPr>
            </w:pPr>
            <w:r>
              <w:rPr>
                <w:rFonts w:hint="eastAsia" w:ascii="Arial" w:hAnsi="Arial" w:cs="Arial"/>
                <w:b w:val="0"/>
                <w:bCs w:val="0"/>
                <w:snapToGrid w:val="0"/>
                <w:kern w:val="0"/>
                <w:szCs w:val="21"/>
              </w:rPr>
              <w:t>……</w:t>
            </w:r>
          </w:p>
        </w:tc>
        <w:tc>
          <w:tcPr>
            <w:tcW w:w="1843" w:type="dxa"/>
            <w:vAlign w:val="center"/>
          </w:tcPr>
          <w:p>
            <w:pPr>
              <w:snapToGrid w:val="0"/>
              <w:jc w:val="center"/>
              <w:rPr>
                <w:i/>
                <w:iCs/>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pStyle w:val="25"/>
              <w:spacing w:line="240" w:lineRule="auto"/>
              <w:ind w:firstLine="0"/>
              <w:rPr>
                <w:rFonts w:eastAsia="仿宋"/>
                <w:b w:val="0"/>
                <w:bCs w:val="0"/>
              </w:rPr>
            </w:pPr>
            <w:r>
              <w:rPr>
                <w:rFonts w:hint="eastAsia" w:ascii="Arial" w:hAnsi="Arial" w:cs="Arial"/>
                <w:b w:val="0"/>
                <w:bCs w:val="0"/>
                <w:snapToGrid w:val="0"/>
                <w:kern w:val="0"/>
              </w:rPr>
              <w:t>……</w:t>
            </w:r>
          </w:p>
        </w:tc>
        <w:tc>
          <w:tcPr>
            <w:tcW w:w="4372" w:type="dxa"/>
            <w:vAlign w:val="center"/>
          </w:tcPr>
          <w:p>
            <w:pPr>
              <w:spacing w:after="100" w:afterAutospacing="1"/>
              <w:rPr>
                <w:rFonts w:ascii="Arial" w:hAnsi="Arial" w:cs="Arial"/>
                <w:b w:val="0"/>
                <w:bCs w:val="0"/>
                <w:snapToGrid w:val="0"/>
                <w:kern w:val="0"/>
                <w:szCs w:val="21"/>
              </w:rPr>
            </w:pPr>
            <w:r>
              <w:rPr>
                <w:rFonts w:hint="eastAsia" w:ascii="Arial" w:hAnsi="Arial" w:cs="Arial"/>
                <w:b w:val="0"/>
                <w:bCs w:val="0"/>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pacing w:after="100" w:afterAutospacing="1"/>
              <w:rPr>
                <w:rFonts w:eastAsia="仿宋"/>
                <w:b w:val="0"/>
                <w:bCs w:val="0"/>
                <w:szCs w:val="21"/>
              </w:rPr>
            </w:pPr>
            <w:r>
              <w:rPr>
                <w:rFonts w:hint="eastAsia" w:eastAsia="仿宋"/>
                <w:b w:val="0"/>
                <w:bCs w:val="0"/>
                <w:szCs w:val="21"/>
              </w:rPr>
              <w:t>……</w:t>
            </w:r>
          </w:p>
        </w:tc>
        <w:tc>
          <w:tcPr>
            <w:tcW w:w="4372" w:type="dxa"/>
            <w:vAlign w:val="center"/>
          </w:tcPr>
          <w:p>
            <w:pPr>
              <w:spacing w:after="100" w:afterAutospacing="1"/>
              <w:rPr>
                <w:rFonts w:ascii="Arial" w:hAnsi="Arial" w:cs="Arial"/>
                <w:b w:val="0"/>
                <w:bCs w:val="0"/>
                <w:snapToGrid w:val="0"/>
                <w:kern w:val="0"/>
                <w:szCs w:val="21"/>
              </w:rPr>
            </w:pPr>
            <w:r>
              <w:rPr>
                <w:rFonts w:hint="eastAsia" w:ascii="Arial" w:hAnsi="Arial" w:cs="Arial"/>
                <w:b w:val="0"/>
                <w:bCs w:val="0"/>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hint="default" w:eastAsia="仿宋"/>
                <w:szCs w:val="21"/>
                <w:lang w:val="en-US" w:eastAsia="zh-CN"/>
              </w:rPr>
            </w:pPr>
            <w:r>
              <w:rPr>
                <w:rFonts w:hint="eastAsia" w:eastAsia="仿宋"/>
                <w:b w:val="0"/>
                <w:bCs w:val="0"/>
                <w:szCs w:val="21"/>
              </w:rPr>
              <w:t>……</w:t>
            </w:r>
          </w:p>
        </w:tc>
        <w:tc>
          <w:tcPr>
            <w:tcW w:w="1886" w:type="dxa"/>
            <w:vAlign w:val="center"/>
          </w:tcPr>
          <w:p>
            <w:pPr>
              <w:spacing w:after="100" w:afterAutospacing="1"/>
              <w:rPr>
                <w:rFonts w:hint="eastAsia" w:eastAsia="仿宋"/>
                <w:szCs w:val="21"/>
                <w:lang w:val="en-US" w:eastAsia="zh-CN"/>
              </w:rPr>
            </w:pPr>
            <w:r>
              <w:rPr>
                <w:rFonts w:hint="eastAsia" w:eastAsia="仿宋"/>
                <w:b w:val="0"/>
                <w:bCs w:val="0"/>
                <w:szCs w:val="21"/>
              </w:rPr>
              <w:t>……</w:t>
            </w:r>
          </w:p>
        </w:tc>
        <w:tc>
          <w:tcPr>
            <w:tcW w:w="4372" w:type="dxa"/>
            <w:vAlign w:val="center"/>
          </w:tcPr>
          <w:p>
            <w:pPr>
              <w:spacing w:after="100" w:afterAutospacing="1"/>
              <w:rPr>
                <w:rFonts w:ascii="Arial" w:hAnsi="Arial" w:cs="Arial"/>
                <w:snapToGrid w:val="0"/>
                <w:kern w:val="0"/>
                <w:szCs w:val="21"/>
              </w:rPr>
            </w:pPr>
            <w:r>
              <w:rPr>
                <w:rFonts w:hint="eastAsia" w:eastAsia="仿宋"/>
                <w:b w:val="0"/>
                <w:bCs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rFonts w:hint="eastAsia" w:eastAsia="仿宋"/>
                <w:b w:val="0"/>
                <w:bCs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p>
        </w:tc>
        <w:tc>
          <w:tcPr>
            <w:tcW w:w="1886" w:type="dxa"/>
            <w:vAlign w:val="center"/>
          </w:tcPr>
          <w:p>
            <w:pPr>
              <w:spacing w:after="100" w:afterAutospacing="1"/>
              <w:rPr>
                <w:rFonts w:eastAsia="仿宋"/>
                <w:szCs w:val="21"/>
              </w:rPr>
            </w:pPr>
          </w:p>
        </w:tc>
        <w:tc>
          <w:tcPr>
            <w:tcW w:w="4372" w:type="dxa"/>
            <w:vAlign w:val="center"/>
          </w:tcPr>
          <w:p>
            <w:pPr>
              <w:rPr>
                <w:rFonts w:eastAsia="仿宋"/>
                <w:szCs w:val="21"/>
              </w:rPr>
            </w:pPr>
          </w:p>
        </w:tc>
        <w:tc>
          <w:tcPr>
            <w:tcW w:w="1843" w:type="dxa"/>
            <w:vAlign w:val="center"/>
          </w:tcPr>
          <w:p>
            <w:pPr>
              <w:snapToGrid w:val="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p>
        </w:tc>
        <w:tc>
          <w:tcPr>
            <w:tcW w:w="1886" w:type="dxa"/>
            <w:vAlign w:val="center"/>
          </w:tcPr>
          <w:p>
            <w:pPr>
              <w:spacing w:after="100" w:afterAutospacing="1"/>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p>
        </w:tc>
        <w:tc>
          <w:tcPr>
            <w:tcW w:w="1886" w:type="dxa"/>
            <w:vAlign w:val="center"/>
          </w:tcPr>
          <w:p>
            <w:pPr>
              <w:pStyle w:val="25"/>
              <w:spacing w:line="240" w:lineRule="auto"/>
              <w:ind w:firstLine="0"/>
              <w:rPr>
                <w:rFonts w:eastAsia="仿宋"/>
              </w:rPr>
            </w:pPr>
          </w:p>
        </w:tc>
        <w:tc>
          <w:tcPr>
            <w:tcW w:w="4372" w:type="dxa"/>
            <w:vAlign w:val="center"/>
          </w:tcPr>
          <w:p>
            <w:pPr>
              <w:pStyle w:val="25"/>
              <w:spacing w:line="240" w:lineRule="auto"/>
              <w:ind w:firstLine="0"/>
              <w:rPr>
                <w:rFonts w:eastAsia="仿宋"/>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p>
        </w:tc>
        <w:tc>
          <w:tcPr>
            <w:tcW w:w="1886" w:type="dxa"/>
            <w:vAlign w:val="center"/>
          </w:tcPr>
          <w:p>
            <w:pPr>
              <w:pStyle w:val="25"/>
              <w:spacing w:line="240" w:lineRule="auto"/>
              <w:ind w:firstLine="0"/>
              <w:rPr>
                <w:rFonts w:eastAsia="仿宋"/>
              </w:rPr>
            </w:pPr>
          </w:p>
        </w:tc>
        <w:tc>
          <w:tcPr>
            <w:tcW w:w="4372" w:type="dxa"/>
            <w:vAlign w:val="center"/>
          </w:tcPr>
          <w:p>
            <w:pPr>
              <w:pStyle w:val="25"/>
              <w:spacing w:line="240" w:lineRule="auto"/>
              <w:ind w:firstLine="0"/>
              <w:rPr>
                <w:rFonts w:eastAsia="仿宋"/>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p>
        </w:tc>
        <w:tc>
          <w:tcPr>
            <w:tcW w:w="1886" w:type="dxa"/>
            <w:vAlign w:val="center"/>
          </w:tcPr>
          <w:p>
            <w:pPr>
              <w:spacing w:after="100" w:afterAutospacing="1"/>
            </w:pPr>
          </w:p>
        </w:tc>
        <w:tc>
          <w:tcPr>
            <w:tcW w:w="4372" w:type="dxa"/>
            <w:vAlign w:val="center"/>
          </w:tcPr>
          <w:p>
            <w:pPr>
              <w:spacing w:after="100" w:afterAutospacing="1"/>
              <w:rPr>
                <w:kern w:val="0"/>
                <w:szCs w:val="21"/>
              </w:rPr>
            </w:pPr>
          </w:p>
        </w:tc>
        <w:tc>
          <w:tcPr>
            <w:tcW w:w="1843" w:type="dxa"/>
            <w:vAlign w:val="center"/>
          </w:tcPr>
          <w:p>
            <w:pPr>
              <w:snapToGrid w:val="0"/>
              <w:jc w:val="center"/>
              <w:rPr>
                <w:szCs w:val="21"/>
              </w:rPr>
            </w:pPr>
          </w:p>
        </w:tc>
      </w:tr>
    </w:tbl>
    <w:p>
      <w:pPr>
        <w:snapToGrid w:val="0"/>
        <w:ind w:firstLine="480"/>
        <w:jc w:val="center"/>
        <w:rPr>
          <w:b/>
          <w:bCs/>
          <w:sz w:val="28"/>
          <w:szCs w:val="28"/>
        </w:rPr>
      </w:pPr>
      <w:r>
        <w:rPr>
          <w:b/>
          <w:bCs/>
          <w:sz w:val="28"/>
          <w:szCs w:val="28"/>
        </w:rPr>
        <w:br w:type="page"/>
      </w:r>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625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序号</w:t>
            </w:r>
          </w:p>
        </w:tc>
        <w:tc>
          <w:tcPr>
            <w:tcW w:w="62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评审内容</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Cs w:val="21"/>
              </w:rPr>
            </w:pPr>
            <w:r>
              <w:rPr>
                <w:rFonts w:hint="eastAsia" w:ascii="宋体" w:hAnsi="宋体" w:eastAsia="宋体" w:cs="宋体"/>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b/>
                <w:bCs/>
                <w:sz w:val="28"/>
                <w:szCs w:val="28"/>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6258" w:type="dxa"/>
            <w:tcBorders>
              <w:top w:val="single" w:color="auto" w:sz="4" w:space="0"/>
              <w:left w:val="single" w:color="auto" w:sz="4" w:space="0"/>
              <w:bottom w:val="single" w:color="auto" w:sz="4" w:space="0"/>
              <w:right w:val="single" w:color="auto" w:sz="4" w:space="0"/>
            </w:tcBorders>
            <w:vAlign w:val="center"/>
          </w:tcPr>
          <w:p>
            <w:pPr>
              <w:rPr>
                <w:rFonts w:hint="default" w:eastAsia="仿宋"/>
                <w:szCs w:val="21"/>
                <w:lang w:val="en-US" w:eastAsia="zh-CN"/>
              </w:rPr>
            </w:pPr>
            <w:r>
              <w:rPr>
                <w:rFonts w:hint="eastAsia" w:ascii="Times New Roman" w:hAnsi="Times New Roman" w:eastAsia="宋体" w:cs="Times New Roman"/>
                <w:b w:val="0"/>
                <w:bCs w:val="0"/>
                <w:kern w:val="2"/>
                <w:sz w:val="21"/>
                <w:szCs w:val="21"/>
                <w:lang w:val="en-US" w:eastAsia="zh-CN" w:bidi="ar-SA"/>
              </w:rPr>
              <w:t>详见</w:t>
            </w:r>
            <w:r>
              <w:rPr>
                <w:rFonts w:hint="eastAsia" w:cs="Times New Roman"/>
                <w:b w:val="0"/>
                <w:bCs w:val="0"/>
                <w:kern w:val="2"/>
                <w:sz w:val="21"/>
                <w:szCs w:val="21"/>
                <w:lang w:val="en-US" w:eastAsia="zh-CN" w:bidi="ar-SA"/>
              </w:rPr>
              <w:t>符合性</w:t>
            </w:r>
            <w:r>
              <w:rPr>
                <w:rFonts w:hint="eastAsia" w:ascii="Times New Roman" w:hAnsi="Times New Roman" w:eastAsia="宋体" w:cs="Times New Roman"/>
                <w:b w:val="0"/>
                <w:bCs w:val="0"/>
                <w:kern w:val="2"/>
                <w:sz w:val="21"/>
                <w:szCs w:val="21"/>
                <w:lang w:val="en-US" w:eastAsia="zh-CN" w:bidi="ar-SA"/>
              </w:rPr>
              <w:t>审查表内容</w:t>
            </w:r>
            <w:r>
              <w:rPr>
                <w:rFonts w:hint="eastAsia"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须一一对应</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625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eastAsia="仿宋"/>
                <w:b w:val="0"/>
                <w:bCs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625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eastAsia="仿宋"/>
                <w:b w:val="0"/>
                <w:bCs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
                <w:szCs w:val="21"/>
                <w:lang w:val="en-US" w:eastAsia="zh-CN"/>
              </w:rPr>
            </w:pPr>
            <w:r>
              <w:rPr>
                <w:rFonts w:hint="eastAsia" w:eastAsia="仿宋"/>
                <w:b w:val="0"/>
                <w:bCs w:val="0"/>
                <w:szCs w:val="21"/>
              </w:rPr>
              <w:t>……</w:t>
            </w:r>
          </w:p>
        </w:tc>
        <w:tc>
          <w:tcPr>
            <w:tcW w:w="6258" w:type="dxa"/>
            <w:tcBorders>
              <w:top w:val="single" w:color="auto" w:sz="4" w:space="0"/>
              <w:left w:val="single" w:color="auto" w:sz="4" w:space="0"/>
              <w:bottom w:val="single" w:color="auto" w:sz="4" w:space="0"/>
              <w:right w:val="single" w:color="auto" w:sz="4" w:space="0"/>
            </w:tcBorders>
            <w:vAlign w:val="center"/>
          </w:tcPr>
          <w:p>
            <w:pPr>
              <w:rPr>
                <w:rFonts w:hint="default" w:eastAsia="仿宋"/>
                <w:szCs w:val="21"/>
                <w:lang w:val="en-US" w:eastAsia="zh-CN"/>
              </w:rPr>
            </w:pPr>
            <w:r>
              <w:rPr>
                <w:rFonts w:hint="eastAsia" w:eastAsia="仿宋"/>
                <w:b w:val="0"/>
                <w:bCs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
                <w:szCs w:val="21"/>
                <w:lang w:val="en-US" w:eastAsia="zh-CN"/>
              </w:rPr>
            </w:pPr>
            <w:r>
              <w:rPr>
                <w:rFonts w:hint="eastAsia" w:eastAsia="仿宋"/>
                <w:b w:val="0"/>
                <w:bCs w:val="0"/>
                <w:szCs w:val="21"/>
              </w:rPr>
              <w:t>……</w:t>
            </w:r>
          </w:p>
        </w:tc>
        <w:tc>
          <w:tcPr>
            <w:tcW w:w="6258" w:type="dxa"/>
            <w:tcBorders>
              <w:top w:val="single" w:color="auto" w:sz="4" w:space="0"/>
              <w:left w:val="single" w:color="auto" w:sz="4" w:space="0"/>
              <w:bottom w:val="single" w:color="auto" w:sz="4" w:space="0"/>
              <w:right w:val="single" w:color="auto" w:sz="4" w:space="0"/>
            </w:tcBorders>
            <w:vAlign w:val="center"/>
          </w:tcPr>
          <w:p>
            <w:pPr>
              <w:rPr>
                <w:rFonts w:hint="default" w:eastAsia="仿宋"/>
                <w:szCs w:val="21"/>
                <w:lang w:val="en-US" w:eastAsia="zh-CN"/>
              </w:rPr>
            </w:pPr>
            <w:r>
              <w:rPr>
                <w:rFonts w:hint="eastAsia" w:eastAsia="仿宋"/>
                <w:b w:val="0"/>
                <w:bCs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rFonts w:hint="eastAsia" w:eastAsia="仿宋"/>
                <w:b w:val="0"/>
                <w:bCs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6258" w:type="dxa"/>
            <w:tcBorders>
              <w:top w:val="single" w:color="auto" w:sz="4" w:space="0"/>
              <w:left w:val="single" w:color="auto" w:sz="4" w:space="0"/>
              <w:bottom w:val="single" w:color="auto" w:sz="4" w:space="0"/>
              <w:right w:val="single" w:color="auto" w:sz="4" w:space="0"/>
            </w:tcBorders>
            <w:vAlign w:val="center"/>
          </w:tcPr>
          <w:p>
            <w:pPr>
              <w:textAlignment w:val="cente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625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625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6258"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bl>
    <w:p>
      <w:pPr>
        <w:spacing w:line="360" w:lineRule="auto"/>
        <w:ind w:firstLine="480"/>
        <w:jc w:val="left"/>
        <w:rPr>
          <w:szCs w:val="21"/>
        </w:rPr>
      </w:pPr>
    </w:p>
    <w:p>
      <w:bookmarkStart w:id="238" w:name="_Toc16472"/>
      <w:r>
        <w:t>注：该评标索引表格放在投标文件目录后，正文的第一页。</w:t>
      </w:r>
      <w:bookmarkEnd w:id="238"/>
      <w:bookmarkStart w:id="239" w:name="_Toc8278"/>
      <w:bookmarkStart w:id="240" w:name="_Toc8800"/>
      <w:bookmarkStart w:id="241" w:name="_Toc19769"/>
      <w:bookmarkStart w:id="242" w:name="_Toc24075"/>
      <w:bookmarkStart w:id="243" w:name="_Toc31746"/>
      <w:bookmarkStart w:id="244" w:name="_Toc16276"/>
      <w:bookmarkStart w:id="245" w:name="_Toc15152"/>
    </w:p>
    <w:p>
      <w:pPr>
        <w:jc w:val="center"/>
        <w:rPr>
          <w:szCs w:val="21"/>
        </w:rPr>
      </w:pPr>
    </w:p>
    <w:p>
      <w:pPr>
        <w:jc w:val="center"/>
        <w:rPr>
          <w:szCs w:val="21"/>
        </w:rPr>
      </w:pPr>
    </w:p>
    <w:p>
      <w:pPr>
        <w:jc w:val="center"/>
        <w:rPr>
          <w:szCs w:val="21"/>
        </w:rPr>
      </w:pPr>
    </w:p>
    <w:p>
      <w:pPr>
        <w:jc w:val="center"/>
        <w:rPr>
          <w:rFonts w:eastAsia="黑体"/>
          <w:b/>
          <w:bCs/>
          <w:sz w:val="30"/>
          <w:szCs w:val="30"/>
        </w:rPr>
        <w:sectPr>
          <w:footerReference r:id="rId8"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eastAsia="黑体"/>
          <w:b/>
          <w:bCs/>
          <w:sz w:val="30"/>
          <w:szCs w:val="30"/>
        </w:rPr>
      </w:pPr>
      <w:r>
        <w:rPr>
          <w:rFonts w:eastAsia="黑体"/>
          <w:b/>
          <w:bCs/>
          <w:sz w:val="30"/>
          <w:szCs w:val="30"/>
        </w:rPr>
        <w:t>评标索引</w:t>
      </w:r>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85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855" w:type="dxa"/>
            <w:vAlign w:val="center"/>
          </w:tcPr>
          <w:p>
            <w:pPr>
              <w:snapToGrid w:val="0"/>
              <w:jc w:val="center"/>
              <w:rPr>
                <w:rFonts w:eastAsia="仿宋"/>
                <w:b/>
                <w:bCs/>
                <w:szCs w:val="21"/>
              </w:rPr>
            </w:pPr>
            <w:r>
              <w:rPr>
                <w:b/>
                <w:bCs/>
                <w:szCs w:val="21"/>
              </w:rPr>
              <w:t>评标办法审查标准</w:t>
            </w:r>
          </w:p>
        </w:tc>
        <w:tc>
          <w:tcPr>
            <w:tcW w:w="1360"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rFonts w:hint="eastAsia"/>
                <w:b/>
                <w:bCs/>
                <w:sz w:val="28"/>
                <w:szCs w:val="28"/>
              </w:rPr>
              <w:t>商务</w:t>
            </w:r>
            <w:r>
              <w:rPr>
                <w:b/>
                <w:bCs/>
                <w:sz w:val="28"/>
                <w:szCs w:val="28"/>
              </w:rPr>
              <w:t>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ascii="Times New Roman" w:hAnsi="Times New Roman" w:eastAsia="宋体" w:cs="Times New Roman"/>
                <w:b w:val="0"/>
                <w:bCs w:val="0"/>
                <w:kern w:val="2"/>
                <w:sz w:val="21"/>
                <w:szCs w:val="21"/>
                <w:lang w:val="en-US" w:eastAsia="zh-CN" w:bidi="ar-SA"/>
              </w:rPr>
              <w:t>详见</w:t>
            </w:r>
            <w:r>
              <w:rPr>
                <w:rFonts w:hint="eastAsia" w:cs="Times New Roman"/>
                <w:b w:val="0"/>
                <w:bCs w:val="0"/>
                <w:kern w:val="2"/>
                <w:sz w:val="21"/>
                <w:szCs w:val="21"/>
                <w:lang w:val="en-US" w:eastAsia="zh-CN" w:bidi="ar-SA"/>
              </w:rPr>
              <w:t>详细评审</w:t>
            </w:r>
            <w:r>
              <w:rPr>
                <w:rFonts w:hint="eastAsia" w:ascii="Times New Roman" w:hAnsi="Times New Roman" w:eastAsia="宋体" w:cs="Times New Roman"/>
                <w:b w:val="0"/>
                <w:bCs w:val="0"/>
                <w:kern w:val="2"/>
                <w:sz w:val="21"/>
                <w:szCs w:val="21"/>
                <w:lang w:val="en-US" w:eastAsia="zh-CN" w:bidi="ar-SA"/>
              </w:rPr>
              <w:t>表内容</w:t>
            </w:r>
            <w:r>
              <w:rPr>
                <w:rFonts w:hint="eastAsia"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须一一对应</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Times New Roman" w:hAnsi="Times New Roman" w:eastAsia="宋体" w:cs="Times New Roman"/>
                <w:b w:val="0"/>
                <w:bCs w:val="0"/>
                <w:kern w:val="2"/>
                <w:sz w:val="21"/>
                <w:szCs w:val="21"/>
                <w:lang w:val="en-US" w:eastAsia="zh-CN" w:bidi="ar-SA"/>
              </w:rPr>
              <w:t>详见</w:t>
            </w:r>
            <w:r>
              <w:rPr>
                <w:rFonts w:hint="eastAsia" w:cs="Times New Roman"/>
                <w:b w:val="0"/>
                <w:bCs w:val="0"/>
                <w:kern w:val="2"/>
                <w:sz w:val="21"/>
                <w:szCs w:val="21"/>
                <w:lang w:val="en-US" w:eastAsia="zh-CN" w:bidi="ar-SA"/>
              </w:rPr>
              <w:t>详细评审</w:t>
            </w:r>
            <w:r>
              <w:rPr>
                <w:rFonts w:hint="eastAsia" w:ascii="Times New Roman" w:hAnsi="Times New Roman" w:eastAsia="宋体" w:cs="Times New Roman"/>
                <w:b w:val="0"/>
                <w:bCs w:val="0"/>
                <w:kern w:val="2"/>
                <w:sz w:val="21"/>
                <w:szCs w:val="21"/>
                <w:lang w:val="en-US" w:eastAsia="zh-CN" w:bidi="ar-SA"/>
              </w:rPr>
              <w:t>表内容</w:t>
            </w:r>
            <w:r>
              <w:rPr>
                <w:rFonts w:hint="eastAsia"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须一一对应</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ascii="Arial" w:hAnsi="Arial" w:cs="Arial"/>
                <w:snapToGrid w:val="0"/>
                <w:kern w:val="0"/>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eastAsia="仿宋"/>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ind w:firstLine="0"/>
              <w:jc w:val="center"/>
              <w:textAlignment w:val="auto"/>
              <w:rPr>
                <w:szCs w:val="21"/>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rFonts w:hint="eastAsia"/>
                <w:b/>
                <w:bCs/>
                <w:sz w:val="28"/>
                <w:szCs w:val="28"/>
                <w:lang w:val="en-US" w:eastAsia="zh-CN"/>
              </w:rPr>
              <w:t>技术</w:t>
            </w:r>
            <w:r>
              <w:rPr>
                <w:b/>
                <w:bCs/>
                <w:sz w:val="28"/>
                <w:szCs w:val="28"/>
              </w:rPr>
              <w:t>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kern w:val="2"/>
                <w:sz w:val="21"/>
                <w:szCs w:val="21"/>
                <w:lang w:val="en-US" w:eastAsia="zh-CN" w:bidi="ar-SA"/>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详见</w:t>
            </w:r>
            <w:r>
              <w:rPr>
                <w:rFonts w:hint="eastAsia" w:cs="Times New Roman"/>
                <w:b w:val="0"/>
                <w:bCs w:val="0"/>
                <w:kern w:val="2"/>
                <w:sz w:val="21"/>
                <w:szCs w:val="21"/>
                <w:lang w:val="en-US" w:eastAsia="zh-CN" w:bidi="ar-SA"/>
              </w:rPr>
              <w:t>详细评审</w:t>
            </w:r>
            <w:r>
              <w:rPr>
                <w:rFonts w:hint="eastAsia" w:ascii="Times New Roman" w:hAnsi="Times New Roman" w:eastAsia="宋体" w:cs="Times New Roman"/>
                <w:b w:val="0"/>
                <w:bCs w:val="0"/>
                <w:kern w:val="2"/>
                <w:sz w:val="21"/>
                <w:szCs w:val="21"/>
                <w:lang w:val="en-US" w:eastAsia="zh-CN" w:bidi="ar-SA"/>
              </w:rPr>
              <w:t>表内容</w:t>
            </w:r>
            <w:r>
              <w:rPr>
                <w:rFonts w:hint="eastAsia"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须一一对应</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 w:cs="Times New Roman"/>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详见</w:t>
            </w:r>
            <w:r>
              <w:rPr>
                <w:rFonts w:hint="eastAsia" w:cs="Times New Roman"/>
                <w:b w:val="0"/>
                <w:bCs w:val="0"/>
                <w:kern w:val="2"/>
                <w:sz w:val="21"/>
                <w:szCs w:val="21"/>
                <w:lang w:val="en-US" w:eastAsia="zh-CN" w:bidi="ar-SA"/>
              </w:rPr>
              <w:t>详细评审</w:t>
            </w:r>
            <w:r>
              <w:rPr>
                <w:rFonts w:hint="eastAsia" w:ascii="Times New Roman" w:hAnsi="Times New Roman" w:eastAsia="宋体" w:cs="Times New Roman"/>
                <w:b w:val="0"/>
                <w:bCs w:val="0"/>
                <w:kern w:val="2"/>
                <w:sz w:val="21"/>
                <w:szCs w:val="21"/>
                <w:lang w:val="en-US" w:eastAsia="zh-CN" w:bidi="ar-SA"/>
              </w:rPr>
              <w:t>表内容</w:t>
            </w:r>
            <w:r>
              <w:rPr>
                <w:rFonts w:hint="eastAsia"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须一一对应</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kern w:val="2"/>
                <w:sz w:val="21"/>
                <w:szCs w:val="21"/>
                <w:lang w:val="en-US" w:eastAsia="zh-CN" w:bidi="ar-SA"/>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kern w:val="2"/>
                <w:sz w:val="21"/>
                <w:szCs w:val="21"/>
                <w:lang w:val="en-US" w:eastAsia="zh-CN" w:bidi="ar-SA"/>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kern w:val="2"/>
                <w:sz w:val="21"/>
                <w:szCs w:val="21"/>
                <w:lang w:val="en-US" w:eastAsia="zh-CN" w:bidi="ar-SA"/>
              </w:rPr>
            </w:pPr>
            <w:r>
              <w:rPr>
                <w:rFonts w:hint="eastAsia" w:eastAsia="仿宋"/>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 w:cs="Times New Roman"/>
                <w:kern w:val="2"/>
                <w:sz w:val="21"/>
                <w:szCs w:val="21"/>
                <w:lang w:val="en-US" w:eastAsia="zh-CN" w:bidi="ar-SA"/>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kern w:val="2"/>
                <w:sz w:val="21"/>
                <w:szCs w:val="21"/>
                <w:lang w:val="en-US" w:eastAsia="zh-CN" w:bidi="ar-SA"/>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kern w:val="2"/>
                <w:sz w:val="21"/>
                <w:szCs w:val="21"/>
                <w:lang w:val="en-US" w:eastAsia="zh-CN" w:bidi="ar-SA"/>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kern w:val="2"/>
                <w:sz w:val="21"/>
                <w:szCs w:val="21"/>
                <w:lang w:val="en-US" w:eastAsia="zh-CN" w:bidi="ar-SA"/>
              </w:rPr>
            </w:pPr>
            <w:r>
              <w:rPr>
                <w:rFonts w:hint="eastAsia" w:ascii="Arial" w:hAnsi="Arial" w:cs="Arial"/>
                <w:snapToGrid w:val="0"/>
                <w:kern w:val="0"/>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 w:cs="Times New Roman"/>
                <w:kern w:val="2"/>
                <w:sz w:val="21"/>
                <w:szCs w:val="21"/>
                <w:lang w:val="en-US" w:eastAsia="zh-CN" w:bidi="ar-SA"/>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kern w:val="2"/>
                <w:sz w:val="21"/>
                <w:szCs w:val="21"/>
                <w:lang w:val="en-US" w:eastAsia="zh-CN" w:bidi="ar-SA"/>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kern w:val="2"/>
                <w:sz w:val="21"/>
                <w:szCs w:val="21"/>
                <w:lang w:val="en-US" w:eastAsia="zh-CN" w:bidi="ar-SA"/>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kern w:val="2"/>
                <w:sz w:val="21"/>
                <w:szCs w:val="21"/>
                <w:lang w:val="en-US" w:eastAsia="zh-CN" w:bidi="ar-SA"/>
              </w:rPr>
            </w:pPr>
            <w:r>
              <w:rPr>
                <w:rFonts w:hint="eastAsia" w:eastAsia="仿宋"/>
                <w:szCs w:val="21"/>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 w:cs="Times New Roman"/>
                <w:kern w:val="2"/>
                <w:sz w:val="21"/>
                <w:szCs w:val="21"/>
                <w:lang w:val="en-US" w:eastAsia="zh-CN" w:bidi="ar-SA"/>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kern w:val="2"/>
                <w:sz w:val="21"/>
                <w:szCs w:val="21"/>
                <w:lang w:val="en-US" w:eastAsia="zh-CN" w:bidi="ar-SA"/>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cs="Times New Roman"/>
                <w:kern w:val="2"/>
                <w:sz w:val="21"/>
                <w:szCs w:val="21"/>
                <w:lang w:val="en-US" w:eastAsia="zh-CN" w:bidi="ar-SA"/>
              </w:rPr>
            </w:pPr>
            <w:r>
              <w:rPr>
                <w:rFonts w:hint="eastAsia" w:eastAsia="仿宋"/>
                <w:szCs w:val="21"/>
              </w:rPr>
              <w:t>……</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kern w:val="2"/>
                <w:sz w:val="21"/>
                <w:szCs w:val="21"/>
                <w:lang w:val="en-US" w:eastAsia="zh-CN" w:bidi="ar-SA"/>
              </w:rPr>
            </w:pPr>
            <w:r>
              <w:rPr>
                <w:rFonts w:hint="eastAsia" w:eastAsia="仿宋"/>
                <w:szCs w:val="21"/>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 w:cs="Times New Roman"/>
                <w:kern w:val="2"/>
                <w:sz w:val="21"/>
                <w:szCs w:val="21"/>
                <w:lang w:val="en-US" w:eastAsia="zh-CN" w:bidi="ar-SA"/>
              </w:rPr>
            </w:pPr>
            <w:r>
              <w:rPr>
                <w:rFonts w:hint="eastAsia" w:eastAsia="仿宋"/>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cs="Times New Roman"/>
                <w:kern w:val="2"/>
                <w:sz w:val="21"/>
                <w:szCs w:val="21"/>
                <w:lang w:val="en-US" w:eastAsia="zh-CN" w:bidi="ar-SA"/>
              </w:rPr>
            </w:pPr>
            <w:r>
              <w:rPr>
                <w:rFonts w:hint="eastAsia"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firstLineChars="0"/>
              <w:jc w:val="center"/>
              <w:rPr>
                <w:rFonts w:hint="eastAsia"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firstLineChars="0"/>
              <w:jc w:val="center"/>
              <w:rPr>
                <w:rFonts w:hint="eastAsia" w:eastAsia="仿宋"/>
                <w:szCs w:val="21"/>
              </w:rPr>
            </w:pPr>
          </w:p>
        </w:tc>
      </w:tr>
    </w:tbl>
    <w:p>
      <w:pPr>
        <w:jc w:val="center"/>
        <w:rPr>
          <w:szCs w:val="21"/>
        </w:rPr>
      </w:pPr>
    </w:p>
    <w:p>
      <w:r>
        <w:rPr>
          <w:szCs w:val="21"/>
        </w:rPr>
        <w:tab/>
      </w:r>
      <w:r>
        <w:t>注：该评标索引表格放在投标文件目录后，正文的第一页。</w:t>
      </w:r>
    </w:p>
    <w:p>
      <w:pPr>
        <w:tabs>
          <w:tab w:val="left" w:pos="360"/>
          <w:tab w:val="center" w:pos="4334"/>
        </w:tabs>
        <w:jc w:val="left"/>
        <w:rPr>
          <w:szCs w:val="21"/>
        </w:rPr>
      </w:pPr>
      <w:r>
        <w:rPr>
          <w:szCs w:val="21"/>
        </w:rPr>
        <w:tab/>
      </w:r>
    </w:p>
    <w:p>
      <w:pPr>
        <w:jc w:val="center"/>
        <w:rPr>
          <w:rFonts w:eastAsia="黑体"/>
          <w:b/>
          <w:bCs/>
          <w:sz w:val="30"/>
          <w:szCs w:val="3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239"/>
    <w:bookmarkEnd w:id="240"/>
    <w:bookmarkEnd w:id="241"/>
    <w:bookmarkEnd w:id="242"/>
    <w:bookmarkEnd w:id="243"/>
    <w:bookmarkEnd w:id="244"/>
    <w:bookmarkEnd w:id="245"/>
    <w:p>
      <w:pPr>
        <w:pStyle w:val="4"/>
        <w:spacing w:before="0" w:after="0" w:line="240" w:lineRule="auto"/>
        <w:rPr>
          <w:rFonts w:ascii="Times New Roman" w:hAnsi="Times New Roman"/>
          <w:sz w:val="28"/>
          <w:szCs w:val="28"/>
        </w:rPr>
      </w:pPr>
      <w:bookmarkStart w:id="246" w:name="_Toc29671"/>
      <w:bookmarkStart w:id="247" w:name="_Toc103677755"/>
      <w:r>
        <w:rPr>
          <w:rFonts w:hint="eastAsia" w:ascii="Times New Roman" w:hAnsi="Times New Roman"/>
          <w:sz w:val="28"/>
          <w:szCs w:val="28"/>
        </w:rPr>
        <w:t xml:space="preserve">第一部分 </w:t>
      </w:r>
      <w:r>
        <w:rPr>
          <w:rFonts w:ascii="Times New Roman" w:hAnsi="Times New Roman"/>
          <w:sz w:val="28"/>
          <w:szCs w:val="28"/>
        </w:rPr>
        <w:t xml:space="preserve"> 商务部分</w:t>
      </w:r>
      <w:bookmarkEnd w:id="246"/>
      <w:bookmarkEnd w:id="247"/>
    </w:p>
    <w:p>
      <w:pPr>
        <w:pStyle w:val="2"/>
        <w:spacing w:before="0" w:after="0" w:line="240" w:lineRule="auto"/>
        <w:rPr>
          <w:rFonts w:eastAsia="黑体"/>
          <w:sz w:val="28"/>
          <w:szCs w:val="28"/>
        </w:rPr>
      </w:pPr>
      <w:bookmarkStart w:id="248" w:name="_Toc103677756"/>
      <w:bookmarkStart w:id="249" w:name="_Toc15292"/>
      <w:r>
        <w:rPr>
          <w:rFonts w:hint="eastAsia" w:eastAsia="黑体"/>
          <w:sz w:val="28"/>
          <w:szCs w:val="28"/>
        </w:rPr>
        <w:t>一、</w:t>
      </w:r>
      <w:r>
        <w:rPr>
          <w:rFonts w:eastAsia="黑体"/>
          <w:sz w:val="28"/>
          <w:szCs w:val="28"/>
        </w:rPr>
        <w:t>投标函</w:t>
      </w:r>
      <w:bookmarkEnd w:id="248"/>
      <w:bookmarkEnd w:id="249"/>
    </w:p>
    <w:p>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pPr>
        <w:autoSpaceDE w:val="0"/>
        <w:autoSpaceDN w:val="0"/>
        <w:adjustRightInd w:val="0"/>
        <w:snapToGrid w:val="0"/>
        <w:spacing w:line="360" w:lineRule="auto"/>
        <w:jc w:val="left"/>
        <w:rPr>
          <w:b/>
          <w:bCs/>
          <w:kern w:val="0"/>
          <w:sz w:val="24"/>
        </w:rPr>
      </w:pPr>
      <w:r>
        <w:rPr>
          <w:rFonts w:hint="eastAsia"/>
          <w:b/>
          <w:bCs/>
          <w:kern w:val="0"/>
          <w:sz w:val="24"/>
          <w:u w:val="single"/>
          <w:lang w:eastAsia="zh-CN"/>
        </w:rPr>
        <w:t>新疆财经大学</w:t>
      </w:r>
      <w:r>
        <w:rPr>
          <w:b/>
          <w:bCs/>
          <w:kern w:val="0"/>
          <w:sz w:val="24"/>
        </w:rPr>
        <w:t>（采购人名称）：</w:t>
      </w:r>
    </w:p>
    <w:p>
      <w:pPr>
        <w:autoSpaceDE w:val="0"/>
        <w:autoSpaceDN w:val="0"/>
        <w:adjustRightInd w:val="0"/>
        <w:snapToGrid w:val="0"/>
        <w:spacing w:line="360" w:lineRule="auto"/>
        <w:ind w:firstLine="480" w:firstLineChars="200"/>
        <w:rPr>
          <w:kern w:val="0"/>
          <w:sz w:val="24"/>
        </w:rPr>
      </w:pPr>
      <w:r>
        <w:rPr>
          <w:kern w:val="0"/>
          <w:sz w:val="24"/>
        </w:rPr>
        <w:t>1.我方已仔细研究了</w:t>
      </w:r>
      <w:r>
        <w:rPr>
          <w:kern w:val="0"/>
          <w:sz w:val="24"/>
          <w:u w:val="single"/>
        </w:rPr>
        <w:t xml:space="preserve">  （项目名称） 标项一（标项号）</w:t>
      </w:r>
      <w:r>
        <w:rPr>
          <w:kern w:val="0"/>
          <w:sz w:val="24"/>
        </w:rPr>
        <w:t>招标文件（包括修改、澄清文件）的全部内容，且对招标文件无任何异议，并愿意以“开标一览表”所填写的投标报价（单价合计金额）、交货期、交货地点</w:t>
      </w:r>
      <w:r>
        <w:rPr>
          <w:rFonts w:hint="eastAsia"/>
          <w:kern w:val="0"/>
          <w:sz w:val="24"/>
          <w:lang w:val="en-US" w:eastAsia="zh-CN"/>
        </w:rPr>
        <w:t>及质保及服务年限</w:t>
      </w:r>
      <w:r>
        <w:rPr>
          <w:kern w:val="0"/>
          <w:sz w:val="24"/>
        </w:rPr>
        <w:t>，向你方</w:t>
      </w:r>
      <w:r>
        <w:rPr>
          <w:sz w:val="24"/>
        </w:rPr>
        <w:t>提供招标文件要求的货物和服务</w:t>
      </w:r>
      <w:r>
        <w:rPr>
          <w:kern w:val="0"/>
          <w:sz w:val="24"/>
        </w:rPr>
        <w:t>。</w:t>
      </w:r>
    </w:p>
    <w:p>
      <w:pPr>
        <w:autoSpaceDE w:val="0"/>
        <w:autoSpaceDN w:val="0"/>
        <w:adjustRightInd w:val="0"/>
        <w:snapToGrid w:val="0"/>
        <w:spacing w:line="360" w:lineRule="auto"/>
        <w:ind w:firstLine="480" w:firstLineChars="200"/>
        <w:jc w:val="left"/>
        <w:rPr>
          <w:kern w:val="0"/>
          <w:sz w:val="24"/>
        </w:rPr>
      </w:pPr>
      <w:r>
        <w:rPr>
          <w:kern w:val="0"/>
          <w:sz w:val="24"/>
        </w:rPr>
        <w:t>2.我方承诺在投标有效期内不修改或撤销投标文件。否则，你方可不予退还我方的投标保证金。</w:t>
      </w:r>
    </w:p>
    <w:p>
      <w:pPr>
        <w:autoSpaceDE w:val="0"/>
        <w:autoSpaceDN w:val="0"/>
        <w:adjustRightInd w:val="0"/>
        <w:snapToGrid w:val="0"/>
        <w:spacing w:line="360" w:lineRule="auto"/>
        <w:ind w:firstLine="480" w:firstLineChars="200"/>
        <w:jc w:val="left"/>
        <w:rPr>
          <w:kern w:val="0"/>
          <w:sz w:val="24"/>
        </w:rPr>
      </w:pPr>
      <w:r>
        <w:rPr>
          <w:kern w:val="0"/>
          <w:sz w:val="24"/>
        </w:rPr>
        <w:t>3.随同本投标函提交投标保证金一份，金额见“开标一览表”。</w:t>
      </w:r>
    </w:p>
    <w:p>
      <w:pPr>
        <w:autoSpaceDE w:val="0"/>
        <w:autoSpaceDN w:val="0"/>
        <w:adjustRightInd w:val="0"/>
        <w:snapToGrid w:val="0"/>
        <w:spacing w:line="360" w:lineRule="auto"/>
        <w:ind w:firstLine="480" w:firstLineChars="200"/>
        <w:jc w:val="left"/>
        <w:rPr>
          <w:kern w:val="0"/>
          <w:sz w:val="24"/>
        </w:rPr>
      </w:pPr>
      <w:r>
        <w:rPr>
          <w:kern w:val="0"/>
          <w:sz w:val="24"/>
        </w:rPr>
        <w:t>4.本投标的投标有效期为自投标截止之日起</w:t>
      </w:r>
      <w:r>
        <w:rPr>
          <w:kern w:val="0"/>
          <w:sz w:val="24"/>
          <w:u w:val="single"/>
        </w:rPr>
        <w:t xml:space="preserve"> 90 </w:t>
      </w:r>
      <w:r>
        <w:rPr>
          <w:kern w:val="0"/>
          <w:sz w:val="24"/>
        </w:rPr>
        <w:t>个日历天。</w:t>
      </w:r>
    </w:p>
    <w:p>
      <w:pPr>
        <w:autoSpaceDE w:val="0"/>
        <w:autoSpaceDN w:val="0"/>
        <w:adjustRightInd w:val="0"/>
        <w:snapToGrid w:val="0"/>
        <w:spacing w:line="360" w:lineRule="auto"/>
        <w:ind w:firstLine="480" w:firstLineChars="200"/>
        <w:jc w:val="left"/>
        <w:rPr>
          <w:kern w:val="0"/>
          <w:sz w:val="24"/>
        </w:rPr>
      </w:pPr>
      <w:r>
        <w:rPr>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pPr>
        <w:autoSpaceDE w:val="0"/>
        <w:autoSpaceDN w:val="0"/>
        <w:adjustRightInd w:val="0"/>
        <w:snapToGrid w:val="0"/>
        <w:spacing w:line="360" w:lineRule="auto"/>
        <w:ind w:firstLine="480" w:firstLineChars="200"/>
        <w:jc w:val="left"/>
        <w:rPr>
          <w:kern w:val="0"/>
          <w:sz w:val="24"/>
        </w:rPr>
      </w:pPr>
      <w:r>
        <w:rPr>
          <w:kern w:val="0"/>
          <w:sz w:val="24"/>
        </w:rPr>
        <w:t>6．如我方中标：</w:t>
      </w:r>
    </w:p>
    <w:p>
      <w:pPr>
        <w:autoSpaceDE w:val="0"/>
        <w:autoSpaceDN w:val="0"/>
        <w:adjustRightInd w:val="0"/>
        <w:snapToGrid w:val="0"/>
        <w:spacing w:line="360" w:lineRule="auto"/>
        <w:ind w:left="359" w:leftChars="171"/>
        <w:jc w:val="left"/>
        <w:rPr>
          <w:kern w:val="0"/>
          <w:sz w:val="24"/>
        </w:rPr>
      </w:pPr>
      <w:r>
        <w:rPr>
          <w:kern w:val="0"/>
          <w:sz w:val="24"/>
        </w:rPr>
        <w:t>（1）我方承诺在收到中标通知书后，在中标通知书规定的期限内与你方签订合同。</w:t>
      </w:r>
    </w:p>
    <w:p>
      <w:pPr>
        <w:autoSpaceDE w:val="0"/>
        <w:autoSpaceDN w:val="0"/>
        <w:adjustRightInd w:val="0"/>
        <w:snapToGrid w:val="0"/>
        <w:spacing w:line="360" w:lineRule="auto"/>
        <w:ind w:left="359" w:leftChars="171"/>
        <w:jc w:val="left"/>
        <w:rPr>
          <w:kern w:val="0"/>
          <w:sz w:val="24"/>
        </w:rPr>
      </w:pPr>
      <w:r>
        <w:rPr>
          <w:kern w:val="0"/>
          <w:sz w:val="24"/>
        </w:rPr>
        <w:t>（2）我方承诺按照招标文件规定向你方递交履约保证金。</w:t>
      </w:r>
    </w:p>
    <w:p>
      <w:pPr>
        <w:autoSpaceDE w:val="0"/>
        <w:autoSpaceDN w:val="0"/>
        <w:adjustRightInd w:val="0"/>
        <w:snapToGrid w:val="0"/>
        <w:spacing w:line="360" w:lineRule="auto"/>
        <w:ind w:left="359" w:leftChars="171"/>
        <w:jc w:val="left"/>
        <w:rPr>
          <w:kern w:val="0"/>
          <w:sz w:val="24"/>
        </w:rPr>
      </w:pPr>
      <w:r>
        <w:rPr>
          <w:kern w:val="0"/>
          <w:sz w:val="24"/>
        </w:rPr>
        <w:t>（3）我方承诺按合同约定的期限和地点，提供符合招标文件要求的全部的招标货物（/或服务）。</w:t>
      </w:r>
    </w:p>
    <w:p>
      <w:pPr>
        <w:autoSpaceDE w:val="0"/>
        <w:autoSpaceDN w:val="0"/>
        <w:adjustRightInd w:val="0"/>
        <w:snapToGrid w:val="0"/>
        <w:spacing w:line="360" w:lineRule="auto"/>
        <w:ind w:left="359" w:leftChars="171"/>
        <w:jc w:val="left"/>
        <w:rPr>
          <w:kern w:val="0"/>
          <w:sz w:val="24"/>
        </w:rPr>
      </w:pPr>
      <w:r>
        <w:rPr>
          <w:kern w:val="0"/>
          <w:sz w:val="24"/>
        </w:rPr>
        <w:t>（4）我方将按招标文件规定提交履约保证金，作为履行合同的担保。</w:t>
      </w:r>
    </w:p>
    <w:p>
      <w:pPr>
        <w:autoSpaceDE w:val="0"/>
        <w:autoSpaceDN w:val="0"/>
        <w:adjustRightInd w:val="0"/>
        <w:snapToGrid w:val="0"/>
        <w:spacing w:line="360" w:lineRule="auto"/>
        <w:ind w:left="359" w:leftChars="171"/>
        <w:jc w:val="left"/>
        <w:rPr>
          <w:kern w:val="0"/>
          <w:sz w:val="24"/>
        </w:rPr>
      </w:pPr>
      <w:r>
        <w:rPr>
          <w:kern w:val="0"/>
          <w:sz w:val="24"/>
        </w:rPr>
        <w:t>（5）我方保证在收到中标通知书后五个工作日内按要求支付招标服务费。</w:t>
      </w:r>
    </w:p>
    <w:p>
      <w:pPr>
        <w:autoSpaceDE w:val="0"/>
        <w:autoSpaceDN w:val="0"/>
        <w:adjustRightInd w:val="0"/>
        <w:snapToGrid w:val="0"/>
        <w:spacing w:line="360" w:lineRule="auto"/>
        <w:ind w:firstLine="480" w:firstLineChars="200"/>
        <w:jc w:val="left"/>
        <w:rPr>
          <w:kern w:val="0"/>
          <w:sz w:val="24"/>
        </w:rPr>
      </w:pPr>
      <w:r>
        <w:rPr>
          <w:kern w:val="0"/>
          <w:sz w:val="24"/>
        </w:rPr>
        <w:t>7．</w:t>
      </w:r>
      <w:r>
        <w:rPr>
          <w:kern w:val="0"/>
          <w:sz w:val="24"/>
          <w:u w:val="single"/>
        </w:rPr>
        <w:t xml:space="preserve">                </w:t>
      </w:r>
      <w:r>
        <w:rPr>
          <w:kern w:val="0"/>
          <w:sz w:val="24"/>
        </w:rPr>
        <w:t>（其他补充说明）。</w:t>
      </w:r>
    </w:p>
    <w:p>
      <w:pPr>
        <w:autoSpaceDE w:val="0"/>
        <w:autoSpaceDN w:val="0"/>
        <w:adjustRightInd w:val="0"/>
        <w:snapToGrid w:val="0"/>
        <w:spacing w:line="360" w:lineRule="auto"/>
        <w:ind w:firstLine="3120" w:firstLineChars="1300"/>
        <w:jc w:val="left"/>
        <w:rPr>
          <w:kern w:val="0"/>
          <w:sz w:val="24"/>
        </w:rPr>
      </w:pPr>
      <w:r>
        <w:rPr>
          <w:kern w:val="0"/>
          <w:sz w:val="24"/>
        </w:rPr>
        <w:t>投 标 人： （盖单位章）</w:t>
      </w:r>
    </w:p>
    <w:p>
      <w:pPr>
        <w:autoSpaceDE w:val="0"/>
        <w:autoSpaceDN w:val="0"/>
        <w:adjustRightInd w:val="0"/>
        <w:snapToGrid w:val="0"/>
        <w:spacing w:line="360" w:lineRule="auto"/>
        <w:ind w:firstLine="3120" w:firstLineChars="1300"/>
        <w:jc w:val="left"/>
        <w:rPr>
          <w:kern w:val="0"/>
          <w:sz w:val="24"/>
        </w:rPr>
      </w:pPr>
      <w:r>
        <w:rPr>
          <w:kern w:val="0"/>
          <w:sz w:val="24"/>
        </w:rPr>
        <w:t>法定代表人或其委托代理人：（签字或加盖人名章）</w:t>
      </w:r>
    </w:p>
    <w:p>
      <w:pPr>
        <w:autoSpaceDE w:val="0"/>
        <w:autoSpaceDN w:val="0"/>
        <w:adjustRightInd w:val="0"/>
        <w:snapToGrid w:val="0"/>
        <w:spacing w:line="360" w:lineRule="auto"/>
        <w:ind w:firstLine="3120" w:firstLineChars="1300"/>
        <w:jc w:val="left"/>
        <w:rPr>
          <w:kern w:val="0"/>
          <w:sz w:val="24"/>
        </w:rPr>
      </w:pPr>
      <w:r>
        <w:rPr>
          <w:kern w:val="0"/>
          <w:sz w:val="24"/>
        </w:rPr>
        <w:t>地址：</w:t>
      </w:r>
    </w:p>
    <w:p>
      <w:pPr>
        <w:autoSpaceDE w:val="0"/>
        <w:autoSpaceDN w:val="0"/>
        <w:adjustRightInd w:val="0"/>
        <w:snapToGrid w:val="0"/>
        <w:spacing w:line="360" w:lineRule="auto"/>
        <w:ind w:firstLine="3120" w:firstLineChars="1300"/>
        <w:jc w:val="left"/>
        <w:rPr>
          <w:kern w:val="0"/>
          <w:sz w:val="24"/>
        </w:rPr>
      </w:pPr>
      <w:r>
        <w:rPr>
          <w:kern w:val="0"/>
          <w:sz w:val="24"/>
        </w:rPr>
        <w:t>电话：</w:t>
      </w:r>
    </w:p>
    <w:p>
      <w:pPr>
        <w:autoSpaceDE w:val="0"/>
        <w:autoSpaceDN w:val="0"/>
        <w:adjustRightInd w:val="0"/>
        <w:snapToGrid w:val="0"/>
        <w:spacing w:line="360" w:lineRule="auto"/>
        <w:ind w:firstLine="3120" w:firstLineChars="1300"/>
        <w:rPr>
          <w:kern w:val="0"/>
          <w:sz w:val="24"/>
        </w:rPr>
      </w:pPr>
      <w:r>
        <w:rPr>
          <w:kern w:val="0"/>
          <w:sz w:val="24"/>
        </w:rPr>
        <w:t>传真：</w:t>
      </w:r>
    </w:p>
    <w:p>
      <w:pPr>
        <w:autoSpaceDE w:val="0"/>
        <w:autoSpaceDN w:val="0"/>
        <w:adjustRightInd w:val="0"/>
        <w:snapToGrid w:val="0"/>
        <w:spacing w:line="360" w:lineRule="auto"/>
        <w:ind w:left="5939" w:leftChars="2828"/>
        <w:jc w:val="left"/>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kern w:val="0"/>
          <w:sz w:val="24"/>
        </w:rPr>
        <w:t>年  月   日</w:t>
      </w:r>
      <w:r>
        <w:br w:type="page"/>
      </w:r>
      <w:bookmarkStart w:id="250" w:name="_Toc31123"/>
      <w:bookmarkStart w:id="251" w:name="_Toc18628"/>
    </w:p>
    <w:p>
      <w:pPr>
        <w:pStyle w:val="2"/>
        <w:adjustRightInd w:val="0"/>
        <w:snapToGrid w:val="0"/>
        <w:spacing w:before="0" w:after="0" w:line="360" w:lineRule="auto"/>
        <w:rPr>
          <w:rFonts w:eastAsia="黑体"/>
          <w:sz w:val="28"/>
          <w:szCs w:val="28"/>
        </w:rPr>
      </w:pPr>
      <w:bookmarkStart w:id="252" w:name="_Toc28604"/>
      <w:bookmarkStart w:id="253" w:name="_Toc103677757"/>
      <w:r>
        <w:rPr>
          <w:rFonts w:hint="eastAsia" w:eastAsia="黑体"/>
          <w:sz w:val="28"/>
          <w:szCs w:val="28"/>
        </w:rPr>
        <w:t>二、《法定代表人资格证明书》或《法定代表人授权委托书》等</w:t>
      </w:r>
      <w:bookmarkEnd w:id="252"/>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napToGrid w:val="0"/>
        <w:spacing w:line="360" w:lineRule="auto"/>
        <w:jc w:val="center"/>
        <w:rPr>
          <w:rFonts w:eastAsia="黑体"/>
          <w:b/>
          <w:bCs/>
          <w:i/>
          <w:iCs/>
          <w:kern w:val="0"/>
          <w:sz w:val="28"/>
          <w:szCs w:val="28"/>
        </w:rPr>
      </w:pPr>
      <w:r>
        <w:rPr>
          <w:rFonts w:eastAsia="黑体"/>
          <w:b/>
          <w:bCs/>
          <w:i/>
          <w:iCs/>
          <w:kern w:val="0"/>
          <w:sz w:val="28"/>
          <w:szCs w:val="28"/>
        </w:rPr>
        <w:t>（适用于法定代表人参加投标）</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bookmarkStart w:id="254" w:name="_Toc195922058"/>
    </w:p>
    <w:p>
      <w:pPr>
        <w:rPr>
          <w:rFonts w:eastAsia="黑体"/>
          <w:sz w:val="36"/>
          <w:szCs w:val="36"/>
        </w:rPr>
      </w:pPr>
      <w:r>
        <w:rPr>
          <w:rFonts w:eastAsia="黑体"/>
          <w:sz w:val="36"/>
          <w:szCs w:val="36"/>
        </w:rPr>
        <w:br w:type="page"/>
      </w:r>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bookmarkEnd w:id="254"/>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
    <w:p/>
    <w:p>
      <w:pPr>
        <w:spacing w:line="360" w:lineRule="auto"/>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（3）授权委托书</w:t>
      </w:r>
    </w:p>
    <w:p>
      <w:pPr>
        <w:autoSpaceDE w:val="0"/>
        <w:autoSpaceDN w:val="0"/>
        <w:adjustRightInd w:val="0"/>
        <w:spacing w:before="240" w:beforeLines="100" w:after="240" w:afterLines="100"/>
        <w:jc w:val="center"/>
        <w:rPr>
          <w:b/>
          <w:bCs/>
          <w:i/>
          <w:iCs/>
          <w:kern w:val="0"/>
          <w:sz w:val="32"/>
          <w:szCs w:val="32"/>
        </w:rPr>
      </w:pPr>
      <w:r>
        <w:rPr>
          <w:b/>
          <w:bCs/>
          <w:i/>
          <w:iCs/>
          <w:kern w:val="0"/>
          <w:sz w:val="32"/>
          <w:szCs w:val="32"/>
        </w:rPr>
        <w:t xml:space="preserve"> （适用于自然人授权代理人投标）</w:t>
      </w:r>
    </w:p>
    <w:p>
      <w:pPr>
        <w:autoSpaceDE w:val="0"/>
        <w:autoSpaceDN w:val="0"/>
        <w:adjustRightInd w:val="0"/>
        <w:spacing w:line="360" w:lineRule="auto"/>
        <w:rPr>
          <w:kern w:val="0"/>
          <w:sz w:val="24"/>
        </w:rPr>
      </w:pPr>
      <w:r>
        <w:rPr>
          <w:kern w:val="0"/>
          <w:sz w:val="24"/>
        </w:rPr>
        <w:t>致：____________(采购人)</w:t>
      </w:r>
    </w:p>
    <w:p>
      <w:pPr>
        <w:autoSpaceDE w:val="0"/>
        <w:autoSpaceDN w:val="0"/>
        <w:adjustRightInd w:val="0"/>
        <w:spacing w:line="360" w:lineRule="auto"/>
        <w:ind w:firstLine="480" w:firstLineChars="200"/>
        <w:jc w:val="left"/>
        <w:rPr>
          <w:kern w:val="0"/>
          <w:sz w:val="24"/>
        </w:rPr>
      </w:pPr>
      <w:r>
        <w:rPr>
          <w:kern w:val="0"/>
          <w:sz w:val="24"/>
        </w:rPr>
        <w:t>我________(姓名)系自然人，现授权委托____________(姓名)以本人名义参加____________(项目名称) ，项目编号为（          ）的投标活动，并代表本人全权办理针对上述项目的投标、签约等具体事务和签署相关文件。</w:t>
      </w:r>
    </w:p>
    <w:p>
      <w:pPr>
        <w:autoSpaceDE w:val="0"/>
        <w:autoSpaceDN w:val="0"/>
        <w:adjustRightInd w:val="0"/>
        <w:spacing w:line="360" w:lineRule="auto"/>
        <w:ind w:firstLine="480" w:firstLineChars="200"/>
        <w:jc w:val="left"/>
        <w:rPr>
          <w:kern w:val="0"/>
          <w:sz w:val="24"/>
        </w:rPr>
      </w:pPr>
      <w:r>
        <w:rPr>
          <w:kern w:val="0"/>
          <w:sz w:val="24"/>
        </w:rPr>
        <w:t>本人对授权代表的签字事项负全部责任。</w:t>
      </w:r>
    </w:p>
    <w:p>
      <w:pPr>
        <w:autoSpaceDE w:val="0"/>
        <w:autoSpaceDN w:val="0"/>
        <w:adjustRightInd w:val="0"/>
        <w:spacing w:line="360" w:lineRule="auto"/>
        <w:ind w:firstLine="480" w:firstLineChars="200"/>
        <w:jc w:val="left"/>
        <w:rPr>
          <w:kern w:val="0"/>
          <w:sz w:val="24"/>
        </w:rPr>
      </w:pPr>
      <w:r>
        <w:rPr>
          <w:kern w:val="0"/>
          <w:sz w:val="24"/>
        </w:rPr>
        <w:t>授权委托代理期限：从　　　年　　月　　日起至　　　年　　月　　日止。</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代理人无转委托权，特此委托。</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我已在下面签字，以资证明。</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自然人签字并在签名处加盖食指指印：　　　　年　　月　　日</w:t>
      </w:r>
    </w:p>
    <w:p>
      <w:pPr>
        <w:spacing w:before="120" w:beforeLines="50" w:after="120" w:afterLines="50" w:line="360" w:lineRule="auto"/>
        <w:ind w:left="546" w:leftChars="260"/>
      </w:pPr>
    </w:p>
    <w:p>
      <w:pPr>
        <w:sectPr>
          <w:footerReference r:id="rId9"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pPr>
      <w:bookmarkStart w:id="255" w:name="_Toc29296"/>
      <w:r>
        <w:rPr>
          <w:rFonts w:hint="eastAsia" w:eastAsia="黑体"/>
          <w:sz w:val="28"/>
          <w:szCs w:val="28"/>
        </w:rPr>
        <w:t>三、</w:t>
      </w:r>
      <w:r>
        <w:rPr>
          <w:rFonts w:eastAsia="黑体"/>
          <w:sz w:val="28"/>
          <w:szCs w:val="28"/>
        </w:rPr>
        <w:t>资格审查证明文件</w:t>
      </w:r>
      <w:bookmarkEnd w:id="250"/>
      <w:bookmarkEnd w:id="251"/>
      <w:bookmarkEnd w:id="253"/>
      <w:bookmarkEnd w:id="255"/>
    </w:p>
    <w:p>
      <w:pPr>
        <w:autoSpaceDE w:val="0"/>
        <w:autoSpaceDN w:val="0"/>
        <w:adjustRightInd w:val="0"/>
        <w:jc w:val="center"/>
        <w:rPr>
          <w:rFonts w:eastAsia="黑体"/>
          <w:b/>
          <w:bCs/>
          <w:kern w:val="0"/>
          <w:sz w:val="36"/>
          <w:szCs w:val="36"/>
        </w:rPr>
      </w:pPr>
    </w:p>
    <w:p>
      <w:pPr>
        <w:autoSpaceDE w:val="0"/>
        <w:autoSpaceDN w:val="0"/>
        <w:adjustRightInd w:val="0"/>
        <w:jc w:val="center"/>
        <w:rPr>
          <w:rFonts w:eastAsia="黑体"/>
          <w:b/>
          <w:bCs/>
          <w:kern w:val="0"/>
          <w:sz w:val="36"/>
          <w:szCs w:val="36"/>
        </w:rPr>
      </w:pPr>
      <w:r>
        <w:rPr>
          <w:rFonts w:eastAsia="黑体"/>
          <w:b/>
          <w:bCs/>
          <w:kern w:val="0"/>
          <w:sz w:val="36"/>
          <w:szCs w:val="36"/>
        </w:rPr>
        <w:t>资格审查证明文件</w:t>
      </w:r>
    </w:p>
    <w:p/>
    <w:p>
      <w:pPr>
        <w:spacing w:line="360" w:lineRule="auto"/>
        <w:ind w:firstLine="480" w:firstLineChars="200"/>
        <w:rPr>
          <w:snapToGrid w:val="0"/>
          <w:kern w:val="0"/>
          <w:sz w:val="24"/>
        </w:rPr>
      </w:pPr>
      <w:r>
        <w:rPr>
          <w:snapToGrid w:val="0"/>
          <w:kern w:val="0"/>
          <w:sz w:val="24"/>
        </w:rPr>
        <w:t>1、提供有效的营业执照 (或事业单位法人证书) 等证明材料 (加盖单位公 章) ； 自然人需提供身份证明（格式见3-1）</w:t>
      </w:r>
    </w:p>
    <w:p>
      <w:pPr>
        <w:spacing w:line="360" w:lineRule="auto"/>
        <w:ind w:firstLine="480" w:firstLineChars="200"/>
        <w:rPr>
          <w:snapToGrid w:val="0"/>
          <w:kern w:val="0"/>
          <w:sz w:val="24"/>
        </w:rPr>
      </w:pPr>
      <w:r>
        <w:rPr>
          <w:snapToGrid w:val="0"/>
          <w:kern w:val="0"/>
          <w:sz w:val="24"/>
        </w:rPr>
        <w:t>2、提供参加本次政府采购活动最近一年度 (2022年度) 的审计报告或财务报表(财务报表应至少包括资产负债表、损益表、现金流量表或财务状况变动表等) 或银行资信证明等；复印件加盖公章；当月新成立的公司不需提供（格式见3-2）</w:t>
      </w:r>
    </w:p>
    <w:p>
      <w:pPr>
        <w:spacing w:line="360" w:lineRule="auto"/>
        <w:ind w:firstLine="480" w:firstLineChars="200"/>
        <w:rPr>
          <w:snapToGrid w:val="0"/>
          <w:kern w:val="0"/>
          <w:sz w:val="24"/>
        </w:rPr>
      </w:pPr>
      <w:r>
        <w:rPr>
          <w:snapToGrid w:val="0"/>
          <w:kern w:val="0"/>
          <w:sz w:val="24"/>
        </w:rPr>
        <w:t>3、根据项目需求提供履行合同所必需的设备和专业技术能力相关的证明材料或声明，加盖公章（格式见3-3）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napToGrid w:val="0"/>
          <w:kern w:val="0"/>
          <w:sz w:val="24"/>
        </w:rPr>
      </w:pPr>
      <w:r>
        <w:rPr>
          <w:snapToGrid w:val="0"/>
          <w:kern w:val="0"/>
          <w:sz w:val="24"/>
        </w:rPr>
        <w:t xml:space="preserve">4、提供 2023年1月至今连续3个月缴纳税收和社会保险的凭据证明材料 </w:t>
      </w:r>
      <w:r>
        <w:rPr>
          <w:snapToGrid w:val="0"/>
          <w:kern w:val="0"/>
          <w:sz w:val="24"/>
        </w:rPr>
        <w:tab/>
      </w:r>
      <w:r>
        <w:rPr>
          <w:snapToGrid w:val="0"/>
          <w:kern w:val="0"/>
          <w:sz w:val="24"/>
        </w:rPr>
        <w:t>(复印件加盖公章) ；如依法免税或不需要缴纳社会保障资金的，应提供相应文件证明（格式见3-4）</w:t>
      </w:r>
    </w:p>
    <w:p>
      <w:pPr>
        <w:spacing w:line="360" w:lineRule="auto"/>
        <w:ind w:firstLine="480" w:firstLineChars="200"/>
        <w:rPr>
          <w:snapToGrid w:val="0"/>
          <w:kern w:val="0"/>
          <w:sz w:val="24"/>
        </w:rPr>
      </w:pPr>
      <w:r>
        <w:rPr>
          <w:rFonts w:hint="eastAsia"/>
          <w:snapToGrid w:val="0"/>
          <w:kern w:val="0"/>
          <w:sz w:val="24"/>
          <w:lang w:val="en-US" w:eastAsia="zh-CN"/>
        </w:rPr>
        <w:t>5、</w:t>
      </w:r>
      <w:r>
        <w:rPr>
          <w:snapToGrid w:val="0"/>
          <w:kern w:val="0"/>
          <w:sz w:val="24"/>
        </w:rPr>
        <w:t>提供参加本次政府采购活动前3 年内在经营活动中没有重大违法记录声明函 (加盖公章) 。（格式见3-</w:t>
      </w:r>
      <w:r>
        <w:rPr>
          <w:rFonts w:hint="eastAsia"/>
          <w:snapToGrid w:val="0"/>
          <w:kern w:val="0"/>
          <w:sz w:val="24"/>
          <w:lang w:val="en-US" w:eastAsia="zh-CN"/>
        </w:rPr>
        <w:t>5</w:t>
      </w:r>
      <w:r>
        <w:rPr>
          <w:snapToGrid w:val="0"/>
          <w:kern w:val="0"/>
          <w:sz w:val="24"/>
        </w:rPr>
        <w:t>）</w:t>
      </w:r>
    </w:p>
    <w:p>
      <w:pPr>
        <w:spacing w:line="360" w:lineRule="auto"/>
        <w:ind w:firstLine="480" w:firstLineChars="200"/>
        <w:rPr>
          <w:rFonts w:hint="eastAsia"/>
          <w:snapToGrid w:val="0"/>
          <w:kern w:val="0"/>
          <w:sz w:val="24"/>
          <w:lang w:val="en-US" w:eastAsia="zh-CN"/>
        </w:rPr>
      </w:pPr>
      <w:r>
        <w:rPr>
          <w:rFonts w:hint="eastAsia"/>
          <w:snapToGrid w:val="0"/>
          <w:kern w:val="0"/>
          <w:sz w:val="24"/>
          <w:lang w:val="en-US" w:eastAsia="zh-CN"/>
        </w:rPr>
        <w:t>6、提供了有效的法定代表人证明及委托代理人证明 (并加盖公章) 。（格式见3-6）</w:t>
      </w:r>
    </w:p>
    <w:p>
      <w:pPr>
        <w:spacing w:line="360" w:lineRule="auto"/>
        <w:ind w:firstLine="480" w:firstLineChars="200"/>
        <w:rPr>
          <w:snapToGrid w:val="0"/>
          <w:kern w:val="0"/>
          <w:sz w:val="24"/>
        </w:rPr>
      </w:pPr>
      <w:r>
        <w:rPr>
          <w:rFonts w:hint="eastAsia"/>
          <w:snapToGrid w:val="0"/>
          <w:kern w:val="0"/>
          <w:sz w:val="24"/>
          <w:lang w:val="en-US" w:eastAsia="zh-CN"/>
        </w:rPr>
        <w:t>7</w:t>
      </w:r>
      <w:r>
        <w:rPr>
          <w:rFonts w:hint="eastAsia"/>
          <w:snapToGrid w:val="0"/>
          <w:kern w:val="0"/>
          <w:sz w:val="24"/>
        </w:rPr>
        <w:t>、请根据“落实政府采购政策需满足的资格要求”，上传对应的资格文件，格式以采购文件要求为准：是否提供了《中小企业声明函》 (或《残疾人福利性单位声明函》) 等相关证明材料。</w:t>
      </w:r>
      <w:r>
        <w:rPr>
          <w:snapToGrid w:val="0"/>
          <w:kern w:val="0"/>
          <w:sz w:val="24"/>
        </w:rPr>
        <w:t>（格式见3-</w:t>
      </w:r>
      <w:r>
        <w:rPr>
          <w:rFonts w:hint="eastAsia"/>
          <w:snapToGrid w:val="0"/>
          <w:kern w:val="0"/>
          <w:sz w:val="24"/>
          <w:lang w:val="en-US" w:eastAsia="zh-CN"/>
        </w:rPr>
        <w:t>7</w:t>
      </w:r>
      <w:r>
        <w:rPr>
          <w:snapToGrid w:val="0"/>
          <w:kern w:val="0"/>
          <w:sz w:val="24"/>
        </w:rPr>
        <w:t xml:space="preserve">)  </w:t>
      </w:r>
    </w:p>
    <w:p>
      <w:pPr>
        <w:spacing w:line="360" w:lineRule="auto"/>
        <w:ind w:firstLine="480" w:firstLineChars="200"/>
        <w:rPr>
          <w:rFonts w:hint="eastAsia"/>
          <w:snapToGrid w:val="0"/>
          <w:kern w:val="0"/>
          <w:sz w:val="24"/>
          <w:lang w:val="en-US" w:eastAsia="zh-CN"/>
        </w:rPr>
      </w:pPr>
      <w:r>
        <w:rPr>
          <w:rFonts w:hint="eastAsia"/>
          <w:snapToGrid w:val="0"/>
          <w:kern w:val="0"/>
          <w:sz w:val="24"/>
          <w:lang w:val="en-US" w:eastAsia="zh-CN"/>
        </w:rPr>
        <w:t xml:space="preserve">8、其他（格式见3-8)  </w:t>
      </w:r>
    </w:p>
    <w:p>
      <w:pPr>
        <w:spacing w:line="360" w:lineRule="auto"/>
        <w:ind w:firstLine="480" w:firstLineChars="200"/>
        <w:rPr>
          <w:snapToGrid w:val="0"/>
          <w:kern w:val="0"/>
          <w:sz w:val="24"/>
        </w:rPr>
      </w:pPr>
      <w:r>
        <w:rPr>
          <w:rFonts w:hint="eastAsia"/>
          <w:snapToGrid w:val="0"/>
          <w:kern w:val="0"/>
          <w:sz w:val="24"/>
          <w:lang w:val="en-US" w:eastAsia="zh-CN"/>
        </w:rPr>
        <w:t>（1）</w:t>
      </w:r>
      <w:r>
        <w:rPr>
          <w:snapToGrid w:val="0"/>
          <w:kern w:val="0"/>
          <w:sz w:val="24"/>
        </w:rPr>
        <w:t>供应商不得为“信用中国网站(www.creditchina.gov.cn) 被列入失信被执行人和税收违法黑名单的供应商；不得为中国政府采购网(www.ccgp.gov.cn) 政府采购严重违法失信行为记录名单中被财政部门禁止参加政府采购活动的供应商 (此项内容由采购人或代理机构现场查询)</w:t>
      </w:r>
      <w:r>
        <w:rPr>
          <w:rFonts w:hint="eastAsia"/>
          <w:snapToGrid w:val="0"/>
          <w:kern w:val="0"/>
          <w:sz w:val="24"/>
          <w:lang w:eastAsia="zh-CN"/>
        </w:rPr>
        <w:t>；</w:t>
      </w:r>
      <w:r>
        <w:rPr>
          <w:snapToGrid w:val="0"/>
          <w:kern w:val="0"/>
          <w:sz w:val="24"/>
        </w:rPr>
        <w:t xml:space="preserve"> </w:t>
      </w:r>
    </w:p>
    <w:p>
      <w:pPr>
        <w:spacing w:line="360" w:lineRule="auto"/>
        <w:ind w:firstLine="480" w:firstLineChars="200"/>
        <w:rPr>
          <w:rFonts w:hint="eastAsia"/>
          <w:snapToGrid w:val="0"/>
          <w:kern w:val="0"/>
          <w:sz w:val="24"/>
          <w:lang w:val="en-US" w:eastAsia="zh-CN"/>
        </w:rPr>
      </w:pPr>
      <w:r>
        <w:rPr>
          <w:rFonts w:hint="eastAsia"/>
          <w:snapToGrid w:val="0"/>
          <w:kern w:val="0"/>
          <w:sz w:val="24"/>
          <w:lang w:val="en-US" w:eastAsia="zh-CN"/>
        </w:rPr>
        <w:t>（2）提供承诺函：单位负责人为同一人或者存在直接控股、管理关系的不同供应商，未参加同一合同项下的政府采购活动。</w:t>
      </w:r>
    </w:p>
    <w:p>
      <w:pPr>
        <w:spacing w:line="360" w:lineRule="auto"/>
        <w:ind w:firstLine="482" w:firstLineChars="200"/>
        <w:rPr>
          <w:b/>
          <w:bCs/>
          <w:snapToGrid w:val="0"/>
          <w:kern w:val="0"/>
          <w:sz w:val="24"/>
        </w:rPr>
      </w:pPr>
      <w:r>
        <w:rPr>
          <w:b/>
          <w:bCs/>
          <w:snapToGrid w:val="0"/>
          <w:kern w:val="0"/>
          <w:sz w:val="24"/>
        </w:rPr>
        <w:t>以上提供的扫描件、复印件</w:t>
      </w:r>
      <w:r>
        <w:rPr>
          <w:rFonts w:hint="eastAsia"/>
          <w:b/>
          <w:bCs/>
          <w:snapToGrid w:val="0"/>
          <w:kern w:val="0"/>
          <w:sz w:val="24"/>
          <w:lang w:val="en-US" w:eastAsia="zh-CN"/>
        </w:rPr>
        <w:t>的证明材料</w:t>
      </w:r>
      <w:r>
        <w:rPr>
          <w:b/>
          <w:bCs/>
          <w:snapToGrid w:val="0"/>
          <w:kern w:val="0"/>
          <w:sz w:val="24"/>
        </w:rPr>
        <w:t>须加盖投标人公章</w:t>
      </w:r>
      <w:r>
        <w:rPr>
          <w:rFonts w:hint="eastAsia"/>
          <w:b/>
          <w:bCs/>
          <w:snapToGrid w:val="0"/>
          <w:kern w:val="0"/>
          <w:sz w:val="24"/>
          <w:lang w:eastAsia="zh-CN"/>
        </w:rPr>
        <w:t>；</w:t>
      </w:r>
      <w:r>
        <w:rPr>
          <w:rFonts w:hint="eastAsia"/>
          <w:b/>
          <w:bCs/>
          <w:snapToGrid w:val="0"/>
          <w:kern w:val="0"/>
          <w:sz w:val="24"/>
          <w:lang w:val="en-US" w:eastAsia="zh-CN"/>
        </w:rPr>
        <w:t>有格式要求的须按规定盖章</w:t>
      </w:r>
      <w:r>
        <w:rPr>
          <w:b/>
          <w:bCs/>
          <w:snapToGrid w:val="0"/>
          <w:kern w:val="0"/>
          <w:sz w:val="24"/>
        </w:rPr>
        <w:t>。</w:t>
      </w:r>
    </w:p>
    <w:p>
      <w:pPr>
        <w:spacing w:line="360" w:lineRule="auto"/>
        <w:rPr>
          <w:snapToGrid w:val="0"/>
          <w:kern w:val="0"/>
          <w:sz w:val="24"/>
        </w:rPr>
      </w:pPr>
      <w:r>
        <w:rPr>
          <w:snapToGrid w:val="0"/>
          <w:kern w:val="0"/>
          <w:sz w:val="24"/>
        </w:rPr>
        <w:br w:type="page"/>
      </w:r>
      <w:bookmarkStart w:id="256" w:name="_Hlt520274121"/>
      <w:bookmarkEnd w:id="256"/>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 投标人在国家或地方有关登记管理机关登记注册的有效证明材料复印件（如营业执照、事业单位法人证书、自然人身份证明等，加盖公章）</w:t>
      </w:r>
    </w:p>
    <w:p>
      <w:pPr>
        <w:snapToGrid w:val="0"/>
        <w:jc w:val="left"/>
        <w:textAlignment w:val="baseline"/>
        <w:rPr>
          <w:sz w:val="24"/>
        </w:rPr>
      </w:pPr>
    </w:p>
    <w:p>
      <w:pPr>
        <w:snapToGrid w:val="0"/>
        <w:spacing w:line="380" w:lineRule="exact"/>
        <w:textAlignment w:val="baseline"/>
        <w:rPr>
          <w:sz w:val="20"/>
        </w:rPr>
      </w:pPr>
      <w:r>
        <w:t>说明：</w:t>
      </w:r>
    </w:p>
    <w:p>
      <w:pPr>
        <w:snapToGrid w:val="0"/>
        <w:spacing w:line="380" w:lineRule="exact"/>
        <w:ind w:firstLine="420" w:firstLineChars="200"/>
        <w:textAlignment w:val="baseline"/>
        <w:rPr>
          <w:sz w:val="20"/>
        </w:rPr>
      </w:pPr>
      <w:r>
        <w:t>供应商是企业（包括合伙企业）的，应提供其在工商部门注册的有效“企业营业执照”复印件；</w:t>
      </w:r>
    </w:p>
    <w:p>
      <w:pPr>
        <w:snapToGrid w:val="0"/>
        <w:spacing w:line="380" w:lineRule="exact"/>
        <w:ind w:firstLine="420" w:firstLineChars="200"/>
        <w:textAlignment w:val="baseline"/>
        <w:rPr>
          <w:sz w:val="20"/>
        </w:rPr>
      </w:pPr>
      <w:r>
        <w:t>供应商是事业单位的，应提供其有效的“事业单位法人证书”复印件；</w:t>
      </w:r>
    </w:p>
    <w:p>
      <w:pPr>
        <w:snapToGrid w:val="0"/>
        <w:spacing w:line="380" w:lineRule="exact"/>
        <w:ind w:firstLine="420" w:firstLineChars="200"/>
        <w:textAlignment w:val="baseline"/>
        <w:rPr>
          <w:sz w:val="20"/>
        </w:rPr>
      </w:pPr>
      <w:r>
        <w:t>供应商是非企业专业服务机构的，应提供其有效的“执业许可证”复印件；</w:t>
      </w:r>
    </w:p>
    <w:p>
      <w:pPr>
        <w:snapToGrid w:val="0"/>
        <w:spacing w:line="380" w:lineRule="exact"/>
        <w:ind w:firstLine="420" w:firstLineChars="200"/>
        <w:textAlignment w:val="baseline"/>
        <w:rPr>
          <w:sz w:val="20"/>
        </w:rPr>
      </w:pPr>
      <w:r>
        <w:t>供应商是个体工商户的，应提供其有效的“个体工商户营业执照”复印件；</w:t>
      </w:r>
    </w:p>
    <w:p>
      <w:pPr>
        <w:snapToGrid w:val="0"/>
        <w:spacing w:line="380" w:lineRule="exact"/>
        <w:ind w:firstLine="420" w:firstLineChars="200"/>
        <w:textAlignment w:val="baseline"/>
        <w:rPr>
          <w:sz w:val="20"/>
        </w:rPr>
      </w:pPr>
      <w:r>
        <w:t>供应商是自然人的，应提供其有效的自然人身份证明复印件。</w:t>
      </w:r>
    </w:p>
    <w:p>
      <w:pPr>
        <w:snapToGrid w:val="0"/>
        <w:jc w:val="left"/>
        <w:textAlignment w:val="baseline"/>
        <w:rPr>
          <w:rFonts w:eastAsia="仿宋_GB2312"/>
          <w:sz w:val="24"/>
        </w:rPr>
      </w:pPr>
    </w:p>
    <w:p/>
    <w:p/>
    <w:p/>
    <w:p/>
    <w:p>
      <w:pPr>
        <w:snapToGrid w:val="0"/>
        <w:textAlignment w:val="baseline"/>
        <w:rPr>
          <w:b/>
          <w:sz w:val="24"/>
        </w:rPr>
      </w:pPr>
      <w:bookmarkStart w:id="257" w:name="_Toc16920"/>
      <w:bookmarkStart w:id="258" w:name="_Toc21701"/>
      <w:bookmarkStart w:id="259" w:name="_Toc16787"/>
      <w:bookmarkStart w:id="260" w:name="_Toc21548"/>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-2  </w:t>
      </w:r>
      <w:bookmarkEnd w:id="257"/>
      <w:bookmarkEnd w:id="258"/>
      <w:bookmarkEnd w:id="259"/>
      <w:bookmarkEnd w:id="260"/>
      <w:r>
        <w:rPr>
          <w:rFonts w:ascii="Times New Roman" w:hAnsi="Times New Roman" w:eastAsia="黑体"/>
        </w:rPr>
        <w:t>财务审计报告或财务报表</w:t>
      </w:r>
    </w:p>
    <w:p>
      <w:pPr>
        <w:snapToGrid w:val="0"/>
        <w:spacing w:line="380" w:lineRule="exact"/>
        <w:textAlignment w:val="baseline"/>
        <w:rPr>
          <w:sz w:val="20"/>
        </w:rPr>
      </w:pPr>
      <w:r>
        <w:t>说明：</w:t>
      </w:r>
    </w:p>
    <w:p>
      <w:pPr>
        <w:snapToGrid w:val="0"/>
        <w:spacing w:line="360" w:lineRule="auto"/>
        <w:ind w:right="155"/>
        <w:textAlignment w:val="baseline"/>
        <w:rPr>
          <w:sz w:val="20"/>
          <w:szCs w:val="21"/>
        </w:rPr>
      </w:pPr>
    </w:p>
    <w:p>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ind w:left="0" w:right="0" w:firstLine="420" w:firstLineChars="200"/>
        <w:jc w:val="left"/>
        <w:textAlignment w:val="baseline"/>
        <w:rPr>
          <w:b/>
          <w:sz w:val="24"/>
        </w:rPr>
      </w:pPr>
      <w:r>
        <w:t xml:space="preserve"> </w:t>
      </w:r>
      <w:r>
        <w:rPr>
          <w:rFonts w:hint="eastAsia"/>
        </w:rPr>
        <w:t>提供参加本次政府采购活动最近一年度（2022 年度）的审计报告或财务报表（财务报表应至少包括资产负债表、损益表、现金流量表或财务状况变动表等）或银行资信证明等；复印件加盖公章；当月新成立的公司不需提供。</w:t>
      </w:r>
    </w:p>
    <w:p/>
    <w:p/>
    <w:p>
      <w:pPr>
        <w:snapToGrid w:val="0"/>
        <w:textAlignment w:val="baseline"/>
        <w:rPr>
          <w:b/>
          <w:sz w:val="24"/>
        </w:rPr>
      </w:pPr>
      <w:bookmarkStart w:id="261" w:name="_Toc22558"/>
      <w:bookmarkStart w:id="262" w:name="_Toc24495"/>
      <w:bookmarkStart w:id="263" w:name="_Toc11031"/>
      <w:bookmarkStart w:id="264" w:name="_Toc29140"/>
      <w:r>
        <w:rPr>
          <w:b/>
          <w:sz w:val="24"/>
        </w:rPr>
        <w:br w:type="page"/>
      </w:r>
    </w:p>
    <w:bookmarkEnd w:id="261"/>
    <w:bookmarkEnd w:id="262"/>
    <w:bookmarkEnd w:id="263"/>
    <w:bookmarkEnd w:id="264"/>
    <w:p>
      <w:pPr>
        <w:pStyle w:val="5"/>
        <w:spacing w:line="240" w:lineRule="auto"/>
        <w:rPr>
          <w:rFonts w:ascii="Times New Roman" w:hAnsi="Times New Roman" w:eastAsia="黑体"/>
        </w:rPr>
      </w:pPr>
      <w:bookmarkStart w:id="265" w:name="_Toc19881"/>
      <w:bookmarkStart w:id="266" w:name="_Toc1233"/>
      <w:bookmarkStart w:id="267" w:name="_Toc10448"/>
      <w:bookmarkStart w:id="268" w:name="_Toc11244"/>
      <w:r>
        <w:rPr>
          <w:rFonts w:hint="eastAsia" w:ascii="Times New Roman" w:hAnsi="Times New Roman" w:eastAsia="黑体"/>
        </w:rPr>
        <w:t>3</w:t>
      </w:r>
      <w:r>
        <w:rPr>
          <w:rFonts w:ascii="Times New Roman" w:hAnsi="Times New Roman" w:eastAsia="黑体"/>
        </w:rPr>
        <w:t xml:space="preserve">-3  </w:t>
      </w:r>
      <w:bookmarkEnd w:id="265"/>
      <w:bookmarkEnd w:id="266"/>
      <w:bookmarkEnd w:id="267"/>
      <w:bookmarkEnd w:id="268"/>
      <w:r>
        <w:rPr>
          <w:rFonts w:ascii="Times New Roman" w:hAnsi="Times New Roman" w:eastAsia="黑体"/>
        </w:rPr>
        <w:t>提供具有履行合同所必需的设备和专业技术能力相关证明材料或声明；</w:t>
      </w:r>
    </w:p>
    <w:p>
      <w:pPr>
        <w:snapToGrid w:val="0"/>
        <w:ind w:firstLine="480"/>
        <w:textAlignment w:val="baseline"/>
        <w:rPr>
          <w:kern w:val="0"/>
          <w:sz w:val="24"/>
        </w:rPr>
      </w:pPr>
    </w:p>
    <w:p>
      <w:pPr>
        <w:snapToGrid w:val="0"/>
        <w:spacing w:line="360" w:lineRule="auto"/>
        <w:jc w:val="left"/>
        <w:textAlignment w:val="baseline"/>
        <w:rPr>
          <w:kern w:val="0"/>
          <w:sz w:val="24"/>
        </w:rPr>
      </w:pPr>
      <w:r>
        <w:rPr>
          <w:kern w:val="0"/>
          <w:sz w:val="24"/>
        </w:rPr>
        <w:t>若提供声明函，参考格式如下：</w:t>
      </w:r>
    </w:p>
    <w:p>
      <w:pPr>
        <w:spacing w:line="360" w:lineRule="auto"/>
        <w:jc w:val="center"/>
        <w:rPr>
          <w:rFonts w:eastAsia="黑体"/>
          <w:b/>
          <w:bCs/>
          <w:sz w:val="28"/>
          <w:szCs w:val="36"/>
        </w:rPr>
      </w:pPr>
    </w:p>
    <w:p>
      <w:pPr>
        <w:spacing w:line="360" w:lineRule="auto"/>
        <w:jc w:val="center"/>
        <w:rPr>
          <w:rFonts w:eastAsia="黑体"/>
          <w:b/>
          <w:bCs/>
          <w:sz w:val="28"/>
          <w:szCs w:val="36"/>
        </w:rPr>
      </w:pPr>
      <w:r>
        <w:rPr>
          <w:rFonts w:eastAsia="黑体"/>
          <w:b/>
          <w:bCs/>
          <w:sz w:val="28"/>
          <w:szCs w:val="36"/>
        </w:rPr>
        <w:t>具有履行合同所必需的设备和专业技术能力的声明函</w:t>
      </w:r>
    </w:p>
    <w:p>
      <w:pPr>
        <w:snapToGrid w:val="0"/>
        <w:spacing w:line="360" w:lineRule="auto"/>
        <w:textAlignment w:val="baseline"/>
        <w:rPr>
          <w:kern w:val="0"/>
          <w:sz w:val="24"/>
          <w:u w:val="single" w:color="000000"/>
        </w:rPr>
      </w:pPr>
    </w:p>
    <w:p>
      <w:pPr>
        <w:snapToGrid w:val="0"/>
        <w:spacing w:line="360" w:lineRule="auto"/>
        <w:textAlignment w:val="baseline"/>
        <w:rPr>
          <w:kern w:val="0"/>
          <w:sz w:val="24"/>
          <w:u w:val="single" w:color="000000"/>
        </w:rPr>
      </w:pPr>
      <w:r>
        <w:rPr>
          <w:rFonts w:hint="eastAsia"/>
          <w:kern w:val="0"/>
          <w:sz w:val="24"/>
          <w:u w:val="single" w:color="000000"/>
          <w:lang w:eastAsia="zh-CN"/>
        </w:rPr>
        <w:t>新疆财经大学</w:t>
      </w:r>
      <w:r>
        <w:rPr>
          <w:kern w:val="0"/>
          <w:sz w:val="24"/>
          <w:u w:val="single" w:color="000000"/>
        </w:rPr>
        <w:t>(采购人名称) ：</w:t>
      </w:r>
    </w:p>
    <w:p>
      <w:pPr>
        <w:snapToGrid w:val="0"/>
        <w:spacing w:line="360" w:lineRule="auto"/>
        <w:ind w:firstLine="480"/>
        <w:textAlignment w:val="baseline"/>
        <w:rPr>
          <w:kern w:val="0"/>
          <w:sz w:val="24"/>
        </w:rPr>
      </w:pPr>
      <w:r>
        <w:rPr>
          <w:kern w:val="0"/>
          <w:sz w:val="24"/>
        </w:rPr>
        <w:t>我方承诺</w:t>
      </w:r>
      <w:r>
        <w:rPr>
          <w:sz w:val="24"/>
        </w:rPr>
        <w:t>具备履行合同所必需的设备和专业技术能力</w:t>
      </w:r>
      <w:r>
        <w:rPr>
          <w:kern w:val="0"/>
          <w:sz w:val="24"/>
        </w:rPr>
        <w:t>。</w:t>
      </w:r>
    </w:p>
    <w:p>
      <w:pPr>
        <w:snapToGrid w:val="0"/>
        <w:spacing w:line="360" w:lineRule="auto"/>
        <w:ind w:firstLine="480"/>
        <w:textAlignment w:val="baseline"/>
        <w:rPr>
          <w:kern w:val="0"/>
          <w:sz w:val="24"/>
        </w:rPr>
      </w:pPr>
      <w:r>
        <w:rPr>
          <w:kern w:val="0"/>
          <w:sz w:val="24"/>
        </w:rPr>
        <w:t>特此声明</w:t>
      </w:r>
    </w:p>
    <w:p>
      <w:pPr>
        <w:snapToGrid w:val="0"/>
        <w:spacing w:line="360" w:lineRule="auto"/>
        <w:ind w:firstLine="480"/>
        <w:textAlignment w:val="baseline"/>
        <w:rPr>
          <w:b/>
          <w:sz w:val="24"/>
        </w:rPr>
      </w:pPr>
    </w:p>
    <w:p>
      <w:pPr>
        <w:snapToGrid w:val="0"/>
        <w:ind w:firstLine="480"/>
        <w:textAlignment w:val="baseline"/>
        <w:rPr>
          <w:b/>
          <w:sz w:val="24"/>
        </w:rPr>
      </w:pPr>
    </w:p>
    <w:p>
      <w:pPr>
        <w:snapToGrid w:val="0"/>
        <w:ind w:firstLine="480"/>
        <w:textAlignment w:val="baseline"/>
        <w:rPr>
          <w:b/>
          <w:sz w:val="24"/>
        </w:rPr>
      </w:pPr>
    </w:p>
    <w:p>
      <w:pPr>
        <w:snapToGrid w:val="0"/>
        <w:spacing w:before="156" w:line="440" w:lineRule="exact"/>
        <w:ind w:left="-103" w:leftChars="-49" w:firstLine="616" w:firstLineChars="257"/>
        <w:textAlignment w:val="baseline"/>
        <w:rPr>
          <w:sz w:val="24"/>
        </w:rPr>
      </w:pPr>
      <w:r>
        <w:rPr>
          <w:sz w:val="24"/>
        </w:rPr>
        <w:t>投标人名称：</w:t>
      </w:r>
      <w:r>
        <w:rPr>
          <w:sz w:val="24"/>
          <w:u w:val="single"/>
        </w:rPr>
        <w:t xml:space="preserve">             </w:t>
      </w:r>
      <w:r>
        <w:rPr>
          <w:sz w:val="24"/>
        </w:rPr>
        <w:t>（公章）</w:t>
      </w:r>
    </w:p>
    <w:p>
      <w:pPr>
        <w:snapToGrid w:val="0"/>
        <w:spacing w:before="156" w:line="440" w:lineRule="exact"/>
        <w:ind w:left="460" w:leftChars="219"/>
        <w:textAlignment w:val="baseline"/>
        <w:rPr>
          <w:sz w:val="24"/>
        </w:rPr>
      </w:pPr>
      <w:r>
        <w:rPr>
          <w:sz w:val="24"/>
        </w:rPr>
        <w:t>法定代表人或其委托代理人：</w:t>
      </w:r>
      <w:r>
        <w:rPr>
          <w:sz w:val="24"/>
          <w:u w:val="single"/>
        </w:rPr>
        <w:t xml:space="preserve">           </w:t>
      </w:r>
      <w:r>
        <w:rPr>
          <w:sz w:val="24"/>
        </w:rPr>
        <w:t>（签字或加盖人名章）</w:t>
      </w:r>
    </w:p>
    <w:p>
      <w:pPr>
        <w:snapToGrid w:val="0"/>
        <w:spacing w:before="156" w:line="440" w:lineRule="exact"/>
        <w:ind w:left="460" w:leftChars="219"/>
        <w:textAlignment w:val="baseline"/>
        <w:rPr>
          <w:sz w:val="24"/>
          <w:u w:val="single"/>
        </w:rPr>
      </w:pPr>
      <w:r>
        <w:rPr>
          <w:sz w:val="24"/>
        </w:rPr>
        <w:t>日期：</w:t>
      </w:r>
      <w:r>
        <w:rPr>
          <w:sz w:val="24"/>
          <w:u w:val="single"/>
        </w:rPr>
        <w:t xml:space="preserve">           </w:t>
      </w:r>
    </w:p>
    <w:p>
      <w:pPr>
        <w:tabs>
          <w:tab w:val="left" w:pos="993"/>
          <w:tab w:val="left" w:pos="1030"/>
          <w:tab w:val="left" w:pos="8364"/>
        </w:tabs>
        <w:snapToGrid w:val="0"/>
        <w:spacing w:after="156"/>
        <w:ind w:right="-56" w:firstLine="480" w:firstLineChars="200"/>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b/>
          <w:sz w:val="24"/>
        </w:rPr>
      </w:pPr>
      <w:bookmarkStart w:id="269" w:name="_Toc2794"/>
      <w:bookmarkStart w:id="270" w:name="_Toc16271"/>
      <w:bookmarkStart w:id="271" w:name="_Toc22356"/>
      <w:bookmarkStart w:id="272" w:name="_Toc29373"/>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-4  社会保障资金缴纳记录</w:t>
      </w:r>
      <w:bookmarkEnd w:id="269"/>
      <w:bookmarkEnd w:id="270"/>
      <w:bookmarkEnd w:id="271"/>
      <w:bookmarkEnd w:id="272"/>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5580"/>
        </w:tabs>
        <w:snapToGrid w:val="0"/>
        <w:spacing w:before="120" w:line="360" w:lineRule="auto"/>
        <w:ind w:firstLine="420" w:firstLineChars="200"/>
        <w:textAlignment w:val="baseline"/>
        <w:rPr>
          <w:sz w:val="21"/>
          <w:szCs w:val="21"/>
        </w:rPr>
      </w:pPr>
      <w:r>
        <w:rPr>
          <w:rFonts w:hint="eastAsia"/>
          <w:sz w:val="21"/>
          <w:szCs w:val="21"/>
        </w:rPr>
        <w:t>提供社会保险登记证或社保缴纳证明（2023年1月至今连续3个月缴纳税收和社会保险的凭据证明材料，当月新成立的，不需提供）</w:t>
      </w:r>
      <w:r>
        <w:rPr>
          <w:sz w:val="21"/>
          <w:szCs w:val="21"/>
        </w:rPr>
        <w:t>。</w:t>
      </w:r>
    </w:p>
    <w:p/>
    <w:p>
      <w:pPr>
        <w:tabs>
          <w:tab w:val="left" w:pos="993"/>
          <w:tab w:val="left" w:pos="1030"/>
          <w:tab w:val="left" w:pos="8364"/>
        </w:tabs>
        <w:snapToGrid w:val="0"/>
        <w:spacing w:after="156"/>
        <w:ind w:left="420" w:right="-56"/>
        <w:jc w:val="left"/>
        <w:textAlignment w:val="baseline"/>
        <w:rPr>
          <w:rFonts w:eastAsia="仿宋_GB2312"/>
          <w:sz w:val="24"/>
        </w:rPr>
      </w:pPr>
    </w:p>
    <w:p>
      <w:pPr>
        <w:snapToGrid w:val="0"/>
        <w:textAlignment w:val="baseline"/>
        <w:rPr>
          <w:b/>
          <w:sz w:val="24"/>
        </w:rPr>
      </w:pPr>
      <w:bookmarkStart w:id="273" w:name="_Toc14366"/>
      <w:bookmarkStart w:id="274" w:name="_Toc17455"/>
      <w:bookmarkStart w:id="275" w:name="_Toc27325"/>
      <w:bookmarkStart w:id="276" w:name="_Toc26453"/>
      <w:r>
        <w:rPr>
          <w:b/>
          <w:sz w:val="24"/>
        </w:rPr>
        <w:br w:type="page"/>
      </w: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-5  </w:t>
      </w:r>
      <w:bookmarkEnd w:id="273"/>
      <w:bookmarkEnd w:id="274"/>
      <w:bookmarkEnd w:id="275"/>
      <w:bookmarkEnd w:id="276"/>
      <w:r>
        <w:rPr>
          <w:rFonts w:ascii="Times New Roman" w:hAnsi="Times New Roman" w:eastAsia="黑体"/>
        </w:rPr>
        <w:t>投标人参加政府采购活动前3年内在经营活动中没有重大违法记录的书面声明（格式）</w:t>
      </w:r>
    </w:p>
    <w:p>
      <w:pPr>
        <w:snapToGrid w:val="0"/>
        <w:jc w:val="center"/>
        <w:textAlignment w:val="baseline"/>
        <w:rPr>
          <w:sz w:val="24"/>
        </w:rPr>
      </w:pPr>
    </w:p>
    <w:p>
      <w:pPr>
        <w:spacing w:line="360" w:lineRule="auto"/>
        <w:jc w:val="center"/>
        <w:rPr>
          <w:rFonts w:eastAsia="黑体"/>
          <w:b/>
          <w:bCs/>
          <w:sz w:val="28"/>
          <w:szCs w:val="36"/>
        </w:rPr>
      </w:pPr>
      <w:r>
        <w:rPr>
          <w:rFonts w:eastAsia="黑体"/>
          <w:b/>
          <w:bCs/>
          <w:sz w:val="28"/>
          <w:szCs w:val="36"/>
        </w:rPr>
        <w:t>声明函</w:t>
      </w:r>
    </w:p>
    <w:p>
      <w:pPr>
        <w:snapToGrid w:val="0"/>
        <w:jc w:val="center"/>
        <w:textAlignment w:val="baseline"/>
        <w:rPr>
          <w:sz w:val="24"/>
        </w:rPr>
      </w:pPr>
    </w:p>
    <w:p>
      <w:pPr>
        <w:tabs>
          <w:tab w:val="left" w:pos="5580"/>
        </w:tabs>
        <w:snapToGrid w:val="0"/>
        <w:spacing w:before="120" w:line="360" w:lineRule="auto"/>
        <w:textAlignment w:val="baseline"/>
        <w:rPr>
          <w:sz w:val="24"/>
        </w:rPr>
      </w:pPr>
      <w:r>
        <w:rPr>
          <w:sz w:val="24"/>
        </w:rPr>
        <w:t>致：</w:t>
      </w:r>
      <w:r>
        <w:rPr>
          <w:sz w:val="24"/>
          <w:u w:val="single" w:color="000000"/>
        </w:rPr>
        <w:t xml:space="preserve">   （采购人）  </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sz w:val="24"/>
        </w:rPr>
      </w:pPr>
      <w:r>
        <w:rPr>
          <w:sz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sz w:val="24"/>
        </w:rPr>
      </w:pPr>
      <w:r>
        <w:rPr>
          <w:sz w:val="24"/>
        </w:rPr>
        <w:t>特此声明。</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pStyle w:val="81"/>
        <w:snapToGrid w:val="0"/>
        <w:spacing w:line="360" w:lineRule="auto"/>
        <w:textAlignment w:val="baseline"/>
        <w:rPr>
          <w:rFonts w:ascii="Times New Roman" w:hAnsi="Times New Roman" w:cs="Times New Roman"/>
          <w:sz w:val="24"/>
        </w:rPr>
      </w:pPr>
      <w:r>
        <w:rPr>
          <w:rFonts w:ascii="Times New Roman" w:hAnsi="Times New Roman" w:cs="Times New Roman"/>
          <w:sz w:val="24"/>
        </w:rPr>
        <w:t>法定代表人或其委托代理人（签字或加盖人名章</w:t>
      </w:r>
      <w:r>
        <w:rPr>
          <w:rFonts w:ascii="Times New Roman" w:hAnsi="Times New Roman" w:cs="Times New Roman"/>
        </w:rPr>
        <w:t>）</w:t>
      </w:r>
      <w:r>
        <w:rPr>
          <w:rFonts w:ascii="Times New Roman" w:hAnsi="Times New Roman" w:cs="Times New Roman"/>
          <w:sz w:val="24"/>
        </w:rPr>
        <w:t>：____________________________</w:t>
      </w:r>
    </w:p>
    <w:p>
      <w:pPr>
        <w:pStyle w:val="81"/>
        <w:snapToGrid w:val="0"/>
        <w:spacing w:line="360" w:lineRule="auto"/>
        <w:textAlignment w:val="baseline"/>
        <w:rPr>
          <w:rFonts w:ascii="Times New Roman" w:hAnsi="Times New Roman" w:cs="Times New Roman"/>
          <w:sz w:val="24"/>
          <w:u w:val="single" w:color="000000"/>
        </w:rPr>
      </w:pPr>
      <w:r>
        <w:rPr>
          <w:rFonts w:ascii="Times New Roman" w:hAnsi="Times New Roman" w:cs="Times New Roman"/>
          <w:sz w:val="24"/>
        </w:rPr>
        <w:t>投标人名称(盖章)：</w:t>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p>
    <w:p>
      <w:pPr>
        <w:snapToGrid w:val="0"/>
        <w:spacing w:before="156" w:line="440" w:lineRule="exact"/>
        <w:textAlignment w:val="baseline"/>
        <w:rPr>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rPr>
        <w:t xml:space="preserve"> </w:t>
      </w:r>
    </w:p>
    <w:p>
      <w:pPr>
        <w:snapToGrid w:val="0"/>
        <w:ind w:right="280"/>
        <w:textAlignment w:val="baseline"/>
        <w:rPr>
          <w:sz w:val="24"/>
        </w:rPr>
      </w:pPr>
    </w:p>
    <w:p>
      <w:pPr>
        <w:tabs>
          <w:tab w:val="left" w:pos="5580"/>
        </w:tabs>
        <w:snapToGrid w:val="0"/>
        <w:spacing w:before="120" w:line="360" w:lineRule="auto"/>
        <w:textAlignment w:val="baseline"/>
        <w:rPr>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993"/>
          <w:tab w:val="left" w:pos="1030"/>
          <w:tab w:val="left" w:pos="8364"/>
        </w:tabs>
        <w:snapToGrid w:val="0"/>
        <w:spacing w:after="156"/>
        <w:ind w:left="420" w:right="-56" w:firstLine="480" w:firstLineChars="200"/>
        <w:jc w:val="left"/>
        <w:textAlignment w:val="baseline"/>
        <w:rPr>
          <w:rFonts w:eastAsia="仿宋_GB2312"/>
          <w:sz w:val="24"/>
        </w:rPr>
      </w:pPr>
    </w:p>
    <w:p>
      <w:pPr>
        <w:widowControl/>
        <w:snapToGrid w:val="0"/>
        <w:jc w:val="left"/>
        <w:textAlignment w:val="baseline"/>
        <w:rPr>
          <w:rFonts w:eastAsia="仿宋_GB2312"/>
          <w:b/>
          <w:sz w:val="24"/>
        </w:rPr>
      </w:pPr>
    </w:p>
    <w:p/>
    <w:p>
      <w:pPr>
        <w:tabs>
          <w:tab w:val="left" w:pos="993"/>
          <w:tab w:val="left" w:pos="1030"/>
          <w:tab w:val="left" w:pos="8364"/>
        </w:tabs>
        <w:snapToGrid w:val="0"/>
        <w:spacing w:after="156"/>
        <w:ind w:right="-56"/>
        <w:jc w:val="left"/>
        <w:textAlignment w:val="baseline"/>
        <w:rPr>
          <w:b/>
          <w:sz w:val="24"/>
        </w:rPr>
      </w:pPr>
      <w:bookmarkStart w:id="277" w:name="_Toc2139"/>
      <w:bookmarkStart w:id="278" w:name="_Toc9381"/>
      <w:bookmarkStart w:id="279" w:name="_Toc11412"/>
      <w:bookmarkStart w:id="280" w:name="_Toc12562"/>
      <w:r>
        <w:rPr>
          <w:b/>
          <w:sz w:val="24"/>
        </w:rPr>
        <w:br w:type="page"/>
      </w:r>
    </w:p>
    <w:p>
      <w:pPr>
        <w:pStyle w:val="5"/>
        <w:spacing w:line="240" w:lineRule="auto"/>
        <w:rPr>
          <w:rFonts w:hint="eastAsia" w:ascii="Times New Roman" w:hAnsi="Times New Roman" w:eastAsia="黑体"/>
          <w:lang w:eastAsia="zh-CN"/>
        </w:rPr>
      </w:pPr>
      <w:r>
        <w:rPr>
          <w:rFonts w:hint="eastAsia" w:ascii="Times New Roman" w:hAnsi="Times New Roman" w:eastAsia="黑体"/>
        </w:rPr>
        <w:t>3</w:t>
      </w:r>
      <w:r>
        <w:rPr>
          <w:rFonts w:ascii="Times New Roman" w:hAnsi="Times New Roman" w:eastAsia="黑体"/>
        </w:rPr>
        <w:t xml:space="preserve">-6  </w:t>
      </w:r>
      <w:bookmarkEnd w:id="277"/>
      <w:bookmarkEnd w:id="278"/>
      <w:bookmarkEnd w:id="279"/>
      <w:bookmarkEnd w:id="280"/>
      <w:r>
        <w:rPr>
          <w:rFonts w:ascii="Times New Roman" w:hAnsi="Times New Roman" w:eastAsia="黑体"/>
        </w:rPr>
        <w:t>法定代表人证明及委托代理人证明</w:t>
      </w:r>
    </w:p>
    <w:p>
      <w:pPr>
        <w:snapToGrid w:val="0"/>
        <w:jc w:val="center"/>
        <w:textAlignment w:val="baseline"/>
        <w:rPr>
          <w:sz w:val="24"/>
        </w:rPr>
      </w:pPr>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p>
    <w:p>
      <w:pPr>
        <w:rPr>
          <w:rFonts w:eastAsia="黑体"/>
          <w:sz w:val="36"/>
          <w:szCs w:val="36"/>
        </w:rPr>
      </w:pPr>
      <w:r>
        <w:rPr>
          <w:rFonts w:eastAsia="黑体"/>
          <w:sz w:val="36"/>
          <w:szCs w:val="36"/>
        </w:rPr>
        <w:br w:type="page"/>
      </w:r>
    </w:p>
    <w:p>
      <w:pPr>
        <w:pStyle w:val="5"/>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Pr>
        <w:pStyle w:val="81"/>
        <w:snapToGrid w:val="0"/>
        <w:spacing w:line="360" w:lineRule="auto"/>
        <w:textAlignment w:val="baseline"/>
        <w:rPr>
          <w:rFonts w:ascii="Times New Roman" w:hAnsi="Times New Roman" w:cs="Times New Roman"/>
          <w:sz w:val="24"/>
        </w:rPr>
      </w:pPr>
      <w:r>
        <w:rPr>
          <w:rFonts w:ascii="Times New Roman" w:hAnsi="Times New Roman" w:cs="Times New Roman"/>
          <w:sz w:val="24"/>
        </w:rPr>
        <w:t xml:space="preserve">                 </w:t>
      </w:r>
    </w:p>
    <w:p>
      <w:pPr>
        <w:pStyle w:val="81"/>
        <w:snapToGrid w:val="0"/>
        <w:spacing w:line="360" w:lineRule="auto"/>
        <w:textAlignment w:val="baseline"/>
        <w:rPr>
          <w:rFonts w:ascii="Times New Roman" w:hAnsi="Times New Roman" w:cs="Times New Roman"/>
          <w:sz w:val="24"/>
          <w:u w:val="single"/>
        </w:rPr>
      </w:pPr>
    </w:p>
    <w:p>
      <w:pPr>
        <w:pStyle w:val="81"/>
        <w:snapToGrid w:val="0"/>
        <w:spacing w:line="360" w:lineRule="auto"/>
        <w:textAlignment w:val="baseline"/>
        <w:rPr>
          <w:rFonts w:ascii="Times New Roman" w:hAnsi="Times New Roman" w:cs="Times New Roman"/>
          <w:sz w:val="24"/>
          <w:u w:val="single"/>
        </w:rPr>
      </w:pPr>
    </w:p>
    <w:p>
      <w:pPr>
        <w:tabs>
          <w:tab w:val="left" w:pos="993"/>
          <w:tab w:val="left" w:pos="1030"/>
          <w:tab w:val="left" w:pos="8364"/>
        </w:tabs>
        <w:snapToGrid w:val="0"/>
        <w:spacing w:after="156"/>
        <w:ind w:right="-56"/>
        <w:jc w:val="left"/>
        <w:textAlignment w:val="baseline"/>
        <w:rPr>
          <w:sz w:val="24"/>
        </w:rPr>
      </w:pPr>
      <w:bookmarkStart w:id="281" w:name="_Toc14660"/>
      <w:bookmarkStart w:id="282" w:name="_Toc1047"/>
      <w:bookmarkStart w:id="283" w:name="_Toc20882"/>
      <w:bookmarkStart w:id="284" w:name="_Toc15314"/>
      <w:r>
        <w:rPr>
          <w:b/>
          <w:sz w:val="24"/>
        </w:rPr>
        <w:br w:type="page"/>
      </w:r>
      <w:bookmarkEnd w:id="281"/>
      <w:bookmarkEnd w:id="282"/>
      <w:bookmarkEnd w:id="283"/>
      <w:bookmarkEnd w:id="284"/>
    </w:p>
    <w:p>
      <w:pPr>
        <w:pStyle w:val="2"/>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w:t>
      </w:r>
      <w:r>
        <w:rPr>
          <w:rFonts w:hint="eastAsia" w:ascii="Times New Roman" w:hAnsi="Times New Roman" w:eastAsia="黑体"/>
          <w:lang w:val="en-US" w:eastAsia="zh-CN"/>
        </w:rPr>
        <w:t>7</w:t>
      </w:r>
      <w:r>
        <w:rPr>
          <w:rFonts w:ascii="Times New Roman" w:hAnsi="Times New Roman" w:eastAsia="黑体"/>
        </w:rPr>
        <w:t xml:space="preserve"> </w:t>
      </w:r>
      <w:r>
        <w:rPr>
          <w:rFonts w:hint="eastAsia" w:ascii="Times New Roman" w:hAnsi="Times New Roman" w:eastAsia="黑体"/>
        </w:rPr>
        <w:t>落实</w:t>
      </w:r>
      <w:r>
        <w:rPr>
          <w:rFonts w:ascii="Times New Roman" w:hAnsi="Times New Roman" w:eastAsia="黑体"/>
        </w:rPr>
        <w:t>政府采购政策的证明材料</w:t>
      </w:r>
    </w:p>
    <w:p>
      <w:pPr>
        <w:pStyle w:val="81"/>
        <w:snapToGrid w:val="0"/>
        <w:spacing w:before="120" w:beforeLines="50"/>
        <w:ind w:firstLine="5498"/>
        <w:rPr>
          <w:rFonts w:ascii="Times New Roman" w:hAnsi="Times New Roman" w:cs="Times New Roman"/>
          <w:sz w:val="24"/>
          <w:szCs w:val="24"/>
        </w:rPr>
      </w:pP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一</w:t>
      </w:r>
      <w:r>
        <w:rPr>
          <w:rFonts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pPr>
            <w:r>
              <w:t>制造商</w:t>
            </w:r>
          </w:p>
        </w:tc>
        <w:tc>
          <w:tcPr>
            <w:tcW w:w="571" w:type="dxa"/>
            <w:vAlign w:val="center"/>
          </w:tcPr>
          <w:p>
            <w:pPr>
              <w:spacing w:line="440" w:lineRule="exact"/>
              <w:jc w:val="center"/>
            </w:pPr>
            <w:r>
              <w:t>品牌</w:t>
            </w:r>
          </w:p>
        </w:tc>
        <w:tc>
          <w:tcPr>
            <w:tcW w:w="1796" w:type="dxa"/>
            <w:vAlign w:val="center"/>
          </w:tcPr>
          <w:p>
            <w:pPr>
              <w:spacing w:line="440" w:lineRule="exact"/>
              <w:jc w:val="center"/>
            </w:pPr>
            <w:r>
              <w:t>产品名称、规格型号</w:t>
            </w:r>
          </w:p>
        </w:tc>
        <w:tc>
          <w:tcPr>
            <w:tcW w:w="1185" w:type="dxa"/>
            <w:vAlign w:val="center"/>
          </w:tcPr>
          <w:p>
            <w:pPr>
              <w:spacing w:line="440" w:lineRule="exact"/>
              <w:jc w:val="center"/>
            </w:pPr>
            <w:r>
              <w:t>节字标志认证证书号</w:t>
            </w:r>
          </w:p>
        </w:tc>
        <w:tc>
          <w:tcPr>
            <w:tcW w:w="1856" w:type="dxa"/>
            <w:vAlign w:val="center"/>
          </w:tcPr>
          <w:p>
            <w:pPr>
              <w:spacing w:line="440" w:lineRule="exact"/>
              <w:jc w:val="center"/>
            </w:pPr>
            <w:r>
              <w:t>节能产品认证证书有效截止日期</w:t>
            </w:r>
          </w:p>
        </w:tc>
        <w:tc>
          <w:tcPr>
            <w:tcW w:w="788" w:type="dxa"/>
            <w:vAlign w:val="center"/>
          </w:tcPr>
          <w:p>
            <w:pPr>
              <w:spacing w:line="440" w:lineRule="exact"/>
              <w:jc w:val="center"/>
            </w:pPr>
            <w:r>
              <w:t>单位</w:t>
            </w:r>
          </w:p>
        </w:tc>
        <w:tc>
          <w:tcPr>
            <w:tcW w:w="682" w:type="dxa"/>
            <w:vAlign w:val="center"/>
          </w:tcPr>
          <w:p>
            <w:pPr>
              <w:spacing w:line="440" w:lineRule="exact"/>
              <w:jc w:val="center"/>
            </w:pPr>
            <w:r>
              <w:t>数量</w:t>
            </w:r>
          </w:p>
        </w:tc>
        <w:tc>
          <w:tcPr>
            <w:tcW w:w="831"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pPr>
            <w:r>
              <w:t>合计金额</w:t>
            </w:r>
          </w:p>
        </w:tc>
        <w:tc>
          <w:tcPr>
            <w:tcW w:w="2294"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pPr>
            <w:r>
              <w:t>制造商</w:t>
            </w:r>
          </w:p>
        </w:tc>
        <w:tc>
          <w:tcPr>
            <w:tcW w:w="930" w:type="dxa"/>
            <w:vAlign w:val="center"/>
          </w:tcPr>
          <w:p>
            <w:pPr>
              <w:spacing w:line="440" w:lineRule="exact"/>
              <w:jc w:val="center"/>
            </w:pPr>
            <w:r>
              <w:t>品牌</w:t>
            </w:r>
          </w:p>
        </w:tc>
        <w:tc>
          <w:tcPr>
            <w:tcW w:w="1259" w:type="dxa"/>
            <w:vAlign w:val="center"/>
          </w:tcPr>
          <w:p>
            <w:pPr>
              <w:spacing w:line="440" w:lineRule="exact"/>
              <w:jc w:val="center"/>
            </w:pPr>
            <w:r>
              <w:t>产品名称、规格型号</w:t>
            </w:r>
          </w:p>
        </w:tc>
        <w:tc>
          <w:tcPr>
            <w:tcW w:w="1626" w:type="dxa"/>
            <w:vAlign w:val="center"/>
          </w:tcPr>
          <w:p>
            <w:pPr>
              <w:spacing w:line="440" w:lineRule="exact"/>
              <w:jc w:val="center"/>
            </w:pPr>
            <w:r>
              <w:t>中国环境标志认证证书编号</w:t>
            </w:r>
          </w:p>
        </w:tc>
        <w:tc>
          <w:tcPr>
            <w:tcW w:w="1628" w:type="dxa"/>
            <w:vAlign w:val="center"/>
          </w:tcPr>
          <w:p>
            <w:pPr>
              <w:spacing w:line="440" w:lineRule="exact"/>
              <w:jc w:val="center"/>
            </w:pPr>
            <w:r>
              <w:t>认证证书有效截止日期</w:t>
            </w:r>
          </w:p>
        </w:tc>
        <w:tc>
          <w:tcPr>
            <w:tcW w:w="658" w:type="dxa"/>
            <w:vAlign w:val="center"/>
          </w:tcPr>
          <w:p>
            <w:pPr>
              <w:spacing w:line="440" w:lineRule="exact"/>
              <w:jc w:val="center"/>
            </w:pPr>
            <w:r>
              <w:t>单位</w:t>
            </w:r>
          </w:p>
        </w:tc>
        <w:tc>
          <w:tcPr>
            <w:tcW w:w="738" w:type="dxa"/>
            <w:vAlign w:val="center"/>
          </w:tcPr>
          <w:p>
            <w:pPr>
              <w:spacing w:line="440" w:lineRule="exact"/>
              <w:jc w:val="center"/>
            </w:pPr>
            <w:r>
              <w:t>数量</w:t>
            </w:r>
          </w:p>
        </w:tc>
        <w:tc>
          <w:tcPr>
            <w:tcW w:w="890"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pPr>
            <w:r>
              <w:t>合计金额</w:t>
            </w:r>
          </w:p>
        </w:tc>
        <w:tc>
          <w:tcPr>
            <w:tcW w:w="2286"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Pr>
        <w:adjustRightInd w:val="0"/>
        <w:snapToGrid w:val="0"/>
        <w:spacing w:line="440" w:lineRule="exact"/>
        <w:ind w:right="24"/>
        <w:jc w:val="center"/>
        <w:rPr>
          <w:b/>
          <w:sz w:val="30"/>
          <w:szCs w:val="30"/>
        </w:rPr>
      </w:pPr>
      <w:r>
        <w:rPr>
          <w:b/>
          <w:sz w:val="30"/>
          <w:szCs w:val="30"/>
        </w:rPr>
        <w:br w:type="page"/>
      </w: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二</w:t>
      </w:r>
      <w:r>
        <w:rPr>
          <w:rFonts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jc w:val="center"/>
        <w:rPr>
          <w:rFonts w:eastAsia="黑体"/>
          <w:b/>
          <w:bCs/>
          <w:sz w:val="36"/>
          <w:szCs w:val="44"/>
          <w:lang w:val="zh-CN"/>
        </w:rPr>
      </w:pPr>
      <w:r>
        <w:rPr>
          <w:rFonts w:hint="eastAsia" w:eastAsia="黑体"/>
          <w:b/>
          <w:bCs/>
          <w:sz w:val="36"/>
          <w:szCs w:val="44"/>
          <w:lang w:val="zh-CN"/>
        </w:rPr>
        <w:t>特别提示</w:t>
      </w:r>
    </w:p>
    <w:p>
      <w:pPr>
        <w:spacing w:before="240" w:beforeLines="100" w:after="240" w:afterLines="100" w:line="276" w:lineRule="auto"/>
        <w:jc w:val="center"/>
        <w:rPr>
          <w:rFonts w:eastAsia="黑体"/>
          <w:b/>
          <w:bCs/>
          <w:color w:val="0070C0"/>
          <w:sz w:val="28"/>
          <w:szCs w:val="36"/>
          <w:lang w:val="zh-CN"/>
        </w:rPr>
      </w:pPr>
      <w:r>
        <w:rPr>
          <w:rFonts w:hint="eastAsia" w:eastAsia="黑体"/>
          <w:b/>
          <w:bCs/>
          <w:color w:val="0070C0"/>
          <w:sz w:val="28"/>
          <w:szCs w:val="36"/>
          <w:lang w:val="zh-CN"/>
        </w:rPr>
        <w:t>（请在编制投标文件时，删去本段蓝色字体 “特别提示”）</w:t>
      </w:r>
    </w:p>
    <w:p>
      <w:pPr>
        <w:ind w:firstLine="482" w:firstLineChars="200"/>
        <w:rPr>
          <w:b/>
          <w:bCs/>
          <w:color w:val="0070C0"/>
          <w:sz w:val="24"/>
          <w:szCs w:val="32"/>
          <w:lang w:val="zh-CN"/>
        </w:rPr>
      </w:pPr>
      <w:r>
        <w:rPr>
          <w:rFonts w:hint="eastAsia"/>
          <w:b/>
          <w:bCs/>
          <w:color w:val="0070C0"/>
          <w:sz w:val="24"/>
          <w:szCs w:val="32"/>
          <w:lang w:val="zh-CN"/>
        </w:rPr>
        <w:t>当投标人为制造商（或生产厂家）时，须投标人出具其自身为中小企业的《中小企业声明函》（由投标人加盖公章），格式如下；</w:t>
      </w:r>
    </w:p>
    <w:p>
      <w:pPr>
        <w:ind w:firstLine="482" w:firstLineChars="200"/>
        <w:rPr>
          <w:b/>
          <w:bCs/>
          <w:color w:val="0070C0"/>
          <w:sz w:val="24"/>
          <w:szCs w:val="32"/>
          <w:lang w:val="zh-CN"/>
        </w:rPr>
      </w:pPr>
      <w:r>
        <w:rPr>
          <w:rFonts w:hint="eastAsia"/>
          <w:b/>
          <w:bCs/>
          <w:color w:val="0070C0"/>
          <w:sz w:val="24"/>
          <w:szCs w:val="32"/>
          <w:lang w:val="zh-CN"/>
        </w:rPr>
        <w:t>当投标人为代理商（或经销商）时，须投标人出具其所投产品的制造商（或生产厂家）为中小企业的《中小企业声明函》（由投标人加盖公章），格式如下：</w:t>
      </w:r>
    </w:p>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三</w:t>
      </w:r>
      <w:r>
        <w:rPr>
          <w:rFonts w:eastAsia="黑体"/>
          <w:b w:val="0"/>
          <w:bCs w:val="0"/>
          <w:sz w:val="36"/>
          <w:szCs w:val="36"/>
        </w:rPr>
        <w:t>）中小企业声明函（货物）</w:t>
      </w:r>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24"/>
        </w:rPr>
      </w:pPr>
      <w:r>
        <w:rPr>
          <w:sz w:val="18"/>
          <w:szCs w:val="18"/>
        </w:rPr>
        <w:t>1 从业人员、营业收入、资产总额填报上一年度数据，无上一年度数据的新成立企业可不填报。</w:t>
      </w:r>
      <w:r>
        <w:rPr>
          <w:sz w:val="24"/>
        </w:rPr>
        <w:br w:type="page"/>
      </w:r>
    </w:p>
    <w:p>
      <w:pPr>
        <w:pStyle w:val="81"/>
        <w:snapToGrid w:val="0"/>
        <w:spacing w:before="120" w:beforeLines="50"/>
        <w:ind w:firstLine="5498"/>
        <w:rPr>
          <w:rFonts w:ascii="Times New Roman" w:hAnsi="Times New Roman" w:cs="Times New Roman"/>
          <w:sz w:val="24"/>
          <w:szCs w:val="24"/>
        </w:rPr>
      </w:pP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四</w:t>
      </w:r>
      <w:r>
        <w:rPr>
          <w:rFonts w:eastAsia="黑体"/>
          <w:b w:val="0"/>
          <w:bCs w:val="0"/>
          <w:sz w:val="36"/>
          <w:szCs w:val="36"/>
        </w:rPr>
        <w:t>）监狱企业证明</w:t>
      </w:r>
    </w:p>
    <w:p>
      <w:pPr>
        <w:jc w:val="center"/>
        <w:rPr>
          <w:sz w:val="24"/>
        </w:rPr>
      </w:pPr>
      <w:r>
        <w:rPr>
          <w:sz w:val="24"/>
        </w:rPr>
        <w:t>（注：符合条件的监狱企业请提供</w:t>
      </w:r>
      <w:r>
        <w:rPr>
          <w:rFonts w:hint="eastAsia"/>
          <w:sz w:val="24"/>
        </w:rPr>
        <w:t>证明文件</w:t>
      </w:r>
      <w:r>
        <w:rPr>
          <w:sz w:val="24"/>
        </w:rPr>
        <w:t>，不符合的不提供）</w:t>
      </w:r>
    </w:p>
    <w:p>
      <w:pPr>
        <w:pStyle w:val="81"/>
        <w:snapToGrid w:val="0"/>
        <w:spacing w:before="120" w:beforeLines="50"/>
        <w:ind w:firstLine="5498"/>
        <w:rPr>
          <w:rFonts w:ascii="Times New Roman" w:hAnsi="Times New Roman" w:cs="Times New Roman"/>
          <w:sz w:val="24"/>
          <w:szCs w:val="24"/>
        </w:rPr>
      </w:pPr>
    </w:p>
    <w:p>
      <w:pPr>
        <w:pStyle w:val="81"/>
        <w:snapToGrid w:val="0"/>
        <w:spacing w:before="120"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省级以上监狱管理局、戒毒管理局（含新疆生产建设兵团）出具的属于监狱企业的证明文件；</w:t>
      </w:r>
    </w:p>
    <w:p>
      <w:pPr>
        <w:pStyle w:val="5"/>
        <w:spacing w:before="0" w:after="0" w:line="240" w:lineRule="auto"/>
        <w:jc w:val="center"/>
        <w:rPr>
          <w:rFonts w:ascii="Times New Roman" w:hAnsi="Times New Roman" w:eastAsia="黑体"/>
          <w:b w:val="0"/>
          <w:bCs w:val="0"/>
          <w:sz w:val="36"/>
          <w:szCs w:val="36"/>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五</w:t>
      </w:r>
      <w:r>
        <w:rPr>
          <w:rFonts w:eastAsia="黑体"/>
          <w:b w:val="0"/>
          <w:bCs w:val="0"/>
          <w:sz w:val="36"/>
          <w:szCs w:val="36"/>
        </w:rPr>
        <w:t>）残疾人福利性单位声明函</w:t>
      </w:r>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sz w:val="24"/>
          <w:u w:val="single"/>
        </w:rPr>
        <w:t xml:space="preserve">         </w:t>
      </w:r>
      <w:r>
        <w:rPr>
          <w:rFonts w:hint="eastAsia"/>
          <w:sz w:val="24"/>
          <w:u w:val="single"/>
        </w:rPr>
        <w:t xml:space="preserve">（项目名称） </w:t>
      </w:r>
      <w:r>
        <w:rPr>
          <w:sz w:val="24"/>
          <w:u w:val="single"/>
        </w:rPr>
        <w:t xml:space="preserve">        </w:t>
      </w:r>
      <w:r>
        <w:rPr>
          <w:sz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napToGrid w:val="0"/>
        <w:ind w:firstLine="480" w:firstLineChars="200"/>
        <w:jc w:val="center"/>
        <w:textAlignment w:val="baseline"/>
        <w:rPr>
          <w:sz w:val="20"/>
          <w:szCs w:val="21"/>
        </w:rPr>
      </w:pPr>
      <w:r>
        <w:rPr>
          <w:sz w:val="24"/>
        </w:rPr>
        <w:t>日  期：</w:t>
      </w:r>
    </w:p>
    <w:p>
      <w:pPr>
        <w:tabs>
          <w:tab w:val="left" w:pos="993"/>
          <w:tab w:val="left" w:pos="1030"/>
          <w:tab w:val="left" w:pos="8364"/>
        </w:tabs>
        <w:snapToGrid w:val="0"/>
        <w:spacing w:after="156"/>
        <w:ind w:right="-56"/>
        <w:jc w:val="left"/>
        <w:textAlignment w:val="baseline"/>
        <w:rPr>
          <w:rFonts w:eastAsia="黑体"/>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285" w:name="_Toc2399"/>
      <w:bookmarkStart w:id="286" w:name="_Toc32535"/>
      <w:bookmarkStart w:id="287" w:name="_Toc14800"/>
      <w:bookmarkStart w:id="288" w:name="_Toc21167"/>
      <w:r>
        <w:rPr>
          <w:b/>
          <w:sz w:val="24"/>
        </w:rPr>
        <w:br w:type="page"/>
      </w:r>
      <w:bookmarkEnd w:id="285"/>
      <w:bookmarkEnd w:id="286"/>
      <w:bookmarkEnd w:id="287"/>
      <w:bookmarkEnd w:id="288"/>
      <w:bookmarkStart w:id="289" w:name="_Toc10509"/>
    </w:p>
    <w:p>
      <w:pPr>
        <w:pStyle w:val="5"/>
        <w:spacing w:line="240" w:lineRule="auto"/>
        <w:rPr>
          <w:rFonts w:hint="eastAsia" w:ascii="Times New Roman" w:hAnsi="Times New Roman" w:eastAsia="黑体"/>
          <w:lang w:eastAsia="zh-CN"/>
        </w:rPr>
      </w:pPr>
      <w:r>
        <w:rPr>
          <w:rFonts w:hint="eastAsia" w:ascii="Times New Roman" w:hAnsi="Times New Roman" w:eastAsia="黑体"/>
        </w:rPr>
        <w:t>3</w:t>
      </w:r>
      <w:r>
        <w:rPr>
          <w:rFonts w:ascii="Times New Roman" w:hAnsi="Times New Roman" w:eastAsia="黑体"/>
        </w:rPr>
        <w:t>-</w:t>
      </w:r>
      <w:r>
        <w:rPr>
          <w:rFonts w:hint="eastAsia" w:ascii="Times New Roman" w:hAnsi="Times New Roman" w:eastAsia="黑体"/>
          <w:lang w:val="en-US" w:eastAsia="zh-CN"/>
        </w:rPr>
        <w:t>8</w:t>
      </w:r>
      <w:r>
        <w:rPr>
          <w:rFonts w:ascii="Times New Roman" w:hAnsi="Times New Roman" w:eastAsia="黑体"/>
        </w:rPr>
        <w:t xml:space="preserve"> </w:t>
      </w:r>
      <w:bookmarkEnd w:id="289"/>
      <w:r>
        <w:rPr>
          <w:rFonts w:hint="eastAsia" w:ascii="Times New Roman" w:hAnsi="Times New Roman" w:eastAsia="黑体"/>
          <w:lang w:val="en-US" w:eastAsia="zh-CN"/>
        </w:rPr>
        <w:t>其他</w:t>
      </w:r>
    </w:p>
    <w:p>
      <w:pPr>
        <w:tabs>
          <w:tab w:val="left" w:pos="993"/>
          <w:tab w:val="left" w:pos="1030"/>
          <w:tab w:val="left" w:pos="8364"/>
        </w:tabs>
        <w:snapToGrid w:val="0"/>
        <w:spacing w:after="156"/>
        <w:ind w:right="-56"/>
        <w:jc w:val="left"/>
        <w:textAlignment w:val="baseline"/>
        <w:rPr>
          <w:rFonts w:hint="eastAsia"/>
          <w:b/>
          <w:sz w:val="24"/>
          <w:lang w:eastAsia="zh-CN"/>
        </w:rPr>
      </w:pPr>
      <w:r>
        <w:rPr>
          <w:b/>
          <w:sz w:val="24"/>
        </w:rPr>
        <w:t>(1) 供应商不得为“信用中国网站(www.creditchina.gov.cn) 被列入失信被执行人和税收违法黑名单的供应商；不得为中国政府采购网(www.ccgp.gov.cn) 政府采购严重违法失信行为记录名单中被财政部门禁止参加政府采购活动的供应商 (此项内容由采购人或代理机构现场查询)</w:t>
      </w:r>
      <w:r>
        <w:rPr>
          <w:rFonts w:hint="eastAsia"/>
          <w:b/>
          <w:sz w:val="24"/>
          <w:lang w:eastAsia="zh-CN"/>
        </w:rPr>
        <w:t>；</w:t>
      </w:r>
    </w:p>
    <w:p>
      <w:pPr>
        <w:tabs>
          <w:tab w:val="left" w:pos="993"/>
          <w:tab w:val="left" w:pos="1030"/>
          <w:tab w:val="left" w:pos="8364"/>
        </w:tabs>
        <w:snapToGrid w:val="0"/>
        <w:spacing w:after="156"/>
        <w:ind w:right="-56"/>
        <w:jc w:val="left"/>
        <w:textAlignment w:val="baseline"/>
        <w:rPr>
          <w:rFonts w:hint="eastAsia"/>
          <w:b/>
          <w:sz w:val="24"/>
          <w:lang w:eastAsia="zh-CN"/>
        </w:rPr>
      </w:pPr>
    </w:p>
    <w:p>
      <w:pPr>
        <w:tabs>
          <w:tab w:val="left" w:pos="993"/>
          <w:tab w:val="left" w:pos="1030"/>
          <w:tab w:val="left" w:pos="8364"/>
        </w:tabs>
        <w:snapToGrid w:val="0"/>
        <w:spacing w:after="156"/>
        <w:ind w:right="-56"/>
        <w:jc w:val="left"/>
        <w:textAlignment w:val="baseline"/>
      </w:pPr>
      <w:r>
        <w:rPr>
          <w:rFonts w:hint="eastAsia"/>
          <w:b/>
          <w:sz w:val="24"/>
          <w:lang w:eastAsia="zh-CN"/>
        </w:rPr>
        <w:t>(2) 提供承诺函：单位负责人为同一人或者存在直接控股、管理关系的不同供应商，未参加同一合同项下的政府采购活动。（</w:t>
      </w:r>
      <w:r>
        <w:rPr>
          <w:rFonts w:hint="eastAsia"/>
          <w:b/>
          <w:sz w:val="24"/>
          <w:lang w:val="en-US" w:eastAsia="zh-CN"/>
        </w:rPr>
        <w:t>格式自拟</w:t>
      </w:r>
      <w:r>
        <w:rPr>
          <w:rFonts w:hint="eastAsia"/>
          <w:b/>
          <w:sz w:val="24"/>
          <w:lang w:eastAsia="zh-CN"/>
        </w:rPr>
        <w:t>）</w:t>
      </w:r>
    </w:p>
    <w:p/>
    <w:p/>
    <w:p/>
    <w:p/>
    <w:p>
      <w:pPr>
        <w:pStyle w:val="25"/>
        <w:snapToGrid w:val="0"/>
        <w:textAlignment w:val="baseline"/>
        <w:rPr>
          <w:rFonts w:ascii="Times New Roman" w:hAnsi="Times New Roman" w:cs="Times New Roman"/>
          <w:b/>
          <w:sz w:val="24"/>
          <w:szCs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pPr>
      <w:bookmarkStart w:id="290" w:name="_Toc1428"/>
      <w:bookmarkStart w:id="291" w:name="_Toc103677760"/>
      <w:bookmarkStart w:id="292" w:name="_Toc11675"/>
      <w:bookmarkStart w:id="293" w:name="_Toc2727"/>
      <w:r>
        <w:rPr>
          <w:rFonts w:hint="eastAsia" w:eastAsia="黑体"/>
          <w:sz w:val="28"/>
          <w:szCs w:val="28"/>
          <w:lang w:val="en-US" w:eastAsia="zh-CN"/>
        </w:rPr>
        <w:t>四</w:t>
      </w:r>
      <w:r>
        <w:rPr>
          <w:rFonts w:hint="eastAsia" w:eastAsia="黑体"/>
          <w:sz w:val="28"/>
          <w:szCs w:val="28"/>
        </w:rPr>
        <w:t>、</w:t>
      </w:r>
      <w:r>
        <w:rPr>
          <w:rFonts w:eastAsia="黑体"/>
          <w:sz w:val="28"/>
          <w:szCs w:val="28"/>
        </w:rPr>
        <w:t>投标人供货业绩一览表</w:t>
      </w:r>
      <w:bookmarkEnd w:id="290"/>
      <w:r>
        <w:rPr>
          <w:rFonts w:eastAsia="黑体"/>
          <w:sz w:val="28"/>
          <w:szCs w:val="28"/>
        </w:rPr>
        <w:t>（20</w:t>
      </w:r>
      <w:r>
        <w:rPr>
          <w:rFonts w:hint="eastAsia" w:eastAsia="黑体"/>
          <w:sz w:val="28"/>
          <w:szCs w:val="28"/>
        </w:rPr>
        <w:t>20</w:t>
      </w:r>
      <w:r>
        <w:rPr>
          <w:rFonts w:eastAsia="黑体"/>
          <w:sz w:val="28"/>
          <w:szCs w:val="28"/>
        </w:rPr>
        <w:t>年1月1日至投标截止日）</w:t>
      </w:r>
      <w:bookmarkEnd w:id="291"/>
      <w:bookmarkEnd w:id="292"/>
      <w:bookmarkEnd w:id="293"/>
    </w:p>
    <w:p/>
    <w:tbl>
      <w:tblPr>
        <w:tblStyle w:val="40"/>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838"/>
        <w:gridCol w:w="1452"/>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sz w:val="24"/>
              </w:rPr>
            </w:pPr>
            <w:r>
              <w:rPr>
                <w:sz w:val="24"/>
              </w:rPr>
              <w:t>年份</w:t>
            </w:r>
          </w:p>
        </w:tc>
        <w:tc>
          <w:tcPr>
            <w:tcW w:w="1305" w:type="dxa"/>
            <w:vAlign w:val="center"/>
          </w:tcPr>
          <w:p>
            <w:pPr>
              <w:jc w:val="center"/>
              <w:rPr>
                <w:sz w:val="24"/>
              </w:rPr>
            </w:pPr>
            <w:r>
              <w:rPr>
                <w:rFonts w:hint="eastAsia"/>
                <w:sz w:val="24"/>
                <w:lang w:val="en-US" w:eastAsia="zh-CN"/>
              </w:rPr>
              <w:t>项目</w:t>
            </w:r>
            <w:r>
              <w:rPr>
                <w:sz w:val="24"/>
              </w:rPr>
              <w:t>名称</w:t>
            </w:r>
          </w:p>
        </w:tc>
        <w:tc>
          <w:tcPr>
            <w:tcW w:w="723" w:type="dxa"/>
            <w:vAlign w:val="center"/>
          </w:tcPr>
          <w:p>
            <w:pPr>
              <w:jc w:val="center"/>
              <w:rPr>
                <w:rFonts w:hint="default" w:eastAsia="宋体"/>
                <w:sz w:val="24"/>
                <w:lang w:val="en-US" w:eastAsia="zh-CN"/>
              </w:rPr>
            </w:pPr>
            <w:r>
              <w:rPr>
                <w:rFonts w:hint="eastAsia"/>
                <w:sz w:val="24"/>
                <w:lang w:val="en-US" w:eastAsia="zh-CN"/>
              </w:rPr>
              <w:t>采购内容</w:t>
            </w:r>
          </w:p>
        </w:tc>
        <w:tc>
          <w:tcPr>
            <w:tcW w:w="838" w:type="dxa"/>
            <w:vAlign w:val="center"/>
          </w:tcPr>
          <w:p>
            <w:pPr>
              <w:jc w:val="center"/>
              <w:rPr>
                <w:rFonts w:hint="eastAsia" w:eastAsia="宋体"/>
                <w:sz w:val="24"/>
                <w:lang w:eastAsia="zh-CN"/>
              </w:rPr>
            </w:pPr>
            <w:r>
              <w:rPr>
                <w:rFonts w:hint="eastAsia"/>
                <w:sz w:val="24"/>
                <w:lang w:val="en-US" w:eastAsia="zh-CN"/>
              </w:rPr>
              <w:t>规格型号</w:t>
            </w:r>
          </w:p>
        </w:tc>
        <w:tc>
          <w:tcPr>
            <w:tcW w:w="1452" w:type="dxa"/>
            <w:vAlign w:val="center"/>
          </w:tcPr>
          <w:p>
            <w:pPr>
              <w:jc w:val="center"/>
              <w:rPr>
                <w:sz w:val="24"/>
              </w:rPr>
            </w:pPr>
            <w:r>
              <w:rPr>
                <w:sz w:val="24"/>
              </w:rPr>
              <w:t>合同价格或中标通知书中载明中标金额</w:t>
            </w:r>
          </w:p>
        </w:tc>
        <w:tc>
          <w:tcPr>
            <w:tcW w:w="993" w:type="dxa"/>
            <w:vAlign w:val="center"/>
          </w:tcPr>
          <w:p>
            <w:pPr>
              <w:jc w:val="center"/>
              <w:rPr>
                <w:sz w:val="24"/>
              </w:rPr>
            </w:pPr>
            <w:r>
              <w:rPr>
                <w:sz w:val="24"/>
              </w:rPr>
              <w:t>使用单位名称</w:t>
            </w:r>
          </w:p>
        </w:tc>
        <w:tc>
          <w:tcPr>
            <w:tcW w:w="1275" w:type="dxa"/>
            <w:vAlign w:val="center"/>
          </w:tcPr>
          <w:p>
            <w:pPr>
              <w:jc w:val="center"/>
              <w:rPr>
                <w:sz w:val="24"/>
              </w:rPr>
            </w:pPr>
            <w:r>
              <w:rPr>
                <w:sz w:val="24"/>
              </w:rPr>
              <w:t>使用单位联系人及电话</w:t>
            </w:r>
          </w:p>
        </w:tc>
        <w:tc>
          <w:tcPr>
            <w:tcW w:w="815" w:type="dxa"/>
            <w:vAlign w:val="center"/>
          </w:tcPr>
          <w:p>
            <w:pPr>
              <w:jc w:val="center"/>
              <w:rPr>
                <w:sz w:val="24"/>
              </w:rPr>
            </w:pPr>
            <w:r>
              <w:rPr>
                <w:sz w:val="24"/>
              </w:rPr>
              <w:t>是否投入使用</w:t>
            </w:r>
          </w:p>
        </w:tc>
        <w:tc>
          <w:tcPr>
            <w:tcW w:w="711"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838" w:type="dxa"/>
            <w:vAlign w:val="center"/>
          </w:tcPr>
          <w:p>
            <w:pPr>
              <w:jc w:val="center"/>
              <w:rPr>
                <w:sz w:val="24"/>
              </w:rPr>
            </w:pPr>
          </w:p>
        </w:tc>
        <w:tc>
          <w:tcPr>
            <w:tcW w:w="1452"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838" w:type="dxa"/>
            <w:vAlign w:val="center"/>
          </w:tcPr>
          <w:p>
            <w:pPr>
              <w:jc w:val="center"/>
              <w:rPr>
                <w:sz w:val="24"/>
              </w:rPr>
            </w:pPr>
          </w:p>
        </w:tc>
        <w:tc>
          <w:tcPr>
            <w:tcW w:w="1452"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838" w:type="dxa"/>
            <w:vAlign w:val="center"/>
          </w:tcPr>
          <w:p>
            <w:pPr>
              <w:jc w:val="center"/>
              <w:rPr>
                <w:sz w:val="24"/>
              </w:rPr>
            </w:pPr>
          </w:p>
        </w:tc>
        <w:tc>
          <w:tcPr>
            <w:tcW w:w="1452"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838" w:type="dxa"/>
            <w:vAlign w:val="center"/>
          </w:tcPr>
          <w:p>
            <w:pPr>
              <w:jc w:val="center"/>
              <w:rPr>
                <w:sz w:val="24"/>
              </w:rPr>
            </w:pPr>
          </w:p>
        </w:tc>
        <w:tc>
          <w:tcPr>
            <w:tcW w:w="1452"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838" w:type="dxa"/>
            <w:vAlign w:val="center"/>
          </w:tcPr>
          <w:p>
            <w:pPr>
              <w:jc w:val="center"/>
              <w:rPr>
                <w:sz w:val="24"/>
              </w:rPr>
            </w:pPr>
          </w:p>
        </w:tc>
        <w:tc>
          <w:tcPr>
            <w:tcW w:w="1452"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838" w:type="dxa"/>
            <w:vAlign w:val="center"/>
          </w:tcPr>
          <w:p>
            <w:pPr>
              <w:jc w:val="center"/>
              <w:rPr>
                <w:sz w:val="24"/>
              </w:rPr>
            </w:pPr>
          </w:p>
        </w:tc>
        <w:tc>
          <w:tcPr>
            <w:tcW w:w="1452"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838" w:type="dxa"/>
            <w:vAlign w:val="center"/>
          </w:tcPr>
          <w:p>
            <w:pPr>
              <w:jc w:val="center"/>
              <w:rPr>
                <w:sz w:val="24"/>
              </w:rPr>
            </w:pPr>
          </w:p>
        </w:tc>
        <w:tc>
          <w:tcPr>
            <w:tcW w:w="1452"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bl>
    <w:p>
      <w:pPr>
        <w:autoSpaceDE w:val="0"/>
        <w:autoSpaceDN w:val="0"/>
        <w:ind w:left="700" w:hanging="700" w:hangingChars="332"/>
        <w:rPr>
          <w:sz w:val="24"/>
        </w:rPr>
      </w:pPr>
      <w:r>
        <w:rPr>
          <w:b/>
          <w:szCs w:val="21"/>
        </w:rPr>
        <w:t>注：</w:t>
      </w:r>
    </w:p>
    <w:p>
      <w:pPr>
        <w:numPr>
          <w:ilvl w:val="0"/>
          <w:numId w:val="14"/>
        </w:numPr>
        <w:autoSpaceDE w:val="0"/>
        <w:autoSpaceDN w:val="0"/>
        <w:adjustRightInd w:val="0"/>
        <w:spacing w:line="360" w:lineRule="auto"/>
        <w:rPr>
          <w:szCs w:val="21"/>
        </w:rPr>
      </w:pPr>
      <w:r>
        <w:rPr>
          <w:szCs w:val="21"/>
        </w:rPr>
        <w:t>投标人须提供相应的证明文件（投标人需提供供货合同</w:t>
      </w:r>
      <w:r>
        <w:rPr>
          <w:rFonts w:hint="eastAsia"/>
          <w:szCs w:val="21"/>
          <w:lang w:val="en-US" w:eastAsia="zh-CN"/>
        </w:rPr>
        <w:t>及</w:t>
      </w:r>
      <w:r>
        <w:rPr>
          <w:szCs w:val="21"/>
        </w:rPr>
        <w:t>中标通知书复印件</w:t>
      </w:r>
      <w:r>
        <w:rPr>
          <w:rFonts w:hint="eastAsia" w:ascii="宋体" w:hAnsi="宋体" w:eastAsia="宋体" w:cs="宋体"/>
          <w:bCs w:val="0"/>
          <w:color w:val="auto"/>
          <w:kern w:val="0"/>
          <w:sz w:val="21"/>
          <w:szCs w:val="21"/>
          <w:highlight w:val="none"/>
        </w:rPr>
        <w:t>并加盖公章</w:t>
      </w:r>
      <w:r>
        <w:rPr>
          <w:szCs w:val="21"/>
        </w:rPr>
        <w:t>）</w:t>
      </w:r>
    </w:p>
    <w:p>
      <w:pPr>
        <w:numPr>
          <w:ilvl w:val="0"/>
          <w:numId w:val="14"/>
        </w:numPr>
        <w:autoSpaceDE w:val="0"/>
        <w:autoSpaceDN w:val="0"/>
        <w:adjustRightInd w:val="0"/>
        <w:spacing w:line="360" w:lineRule="auto"/>
        <w:rPr>
          <w:szCs w:val="21"/>
        </w:rPr>
      </w:pPr>
      <w:r>
        <w:rPr>
          <w:szCs w:val="21"/>
        </w:rPr>
        <w:t>正在执行的类似业绩需标明执行状态，投标人需在备注栏填写合同执行的状态，如：设计联络阶段、供货阶段、供货完毕阶段、联调联试阶段等。</w:t>
      </w:r>
    </w:p>
    <w:p>
      <w:pPr>
        <w:spacing w:before="120" w:beforeLines="50" w:line="360" w:lineRule="auto"/>
        <w:ind w:left="-103" w:leftChars="-49" w:firstLine="119" w:firstLineChars="57"/>
      </w:pPr>
      <w:r>
        <w:t>投标人：（公章）</w:t>
      </w:r>
    </w:p>
    <w:p>
      <w:pPr>
        <w:pStyle w:val="33"/>
        <w:spacing w:before="120" w:line="360" w:lineRule="auto"/>
        <w:rPr>
          <w:sz w:val="21"/>
          <w:szCs w:val="21"/>
        </w:rPr>
      </w:pPr>
      <w:r>
        <w:rPr>
          <w:sz w:val="21"/>
          <w:szCs w:val="21"/>
        </w:rPr>
        <w:t>法定代表人或其委托代理人：（签字或加盖人名章）</w:t>
      </w:r>
    </w:p>
    <w:p>
      <w:pPr>
        <w:spacing w:line="360" w:lineRule="auto"/>
        <w:rPr>
          <w:sz w:val="24"/>
        </w:rPr>
      </w:pPr>
      <w:r>
        <w:rPr>
          <w:szCs w:val="21"/>
        </w:rPr>
        <w:t>日期：  年 月  日</w:t>
      </w:r>
    </w:p>
    <w:p>
      <w:pPr>
        <w:spacing w:line="360" w:lineRule="auto"/>
      </w:pPr>
    </w:p>
    <w:p>
      <w:pPr>
        <w:pStyle w:val="2"/>
        <w:spacing w:before="0" w:after="0" w:line="240" w:lineRule="auto"/>
        <w:rPr>
          <w:rFonts w:eastAsia="黑体"/>
          <w:sz w:val="28"/>
          <w:szCs w:val="28"/>
        </w:rPr>
        <w:sectPr>
          <w:footerReference r:id="rId10"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pPr>
      <w:bookmarkStart w:id="294" w:name="_Toc11195"/>
      <w:bookmarkStart w:id="295" w:name="_Toc103677761"/>
      <w:r>
        <w:rPr>
          <w:rFonts w:hint="eastAsia" w:eastAsia="黑体"/>
          <w:sz w:val="28"/>
          <w:szCs w:val="28"/>
          <w:lang w:val="en-US" w:eastAsia="zh-CN"/>
        </w:rPr>
        <w:t>五</w:t>
      </w:r>
      <w:r>
        <w:rPr>
          <w:rFonts w:hint="eastAsia" w:eastAsia="黑体"/>
          <w:sz w:val="28"/>
          <w:szCs w:val="28"/>
        </w:rPr>
        <w:t>、</w:t>
      </w:r>
      <w:r>
        <w:rPr>
          <w:rFonts w:eastAsia="黑体"/>
          <w:sz w:val="28"/>
          <w:szCs w:val="28"/>
        </w:rPr>
        <w:t>商务偏差表</w:t>
      </w:r>
      <w:bookmarkEnd w:id="294"/>
      <w:bookmarkEnd w:id="295"/>
      <w:r>
        <w:rPr>
          <w:szCs w:val="21"/>
        </w:rPr>
        <w:t xml:space="preserve">       </w:t>
      </w:r>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i/>
                <w:iCs/>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line="440" w:lineRule="exact"/>
        <w:ind w:left="-103" w:leftChars="-49"/>
      </w:pPr>
      <w:r>
        <w:t>法定代表人或其</w:t>
      </w:r>
      <w:r>
        <w:rPr>
          <w:szCs w:val="21"/>
        </w:rPr>
        <w:t>委托代理人</w:t>
      </w:r>
      <w:r>
        <w:t>：（签字或加盖人名章）</w:t>
      </w:r>
    </w:p>
    <w:p>
      <w:pPr>
        <w:spacing w:before="120" w:beforeLines="50" w:line="440" w:lineRule="exact"/>
        <w:ind w:left="-103" w:leftChars="-49"/>
      </w:pPr>
      <w:r>
        <w:t>日期：</w:t>
      </w:r>
    </w:p>
    <w:p/>
    <w:p>
      <w:pPr>
        <w:snapToGrid w:val="0"/>
        <w:spacing w:after="120" w:afterLines="50" w:line="360" w:lineRule="auto"/>
        <w:ind w:left="426" w:hanging="426" w:hangingChars="203"/>
        <w:jc w:val="left"/>
      </w:pPr>
      <w:r>
        <w:t>注：商务条款主要包括报价要求、售后服务、保密要求（如有）、交货时间、地点与方式、付款及结算方式等。</w:t>
      </w:r>
      <w:bookmarkStart w:id="296" w:name="_Toc18481"/>
      <w:bookmarkStart w:id="297" w:name="_Toc29772"/>
    </w:p>
    <w:bookmarkEnd w:id="296"/>
    <w:bookmarkEnd w:id="297"/>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298" w:name="_Toc27464"/>
      <w:bookmarkStart w:id="299" w:name="_Toc103677762"/>
      <w:bookmarkStart w:id="300" w:name="_Hlk99310377"/>
      <w:r>
        <w:rPr>
          <w:rFonts w:hint="eastAsia" w:eastAsia="黑体"/>
          <w:sz w:val="28"/>
          <w:szCs w:val="28"/>
          <w:lang w:val="en-US" w:eastAsia="zh-CN"/>
        </w:rPr>
        <w:t>六</w:t>
      </w:r>
      <w:r>
        <w:rPr>
          <w:rFonts w:hint="eastAsia" w:eastAsia="黑体"/>
          <w:sz w:val="28"/>
          <w:szCs w:val="28"/>
        </w:rPr>
        <w:t>、</w:t>
      </w:r>
      <w:r>
        <w:rPr>
          <w:rFonts w:eastAsia="黑体"/>
          <w:sz w:val="28"/>
          <w:szCs w:val="28"/>
        </w:rPr>
        <w:t>投标人基本情况表</w:t>
      </w:r>
      <w:bookmarkEnd w:id="298"/>
      <w:bookmarkEnd w:id="299"/>
    </w:p>
    <w:tbl>
      <w:tblPr>
        <w:tblStyle w:val="40"/>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p>
            <w:pPr>
              <w:topLinePunct/>
              <w:spacing w:line="440" w:lineRule="exact"/>
              <w:jc w:val="center"/>
              <w:rPr>
                <w:szCs w:val="21"/>
              </w:rPr>
            </w:pPr>
            <w:r>
              <w:rPr>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投标人须知要求投标人需具有的各类资质证书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r>
              <w:rPr>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szCs w:val="21"/>
              </w:rPr>
            </w:pPr>
            <w:r>
              <w:rPr>
                <w:szCs w:val="21"/>
              </w:rPr>
              <w:t>投标人关联企业情况（包括但不限于与投标人法定代表人（单位负责人）为同一人或者存在控股、管理关系的不同单位）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spacing w:line="440" w:lineRule="exact"/>
        <w:ind w:firstLine="420" w:firstLineChars="200"/>
      </w:pPr>
      <w: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pPr>
      <w:r>
        <w:t>投标人：（公章）</w:t>
      </w:r>
    </w:p>
    <w:p>
      <w:pPr>
        <w:spacing w:before="120" w:beforeLines="50" w:line="440" w:lineRule="exact"/>
        <w:ind w:left="460" w:leftChars="219"/>
      </w:pPr>
      <w:r>
        <w:t>法定代表人或其</w:t>
      </w:r>
      <w:r>
        <w:rPr>
          <w:szCs w:val="21"/>
        </w:rPr>
        <w:t>委托代理人</w:t>
      </w:r>
      <w:r>
        <w:t>：（签字或加盖人名章）</w:t>
      </w:r>
    </w:p>
    <w:p/>
    <w:p>
      <w:pPr>
        <w:ind w:firstLine="420" w:firstLineChars="200"/>
      </w:pPr>
      <w:r>
        <w:t>日期：</w:t>
      </w:r>
    </w:p>
    <w:bookmarkEnd w:id="300"/>
    <w:p>
      <w:pPr>
        <w:pStyle w:val="2"/>
        <w:spacing w:before="0" w:after="0" w:line="240" w:lineRule="auto"/>
        <w:rPr>
          <w:rFonts w:eastAsia="黑体"/>
          <w:sz w:val="28"/>
          <w:szCs w:val="28"/>
        </w:rPr>
      </w:pPr>
      <w:bookmarkStart w:id="301" w:name="_Toc103677764"/>
      <w:bookmarkStart w:id="302" w:name="_Toc25716"/>
      <w:bookmarkStart w:id="303" w:name="_Hlk99310416"/>
      <w:r>
        <w:rPr>
          <w:rFonts w:hint="eastAsia" w:eastAsia="黑体"/>
          <w:sz w:val="28"/>
          <w:szCs w:val="28"/>
          <w:lang w:val="en-US" w:eastAsia="zh-CN"/>
        </w:rPr>
        <w:t>七</w:t>
      </w:r>
      <w:r>
        <w:rPr>
          <w:rFonts w:hint="eastAsia" w:eastAsia="黑体"/>
          <w:sz w:val="28"/>
          <w:szCs w:val="28"/>
        </w:rPr>
        <w:t>、</w:t>
      </w:r>
      <w:r>
        <w:rPr>
          <w:rFonts w:eastAsia="黑体"/>
          <w:sz w:val="28"/>
          <w:szCs w:val="28"/>
        </w:rPr>
        <w:t>投标承诺书</w:t>
      </w:r>
      <w:bookmarkEnd w:id="301"/>
      <w:bookmarkEnd w:id="302"/>
    </w:p>
    <w:p>
      <w:pPr>
        <w:jc w:val="center"/>
        <w:rPr>
          <w:rFonts w:eastAsia="黑体"/>
          <w:sz w:val="32"/>
          <w:szCs w:val="32"/>
        </w:rPr>
      </w:pPr>
      <w:r>
        <w:rPr>
          <w:rFonts w:eastAsia="黑体"/>
          <w:sz w:val="32"/>
          <w:szCs w:val="32"/>
        </w:rPr>
        <w:t>投标承诺书</w:t>
      </w:r>
    </w:p>
    <w:p>
      <w:pPr>
        <w:spacing w:line="360" w:lineRule="auto"/>
        <w:rPr>
          <w:rFonts w:hint="eastAsia" w:eastAsia="宋体"/>
          <w:sz w:val="24"/>
          <w:lang w:eastAsia="zh-CN"/>
        </w:rPr>
      </w:pPr>
      <w:r>
        <w:rPr>
          <w:sz w:val="24"/>
        </w:rPr>
        <w:t>致：</w:t>
      </w:r>
      <w:r>
        <w:rPr>
          <w:rFonts w:hint="eastAsia"/>
          <w:sz w:val="24"/>
          <w:u w:val="single"/>
          <w:lang w:eastAsia="zh-CN"/>
        </w:rPr>
        <w:t>新疆财经大学</w:t>
      </w:r>
    </w:p>
    <w:p>
      <w:pPr>
        <w:spacing w:line="360" w:lineRule="auto"/>
        <w:ind w:firstLine="480" w:firstLineChars="200"/>
        <w:rPr>
          <w:sz w:val="24"/>
        </w:rPr>
      </w:pPr>
      <w:r>
        <w:rPr>
          <w:sz w:val="24"/>
        </w:rPr>
        <w:t>我方在此声明，我方以下事项进行承诺：</w:t>
      </w:r>
    </w:p>
    <w:p>
      <w:pPr>
        <w:spacing w:line="360" w:lineRule="auto"/>
        <w:ind w:firstLine="480" w:firstLineChars="200"/>
        <w:rPr>
          <w:sz w:val="24"/>
        </w:rPr>
      </w:pPr>
      <w:r>
        <w:rPr>
          <w:sz w:val="24"/>
        </w:rPr>
        <w:t>（1） 在本次投标中我方无与其他投标人相互串通投标，或与采购人串通投标的行为；</w:t>
      </w:r>
    </w:p>
    <w:p>
      <w:pPr>
        <w:spacing w:line="360" w:lineRule="auto"/>
        <w:ind w:firstLine="480" w:firstLineChars="200"/>
        <w:rPr>
          <w:sz w:val="24"/>
        </w:rPr>
      </w:pPr>
      <w:r>
        <w:rPr>
          <w:sz w:val="24"/>
        </w:rPr>
        <w:t>（2） 在本次投标中我方无向采购人或评标委员会成员行贿的手段谋取中标的行为；</w:t>
      </w:r>
    </w:p>
    <w:p>
      <w:pPr>
        <w:spacing w:line="360" w:lineRule="auto"/>
        <w:ind w:firstLine="480" w:firstLineChars="200"/>
        <w:rPr>
          <w:sz w:val="24"/>
        </w:rPr>
      </w:pPr>
      <w:r>
        <w:rPr>
          <w:sz w:val="24"/>
        </w:rPr>
        <w:t>（3） 在本次投标中我方无出借或借用资质行为、在投标文件中所附资料（业绩、项目负责人资料等）无弄虚作假；</w:t>
      </w:r>
    </w:p>
    <w:p>
      <w:pPr>
        <w:spacing w:line="360" w:lineRule="auto"/>
        <w:ind w:firstLine="480" w:firstLineChars="200"/>
        <w:rPr>
          <w:sz w:val="24"/>
        </w:rPr>
      </w:pPr>
      <w:r>
        <w:rPr>
          <w:sz w:val="24"/>
        </w:rPr>
        <w:t>（4） 我方没有处于被责令停产、停业、投标资格被取消状态；</w:t>
      </w:r>
    </w:p>
    <w:p>
      <w:pPr>
        <w:spacing w:line="360" w:lineRule="auto"/>
        <w:ind w:firstLine="480" w:firstLineChars="200"/>
        <w:rPr>
          <w:sz w:val="24"/>
        </w:rPr>
      </w:pPr>
      <w:r>
        <w:rPr>
          <w:sz w:val="24"/>
        </w:rPr>
        <w:t>（5）我方不采用非法手段获取证据进行质疑、投诉，在质疑、投诉过程中不提供虚假情况或进行恶意质疑、投诉。</w:t>
      </w:r>
    </w:p>
    <w:p>
      <w:pPr>
        <w:spacing w:line="360" w:lineRule="auto"/>
        <w:ind w:firstLine="480" w:firstLineChars="200"/>
        <w:rPr>
          <w:sz w:val="24"/>
        </w:rPr>
      </w:pPr>
      <w:r>
        <w:rPr>
          <w:sz w:val="24"/>
        </w:rPr>
        <w:t>上述承诺内容如有不实，我方愿意承担由此造成的一切法律责任，并承诺以投标保证金赔偿给采购人造成的损失。</w:t>
      </w:r>
    </w:p>
    <w:p>
      <w:pPr>
        <w:spacing w:line="360" w:lineRule="auto"/>
        <w:ind w:firstLine="480" w:firstLineChars="200"/>
        <w:rPr>
          <w:sz w:val="24"/>
        </w:rPr>
      </w:pPr>
      <w:r>
        <w:rPr>
          <w:sz w:val="24"/>
        </w:rPr>
        <w:t>特此承诺</w:t>
      </w: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
    <w:p/>
    <w:p/>
    <w:p/>
    <w:p/>
    <w:p/>
    <w:p/>
    <w:p>
      <w:pPr>
        <w:spacing w:line="360" w:lineRule="auto"/>
        <w:outlineLvl w:val="1"/>
        <w:rPr>
          <w:b/>
          <w:bCs/>
          <w:sz w:val="24"/>
        </w:rPr>
        <w:sectPr>
          <w:footerReference r:id="rId11"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2"/>
        <w:spacing w:before="0" w:after="0" w:line="240" w:lineRule="auto"/>
        <w:rPr>
          <w:rFonts w:eastAsia="黑体"/>
          <w:sz w:val="28"/>
          <w:szCs w:val="28"/>
        </w:rPr>
      </w:pPr>
      <w:bookmarkStart w:id="304" w:name="_Toc103677765"/>
      <w:bookmarkStart w:id="305" w:name="_Toc12523"/>
      <w:r>
        <w:rPr>
          <w:rFonts w:hint="eastAsia" w:eastAsia="黑体"/>
          <w:sz w:val="28"/>
          <w:szCs w:val="28"/>
          <w:lang w:val="en-US" w:eastAsia="zh-CN"/>
        </w:rPr>
        <w:t>八</w:t>
      </w:r>
      <w:r>
        <w:rPr>
          <w:rFonts w:hint="eastAsia" w:eastAsia="黑体"/>
          <w:sz w:val="28"/>
          <w:szCs w:val="28"/>
        </w:rPr>
        <w:t>、</w:t>
      </w:r>
      <w:r>
        <w:rPr>
          <w:rFonts w:eastAsia="黑体"/>
          <w:sz w:val="28"/>
          <w:szCs w:val="28"/>
        </w:rPr>
        <w:t>反商业贿赂承诺书</w:t>
      </w:r>
      <w:bookmarkEnd w:id="304"/>
      <w:bookmarkEnd w:id="305"/>
    </w:p>
    <w:p>
      <w:pPr>
        <w:jc w:val="center"/>
        <w:rPr>
          <w:sz w:val="32"/>
          <w:szCs w:val="32"/>
        </w:rPr>
      </w:pPr>
    </w:p>
    <w:p>
      <w:pPr>
        <w:pStyle w:val="21"/>
        <w:spacing w:line="440" w:lineRule="exact"/>
        <w:ind w:left="0" w:leftChars="0" w:firstLine="643" w:firstLineChars="200"/>
        <w:jc w:val="center"/>
        <w:rPr>
          <w:rFonts w:hint="eastAsia" w:eastAsia="宋体"/>
          <w:sz w:val="24"/>
          <w:lang w:eastAsia="zh-CN"/>
        </w:rPr>
      </w:pPr>
      <w:r>
        <w:rPr>
          <w:rFonts w:hint="eastAsia" w:eastAsia="黑体"/>
          <w:b/>
          <w:bCs/>
          <w:sz w:val="32"/>
          <w:szCs w:val="32"/>
          <w:lang w:val="en-US" w:eastAsia="zh-CN"/>
        </w:rPr>
        <w:t>承诺书（1）</w:t>
      </w:r>
    </w:p>
    <w:p>
      <w:pPr>
        <w:pStyle w:val="21"/>
        <w:spacing w:line="440" w:lineRule="exact"/>
        <w:ind w:left="0" w:leftChars="0" w:firstLine="480" w:firstLineChars="200"/>
        <w:rPr>
          <w:sz w:val="24"/>
        </w:rPr>
      </w:pPr>
      <w:r>
        <w:rPr>
          <w:sz w:val="24"/>
        </w:rPr>
        <w:t>我方承诺在</w:t>
      </w:r>
      <w:r>
        <w:rPr>
          <w:sz w:val="24"/>
          <w:u w:val="single"/>
        </w:rPr>
        <w:t>（</w:t>
      </w:r>
      <w:r>
        <w:rPr>
          <w:rFonts w:hint="eastAsia"/>
          <w:sz w:val="24"/>
          <w:u w:val="single"/>
          <w:lang w:val="en-US" w:eastAsia="zh-CN"/>
        </w:rPr>
        <w:t>项目编号、项目名称、标项号</w:t>
      </w:r>
      <w:r>
        <w:rPr>
          <w:sz w:val="24"/>
          <w:u w:val="single"/>
        </w:rPr>
        <w:t>）</w:t>
      </w:r>
      <w:r>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rPr>
          <w:rFonts w:eastAsia="黑体"/>
          <w:sz w:val="28"/>
          <w:szCs w:val="28"/>
        </w:rPr>
      </w:pPr>
    </w:p>
    <w:p>
      <w:pPr>
        <w:pStyle w:val="21"/>
        <w:spacing w:line="440" w:lineRule="exact"/>
        <w:ind w:left="0" w:leftChars="0" w:firstLine="643" w:firstLineChars="200"/>
        <w:jc w:val="center"/>
        <w:rPr>
          <w:rFonts w:hint="eastAsia" w:eastAsia="黑体"/>
          <w:b/>
          <w:bCs/>
          <w:sz w:val="32"/>
          <w:szCs w:val="32"/>
          <w:lang w:val="en-US" w:eastAsia="zh-CN"/>
        </w:rPr>
      </w:pPr>
      <w:r>
        <w:rPr>
          <w:rFonts w:hint="eastAsia" w:eastAsia="黑体"/>
          <w:b/>
          <w:bCs/>
          <w:sz w:val="32"/>
          <w:szCs w:val="32"/>
          <w:lang w:val="en-US" w:eastAsia="zh-CN"/>
        </w:rPr>
        <w:t>承诺书（2）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投标单位承诺书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我公司承诺在参加本次</w:t>
      </w:r>
      <w:r>
        <w:rPr>
          <w:rFonts w:hint="eastAsia" w:ascii="Times New Roman" w:hAnsi="Times New Roman" w:eastAsia="宋体" w:cs="Times New Roman"/>
          <w:kern w:val="2"/>
          <w:sz w:val="24"/>
          <w:szCs w:val="24"/>
          <w:u w:val="single"/>
          <w:lang w:val="en-US" w:eastAsia="zh-CN" w:bidi="ar-SA"/>
        </w:rPr>
        <w:t>（项目编号、项目名称、标项号）</w:t>
      </w:r>
      <w:r>
        <w:rPr>
          <w:rFonts w:hint="eastAsia" w:ascii="Times New Roman" w:hAnsi="Times New Roman" w:eastAsia="宋体" w:cs="Times New Roman"/>
          <w:kern w:val="2"/>
          <w:sz w:val="24"/>
          <w:szCs w:val="24"/>
          <w:lang w:val="en-US" w:eastAsia="zh-CN" w:bidi="ar-SA"/>
        </w:rPr>
        <w:t xml:space="preserve">投标前三年内，无以下行为：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重大违法行为；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商业贿赂行为；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政府采购法《第七十七条》，列入不良行为记录名单的各种行为；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如有上述行为，我公司及项目参与人员自愿放弃本次项目的投标、报价资格，若为预中标、成交人，也自愿放弃中标、成交资格。 </w:t>
      </w:r>
    </w:p>
    <w:p>
      <w:pPr>
        <w:pStyle w:val="14"/>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pPr>
      <w:bookmarkStart w:id="306" w:name="_Toc17729"/>
      <w:bookmarkStart w:id="307" w:name="_Toc103677766"/>
      <w:r>
        <w:rPr>
          <w:rFonts w:hint="eastAsia" w:eastAsia="黑体"/>
          <w:sz w:val="28"/>
          <w:szCs w:val="28"/>
          <w:lang w:val="en-US" w:eastAsia="zh-CN"/>
        </w:rPr>
        <w:t>九</w:t>
      </w:r>
      <w:r>
        <w:rPr>
          <w:rFonts w:hint="eastAsia" w:eastAsia="黑体"/>
          <w:sz w:val="28"/>
          <w:szCs w:val="28"/>
        </w:rPr>
        <w:t>、</w:t>
      </w:r>
      <w:r>
        <w:rPr>
          <w:rFonts w:eastAsia="黑体"/>
          <w:sz w:val="28"/>
          <w:szCs w:val="28"/>
        </w:rPr>
        <w:t>项目负责人简历表及拟投入本项目主要成员表</w:t>
      </w:r>
      <w:bookmarkEnd w:id="306"/>
      <w:bookmarkEnd w:id="307"/>
    </w:p>
    <w:p>
      <w:pPr>
        <w:widowControl/>
        <w:tabs>
          <w:tab w:val="left" w:pos="720"/>
        </w:tabs>
        <w:spacing w:line="440" w:lineRule="exact"/>
        <w:jc w:val="left"/>
        <w:rPr>
          <w:b/>
        </w:rPr>
      </w:pPr>
      <w:r>
        <w:rPr>
          <w:b/>
        </w:rPr>
        <w:t>1、项目负责人简历表</w:t>
      </w:r>
    </w:p>
    <w:tbl>
      <w:tblPr>
        <w:tblStyle w:val="40"/>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pPr>
            <w: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t>主要经历</w:t>
            </w:r>
          </w:p>
          <w:p>
            <w:pPr>
              <w:spacing w:line="440" w:lineRule="exact"/>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r>
              <w:t>备注</w:t>
            </w: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2、拟投入本项目的主要成员表</w:t>
      </w:r>
    </w:p>
    <w:tbl>
      <w:tblPr>
        <w:tblStyle w:val="4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pPr>
            <w:r>
              <w:t>序号</w:t>
            </w:r>
          </w:p>
        </w:tc>
        <w:tc>
          <w:tcPr>
            <w:tcW w:w="1330" w:type="dxa"/>
            <w:vAlign w:val="center"/>
          </w:tcPr>
          <w:p>
            <w:pPr>
              <w:spacing w:line="440" w:lineRule="exact"/>
              <w:jc w:val="center"/>
            </w:pPr>
            <w:r>
              <w:t>姓名</w:t>
            </w:r>
          </w:p>
        </w:tc>
        <w:tc>
          <w:tcPr>
            <w:tcW w:w="2040" w:type="dxa"/>
            <w:vAlign w:val="center"/>
          </w:tcPr>
          <w:p>
            <w:pPr>
              <w:spacing w:line="440" w:lineRule="exact"/>
              <w:jc w:val="center"/>
            </w:pPr>
            <w:r>
              <w:t>性别</w:t>
            </w:r>
          </w:p>
        </w:tc>
        <w:tc>
          <w:tcPr>
            <w:tcW w:w="1421" w:type="dxa"/>
            <w:vAlign w:val="center"/>
          </w:tcPr>
          <w:p>
            <w:pPr>
              <w:spacing w:line="440" w:lineRule="exact"/>
              <w:jc w:val="center"/>
            </w:pPr>
            <w:r>
              <w:t>职称</w:t>
            </w:r>
          </w:p>
        </w:tc>
        <w:tc>
          <w:tcPr>
            <w:tcW w:w="1328" w:type="dxa"/>
            <w:vAlign w:val="center"/>
          </w:tcPr>
          <w:p>
            <w:pPr>
              <w:spacing w:line="440" w:lineRule="exact"/>
              <w:jc w:val="center"/>
            </w:pPr>
            <w:r>
              <w:t>岗位</w:t>
            </w:r>
          </w:p>
        </w:tc>
        <w:tc>
          <w:tcPr>
            <w:tcW w:w="1701" w:type="dxa"/>
            <w:vAlign w:val="center"/>
          </w:tcPr>
          <w:p>
            <w:pPr>
              <w:spacing w:line="440" w:lineRule="exact"/>
              <w:jc w:val="center"/>
            </w:pPr>
            <w: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bl>
    <w:p>
      <w:pPr>
        <w:spacing w:line="440" w:lineRule="exact"/>
        <w:rPr>
          <w:u w:val="single"/>
        </w:rPr>
      </w:pPr>
      <w:r>
        <w:t>投标人名称（公章）：</w:t>
      </w:r>
      <w:r>
        <w:rPr>
          <w:u w:val="single"/>
        </w:rPr>
        <w:t xml:space="preserve">　　　　　         </w:t>
      </w:r>
    </w:p>
    <w:p>
      <w:pPr>
        <w:spacing w:line="440" w:lineRule="exact"/>
      </w:pPr>
      <w:r>
        <w:t>投标人代表签字：</w:t>
      </w:r>
    </w:p>
    <w:p>
      <w:pPr>
        <w:spacing w:line="440" w:lineRule="exact"/>
      </w:pPr>
      <w:r>
        <w:t>日期：20年</w:t>
      </w:r>
      <w:r>
        <w:rPr>
          <w:u w:val="single"/>
        </w:rPr>
        <w:t>　</w:t>
      </w:r>
      <w:r>
        <w:t>月</w:t>
      </w:r>
      <w:r>
        <w:rPr>
          <w:u w:val="single"/>
        </w:rPr>
        <w:t>　</w:t>
      </w:r>
      <w:r>
        <w:t>日　</w:t>
      </w:r>
    </w:p>
    <w:p>
      <w:pPr>
        <w:adjustRightInd w:val="0"/>
        <w:snapToGrid w:val="0"/>
        <w:spacing w:line="440" w:lineRule="exact"/>
        <w:ind w:firstLine="422" w:firstLineChars="200"/>
        <w:rPr>
          <w:b/>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b/>
        </w:rPr>
        <w:t>注：后附人员相关</w:t>
      </w:r>
      <w:r>
        <w:rPr>
          <w:rFonts w:hint="eastAsia"/>
          <w:b/>
          <w:lang w:val="en-US" w:eastAsia="zh-CN"/>
        </w:rPr>
        <w:t>资料</w:t>
      </w:r>
      <w:r>
        <w:rPr>
          <w:b/>
        </w:rPr>
        <w:t>复印件。</w:t>
      </w:r>
    </w:p>
    <w:p>
      <w:pPr>
        <w:pStyle w:val="2"/>
        <w:spacing w:before="0" w:after="0" w:line="240" w:lineRule="auto"/>
        <w:rPr>
          <w:rFonts w:eastAsia="黑体"/>
          <w:sz w:val="28"/>
          <w:szCs w:val="28"/>
        </w:rPr>
      </w:pPr>
      <w:bookmarkStart w:id="308" w:name="_Toc30210"/>
      <w:bookmarkStart w:id="309" w:name="_Toc103677767"/>
      <w:r>
        <w:rPr>
          <w:rFonts w:eastAsia="黑体"/>
          <w:sz w:val="28"/>
          <w:szCs w:val="28"/>
        </w:rPr>
        <w:t>十</w:t>
      </w:r>
      <w:r>
        <w:rPr>
          <w:rFonts w:hint="eastAsia" w:eastAsia="黑体"/>
          <w:sz w:val="28"/>
          <w:szCs w:val="28"/>
        </w:rPr>
        <w:t>、</w:t>
      </w:r>
      <w:r>
        <w:rPr>
          <w:rFonts w:eastAsia="黑体"/>
          <w:sz w:val="28"/>
          <w:szCs w:val="28"/>
        </w:rPr>
        <w:t>其他商务部分资料</w:t>
      </w:r>
      <w:bookmarkEnd w:id="308"/>
      <w:bookmarkEnd w:id="309"/>
    </w:p>
    <w:p>
      <w:pPr>
        <w:spacing w:line="360" w:lineRule="auto"/>
        <w:ind w:firstLine="480" w:firstLineChars="200"/>
        <w:rPr>
          <w:sz w:val="24"/>
        </w:rPr>
      </w:pPr>
    </w:p>
    <w:p>
      <w:pPr>
        <w:spacing w:line="360" w:lineRule="auto"/>
        <w:ind w:firstLine="480" w:firstLineChars="200"/>
        <w:rPr>
          <w:sz w:val="24"/>
        </w:rPr>
      </w:pPr>
      <w:r>
        <w:rPr>
          <w:sz w:val="24"/>
        </w:rPr>
        <w:t>招标文件中要求提交的其他商务部分资料或投标人认为需要提供的其它商务部分说明或资料。</w:t>
      </w:r>
    </w:p>
    <w:p/>
    <w:p>
      <w:pPr>
        <w:spacing w:line="360" w:lineRule="auto"/>
        <w:rPr>
          <w:sz w:val="24"/>
        </w:rPr>
      </w:pPr>
    </w:p>
    <w:p>
      <w:pPr>
        <w:pStyle w:val="2"/>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360" w:lineRule="auto"/>
        <w:rPr>
          <w:rFonts w:eastAsia="黑体"/>
          <w:sz w:val="28"/>
          <w:szCs w:val="28"/>
        </w:rPr>
      </w:pPr>
      <w:bookmarkStart w:id="310" w:name="_Toc18856"/>
      <w:bookmarkStart w:id="311" w:name="_Toc103677768"/>
      <w:r>
        <w:rPr>
          <w:rFonts w:eastAsia="黑体"/>
          <w:sz w:val="28"/>
          <w:szCs w:val="28"/>
        </w:rPr>
        <w:t>十</w:t>
      </w:r>
      <w:r>
        <w:rPr>
          <w:rFonts w:hint="eastAsia" w:eastAsia="黑体"/>
          <w:sz w:val="28"/>
          <w:szCs w:val="28"/>
          <w:lang w:val="en-US" w:eastAsia="zh-CN"/>
        </w:rPr>
        <w:t>一</w:t>
      </w:r>
      <w:r>
        <w:rPr>
          <w:rFonts w:hint="eastAsia" w:eastAsia="黑体"/>
          <w:sz w:val="28"/>
          <w:szCs w:val="28"/>
        </w:rPr>
        <w:t>、</w:t>
      </w:r>
      <w:r>
        <w:rPr>
          <w:rFonts w:eastAsia="黑体"/>
          <w:sz w:val="28"/>
          <w:szCs w:val="28"/>
        </w:rPr>
        <w:t>其他补充资料</w:t>
      </w:r>
      <w:bookmarkEnd w:id="310"/>
      <w:bookmarkEnd w:id="311"/>
    </w:p>
    <w:p>
      <w:pPr>
        <w:spacing w:line="360" w:lineRule="auto"/>
        <w:ind w:firstLine="480" w:firstLineChars="200"/>
        <w:rPr>
          <w:sz w:val="24"/>
        </w:rPr>
      </w:pPr>
      <w:r>
        <w:rPr>
          <w:sz w:val="24"/>
        </w:rPr>
        <w:t>为了便于为投标人在招标文件规定时间内尽快退还投标保证金及节省办理相关手续所耗时间，在此邀请投标人单独提供以下资料（</w:t>
      </w:r>
      <w:r>
        <w:rPr>
          <w:rFonts w:hint="eastAsia"/>
          <w:sz w:val="24"/>
        </w:rPr>
        <w:t>可以在</w:t>
      </w:r>
      <w:r>
        <w:rPr>
          <w:sz w:val="24"/>
        </w:rPr>
        <w:t>投标文件中提供</w:t>
      </w:r>
      <w:r>
        <w:rPr>
          <w:rFonts w:hint="eastAsia"/>
          <w:sz w:val="24"/>
        </w:rPr>
        <w:t>，投标文件中未提供的请在开标后将盖章后的电子版扫描件发送至电子邮箱</w:t>
      </w:r>
      <w:r>
        <w:rPr>
          <w:rFonts w:hint="eastAsia"/>
          <w:kern w:val="0"/>
          <w:sz w:val="24"/>
          <w:lang w:val="en-US" w:eastAsia="zh-CN"/>
        </w:rPr>
        <w:t>459861681@qq.com</w:t>
      </w:r>
      <w:r>
        <w:rPr>
          <w:sz w:val="24"/>
        </w:rPr>
        <w:t>），未提供以下补充资料的，不构成不响应招标文件要求。</w:t>
      </w:r>
    </w:p>
    <w:p>
      <w:pPr>
        <w:pStyle w:val="5"/>
        <w:spacing w:before="0" w:after="0" w:line="360" w:lineRule="auto"/>
        <w:jc w:val="left"/>
        <w:rPr>
          <w:rFonts w:ascii="Times New Roman" w:hAnsi="Times New Roman" w:eastAsia="黑体"/>
          <w:b w:val="0"/>
          <w:bCs w:val="0"/>
        </w:rPr>
      </w:pPr>
      <w:r>
        <w:rPr>
          <w:rFonts w:ascii="Times New Roman" w:hAnsi="Times New Roman" w:eastAsia="黑体"/>
          <w:b w:val="0"/>
          <w:bCs w:val="0"/>
        </w:rPr>
        <w:t>补充资料：开户许可证复印件；或银行账户信息（加盖公章）</w:t>
      </w:r>
    </w:p>
    <w:p>
      <w:pPr>
        <w:spacing w:line="360" w:lineRule="auto"/>
        <w:rPr>
          <w:sz w:val="24"/>
        </w:rPr>
      </w:pPr>
      <w:r>
        <w:rPr>
          <w:sz w:val="24"/>
        </w:rPr>
        <w:t>若选择提供银行账户信息的，可以按以下格式格式提供：</w:t>
      </w:r>
    </w:p>
    <w:p>
      <w:pPr>
        <w:spacing w:line="360" w:lineRule="auto"/>
        <w:ind w:firstLine="364" w:firstLineChars="152"/>
        <w:rPr>
          <w:sz w:val="24"/>
          <w:szCs w:val="32"/>
        </w:rPr>
      </w:pPr>
      <w:r>
        <w:rPr>
          <w:sz w:val="24"/>
          <w:szCs w:val="32"/>
        </w:rPr>
        <w:t>单位名称：</w:t>
      </w:r>
    </w:p>
    <w:p>
      <w:pPr>
        <w:spacing w:line="360" w:lineRule="auto"/>
        <w:ind w:firstLine="364" w:firstLineChars="152"/>
        <w:rPr>
          <w:sz w:val="24"/>
          <w:szCs w:val="32"/>
        </w:rPr>
      </w:pPr>
      <w:r>
        <w:rPr>
          <w:sz w:val="24"/>
          <w:szCs w:val="32"/>
        </w:rPr>
        <w:t>开户银行：</w:t>
      </w:r>
    </w:p>
    <w:p>
      <w:pPr>
        <w:spacing w:line="360" w:lineRule="auto"/>
        <w:ind w:firstLine="364" w:firstLineChars="152"/>
        <w:rPr>
          <w:sz w:val="24"/>
          <w:szCs w:val="32"/>
        </w:rPr>
      </w:pPr>
      <w:r>
        <w:rPr>
          <w:sz w:val="24"/>
          <w:szCs w:val="32"/>
        </w:rPr>
        <w:t>银行账号：</w:t>
      </w:r>
    </w:p>
    <w:p>
      <w:pPr>
        <w:spacing w:line="360" w:lineRule="auto"/>
        <w:ind w:firstLine="364" w:firstLineChars="152"/>
        <w:rPr>
          <w:sz w:val="24"/>
          <w:szCs w:val="32"/>
        </w:rPr>
      </w:pPr>
      <w:r>
        <w:rPr>
          <w:sz w:val="24"/>
          <w:szCs w:val="32"/>
        </w:rPr>
        <w:t>开户行号：</w:t>
      </w:r>
    </w:p>
    <w:p>
      <w:pPr>
        <w:spacing w:line="360" w:lineRule="auto"/>
        <w:ind w:firstLine="364" w:firstLineChars="152"/>
        <w:rPr>
          <w:sz w:val="24"/>
          <w:szCs w:val="32"/>
        </w:rPr>
      </w:pPr>
      <w:r>
        <w:rPr>
          <w:sz w:val="24"/>
          <w:szCs w:val="32"/>
        </w:rPr>
        <w:t>单位地址：</w:t>
      </w:r>
    </w:p>
    <w:p>
      <w:pPr>
        <w:spacing w:line="360" w:lineRule="auto"/>
        <w:ind w:firstLine="364" w:firstLineChars="152"/>
        <w:rPr>
          <w:sz w:val="24"/>
          <w:szCs w:val="32"/>
        </w:rPr>
      </w:pPr>
      <w:r>
        <w:rPr>
          <w:sz w:val="24"/>
          <w:szCs w:val="32"/>
        </w:rPr>
        <w:t>财务部门联系电话：</w:t>
      </w:r>
    </w:p>
    <w:p/>
    <w:p>
      <w:pPr>
        <w:pStyle w:val="5"/>
        <w:spacing w:before="0" w:after="0" w:line="360" w:lineRule="auto"/>
        <w:jc w:val="left"/>
        <w:rPr>
          <w:rFonts w:ascii="Times New Roman" w:hAnsi="Times New Roman" w:eastAsia="黑体"/>
          <w:b w:val="0"/>
          <w:bCs w:val="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03"/>
    <w:p>
      <w:pPr>
        <w:rPr>
          <w:b/>
          <w:bCs/>
          <w:sz w:val="28"/>
          <w:szCs w:val="28"/>
        </w:rPr>
      </w:pPr>
      <w:bookmarkStart w:id="312" w:name="_Toc103677769"/>
      <w:bookmarkStart w:id="313" w:name="_Toc3327"/>
      <w:bookmarkStart w:id="314" w:name="_Toc28435"/>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（报价部分）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
      <w:pPr>
        <w:pStyle w:val="433"/>
        <w:jc w:val="cente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pStyle w:val="4"/>
        <w:spacing w:before="0" w:after="0" w:line="240" w:lineRule="auto"/>
        <w:rPr>
          <w:rFonts w:ascii="Times New Roman" w:hAnsi="Times New Roman"/>
          <w:sz w:val="28"/>
          <w:szCs w:val="28"/>
        </w:rPr>
      </w:pPr>
      <w:bookmarkStart w:id="315" w:name="_Toc20329"/>
      <w:r>
        <w:rPr>
          <w:rFonts w:hint="eastAsia" w:ascii="Times New Roman" w:hAnsi="Times New Roman"/>
          <w:sz w:val="28"/>
          <w:szCs w:val="28"/>
        </w:rPr>
        <w:t xml:space="preserve">第二部分 </w:t>
      </w:r>
      <w:r>
        <w:rPr>
          <w:rFonts w:ascii="Times New Roman" w:hAnsi="Times New Roman"/>
          <w:sz w:val="28"/>
          <w:szCs w:val="28"/>
        </w:rPr>
        <w:t xml:space="preserve"> 报价部分</w:t>
      </w:r>
      <w:bookmarkEnd w:id="312"/>
      <w:bookmarkEnd w:id="315"/>
    </w:p>
    <w:p>
      <w:pPr>
        <w:pStyle w:val="2"/>
        <w:spacing w:before="0" w:after="0" w:line="240" w:lineRule="auto"/>
        <w:rPr>
          <w:rFonts w:eastAsia="黑体"/>
          <w:sz w:val="28"/>
          <w:szCs w:val="28"/>
        </w:rPr>
      </w:pPr>
      <w:bookmarkStart w:id="316" w:name="_Toc25790"/>
      <w:bookmarkStart w:id="317" w:name="_Toc103677770"/>
      <w:r>
        <w:rPr>
          <w:rFonts w:hint="eastAsia" w:eastAsia="黑体"/>
          <w:sz w:val="28"/>
          <w:szCs w:val="28"/>
        </w:rPr>
        <w:t>一、</w:t>
      </w:r>
      <w:r>
        <w:rPr>
          <w:rFonts w:eastAsia="黑体"/>
          <w:sz w:val="28"/>
          <w:szCs w:val="28"/>
        </w:rPr>
        <w:t>开标一览表</w:t>
      </w:r>
      <w:bookmarkEnd w:id="316"/>
      <w:bookmarkEnd w:id="317"/>
    </w:p>
    <w:bookmarkEnd w:id="313"/>
    <w:bookmarkEnd w:id="314"/>
    <w:p>
      <w:pPr>
        <w:spacing w:line="360" w:lineRule="auto"/>
        <w:jc w:val="center"/>
        <w:rPr>
          <w:rFonts w:eastAsia="黑体"/>
          <w:b/>
          <w:bCs/>
          <w:sz w:val="32"/>
          <w:szCs w:val="32"/>
        </w:rPr>
      </w:pPr>
      <w:r>
        <w:rPr>
          <w:rFonts w:eastAsia="黑体"/>
          <w:b/>
          <w:bCs/>
          <w:sz w:val="32"/>
          <w:szCs w:val="32"/>
        </w:rPr>
        <w:t>开标一览表</w:t>
      </w:r>
    </w:p>
    <w:tbl>
      <w:tblPr>
        <w:tblStyle w:val="40"/>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b/>
                <w:sz w:val="24"/>
              </w:rPr>
            </w:pPr>
            <w:r>
              <w:rPr>
                <w:b/>
                <w:sz w:val="24"/>
              </w:rPr>
              <w:t>项目编号</w:t>
            </w:r>
          </w:p>
        </w:tc>
        <w:tc>
          <w:tcPr>
            <w:tcW w:w="6504" w:type="dxa"/>
            <w:vAlign w:val="center"/>
          </w:tcPr>
          <w:p>
            <w:pPr>
              <w:ind w:left="189" w:leftChars="90" w:firstLine="1"/>
              <w:jc w:val="left"/>
              <w:rPr>
                <w:rFonts w:hint="eastAsia" w:eastAsia="宋体"/>
                <w:sz w:val="24"/>
                <w:lang w:eastAsia="zh-CN"/>
              </w:rPr>
            </w:pPr>
            <w:r>
              <w:rPr>
                <w:rFonts w:hint="eastAsia" w:eastAsia="宋体"/>
                <w:sz w:val="24"/>
                <w:lang w:eastAsia="zh-CN"/>
              </w:rPr>
              <w:t>0701-2340020110245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b/>
                <w:sz w:val="24"/>
              </w:rPr>
            </w:pPr>
            <w:r>
              <w:rPr>
                <w:b/>
                <w:bCs/>
                <w:sz w:val="24"/>
              </w:rPr>
              <w:t>项目名称</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新疆财经大学公共管理应急虚拟仿真综合实验平台建设项目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标项名称</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标项号</w:t>
            </w:r>
          </w:p>
        </w:tc>
        <w:tc>
          <w:tcPr>
            <w:tcW w:w="6504" w:type="dxa"/>
            <w:vAlign w:val="center"/>
          </w:tcPr>
          <w:p>
            <w:pPr>
              <w:ind w:left="189" w:leftChars="90" w:firstLine="1"/>
              <w:jc w:val="left"/>
              <w:rPr>
                <w:sz w:val="24"/>
              </w:rPr>
            </w:pPr>
            <w:r>
              <w:rPr>
                <w:color w:val="auto"/>
                <w:sz w:val="24"/>
              </w:rPr>
              <w:t>标项</w:t>
            </w:r>
            <w:r>
              <w:rPr>
                <w:i/>
                <w:iCs/>
                <w:color w:val="auto"/>
                <w:sz w:val="24"/>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b/>
                <w:sz w:val="24"/>
              </w:rPr>
            </w:pPr>
            <w:r>
              <w:rPr>
                <w:b/>
                <w:sz w:val="24"/>
              </w:rPr>
              <w:t>投标报价</w:t>
            </w:r>
          </w:p>
          <w:p>
            <w:pPr>
              <w:ind w:left="-13" w:leftChars="-6"/>
              <w:jc w:val="center"/>
              <w:rPr>
                <w:b/>
                <w:sz w:val="24"/>
              </w:rPr>
            </w:pPr>
            <w:r>
              <w:rPr>
                <w:b/>
                <w:sz w:val="24"/>
              </w:rPr>
              <w:t>（元）</w:t>
            </w:r>
          </w:p>
        </w:tc>
        <w:tc>
          <w:tcPr>
            <w:tcW w:w="6504" w:type="dxa"/>
            <w:vAlign w:val="center"/>
          </w:tcPr>
          <w:p>
            <w:pPr>
              <w:ind w:left="189" w:leftChars="90" w:firstLine="1"/>
              <w:jc w:val="left"/>
              <w:rPr>
                <w:sz w:val="24"/>
              </w:rPr>
            </w:pPr>
            <w:r>
              <w:rPr>
                <w:sz w:val="24"/>
              </w:rPr>
              <w:t>人民币（小写金额）：</w:t>
            </w:r>
            <w:r>
              <w:rPr>
                <w:sz w:val="24"/>
                <w:u w:val="single"/>
              </w:rPr>
              <w:t xml:space="preserve">                         </w:t>
            </w:r>
            <w:r>
              <w:rPr>
                <w:sz w:val="24"/>
              </w:rPr>
              <w:t>元</w:t>
            </w:r>
          </w:p>
          <w:p>
            <w:pPr>
              <w:ind w:left="189" w:leftChars="90" w:firstLine="1"/>
              <w:jc w:val="left"/>
              <w:rPr>
                <w:sz w:val="24"/>
                <w:u w:val="single"/>
              </w:rPr>
            </w:pPr>
            <w:r>
              <w:rPr>
                <w:sz w:val="24"/>
              </w:rPr>
              <w:t>人民币（大写金额）：</w:t>
            </w:r>
            <w:r>
              <w:rPr>
                <w:sz w:val="24"/>
                <w:u w:val="single"/>
              </w:rPr>
              <w:t xml:space="preserve">                          </w:t>
            </w:r>
          </w:p>
          <w:p>
            <w:pPr>
              <w:ind w:left="189" w:leftChars="90" w:firstLine="1"/>
              <w:jc w:val="left"/>
              <w:rPr>
                <w:sz w:val="24"/>
              </w:rPr>
            </w:pPr>
            <w:r>
              <w:rPr>
                <w:sz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b/>
                <w:sz w:val="24"/>
              </w:rPr>
            </w:pPr>
            <w:r>
              <w:rPr>
                <w:b/>
                <w:sz w:val="24"/>
              </w:rPr>
              <w:t>投标保证金</w:t>
            </w:r>
          </w:p>
        </w:tc>
        <w:tc>
          <w:tcPr>
            <w:tcW w:w="6504" w:type="dxa"/>
            <w:vAlign w:val="center"/>
          </w:tcPr>
          <w:p>
            <w:pPr>
              <w:ind w:left="189" w:leftChars="90" w:firstLine="1"/>
              <w:jc w:val="left"/>
              <w:rPr>
                <w:sz w:val="24"/>
              </w:rPr>
            </w:pPr>
            <w:r>
              <w:rPr>
                <w:sz w:val="24"/>
              </w:rPr>
              <w:t>人民币</w:t>
            </w:r>
            <w:r>
              <w:rPr>
                <w:sz w:val="24"/>
                <w:u w:val="single"/>
              </w:rPr>
              <w:t xml:space="preserve">   </w:t>
            </w:r>
            <w:r>
              <w:rPr>
                <w:rFonts w:hint="eastAsia"/>
                <w:sz w:val="24"/>
                <w:u w:val="single"/>
              </w:rPr>
              <w:t xml:space="preserve"> </w:t>
            </w:r>
            <w:r>
              <w:rPr>
                <w:sz w:val="24"/>
                <w:u w:val="single"/>
              </w:rPr>
              <w:t xml:space="preserve">  </w:t>
            </w:r>
            <w:r>
              <w:rPr>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交货期</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交货地点</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jc w:val="center"/>
        </w:trPr>
        <w:tc>
          <w:tcPr>
            <w:tcW w:w="1946" w:type="dxa"/>
            <w:vAlign w:val="center"/>
          </w:tcPr>
          <w:p>
            <w:pPr>
              <w:ind w:left="-13" w:leftChars="-6"/>
              <w:jc w:val="center"/>
              <w:rPr>
                <w:b/>
                <w:sz w:val="24"/>
              </w:rPr>
            </w:pPr>
            <w:r>
              <w:rPr>
                <w:rFonts w:hint="default"/>
                <w:b/>
                <w:sz w:val="24"/>
                <w:lang w:val="en-US" w:eastAsia="zh-CN"/>
              </w:rPr>
              <w:t>质保及服务年限</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b/>
                <w:sz w:val="24"/>
              </w:rPr>
            </w:pPr>
            <w:r>
              <w:rPr>
                <w:b/>
                <w:sz w:val="24"/>
              </w:rPr>
              <w:t>其他声明</w:t>
            </w:r>
          </w:p>
          <w:p>
            <w:pPr>
              <w:jc w:val="center"/>
              <w:rPr>
                <w:b/>
                <w:sz w:val="24"/>
              </w:rPr>
            </w:pPr>
            <w:r>
              <w:rPr>
                <w:b/>
                <w:sz w:val="24"/>
              </w:rPr>
              <w:t>（如有）</w:t>
            </w:r>
          </w:p>
        </w:tc>
        <w:tc>
          <w:tcPr>
            <w:tcW w:w="6504" w:type="dxa"/>
            <w:vAlign w:val="center"/>
          </w:tcPr>
          <w:p>
            <w:pPr>
              <w:ind w:left="899" w:leftChars="428" w:firstLine="1"/>
              <w:rPr>
                <w:sz w:val="24"/>
              </w:rPr>
            </w:pPr>
          </w:p>
        </w:tc>
      </w:tr>
    </w:tbl>
    <w:p>
      <w:pPr>
        <w:pStyle w:val="81"/>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81"/>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81"/>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pPr>
        <w:spacing w:line="480" w:lineRule="exact"/>
        <w:ind w:firstLine="482" w:firstLineChars="200"/>
        <w:rPr>
          <w:rFonts w:eastAsia="仿宋_GB2312"/>
          <w:b/>
          <w:kern w:val="0"/>
          <w:sz w:val="24"/>
          <w:szCs w:val="28"/>
        </w:rPr>
      </w:pPr>
    </w:p>
    <w:p>
      <w:pPr>
        <w:rPr>
          <w:rFonts w:hint="eastAsia" w:eastAsia="黑体"/>
          <w:sz w:val="28"/>
          <w:szCs w:val="28"/>
        </w:rPr>
        <w:sectPr>
          <w:footerReference r:id="rId12"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bookmarkStart w:id="318" w:name="_Toc103677771"/>
      <w:r>
        <w:rPr>
          <w:rFonts w:hint="eastAsia" w:eastAsia="黑体"/>
          <w:sz w:val="28"/>
          <w:szCs w:val="28"/>
        </w:rPr>
        <w:br w:type="page"/>
      </w:r>
    </w:p>
    <w:bookmarkEnd w:id="318"/>
    <w:p>
      <w:pPr>
        <w:pStyle w:val="2"/>
        <w:spacing w:before="0" w:after="0" w:line="360" w:lineRule="auto"/>
        <w:rPr>
          <w:b w:val="0"/>
          <w:bCs w:val="0"/>
          <w:sz w:val="24"/>
          <w:szCs w:val="24"/>
        </w:rPr>
      </w:pPr>
      <w:bookmarkStart w:id="319" w:name="_Toc30435"/>
      <w:bookmarkStart w:id="320" w:name="_Toc103677772"/>
      <w:bookmarkStart w:id="321" w:name="_Toc32222"/>
      <w:bookmarkStart w:id="322" w:name="_Toc14600"/>
      <w:r>
        <w:rPr>
          <w:rFonts w:hint="eastAsia" w:eastAsia="黑体"/>
          <w:sz w:val="28"/>
          <w:szCs w:val="28"/>
        </w:rPr>
        <w:t>二、</w:t>
      </w:r>
      <w:r>
        <w:rPr>
          <w:rFonts w:hint="eastAsia" w:eastAsia="黑体"/>
          <w:sz w:val="28"/>
          <w:szCs w:val="28"/>
          <w:lang w:val="en-US" w:eastAsia="zh-CN"/>
        </w:rPr>
        <w:t>分项报价</w:t>
      </w:r>
      <w:r>
        <w:rPr>
          <w:rFonts w:hint="eastAsia" w:eastAsia="黑体"/>
          <w:sz w:val="28"/>
          <w:szCs w:val="28"/>
        </w:rPr>
        <w:t>表</w:t>
      </w:r>
      <w:bookmarkEnd w:id="319"/>
    </w:p>
    <w:p>
      <w:pPr>
        <w:spacing w:line="360" w:lineRule="auto"/>
        <w:rPr>
          <w:rFonts w:hint="eastAsia" w:eastAsia="宋体"/>
          <w:sz w:val="24"/>
          <w:lang w:eastAsia="zh-CN"/>
        </w:rPr>
      </w:pPr>
      <w:r>
        <w:rPr>
          <w:sz w:val="24"/>
        </w:rPr>
        <w:t>项目编号：</w:t>
      </w:r>
      <w:r>
        <w:rPr>
          <w:rFonts w:hint="eastAsia"/>
          <w:sz w:val="24"/>
          <w:lang w:eastAsia="zh-CN"/>
        </w:rPr>
        <w:t>0701-2340020110245</w:t>
      </w:r>
    </w:p>
    <w:p>
      <w:pPr>
        <w:spacing w:line="360" w:lineRule="auto"/>
        <w:rPr>
          <w:rFonts w:hint="eastAsia" w:eastAsia="宋体"/>
          <w:sz w:val="24"/>
          <w:lang w:eastAsia="zh-CN"/>
        </w:rPr>
      </w:pPr>
      <w:r>
        <w:rPr>
          <w:sz w:val="24"/>
        </w:rPr>
        <w:t>项目名称：</w:t>
      </w:r>
      <w:r>
        <w:rPr>
          <w:rFonts w:hint="eastAsia"/>
          <w:sz w:val="24"/>
          <w:lang w:eastAsia="zh-CN"/>
        </w:rPr>
        <w:t>新疆财经大学公共管理应急虚拟仿真综合实验平台建设项目</w:t>
      </w:r>
    </w:p>
    <w:p>
      <w:pPr>
        <w:spacing w:line="360" w:lineRule="auto"/>
        <w:rPr>
          <w:sz w:val="24"/>
        </w:rPr>
      </w:pPr>
      <w:r>
        <w:rPr>
          <w:rFonts w:hint="eastAsia"/>
          <w:sz w:val="24"/>
        </w:rPr>
        <w:t>标 项 号：标项一</w:t>
      </w:r>
    </w:p>
    <w:p>
      <w:pPr>
        <w:spacing w:line="360" w:lineRule="auto"/>
        <w:rPr>
          <w:rFonts w:hint="eastAsia" w:eastAsia="宋体"/>
          <w:sz w:val="24"/>
          <w:lang w:eastAsia="zh-CN"/>
        </w:rPr>
      </w:pPr>
      <w:r>
        <w:rPr>
          <w:rFonts w:hint="eastAsia"/>
          <w:sz w:val="24"/>
        </w:rPr>
        <w:t>标项名称：</w:t>
      </w:r>
      <w:r>
        <w:rPr>
          <w:rFonts w:hint="eastAsia"/>
          <w:sz w:val="24"/>
          <w:lang w:eastAsia="zh-CN"/>
        </w:rPr>
        <w:t>新疆财经大学公共管理应急虚拟仿真综合实验平台建设项目</w:t>
      </w:r>
    </w:p>
    <w:tbl>
      <w:tblPr>
        <w:tblStyle w:val="41"/>
        <w:tblW w:w="14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23"/>
        <w:gridCol w:w="8918"/>
        <w:gridCol w:w="813"/>
        <w:gridCol w:w="681"/>
        <w:gridCol w:w="967"/>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1"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设备名称/支出名称</w:t>
            </w:r>
          </w:p>
        </w:tc>
        <w:tc>
          <w:tcPr>
            <w:tcW w:w="8918"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设备型号规格/参数</w:t>
            </w:r>
          </w:p>
        </w:tc>
        <w:tc>
          <w:tcPr>
            <w:tcW w:w="81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681"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967"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分项</w:t>
            </w:r>
            <w:r>
              <w:rPr>
                <w:rFonts w:hint="eastAsia" w:ascii="宋体" w:hAnsi="宋体" w:cs="宋体"/>
                <w:color w:val="auto"/>
                <w:sz w:val="21"/>
                <w:szCs w:val="21"/>
                <w:lang w:val="en-US" w:eastAsia="zh-CN"/>
              </w:rPr>
              <w:t>最高</w:t>
            </w:r>
            <w:r>
              <w:rPr>
                <w:rFonts w:hint="eastAsia" w:ascii="宋体" w:hAnsi="宋体" w:eastAsia="宋体" w:cs="宋体"/>
                <w:color w:val="auto"/>
                <w:sz w:val="21"/>
                <w:szCs w:val="21"/>
                <w:lang w:val="en-US" w:eastAsia="zh-CN"/>
              </w:rPr>
              <w:t>限价（元）</w:t>
            </w:r>
          </w:p>
        </w:tc>
        <w:tc>
          <w:tcPr>
            <w:tcW w:w="786"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投标分项报价（元）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23" w:type="dxa"/>
            <w:vAlign w:val="center"/>
          </w:tcPr>
          <w:p>
            <w:pPr>
              <w:spacing w:beforeLines="0" w:afterLines="0"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公共管理决策演练沙盘对抗比赛平台软件</w:t>
            </w:r>
          </w:p>
        </w:tc>
        <w:tc>
          <w:tcPr>
            <w:tcW w:w="891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（一）技术要求：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1.B/S架构，支持至少120人并发访问；</w:t>
            </w:r>
          </w:p>
          <w:p>
            <w:pPr>
              <w:rPr>
                <w:rFonts w:hint="eastAsia" w:ascii="宋体" w:hAnsi="宋体" w:eastAsia="宋体" w:cs="宋体"/>
                <w:color w:val="auto"/>
                <w:sz w:val="21"/>
                <w:szCs w:val="21"/>
              </w:rPr>
            </w:pPr>
            <w:r>
              <w:rPr>
                <w:rFonts w:hint="eastAsia" w:ascii="宋体" w:hAnsi="宋体" w:eastAsia="宋体" w:cs="宋体"/>
                <w:color w:val="auto"/>
                <w:sz w:val="21"/>
                <w:szCs w:val="21"/>
              </w:rPr>
              <w:t>2.使用的技术或架构:java web;spring;html5；</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（二）功能要求： </w:t>
            </w:r>
          </w:p>
          <w:p>
            <w:pPr>
              <w:rPr>
                <w:rFonts w:hint="eastAsia" w:ascii="宋体" w:hAnsi="宋体" w:eastAsia="宋体" w:cs="宋体"/>
                <w:color w:val="auto"/>
                <w:sz w:val="21"/>
                <w:szCs w:val="21"/>
              </w:rPr>
            </w:pPr>
            <w:r>
              <w:rPr>
                <w:rFonts w:hint="eastAsia" w:ascii="宋体" w:hAnsi="宋体" w:eastAsia="宋体" w:cs="宋体"/>
                <w:color w:val="auto"/>
                <w:sz w:val="21"/>
                <w:szCs w:val="21"/>
              </w:rPr>
              <w:t>公共管理决策演练平台需要分为工业城市发展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生态城市发展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综合城市发展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国家中心城市建设</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个模块</w:t>
            </w:r>
            <w:r>
              <w:rPr>
                <w:rFonts w:hint="eastAsia" w:ascii="宋体" w:hAnsi="宋体" w:eastAsia="宋体" w:cs="宋体"/>
                <w:color w:val="auto"/>
                <w:sz w:val="21"/>
                <w:szCs w:val="21"/>
                <w:lang w:val="en-US" w:eastAsia="zh-CN"/>
              </w:rPr>
              <w:t>构成</w:t>
            </w:r>
            <w:r>
              <w:rPr>
                <w:rFonts w:hint="eastAsia" w:ascii="宋体" w:hAnsi="宋体" w:eastAsia="宋体" w:cs="宋体"/>
                <w:color w:val="auto"/>
                <w:sz w:val="21"/>
                <w:szCs w:val="21"/>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1.公共管理决策演练平台需要包含管理员、教师和学生三个端口；不同端口支持管理权限不同：</w:t>
            </w:r>
          </w:p>
          <w:p>
            <w:pPr>
              <w:rPr>
                <w:rFonts w:hint="eastAsia" w:ascii="宋体" w:hAnsi="宋体" w:eastAsia="宋体" w:cs="宋体"/>
                <w:color w:val="auto"/>
                <w:sz w:val="21"/>
                <w:szCs w:val="21"/>
              </w:rPr>
            </w:pPr>
            <w:r>
              <w:rPr>
                <w:rFonts w:hint="eastAsia" w:ascii="宋体" w:hAnsi="宋体" w:eastAsia="宋体" w:cs="宋体"/>
                <w:color w:val="auto"/>
                <w:sz w:val="21"/>
                <w:szCs w:val="21"/>
              </w:rPr>
              <w:t>（1）管理员端口需要支持用户管理、班级管理、实验管理、自定义案例；</w:t>
            </w:r>
          </w:p>
          <w:p>
            <w:pPr>
              <w:rPr>
                <w:rFonts w:hint="eastAsia" w:ascii="宋体" w:hAnsi="宋体" w:eastAsia="宋体" w:cs="宋体"/>
                <w:color w:val="auto"/>
                <w:sz w:val="21"/>
                <w:szCs w:val="21"/>
              </w:rPr>
            </w:pPr>
            <w:r>
              <w:rPr>
                <w:rFonts w:hint="eastAsia" w:ascii="宋体" w:hAnsi="宋体" w:eastAsia="宋体" w:cs="宋体"/>
                <w:color w:val="auto"/>
                <w:sz w:val="21"/>
                <w:szCs w:val="21"/>
              </w:rPr>
              <w:t>（2）教师端口需要支持班级管理、实验管理；</w:t>
            </w:r>
          </w:p>
          <w:p>
            <w:pPr>
              <w:rPr>
                <w:rFonts w:hint="eastAsia" w:ascii="宋体" w:hAnsi="宋体" w:eastAsia="宋体" w:cs="宋体"/>
                <w:color w:val="auto"/>
                <w:sz w:val="21"/>
                <w:szCs w:val="21"/>
              </w:rPr>
            </w:pPr>
            <w:r>
              <w:rPr>
                <w:rFonts w:hint="eastAsia" w:ascii="宋体" w:hAnsi="宋体" w:eastAsia="宋体" w:cs="宋体"/>
                <w:color w:val="auto"/>
                <w:sz w:val="21"/>
                <w:szCs w:val="21"/>
              </w:rPr>
              <w:t>（3）学生端口需要包括不限于决策演练、实验报告、通知消息、个人中心功能；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软件需要包括不限于土地管理、水务管理、交通管理、环境管理、公共财政管理、产业结构管理、社会安全管理和公共事业管理管理内容，并支持根据职能，划分为包含不限于规划和自然资源局、水务局、交通运输局、城市管理局、园林和林业局、财政局、经济和信息化局、人力资源和社会保障局、公安局、教育局、卫生健康委员会和文化和旅游局政府职能部门；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3.软件需要具备不同城市背景模型，包括不限于综合城市、生态城市模型；</w:t>
            </w:r>
          </w:p>
          <w:p>
            <w:pPr>
              <w:rPr>
                <w:rFonts w:hint="eastAsia" w:ascii="宋体" w:hAnsi="宋体" w:eastAsia="宋体" w:cs="宋体"/>
                <w:color w:val="auto"/>
                <w:sz w:val="21"/>
                <w:szCs w:val="21"/>
              </w:rPr>
            </w:pPr>
            <w:r>
              <w:rPr>
                <w:rFonts w:hint="eastAsia" w:ascii="宋体" w:hAnsi="宋体" w:eastAsia="宋体" w:cs="宋体"/>
                <w:color w:val="auto"/>
                <w:sz w:val="21"/>
                <w:szCs w:val="21"/>
              </w:rPr>
              <w:t>4.软件需要采用动态竞争机制，支持招标人通过公共政策制定，竞争制造业、服务业和高层次人才外部资源；</w:t>
            </w:r>
          </w:p>
          <w:p>
            <w:pPr>
              <w:rPr>
                <w:rFonts w:hint="eastAsia" w:ascii="宋体" w:hAnsi="宋体" w:eastAsia="宋体" w:cs="宋体"/>
                <w:color w:val="auto"/>
                <w:sz w:val="21"/>
                <w:szCs w:val="21"/>
              </w:rPr>
            </w:pPr>
            <w:r>
              <w:rPr>
                <w:rFonts w:hint="eastAsia" w:ascii="宋体" w:hAnsi="宋体" w:eastAsia="宋体" w:cs="宋体"/>
                <w:color w:val="auto"/>
                <w:sz w:val="21"/>
                <w:szCs w:val="21"/>
              </w:rPr>
              <w:t>5.软件需要支持招标人查看城市土地和资金资源实时变化的数据图表，支持调整策略，分配这两大资源；</w:t>
            </w:r>
          </w:p>
          <w:p>
            <w:pPr>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仿宋" w:hAnsi="仿宋" w:eastAsia="仿宋" w:cs="仿宋"/>
                <w:color w:val="auto"/>
                <w:sz w:val="21"/>
                <w:szCs w:val="21"/>
                <w:lang w:eastAsia="zh-CN"/>
              </w:rPr>
              <w:t>▲</w:t>
            </w:r>
            <w:r>
              <w:rPr>
                <w:rFonts w:hint="eastAsia" w:ascii="宋体" w:hAnsi="宋体" w:eastAsia="宋体" w:cs="宋体"/>
                <w:color w:val="auto"/>
                <w:sz w:val="21"/>
                <w:szCs w:val="21"/>
              </w:rPr>
              <w:t>软件需要具备专业知识考点题库，实验每期支持数据变化，同时实验时间内，需要系统自动推送的以材料题形式呈现的知识考点题目；注：该功能需提供系统功能截图或说明书等证明材料加盖投标人单位公章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7.实时监控功能需要支持招标人查看各阶段每组完成的状态、招标人的所有操作以及运营数据变化的趋势；</w:t>
            </w:r>
          </w:p>
          <w:p>
            <w:pPr>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仿宋" w:hAnsi="仿宋" w:eastAsia="仿宋" w:cs="仿宋"/>
                <w:color w:val="auto"/>
                <w:sz w:val="21"/>
                <w:szCs w:val="21"/>
                <w:lang w:eastAsia="zh-CN"/>
              </w:rPr>
              <w:t>▲</w:t>
            </w:r>
            <w:r>
              <w:rPr>
                <w:rFonts w:hint="eastAsia" w:ascii="宋体" w:hAnsi="宋体" w:eastAsia="宋体" w:cs="宋体"/>
                <w:color w:val="auto"/>
                <w:sz w:val="21"/>
                <w:szCs w:val="21"/>
              </w:rPr>
              <w:t>公共管理决策演练平台需要支持以城市竞争力和知识考点这两项评价指标进行自动打分，确定城市的排名；评分需要采用动态打分制，依据其他城市经营情况以及模型公式共同得出小组分数；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9.实验管理功能需要支持自定义创建实验，支持招标人设定包括不限于实验期数，实验阶段时长、评价指标权重和角色分配规则内容；需要支持记录招标人操作，支持以包括不限于数据表、柱状图、折线图统计方式展现每个模块不同期数的数据变化；同时支持下载生成PDF格式的实验报告；</w:t>
            </w:r>
          </w:p>
          <w:p>
            <w:pPr>
              <w:rPr>
                <w:rFonts w:hint="eastAsia" w:ascii="宋体" w:hAnsi="宋体" w:eastAsia="宋体" w:cs="宋体"/>
                <w:color w:val="auto"/>
                <w:sz w:val="21"/>
                <w:szCs w:val="21"/>
              </w:rPr>
            </w:pPr>
            <w:r>
              <w:rPr>
                <w:rFonts w:hint="eastAsia" w:ascii="宋体" w:hAnsi="宋体" w:eastAsia="宋体" w:cs="宋体"/>
                <w:color w:val="auto"/>
                <w:sz w:val="21"/>
                <w:szCs w:val="21"/>
              </w:rPr>
              <w:t>10.软件需要支持自定义增加或修改固定元素、变量元素、城市竞争力指标的公式与限制条件；</w:t>
            </w:r>
          </w:p>
          <w:p>
            <w:pPr>
              <w:rPr>
                <w:rFonts w:hint="eastAsia" w:ascii="宋体" w:hAnsi="宋体" w:eastAsia="宋体" w:cs="宋体"/>
                <w:color w:val="auto"/>
                <w:sz w:val="21"/>
                <w:szCs w:val="21"/>
              </w:rPr>
            </w:pPr>
            <w:r>
              <w:rPr>
                <w:rFonts w:hint="eastAsia" w:ascii="宋体" w:hAnsi="宋体" w:eastAsia="宋体" w:cs="宋体"/>
                <w:color w:val="auto"/>
                <w:sz w:val="21"/>
                <w:szCs w:val="21"/>
              </w:rPr>
              <w:t>11.软件需要支持自定义包括不限于增加或修改城市背景、国家政策、知识题库和方案设计问题框架内容；</w:t>
            </w:r>
          </w:p>
          <w:p>
            <w:pPr>
              <w:rPr>
                <w:rFonts w:hint="eastAsia" w:ascii="宋体" w:hAnsi="宋体" w:eastAsia="宋体" w:cs="宋体"/>
                <w:color w:val="auto"/>
                <w:sz w:val="21"/>
                <w:szCs w:val="21"/>
              </w:rPr>
            </w:pPr>
            <w:r>
              <w:rPr>
                <w:rFonts w:hint="eastAsia" w:ascii="宋体" w:hAnsi="宋体" w:eastAsia="宋体" w:cs="宋体"/>
                <w:color w:val="auto"/>
                <w:sz w:val="21"/>
                <w:szCs w:val="21"/>
              </w:rPr>
              <w:t>12.软件需要支持团队模式和单人模式：团队模式下，支持分角色组团练习，比赛以团队形式展开，比赛结束后展示团队排名，支持每个团队包含2-6人；单人模式下，招标人独自完成所有职能部门的决策；</w:t>
            </w:r>
          </w:p>
          <w:p>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13、含虚拟教研室云平台1年使用权</w:t>
            </w:r>
          </w:p>
          <w:p>
            <w:pPr>
              <w:rPr>
                <w:rFonts w:hint="eastAsia" w:ascii="宋体" w:hAnsi="宋体" w:eastAsia="宋体" w:cs="宋体"/>
                <w:color w:val="auto"/>
                <w:sz w:val="21"/>
                <w:szCs w:val="21"/>
              </w:rPr>
            </w:pPr>
            <w:r>
              <w:rPr>
                <w:rFonts w:hint="eastAsia" w:ascii="宋体" w:hAnsi="宋体" w:eastAsia="宋体" w:cs="宋体"/>
                <w:color w:val="auto"/>
                <w:sz w:val="21"/>
                <w:szCs w:val="21"/>
              </w:rPr>
              <w:t>成员数：300 人</w:t>
            </w:r>
          </w:p>
          <w:p>
            <w:pPr>
              <w:rPr>
                <w:rFonts w:hint="eastAsia" w:ascii="宋体" w:hAnsi="宋体" w:eastAsia="宋体" w:cs="宋体"/>
                <w:color w:val="auto"/>
                <w:sz w:val="21"/>
                <w:szCs w:val="21"/>
              </w:rPr>
            </w:pPr>
            <w:r>
              <w:rPr>
                <w:rFonts w:hint="eastAsia" w:ascii="宋体" w:hAnsi="宋体" w:eastAsia="宋体" w:cs="宋体"/>
                <w:color w:val="auto"/>
                <w:sz w:val="21"/>
                <w:szCs w:val="21"/>
              </w:rPr>
              <w:t>资源规格</w:t>
            </w:r>
          </w:p>
          <w:p>
            <w:pPr>
              <w:rPr>
                <w:rFonts w:hint="eastAsia" w:ascii="宋体" w:hAnsi="宋体" w:eastAsia="宋体" w:cs="宋体"/>
                <w:color w:val="auto"/>
                <w:sz w:val="21"/>
                <w:szCs w:val="21"/>
              </w:rPr>
            </w:pPr>
            <w:r>
              <w:rPr>
                <w:rFonts w:hint="eastAsia" w:ascii="宋体" w:hAnsi="宋体" w:eastAsia="宋体" w:cs="宋体"/>
                <w:color w:val="auto"/>
                <w:sz w:val="21"/>
                <w:szCs w:val="21"/>
              </w:rPr>
              <w:t>存储：600 GB</w:t>
            </w:r>
          </w:p>
          <w:p>
            <w:pPr>
              <w:rPr>
                <w:rFonts w:hint="eastAsia" w:ascii="宋体" w:hAnsi="宋体" w:eastAsia="宋体" w:cs="宋体"/>
                <w:color w:val="auto"/>
                <w:sz w:val="21"/>
                <w:szCs w:val="21"/>
              </w:rPr>
            </w:pPr>
            <w:r>
              <w:rPr>
                <w:rFonts w:hint="eastAsia" w:ascii="宋体" w:hAnsi="宋体" w:eastAsia="宋体" w:cs="宋体"/>
                <w:color w:val="auto"/>
                <w:sz w:val="21"/>
                <w:szCs w:val="21"/>
              </w:rPr>
              <w:t>流量：6 TB/年</w:t>
            </w:r>
          </w:p>
          <w:p>
            <w:pPr>
              <w:rPr>
                <w:rFonts w:hint="eastAsia" w:ascii="宋体" w:hAnsi="宋体" w:eastAsia="宋体" w:cs="宋体"/>
                <w:color w:val="auto"/>
                <w:sz w:val="21"/>
                <w:szCs w:val="21"/>
              </w:rPr>
            </w:pPr>
            <w:r>
              <w:rPr>
                <w:rFonts w:hint="eastAsia" w:ascii="宋体" w:hAnsi="宋体" w:eastAsia="宋体" w:cs="宋体"/>
                <w:color w:val="auto"/>
                <w:sz w:val="21"/>
                <w:szCs w:val="21"/>
              </w:rPr>
              <w:t>会议：10 万分钟/年</w:t>
            </w:r>
          </w:p>
          <w:p>
            <w:pPr>
              <w:rPr>
                <w:rFonts w:hint="eastAsia" w:ascii="宋体" w:hAnsi="宋体" w:eastAsia="宋体" w:cs="宋体"/>
                <w:color w:val="auto"/>
                <w:sz w:val="21"/>
                <w:szCs w:val="21"/>
              </w:rPr>
            </w:pPr>
            <w:r>
              <w:rPr>
                <w:rFonts w:hint="eastAsia" w:ascii="宋体" w:hAnsi="宋体" w:eastAsia="宋体" w:cs="宋体"/>
                <w:color w:val="auto"/>
                <w:sz w:val="21"/>
                <w:szCs w:val="21"/>
              </w:rPr>
              <w:t>直播：10 万分钟/年</w:t>
            </w:r>
          </w:p>
          <w:p>
            <w:pPr>
              <w:rPr>
                <w:rFonts w:hint="eastAsia" w:ascii="宋体" w:hAnsi="宋体" w:eastAsia="宋体" w:cs="宋体"/>
                <w:color w:val="auto"/>
                <w:sz w:val="21"/>
                <w:szCs w:val="21"/>
              </w:rPr>
            </w:pPr>
            <w:r>
              <w:rPr>
                <w:rFonts w:hint="eastAsia" w:ascii="宋体" w:hAnsi="宋体" w:eastAsia="宋体" w:cs="宋体"/>
                <w:color w:val="auto"/>
                <w:sz w:val="21"/>
                <w:szCs w:val="21"/>
              </w:rPr>
              <w:t>功能参数：资源管理、协同编辑、模板与案例、即时聊天、主题交流、通知公告、会议直播、运行数据、教研画像</w:t>
            </w:r>
          </w:p>
          <w:p>
            <w:pP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14、要求厂商具有自主研发能力，可以根据用户最终需求进行合理化调整</w:t>
            </w:r>
          </w:p>
        </w:tc>
        <w:tc>
          <w:tcPr>
            <w:tcW w:w="813"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681"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67"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230000</w:t>
            </w:r>
          </w:p>
        </w:tc>
        <w:tc>
          <w:tcPr>
            <w:tcW w:w="786"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23" w:type="dxa"/>
            <w:vAlign w:val="center"/>
          </w:tcPr>
          <w:p>
            <w:pPr>
              <w:spacing w:beforeLines="0" w:afterLines="0"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公共政策智能场景化互动教学实训平台软件</w:t>
            </w:r>
          </w:p>
        </w:tc>
        <w:tc>
          <w:tcPr>
            <w:tcW w:w="891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（一）技术要求：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1.B/S架构，支持至少200人并发访问；</w:t>
            </w:r>
          </w:p>
          <w:p>
            <w:pPr>
              <w:rPr>
                <w:rFonts w:hint="eastAsia" w:ascii="宋体" w:hAnsi="宋体" w:eastAsia="宋体" w:cs="宋体"/>
                <w:color w:val="auto"/>
                <w:sz w:val="21"/>
                <w:szCs w:val="21"/>
              </w:rPr>
            </w:pPr>
            <w:r>
              <w:rPr>
                <w:rFonts w:hint="eastAsia" w:ascii="宋体" w:hAnsi="宋体" w:eastAsia="宋体" w:cs="宋体"/>
                <w:color w:val="auto"/>
                <w:sz w:val="21"/>
                <w:szCs w:val="21"/>
              </w:rPr>
              <w:t>2.使用的技术或架构:java web;spring;html5；</w:t>
            </w:r>
          </w:p>
          <w:p>
            <w:pPr>
              <w:rPr>
                <w:rFonts w:hint="eastAsia" w:ascii="宋体" w:hAnsi="宋体" w:eastAsia="宋体" w:cs="宋体"/>
                <w:color w:val="auto"/>
                <w:sz w:val="21"/>
                <w:szCs w:val="21"/>
              </w:rPr>
            </w:pPr>
            <w:r>
              <w:rPr>
                <w:rFonts w:hint="eastAsia" w:ascii="宋体" w:hAnsi="宋体" w:eastAsia="宋体" w:cs="宋体"/>
                <w:color w:val="auto"/>
                <w:sz w:val="21"/>
                <w:szCs w:val="21"/>
              </w:rPr>
              <w:t>（二）功能要求：</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公共政策智能场景化互动教学实训平台软件需要分为公共政策智能场景化互动教学实训平台软件和公共政策智能分析决策对抗实训平台软件两个模块：                                                                                                                                                   模块一：公共政策智能场景化互动教学实训平台软件：1.公共政策智能场景化互动教学实训平台软件需要包含管理员、教师和学生三个端口；不同端口管理权限不同：</w:t>
            </w:r>
          </w:p>
          <w:p>
            <w:pPr>
              <w:rPr>
                <w:rFonts w:hint="eastAsia" w:ascii="宋体" w:hAnsi="宋体" w:eastAsia="宋体" w:cs="宋体"/>
                <w:color w:val="auto"/>
                <w:sz w:val="21"/>
                <w:szCs w:val="21"/>
              </w:rPr>
            </w:pPr>
            <w:r>
              <w:rPr>
                <w:rFonts w:hint="eastAsia" w:ascii="宋体" w:hAnsi="宋体" w:eastAsia="宋体" w:cs="宋体"/>
                <w:color w:val="auto"/>
                <w:sz w:val="21"/>
                <w:szCs w:val="21"/>
              </w:rPr>
              <w:t>（1）管理员端口需要支持用户管理、班级管理、实验管理、报告管理、自定义和资料中心，资料中心需要包含学习资料、专业名词、网络链接；</w:t>
            </w:r>
          </w:p>
          <w:p>
            <w:pPr>
              <w:rPr>
                <w:rFonts w:hint="eastAsia" w:ascii="宋体" w:hAnsi="宋体" w:eastAsia="宋体" w:cs="宋体"/>
                <w:color w:val="auto"/>
                <w:sz w:val="21"/>
                <w:szCs w:val="21"/>
              </w:rPr>
            </w:pPr>
            <w:r>
              <w:rPr>
                <w:rFonts w:hint="eastAsia" w:ascii="宋体" w:hAnsi="宋体" w:eastAsia="宋体" w:cs="宋体"/>
                <w:color w:val="auto"/>
                <w:sz w:val="21"/>
                <w:szCs w:val="21"/>
              </w:rPr>
              <w:t>（2）教师端口需要支持班级管理、实验管理、报告管理、自定义和资料中心；</w:t>
            </w:r>
          </w:p>
          <w:p>
            <w:pPr>
              <w:rPr>
                <w:rFonts w:hint="eastAsia" w:ascii="宋体" w:hAnsi="宋体" w:eastAsia="宋体" w:cs="宋体"/>
                <w:color w:val="auto"/>
                <w:sz w:val="21"/>
                <w:szCs w:val="21"/>
              </w:rPr>
            </w:pPr>
            <w:r>
              <w:rPr>
                <w:rFonts w:hint="eastAsia" w:ascii="宋体" w:hAnsi="宋体" w:eastAsia="宋体" w:cs="宋体"/>
                <w:color w:val="auto"/>
                <w:sz w:val="21"/>
                <w:szCs w:val="21"/>
              </w:rPr>
              <w:t>（3）学生端口需要包括不限于实验报告、流程演练、通知消息、人物角色；</w:t>
            </w:r>
          </w:p>
          <w:p>
            <w:pPr>
              <w:rPr>
                <w:rFonts w:hint="eastAsia" w:ascii="宋体" w:hAnsi="宋体" w:eastAsia="宋体" w:cs="宋体"/>
                <w:color w:val="auto"/>
                <w:sz w:val="21"/>
                <w:szCs w:val="21"/>
              </w:rPr>
            </w:pPr>
            <w:r>
              <w:rPr>
                <w:rFonts w:hint="eastAsia" w:ascii="宋体" w:hAnsi="宋体" w:eastAsia="宋体" w:cs="宋体"/>
                <w:color w:val="auto"/>
                <w:sz w:val="21"/>
                <w:szCs w:val="21"/>
              </w:rPr>
              <w:t>2.案例类型需要包括不限于公共卫生、经济政策、就业政策、医疗政策、社会政策、土地政策；</w:t>
            </w:r>
          </w:p>
          <w:p>
            <w:pPr>
              <w:rPr>
                <w:rFonts w:hint="eastAsia" w:ascii="宋体" w:hAnsi="宋体" w:eastAsia="宋体" w:cs="宋体"/>
                <w:color w:val="auto"/>
                <w:sz w:val="21"/>
                <w:szCs w:val="21"/>
              </w:rPr>
            </w:pPr>
            <w:r>
              <w:rPr>
                <w:rFonts w:hint="eastAsia" w:ascii="宋体" w:hAnsi="宋体" w:eastAsia="宋体" w:cs="宋体"/>
                <w:color w:val="auto"/>
                <w:sz w:val="21"/>
                <w:szCs w:val="21"/>
              </w:rPr>
              <w:t>3.软件需要视频形式介绍案例背景；支持包含不限于人社部、民政部、统计局不同部门场景之间的切换；</w:t>
            </w:r>
          </w:p>
          <w:p>
            <w:pPr>
              <w:rPr>
                <w:rFonts w:hint="eastAsia" w:ascii="宋体" w:hAnsi="宋体" w:eastAsia="宋体" w:cs="宋体"/>
                <w:color w:val="auto"/>
                <w:sz w:val="21"/>
                <w:szCs w:val="21"/>
              </w:rPr>
            </w:pPr>
            <w:r>
              <w:rPr>
                <w:rFonts w:hint="eastAsia" w:ascii="宋体" w:hAnsi="宋体" w:eastAsia="宋体" w:cs="宋体"/>
                <w:color w:val="auto"/>
                <w:sz w:val="21"/>
                <w:szCs w:val="21"/>
              </w:rPr>
              <w:t>4.★软件需要支持流程演练和案例自定义：</w:t>
            </w:r>
          </w:p>
          <w:p>
            <w:pPr>
              <w:rPr>
                <w:rFonts w:hint="eastAsia" w:ascii="宋体" w:hAnsi="宋体" w:eastAsia="宋体" w:cs="宋体"/>
                <w:color w:val="auto"/>
                <w:sz w:val="21"/>
                <w:szCs w:val="21"/>
              </w:rPr>
            </w:pPr>
            <w:r>
              <w:rPr>
                <w:rFonts w:hint="eastAsia" w:ascii="宋体" w:hAnsi="宋体" w:eastAsia="宋体" w:cs="宋体"/>
                <w:color w:val="auto"/>
                <w:sz w:val="21"/>
                <w:szCs w:val="21"/>
              </w:rPr>
              <w:t>（1）流程演练中，需要支持招标人分配系统提供的实训案例；</w:t>
            </w:r>
          </w:p>
          <w:p>
            <w:pPr>
              <w:rPr>
                <w:rFonts w:hint="eastAsia" w:ascii="宋体" w:hAnsi="宋体" w:eastAsia="宋体" w:cs="宋体"/>
                <w:color w:val="auto"/>
                <w:sz w:val="21"/>
                <w:szCs w:val="21"/>
              </w:rPr>
            </w:pPr>
            <w:r>
              <w:rPr>
                <w:rFonts w:hint="eastAsia" w:ascii="宋体" w:hAnsi="宋体" w:eastAsia="宋体" w:cs="宋体"/>
                <w:color w:val="auto"/>
                <w:sz w:val="21"/>
                <w:szCs w:val="21"/>
              </w:rPr>
              <w:t>（2）案例自定义中，需要支持招标人自主创建并编辑案例流程；</w:t>
            </w:r>
          </w:p>
          <w:p>
            <w:pPr>
              <w:rPr>
                <w:rFonts w:hint="eastAsia" w:ascii="宋体" w:hAnsi="宋体" w:eastAsia="宋体" w:cs="宋体"/>
                <w:color w:val="auto"/>
                <w:sz w:val="21"/>
                <w:szCs w:val="21"/>
              </w:rPr>
            </w:pPr>
            <w:r>
              <w:rPr>
                <w:rFonts w:hint="eastAsia" w:ascii="宋体" w:hAnsi="宋体" w:eastAsia="宋体" w:cs="宋体"/>
                <w:color w:val="auto"/>
                <w:sz w:val="21"/>
                <w:szCs w:val="21"/>
              </w:rPr>
              <w:t>（2.1）基本信息模块需要包含不限于案例标题、案例类型、案例简介、案例介绍、实验资料、上传案例封面；</w:t>
            </w:r>
          </w:p>
          <w:p>
            <w:pPr>
              <w:rPr>
                <w:rFonts w:hint="eastAsia" w:ascii="宋体" w:hAnsi="宋体" w:eastAsia="宋体" w:cs="宋体"/>
                <w:color w:val="auto"/>
                <w:sz w:val="21"/>
                <w:szCs w:val="21"/>
              </w:rPr>
            </w:pPr>
            <w:r>
              <w:rPr>
                <w:rFonts w:hint="eastAsia" w:ascii="宋体" w:hAnsi="宋体" w:eastAsia="宋体" w:cs="宋体"/>
                <w:color w:val="auto"/>
                <w:sz w:val="21"/>
                <w:szCs w:val="21"/>
              </w:rPr>
              <w:t>（2.2）政策制定/政策执行/政策评估/政策终结模块自定义需要包含不限于场景选择、题型选择（单选题、多选题、填空题、问答题、选择填空题）、案例内容（案例引导语、人物对话、文字图片、视频文件）；</w:t>
            </w:r>
          </w:p>
          <w:p>
            <w:pPr>
              <w:rPr>
                <w:rFonts w:hint="eastAsia" w:ascii="宋体" w:hAnsi="宋体" w:eastAsia="宋体" w:cs="宋体"/>
                <w:color w:val="auto"/>
                <w:sz w:val="21"/>
                <w:szCs w:val="21"/>
              </w:rPr>
            </w:pPr>
            <w:r>
              <w:rPr>
                <w:rFonts w:hint="eastAsia" w:ascii="宋体" w:hAnsi="宋体" w:eastAsia="宋体" w:cs="宋体"/>
                <w:color w:val="auto"/>
                <w:sz w:val="21"/>
                <w:szCs w:val="21"/>
              </w:rPr>
              <w:t>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5.实验管理功能需要支持按照政策制定、政策执行、政策评估、政策终结四个步骤分阶段分配实验，需要支持设置是否允许学生角色查看答案/下载报告，需要支持选择对单个人/单个班级/多个班级分配实验，支持延续分配实验；</w:t>
            </w:r>
          </w:p>
          <w:p>
            <w:pPr>
              <w:rPr>
                <w:rFonts w:hint="eastAsia" w:ascii="宋体" w:hAnsi="宋体" w:eastAsia="宋体" w:cs="宋体"/>
                <w:color w:val="auto"/>
                <w:sz w:val="21"/>
                <w:szCs w:val="21"/>
              </w:rPr>
            </w:pPr>
            <w:r>
              <w:rPr>
                <w:rFonts w:hint="eastAsia" w:ascii="宋体" w:hAnsi="宋体" w:eastAsia="宋体" w:cs="宋体"/>
                <w:color w:val="auto"/>
                <w:sz w:val="21"/>
                <w:szCs w:val="21"/>
              </w:rPr>
              <w:t>6.★实验内容需要包括政策制定、政策执行、政策评估、政策终结四个阶段：</w:t>
            </w:r>
          </w:p>
          <w:p>
            <w:pPr>
              <w:rPr>
                <w:rFonts w:hint="eastAsia" w:ascii="宋体" w:hAnsi="宋体" w:eastAsia="宋体" w:cs="宋体"/>
                <w:color w:val="auto"/>
                <w:sz w:val="21"/>
                <w:szCs w:val="21"/>
              </w:rPr>
            </w:pPr>
            <w:r>
              <w:rPr>
                <w:rFonts w:hint="eastAsia" w:ascii="宋体" w:hAnsi="宋体" w:eastAsia="宋体" w:cs="宋体"/>
                <w:color w:val="auto"/>
                <w:sz w:val="21"/>
                <w:szCs w:val="21"/>
              </w:rPr>
              <w:t>（1）政策制定阶段需要支持包含不限于：问题察觉，调研计划，调研实施，撰写调研报告，问题认定，方案规划，方案抉择，政策再入议程，政策合法化；</w:t>
            </w:r>
          </w:p>
          <w:p>
            <w:pPr>
              <w:rPr>
                <w:rFonts w:hint="eastAsia" w:ascii="宋体" w:hAnsi="宋体" w:eastAsia="宋体" w:cs="宋体"/>
                <w:color w:val="auto"/>
                <w:sz w:val="21"/>
                <w:szCs w:val="21"/>
              </w:rPr>
            </w:pPr>
            <w:r>
              <w:rPr>
                <w:rFonts w:hint="eastAsia" w:ascii="宋体" w:hAnsi="宋体" w:eastAsia="宋体" w:cs="宋体"/>
                <w:color w:val="auto"/>
                <w:sz w:val="21"/>
                <w:szCs w:val="21"/>
              </w:rPr>
              <w:t>（2）政策执行阶段需要支持：政策试点，政策分解，政策执行过程，总结执行结果；</w:t>
            </w:r>
          </w:p>
          <w:p>
            <w:pPr>
              <w:rPr>
                <w:rFonts w:hint="eastAsia" w:ascii="宋体" w:hAnsi="宋体" w:eastAsia="宋体" w:cs="宋体"/>
                <w:color w:val="auto"/>
                <w:sz w:val="21"/>
                <w:szCs w:val="21"/>
              </w:rPr>
            </w:pPr>
            <w:r>
              <w:rPr>
                <w:rFonts w:hint="eastAsia" w:ascii="宋体" w:hAnsi="宋体" w:eastAsia="宋体" w:cs="宋体"/>
                <w:color w:val="auto"/>
                <w:sz w:val="21"/>
                <w:szCs w:val="21"/>
              </w:rPr>
              <w:t>（3）政策评估阶段需要支持包含不限于：评估准备，制定评估计划，收集评估资料，撰写评估报告，发布总结；</w:t>
            </w:r>
          </w:p>
          <w:p>
            <w:pPr>
              <w:rPr>
                <w:rFonts w:hint="eastAsia" w:ascii="宋体" w:hAnsi="宋体" w:eastAsia="宋体" w:cs="宋体"/>
                <w:color w:val="auto"/>
                <w:sz w:val="21"/>
                <w:szCs w:val="21"/>
              </w:rPr>
            </w:pPr>
            <w:r>
              <w:rPr>
                <w:rFonts w:hint="eastAsia" w:ascii="宋体" w:hAnsi="宋体" w:eastAsia="宋体" w:cs="宋体"/>
                <w:color w:val="auto"/>
                <w:sz w:val="21"/>
                <w:szCs w:val="21"/>
              </w:rPr>
              <w:t>（4）政策终结阶段需要支持：政策终结；</w:t>
            </w:r>
          </w:p>
          <w:p>
            <w:pPr>
              <w:rPr>
                <w:rFonts w:hint="eastAsia" w:ascii="宋体" w:hAnsi="宋体" w:eastAsia="宋体" w:cs="宋体"/>
                <w:color w:val="auto"/>
                <w:sz w:val="21"/>
                <w:szCs w:val="21"/>
              </w:rPr>
            </w:pPr>
            <w:r>
              <w:rPr>
                <w:rFonts w:hint="eastAsia" w:ascii="宋体" w:hAnsi="宋体" w:eastAsia="宋体" w:cs="宋体"/>
                <w:color w:val="auto"/>
                <w:sz w:val="21"/>
                <w:szCs w:val="21"/>
              </w:rPr>
              <w:t>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7.软件需要支持招标人在实训界面通过按钮辅助学生角色实训，包含不限于案例分析和笔记，需要支持实验界面通过搜索按钮访问百度获取外部资料；</w:t>
            </w:r>
          </w:p>
          <w:p>
            <w:pPr>
              <w:rPr>
                <w:rFonts w:hint="eastAsia" w:ascii="宋体" w:hAnsi="宋体" w:eastAsia="宋体" w:cs="宋体"/>
                <w:color w:val="auto"/>
                <w:sz w:val="21"/>
                <w:szCs w:val="21"/>
              </w:rPr>
            </w:pPr>
            <w:r>
              <w:rPr>
                <w:rFonts w:hint="eastAsia" w:ascii="宋体" w:hAnsi="宋体" w:eastAsia="宋体" w:cs="宋体"/>
                <w:color w:val="auto"/>
                <w:sz w:val="21"/>
                <w:szCs w:val="21"/>
              </w:rPr>
              <w:t>8.软件需要支持招标人实验结束后，通过平台对实验结果进行智能评分，自动生成实验报告，支持下载查看报告；软件实验报告封面需要包含不限于学生角色的基本信息、实验案例基本信息，报告结构需要包含不限于基本信息、题目信息、答案、解题思路、实验得分、建议；</w:t>
            </w:r>
          </w:p>
          <w:p>
            <w:pPr>
              <w:rPr>
                <w:rFonts w:hint="eastAsia" w:ascii="宋体" w:hAnsi="宋体" w:eastAsia="宋体" w:cs="宋体"/>
                <w:color w:val="auto"/>
                <w:sz w:val="21"/>
                <w:szCs w:val="21"/>
              </w:rPr>
            </w:pPr>
            <w:r>
              <w:rPr>
                <w:rFonts w:hint="eastAsia" w:ascii="宋体" w:hAnsi="宋体" w:eastAsia="宋体" w:cs="宋体"/>
                <w:color w:val="auto"/>
                <w:sz w:val="21"/>
                <w:szCs w:val="21"/>
              </w:rPr>
              <w:t>9.软件需要支持教师端通过报告管理查看学生角色实验状态（进行中、已结束），并支持对学生角色实验报告进行评分操作，支持教师端单个/批量下载学生角色实验报告；同时支持按班级下载学生角色成绩统计Excel表，表格中需要包含不限于班级内学生角色各个阶段得分、实训总分、班级平均分信息；软件需要支持对招标人填答的主观内容进行智能评分，同时支持招标人手动评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10.软件需要支持教师端一键切换至学生端，以学生角色视角体验实训流程；同时支持教师角色之间分享案例资源和课程资料；                   </w:t>
            </w:r>
          </w:p>
          <w:p>
            <w:pPr>
              <w:rPr>
                <w:rFonts w:hint="eastAsia" w:ascii="宋体" w:hAnsi="宋体" w:eastAsia="宋体" w:cs="宋体"/>
                <w:color w:val="auto"/>
                <w:sz w:val="21"/>
                <w:szCs w:val="21"/>
              </w:rPr>
            </w:pPr>
            <w:r>
              <w:rPr>
                <w:rFonts w:hint="eastAsia" w:ascii="宋体" w:hAnsi="宋体" w:eastAsia="宋体" w:cs="宋体"/>
                <w:color w:val="auto"/>
                <w:sz w:val="21"/>
                <w:szCs w:val="21"/>
              </w:rPr>
              <w:t>模块二：公共政策智能分析决策对抗实训平台软件：</w:t>
            </w:r>
          </w:p>
          <w:p>
            <w:pPr>
              <w:rPr>
                <w:rFonts w:hint="eastAsia" w:ascii="宋体" w:hAnsi="宋体" w:eastAsia="宋体" w:cs="宋体"/>
                <w:color w:val="auto"/>
                <w:sz w:val="21"/>
                <w:szCs w:val="21"/>
              </w:rPr>
            </w:pPr>
            <w:r>
              <w:rPr>
                <w:rFonts w:hint="eastAsia" w:ascii="宋体" w:hAnsi="宋体" w:eastAsia="宋体" w:cs="宋体"/>
                <w:color w:val="auto"/>
                <w:sz w:val="21"/>
                <w:szCs w:val="21"/>
              </w:rPr>
              <w:t>1.软件需要支持政策分析和案例自定义：</w:t>
            </w:r>
          </w:p>
          <w:p>
            <w:pPr>
              <w:rPr>
                <w:rFonts w:hint="eastAsia" w:ascii="宋体" w:hAnsi="宋体" w:eastAsia="宋体" w:cs="宋体"/>
                <w:color w:val="auto"/>
                <w:sz w:val="21"/>
                <w:szCs w:val="21"/>
              </w:rPr>
            </w:pPr>
            <w:r>
              <w:rPr>
                <w:rFonts w:hint="eastAsia" w:ascii="宋体" w:hAnsi="宋体" w:eastAsia="宋体" w:cs="宋体"/>
                <w:color w:val="auto"/>
                <w:sz w:val="21"/>
                <w:szCs w:val="21"/>
              </w:rPr>
              <w:t>（1）政策分析：需要支持招标人分配系统提供的实训案例；</w:t>
            </w:r>
          </w:p>
          <w:p>
            <w:pPr>
              <w:rPr>
                <w:rFonts w:hint="eastAsia" w:ascii="宋体" w:hAnsi="宋体" w:eastAsia="宋体" w:cs="宋体"/>
                <w:color w:val="auto"/>
                <w:sz w:val="21"/>
                <w:szCs w:val="21"/>
              </w:rPr>
            </w:pPr>
            <w:r>
              <w:rPr>
                <w:rFonts w:hint="eastAsia" w:ascii="宋体" w:hAnsi="宋体" w:eastAsia="宋体" w:cs="宋体"/>
                <w:color w:val="auto"/>
                <w:sz w:val="21"/>
                <w:szCs w:val="21"/>
              </w:rPr>
              <w:t>（2）案例自定义：需要支持招标人自主创建案例模型，在基本信息模块需要包含不限于案例名称、案例类型、案例简介、案例封面、案例时长；</w:t>
            </w:r>
          </w:p>
          <w:p>
            <w:pPr>
              <w:rPr>
                <w:rFonts w:hint="eastAsia" w:ascii="宋体" w:hAnsi="宋体" w:eastAsia="宋体" w:cs="宋体"/>
                <w:color w:val="auto"/>
                <w:sz w:val="21"/>
                <w:szCs w:val="21"/>
              </w:rPr>
            </w:pPr>
            <w:r>
              <w:rPr>
                <w:rFonts w:hint="eastAsia" w:ascii="宋体" w:hAnsi="宋体" w:eastAsia="宋体" w:cs="宋体"/>
                <w:color w:val="auto"/>
                <w:sz w:val="21"/>
                <w:szCs w:val="21"/>
              </w:rPr>
              <w:t>2.★软件需要具备案例内容自定义功能，其中自定义内容包括不限于案例背景模块、地图系统、指标系统、变量公式、事件系统、指标触发事件内容：</w:t>
            </w:r>
          </w:p>
          <w:p>
            <w:pPr>
              <w:rPr>
                <w:rFonts w:hint="eastAsia" w:ascii="宋体" w:hAnsi="宋体" w:eastAsia="宋体" w:cs="宋体"/>
                <w:color w:val="auto"/>
                <w:sz w:val="21"/>
                <w:szCs w:val="21"/>
              </w:rPr>
            </w:pPr>
            <w:r>
              <w:rPr>
                <w:rFonts w:hint="eastAsia" w:ascii="宋体" w:hAnsi="宋体" w:eastAsia="宋体" w:cs="宋体"/>
                <w:color w:val="auto"/>
                <w:sz w:val="21"/>
                <w:szCs w:val="21"/>
              </w:rPr>
              <w:t>（1）案例背景模块需要支持自定义包含不限于背景信息、执行介绍、公共政策；</w:t>
            </w:r>
          </w:p>
          <w:p>
            <w:pPr>
              <w:rPr>
                <w:rFonts w:hint="eastAsia" w:ascii="宋体" w:hAnsi="宋体" w:eastAsia="宋体" w:cs="宋体"/>
                <w:color w:val="auto"/>
                <w:sz w:val="21"/>
                <w:szCs w:val="21"/>
              </w:rPr>
            </w:pPr>
            <w:r>
              <w:rPr>
                <w:rFonts w:hint="eastAsia" w:ascii="宋体" w:hAnsi="宋体" w:eastAsia="宋体" w:cs="宋体"/>
                <w:color w:val="auto"/>
                <w:sz w:val="21"/>
                <w:szCs w:val="21"/>
              </w:rPr>
              <w:t>（2）地图系统中需要支持自定义包含不限于地区设置、部门设置；</w:t>
            </w:r>
          </w:p>
          <w:p>
            <w:pPr>
              <w:rPr>
                <w:rFonts w:hint="eastAsia" w:ascii="宋体" w:hAnsi="宋体" w:eastAsia="宋体" w:cs="宋体"/>
                <w:color w:val="auto"/>
                <w:sz w:val="21"/>
                <w:szCs w:val="21"/>
              </w:rPr>
            </w:pPr>
            <w:r>
              <w:rPr>
                <w:rFonts w:hint="eastAsia" w:ascii="宋体" w:hAnsi="宋体" w:eastAsia="宋体" w:cs="宋体"/>
                <w:color w:val="auto"/>
                <w:sz w:val="21"/>
                <w:szCs w:val="21"/>
              </w:rPr>
              <w:t>（3）措施系统中需要支持自定义包含不限于基础设置、措施设置；</w:t>
            </w:r>
          </w:p>
          <w:p>
            <w:pPr>
              <w:rPr>
                <w:rFonts w:hint="eastAsia" w:ascii="宋体" w:hAnsi="宋体" w:eastAsia="宋体" w:cs="宋体"/>
                <w:color w:val="auto"/>
                <w:sz w:val="21"/>
                <w:szCs w:val="21"/>
              </w:rPr>
            </w:pPr>
            <w:r>
              <w:rPr>
                <w:rFonts w:hint="eastAsia" w:ascii="宋体" w:hAnsi="宋体" w:eastAsia="宋体" w:cs="宋体"/>
                <w:color w:val="auto"/>
                <w:sz w:val="21"/>
                <w:szCs w:val="21"/>
              </w:rPr>
              <w:t>（4）指标系统中需要支持自定义包含不限于核心指标、执行指标、措施指标；</w:t>
            </w:r>
          </w:p>
          <w:p>
            <w:pPr>
              <w:rPr>
                <w:rFonts w:hint="eastAsia" w:ascii="宋体" w:hAnsi="宋体" w:eastAsia="宋体" w:cs="宋体"/>
                <w:color w:val="auto"/>
                <w:sz w:val="21"/>
                <w:szCs w:val="21"/>
              </w:rPr>
            </w:pPr>
            <w:r>
              <w:rPr>
                <w:rFonts w:hint="eastAsia" w:ascii="宋体" w:hAnsi="宋体" w:eastAsia="宋体" w:cs="宋体"/>
                <w:color w:val="auto"/>
                <w:sz w:val="21"/>
                <w:szCs w:val="21"/>
              </w:rPr>
              <w:t>（5）变量公式中需要支持自定义包含不限于涵盖所有措施的公式；</w:t>
            </w:r>
          </w:p>
          <w:p>
            <w:pPr>
              <w:rPr>
                <w:rFonts w:hint="eastAsia" w:ascii="宋体" w:hAnsi="宋体" w:eastAsia="宋体" w:cs="宋体"/>
                <w:color w:val="auto"/>
                <w:sz w:val="21"/>
                <w:szCs w:val="21"/>
              </w:rPr>
            </w:pPr>
            <w:r>
              <w:rPr>
                <w:rFonts w:hint="eastAsia" w:ascii="宋体" w:hAnsi="宋体" w:eastAsia="宋体" w:cs="宋体"/>
                <w:color w:val="auto"/>
                <w:sz w:val="21"/>
                <w:szCs w:val="21"/>
              </w:rPr>
              <w:t>（6）事件系统中需要支持自定义包含不限于，措施触发事件、时间触发事件、指标触发事件；</w:t>
            </w:r>
          </w:p>
          <w:p>
            <w:pPr>
              <w:rPr>
                <w:rFonts w:hint="eastAsia" w:ascii="宋体" w:hAnsi="宋体" w:eastAsia="宋体" w:cs="宋体"/>
                <w:color w:val="auto"/>
                <w:sz w:val="21"/>
                <w:szCs w:val="21"/>
              </w:rPr>
            </w:pPr>
            <w:r>
              <w:rPr>
                <w:rFonts w:hint="eastAsia" w:ascii="宋体" w:hAnsi="宋体" w:eastAsia="宋体" w:cs="宋体"/>
                <w:color w:val="auto"/>
                <w:sz w:val="21"/>
                <w:szCs w:val="21"/>
              </w:rPr>
              <w:t>（7）评估系统中需要支持自定义包含不限于评估指标和评估等级；</w:t>
            </w:r>
          </w:p>
          <w:p>
            <w:pPr>
              <w:rPr>
                <w:rFonts w:hint="eastAsia" w:ascii="宋体" w:hAnsi="宋体" w:eastAsia="宋体" w:cs="宋体"/>
                <w:color w:val="auto"/>
                <w:sz w:val="21"/>
                <w:szCs w:val="21"/>
              </w:rPr>
            </w:pPr>
            <w:r>
              <w:rPr>
                <w:rFonts w:hint="eastAsia" w:ascii="宋体" w:hAnsi="宋体" w:eastAsia="宋体" w:cs="宋体"/>
                <w:color w:val="auto"/>
                <w:sz w:val="21"/>
                <w:szCs w:val="21"/>
              </w:rPr>
              <w:t>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3.★软件需要提供至少3个政策执行部门、25个政策执行措施（手段）供招标人组合成不同的执行策略：</w:t>
            </w:r>
          </w:p>
          <w:p>
            <w:pPr>
              <w:rPr>
                <w:rFonts w:hint="eastAsia" w:ascii="宋体" w:hAnsi="宋体" w:eastAsia="宋体" w:cs="宋体"/>
                <w:color w:val="auto"/>
                <w:sz w:val="21"/>
                <w:szCs w:val="21"/>
              </w:rPr>
            </w:pPr>
            <w:r>
              <w:rPr>
                <w:rFonts w:hint="eastAsia" w:ascii="宋体" w:hAnsi="宋体" w:eastAsia="宋体" w:cs="宋体"/>
                <w:color w:val="auto"/>
                <w:sz w:val="21"/>
                <w:szCs w:val="21"/>
              </w:rPr>
              <w:t>（1）其中教育局的执行措施需要包含不限于：挖掘现有教师资源、招聘新教师、创成优质幼儿园；</w:t>
            </w:r>
          </w:p>
          <w:p>
            <w:pPr>
              <w:rPr>
                <w:rFonts w:hint="eastAsia" w:ascii="宋体" w:hAnsi="宋体" w:eastAsia="宋体" w:cs="宋体"/>
                <w:color w:val="auto"/>
                <w:sz w:val="21"/>
                <w:szCs w:val="21"/>
              </w:rPr>
            </w:pPr>
            <w:r>
              <w:rPr>
                <w:rFonts w:hint="eastAsia" w:ascii="宋体" w:hAnsi="宋体" w:eastAsia="宋体" w:cs="宋体"/>
                <w:color w:val="auto"/>
                <w:sz w:val="21"/>
                <w:szCs w:val="21"/>
              </w:rPr>
              <w:t>（2）民政局的执行措施需要包含不限于：加大养老机构建设、开展医养结合服务；</w:t>
            </w:r>
          </w:p>
          <w:p>
            <w:pPr>
              <w:rPr>
                <w:rFonts w:hint="eastAsia" w:ascii="宋体" w:hAnsi="宋体" w:eastAsia="宋体" w:cs="宋体"/>
                <w:color w:val="auto"/>
                <w:sz w:val="21"/>
                <w:szCs w:val="21"/>
              </w:rPr>
            </w:pPr>
            <w:r>
              <w:rPr>
                <w:rFonts w:hint="eastAsia" w:ascii="宋体" w:hAnsi="宋体" w:eastAsia="宋体" w:cs="宋体"/>
                <w:color w:val="auto"/>
                <w:sz w:val="21"/>
                <w:szCs w:val="21"/>
              </w:rPr>
              <w:t>（3）妇幼保健院的执行措施需要包含不限于：建立产妇重症救治中心、成立产前管制中心；</w:t>
            </w:r>
          </w:p>
          <w:p>
            <w:pPr>
              <w:rPr>
                <w:rFonts w:hint="eastAsia" w:ascii="宋体" w:hAnsi="宋体" w:eastAsia="宋体" w:cs="宋体"/>
                <w:color w:val="auto"/>
                <w:sz w:val="21"/>
                <w:szCs w:val="21"/>
              </w:rPr>
            </w:pPr>
            <w:r>
              <w:rPr>
                <w:rFonts w:hint="eastAsia" w:ascii="宋体" w:hAnsi="宋体" w:eastAsia="宋体" w:cs="宋体"/>
                <w:color w:val="auto"/>
                <w:sz w:val="21"/>
                <w:szCs w:val="21"/>
              </w:rPr>
              <w:t>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4.软件需要支持模拟政策执行过程，支持招标人实验中制定政策发展策略；包括不限于在医院部门执行操作时，支持通过调配政策执行权威资源和财政资源，操作扩增产科床位、接产机构人才激励机制、培训全科医生措施达到政策执行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5.需要支持招标人实施政策措施后，具备实时反馈政策执行结果数据能力，展示消耗权威资源保障、固定花费（财政资源）、实施时间；</w:t>
            </w:r>
          </w:p>
          <w:p>
            <w:pPr>
              <w:rPr>
                <w:rFonts w:hint="eastAsia" w:ascii="宋体" w:hAnsi="宋体" w:eastAsia="宋体" w:cs="宋体"/>
                <w:color w:val="auto"/>
                <w:sz w:val="21"/>
                <w:szCs w:val="21"/>
              </w:rPr>
            </w:pPr>
            <w:r>
              <w:rPr>
                <w:rFonts w:hint="eastAsia" w:ascii="宋体" w:hAnsi="宋体" w:eastAsia="宋体" w:cs="宋体"/>
                <w:color w:val="auto"/>
                <w:sz w:val="21"/>
                <w:szCs w:val="21"/>
              </w:rPr>
              <w:t>6.需要支持招标人自由调整执行措施强度，并支持实时查看不同强度下关联指标的变化；</w:t>
            </w:r>
          </w:p>
          <w:p>
            <w:pPr>
              <w:rPr>
                <w:rFonts w:hint="eastAsia" w:ascii="宋体" w:hAnsi="宋体" w:eastAsia="宋体" w:cs="宋体"/>
                <w:color w:val="auto"/>
                <w:sz w:val="21"/>
                <w:szCs w:val="21"/>
              </w:rPr>
            </w:pPr>
            <w:r>
              <w:rPr>
                <w:rFonts w:hint="eastAsia" w:ascii="宋体" w:hAnsi="宋体" w:eastAsia="宋体" w:cs="宋体"/>
                <w:color w:val="auto"/>
                <w:sz w:val="21"/>
                <w:szCs w:val="21"/>
              </w:rPr>
              <w:t>7.数据监测功能需要支持数据呈现招标人操作路径，包括不限于目标人群满意度、意愿人数、登记人数、生育人数、措施、事件、反馈信息；</w:t>
            </w:r>
          </w:p>
          <w:p>
            <w:pPr>
              <w:rPr>
                <w:rFonts w:hint="eastAsia" w:ascii="宋体" w:hAnsi="宋体" w:eastAsia="宋体" w:cs="宋体"/>
                <w:color w:val="auto"/>
                <w:sz w:val="21"/>
                <w:szCs w:val="21"/>
              </w:rPr>
            </w:pPr>
            <w:r>
              <w:rPr>
                <w:rFonts w:hint="eastAsia" w:ascii="宋体" w:hAnsi="宋体" w:eastAsia="宋体" w:cs="宋体"/>
                <w:color w:val="auto"/>
                <w:sz w:val="21"/>
                <w:szCs w:val="21"/>
              </w:rPr>
              <w:t>8.需要支持招标人实验完成后，系统自动生成执行力评级报告；</w:t>
            </w:r>
          </w:p>
          <w:p>
            <w:pPr>
              <w:rPr>
                <w:rFonts w:hint="eastAsia" w:ascii="宋体" w:hAnsi="宋体" w:eastAsia="宋体" w:cs="宋体"/>
                <w:color w:val="auto"/>
                <w:sz w:val="21"/>
                <w:szCs w:val="21"/>
              </w:rPr>
            </w:pPr>
            <w:r>
              <w:rPr>
                <w:rFonts w:hint="eastAsia" w:ascii="宋体" w:hAnsi="宋体" w:eastAsia="宋体" w:cs="宋体"/>
                <w:color w:val="auto"/>
                <w:sz w:val="21"/>
                <w:szCs w:val="21"/>
              </w:rPr>
              <w:t>9.★实验管理功能需要支持根据课时需要，自主设置实训时长，支持设置是否允许学生角色下载报告，可选择对单个角色/单个班级/多个班级分配实验；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10.实验结束后平台需要支持对实验结果进行智能评分，自动生成实验报告，支持下载查看报告；实验报告封面需要包含不限于实验参与者的基本信息、实验案例基本信息，报告结构需要包含基本信息、报告信息、分数反馈、政策介绍、评估说明、操作详情；</w:t>
            </w:r>
          </w:p>
          <w:p>
            <w:pP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、要求厂商具有自主研发能力，可以根据用户最终需求进行合理化调整</w:t>
            </w:r>
          </w:p>
        </w:tc>
        <w:tc>
          <w:tcPr>
            <w:tcW w:w="813"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681"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67"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190000</w:t>
            </w:r>
          </w:p>
        </w:tc>
        <w:tc>
          <w:tcPr>
            <w:tcW w:w="786"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23" w:type="dxa"/>
            <w:vAlign w:val="center"/>
          </w:tcPr>
          <w:p>
            <w:pPr>
              <w:spacing w:beforeLines="0" w:afterLines="0"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智慧政务实验教学平台软件</w:t>
            </w:r>
          </w:p>
        </w:tc>
        <w:tc>
          <w:tcPr>
            <w:tcW w:w="891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第一部分：技术要求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1．B/S架构，支持至少120人并发访问</w:t>
            </w:r>
          </w:p>
          <w:p>
            <w:pPr>
              <w:rPr>
                <w:rFonts w:hint="eastAsia" w:ascii="宋体" w:hAnsi="宋体" w:eastAsia="宋体" w:cs="宋体"/>
                <w:color w:val="auto"/>
                <w:sz w:val="21"/>
                <w:szCs w:val="21"/>
              </w:rPr>
            </w:pPr>
            <w:r>
              <w:rPr>
                <w:rFonts w:hint="eastAsia" w:ascii="宋体" w:hAnsi="宋体" w:eastAsia="宋体" w:cs="宋体"/>
                <w:color w:val="auto"/>
                <w:sz w:val="21"/>
                <w:szCs w:val="21"/>
              </w:rPr>
              <w:t>2．使用的技术或架构:java web;spring;html5;unity3D等</w:t>
            </w:r>
          </w:p>
          <w:p>
            <w:pPr>
              <w:rPr>
                <w:rFonts w:hint="eastAsia" w:ascii="宋体" w:hAnsi="宋体" w:eastAsia="宋体" w:cs="宋体"/>
                <w:color w:val="auto"/>
                <w:sz w:val="21"/>
                <w:szCs w:val="21"/>
              </w:rPr>
            </w:pPr>
            <w:r>
              <w:rPr>
                <w:rFonts w:hint="eastAsia" w:ascii="宋体" w:hAnsi="宋体" w:eastAsia="宋体" w:cs="宋体"/>
                <w:color w:val="auto"/>
                <w:sz w:val="21"/>
                <w:szCs w:val="21"/>
              </w:rPr>
              <w:t>第二部分：功能要求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1．智慧政务实验教学平台软件包含管理员、教师和学生三个端口，不同端口管理权限不同：管理员端口支持用户管理、班级管理、实验管理、报告管理、自定义和资料中心，资料中心包含学习资料、专业名词、网络链接；教师端口支持用户管理、班级管理、实验管理、报告管理、自定义和资料中心；学生端口包括实验报告、实训演练、资料中心、通知消息。</w:t>
            </w:r>
          </w:p>
          <w:p>
            <w:pPr>
              <w:rPr>
                <w:rFonts w:hint="eastAsia" w:ascii="宋体" w:hAnsi="宋体" w:eastAsia="宋体" w:cs="宋体"/>
                <w:color w:val="auto"/>
                <w:sz w:val="21"/>
                <w:szCs w:val="21"/>
              </w:rPr>
            </w:pPr>
            <w:r>
              <w:rPr>
                <w:rFonts w:hint="eastAsia" w:ascii="宋体" w:hAnsi="宋体" w:eastAsia="宋体" w:cs="宋体"/>
                <w:color w:val="auto"/>
                <w:sz w:val="21"/>
                <w:szCs w:val="21"/>
              </w:rPr>
              <w:t>2．案例涵盖上海市、江苏省、广东省等地区的智慧政务建设真实数据。</w:t>
            </w:r>
          </w:p>
          <w:p>
            <w:pPr>
              <w:rPr>
                <w:rFonts w:hint="eastAsia" w:ascii="宋体" w:hAnsi="宋体" w:eastAsia="宋体" w:cs="宋体"/>
                <w:color w:val="auto"/>
                <w:sz w:val="21"/>
                <w:szCs w:val="21"/>
              </w:rPr>
            </w:pPr>
            <w:r>
              <w:rPr>
                <w:rFonts w:hint="eastAsia" w:ascii="宋体" w:hAnsi="宋体" w:eastAsia="宋体" w:cs="宋体"/>
                <w:color w:val="auto"/>
                <w:sz w:val="21"/>
                <w:szCs w:val="21"/>
              </w:rPr>
              <w:t>3．软件采用第一人称情景模拟的形式，学生角色扮演行政管理体制改革领导小组，模拟职能部门改造、政务流程改造和社区全局改造，进行地区政务治理。学生完成内部流程改造、外部流程改造和地区系统工具改造，影响财政资金、公众满意度、政府管理效率、跑动次数等指标变化，最终作为学生评价依据。</w:t>
            </w:r>
          </w:p>
          <w:p>
            <w:pPr>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仿宋" w:hAnsi="仿宋" w:eastAsia="仿宋" w:cs="仿宋"/>
                <w:color w:val="auto"/>
                <w:sz w:val="21"/>
                <w:szCs w:val="21"/>
              </w:rPr>
              <w:t>▲</w:t>
            </w:r>
            <w:r>
              <w:rPr>
                <w:rFonts w:hint="eastAsia" w:ascii="宋体" w:hAnsi="宋体" w:eastAsia="宋体" w:cs="宋体"/>
                <w:color w:val="auto"/>
                <w:sz w:val="21"/>
                <w:szCs w:val="21"/>
              </w:rPr>
              <w:t>学生可通过职能部门进行内部业务重组，根据案例背景和业务描述进行业务的删除、合并和并联，提升业务效率相关指标；在外部流程改造步骤，学生可按照政策事件引导，结合案例背景分析，调整业务办理顺序等操作，对部门间业务流转进行升级。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5．职能部门改造涵盖：税务局、市场监督管理局、公安局、教育局、房地产股交易中心、消防局、卫生健康局、文化广电旅游局、烟草专卖局、人力资源和社会保障局、社会保险基金管理局等。</w:t>
            </w:r>
          </w:p>
          <w:p>
            <w:pPr>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仿宋" w:hAnsi="仿宋" w:eastAsia="仿宋" w:cs="仿宋"/>
                <w:color w:val="auto"/>
                <w:sz w:val="21"/>
                <w:szCs w:val="21"/>
              </w:rPr>
              <w:t>▲</w:t>
            </w:r>
            <w:r>
              <w:rPr>
                <w:rFonts w:hint="eastAsia" w:ascii="宋体" w:hAnsi="宋体" w:eastAsia="宋体" w:cs="宋体"/>
                <w:color w:val="auto"/>
                <w:sz w:val="21"/>
                <w:szCs w:val="21"/>
              </w:rPr>
              <w:t>学生可通过购买和部署政务工具模拟政务建设。政务工具类型：部门、流程、全局，其中根据案例可设定正向工具和反向工具。部门工具：人员培训、在线业务绩效考评、AB岗工作制、办公自动化等；流程工具：电子签章制、业务流程再造、好差评制度、打包审批等；全局工具：政民互动平台、移动政务直播、清单管理制度、数据共享、信息安全管理等。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7．流程再造环节，学生对G2B电子政务模式的企业注册、企业注销、开设餐饮店等，G2C电子政务模式的房地产交易、落户审批、生育登记、医保清算、城乡居民保险、失业登记等流程进行设计，促进流程效率的提升。</w:t>
            </w:r>
          </w:p>
          <w:p>
            <w:pPr>
              <w:rPr>
                <w:rFonts w:hint="eastAsia" w:ascii="宋体" w:hAnsi="宋体" w:eastAsia="宋体" w:cs="宋体"/>
                <w:color w:val="auto"/>
                <w:sz w:val="21"/>
                <w:szCs w:val="21"/>
              </w:rPr>
            </w:pPr>
            <w:r>
              <w:rPr>
                <w:rFonts w:hint="eastAsia" w:ascii="宋体" w:hAnsi="宋体" w:eastAsia="宋体" w:cs="宋体"/>
                <w:color w:val="auto"/>
                <w:sz w:val="21"/>
                <w:szCs w:val="21"/>
              </w:rPr>
              <w:t>8．系统设置初始的投资成本，学生在优化决策时对人力、物力、技术、时间等进行分配，使政务治理效果最大化。</w:t>
            </w:r>
          </w:p>
          <w:p>
            <w:pPr>
              <w:rPr>
                <w:rFonts w:hint="eastAsia" w:ascii="宋体" w:hAnsi="宋体" w:eastAsia="宋体" w:cs="宋体"/>
                <w:color w:val="auto"/>
                <w:sz w:val="21"/>
                <w:szCs w:val="21"/>
              </w:rPr>
            </w:pPr>
            <w:r>
              <w:rPr>
                <w:rFonts w:hint="eastAsia" w:ascii="宋体" w:hAnsi="宋体" w:eastAsia="宋体" w:cs="宋体"/>
                <w:color w:val="auto"/>
                <w:sz w:val="21"/>
                <w:szCs w:val="21"/>
              </w:rPr>
              <w:t>9．系统内置知识答题库，包括单选题和判断题，题目按照时间逐个释放，学生答对可赚取资金，作为政务改造的资金成本。</w:t>
            </w:r>
          </w:p>
          <w:p>
            <w:pPr>
              <w:rPr>
                <w:rFonts w:hint="eastAsia" w:ascii="宋体" w:hAnsi="宋体" w:eastAsia="宋体" w:cs="宋体"/>
                <w:color w:val="auto"/>
                <w:sz w:val="21"/>
                <w:szCs w:val="21"/>
              </w:rPr>
            </w:pPr>
            <w:r>
              <w:rPr>
                <w:rFonts w:hint="eastAsia" w:ascii="宋体" w:hAnsi="宋体" w:eastAsia="宋体" w:cs="宋体"/>
                <w:color w:val="auto"/>
                <w:sz w:val="21"/>
                <w:szCs w:val="21"/>
              </w:rPr>
              <w:t>10．学生实验结束后平台对实验结果进行智能评分，自动生成学生实验报告，教师可下载查看报告；实验报告封面包含学生的基本信息、实验案例基本信息，报告结构包含案例背景、考核点信息、参考答案、指标变化、实验得分、建议。</w:t>
            </w:r>
          </w:p>
          <w:p>
            <w:pPr>
              <w:rPr>
                <w:rFonts w:hint="eastAsia" w:ascii="宋体" w:hAnsi="宋体" w:eastAsia="宋体" w:cs="宋体"/>
                <w:color w:val="auto"/>
                <w:sz w:val="21"/>
                <w:szCs w:val="21"/>
              </w:rPr>
            </w:pPr>
            <w:r>
              <w:rPr>
                <w:rFonts w:hint="eastAsia" w:ascii="宋体" w:hAnsi="宋体" w:eastAsia="宋体" w:cs="宋体"/>
                <w:color w:val="auto"/>
                <w:sz w:val="21"/>
                <w:szCs w:val="21"/>
              </w:rPr>
              <w:t>11．教师可进行实验自定义，自行创建编辑具有特色的案例，通过文字描述的编辑和函数公式逻辑的编辑对基本信息、地图系统、业务系统、工具系统、任务系统、指标系统、事件系统和评分系统进行新建。</w:t>
            </w:r>
          </w:p>
          <w:p>
            <w:pPr>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仿宋" w:hAnsi="仿宋" w:eastAsia="仿宋" w:cs="仿宋"/>
                <w:color w:val="auto"/>
                <w:sz w:val="21"/>
                <w:szCs w:val="21"/>
              </w:rPr>
              <w:t>▲</w:t>
            </w:r>
            <w:r>
              <w:rPr>
                <w:rFonts w:hint="eastAsia" w:ascii="宋体" w:hAnsi="宋体" w:eastAsia="宋体" w:cs="宋体"/>
                <w:color w:val="auto"/>
                <w:sz w:val="21"/>
                <w:szCs w:val="21"/>
              </w:rPr>
              <w:t>政务工具系统有各自属性，每个工具作为元素通过函数计算公式作用于指标，指标变化后，可触发满足相应指标条件的随机事件；教师可自主添加新的政务工具和指标变化规则，丰富游戏过程。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仿宋" w:hAnsi="仿宋" w:eastAsia="仿宋" w:cs="仿宋"/>
                <w:color w:val="auto"/>
                <w:sz w:val="21"/>
                <w:szCs w:val="21"/>
              </w:rPr>
              <w:t>▲</w:t>
            </w:r>
            <w:r>
              <w:rPr>
                <w:rFonts w:hint="eastAsia" w:ascii="宋体" w:hAnsi="宋体" w:eastAsia="宋体" w:cs="宋体"/>
                <w:color w:val="auto"/>
                <w:sz w:val="21"/>
                <w:szCs w:val="21"/>
              </w:rPr>
              <w:t>教师端自定义支持随机事件添加，事件系统分为两类，一类为系统预设突发事件，即在特实验时间触发，一类为元素属性值到达某一阈值时触发事件。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14．教师可进行学生信息编辑，导入和删除，可批量上传也可单个上传。</w:t>
            </w:r>
          </w:p>
          <w:p>
            <w:pPr>
              <w:rPr>
                <w:rFonts w:hint="eastAsia" w:ascii="宋体" w:hAnsi="宋体" w:eastAsia="宋体" w:cs="宋体"/>
                <w:color w:val="auto"/>
                <w:sz w:val="21"/>
                <w:szCs w:val="21"/>
              </w:rPr>
            </w:pPr>
            <w:r>
              <w:rPr>
                <w:rFonts w:hint="eastAsia" w:ascii="宋体" w:hAnsi="宋体" w:eastAsia="宋体" w:cs="宋体"/>
                <w:color w:val="auto"/>
                <w:sz w:val="21"/>
                <w:szCs w:val="21"/>
              </w:rPr>
              <w:t>15．教师可通过报告管理查看学生实验状态（进行中、已结束），支持教师单个/批量下载学生实验报告；同时可按班级下载学生成绩统计Excel表，表格中包含班级内学生各指标得分、实训总分、班级平均分等信息。</w:t>
            </w:r>
          </w:p>
          <w:p>
            <w:pP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、要求厂商具有自主研发能力，可以根据用户最终需求进行合理化调整</w:t>
            </w:r>
          </w:p>
        </w:tc>
        <w:tc>
          <w:tcPr>
            <w:tcW w:w="813"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681" w:type="dxa"/>
            <w:vAlign w:val="center"/>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967"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190000</w:t>
            </w:r>
          </w:p>
        </w:tc>
        <w:tc>
          <w:tcPr>
            <w:tcW w:w="786" w:type="dxa"/>
            <w:vAlign w:val="center"/>
          </w:tcPr>
          <w:p>
            <w:pPr>
              <w:jc w:val="center"/>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523" w:type="dxa"/>
            <w:vAlign w:val="center"/>
          </w:tcPr>
          <w:p>
            <w:pPr>
              <w:spacing w:beforeLines="0" w:afterLines="0" w:line="5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公共部门人力资源平台软件</w:t>
            </w:r>
          </w:p>
        </w:tc>
        <w:tc>
          <w:tcPr>
            <w:tcW w:w="891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第一部分：技术要求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1.软件为B/S架构，可以支持500人并发访问。</w:t>
            </w:r>
          </w:p>
          <w:p>
            <w:pPr>
              <w:rPr>
                <w:rFonts w:hint="eastAsia" w:ascii="宋体" w:hAnsi="宋体" w:eastAsia="宋体" w:cs="宋体"/>
                <w:color w:val="auto"/>
                <w:sz w:val="21"/>
                <w:szCs w:val="21"/>
              </w:rPr>
            </w:pPr>
            <w:r>
              <w:rPr>
                <w:rFonts w:hint="eastAsia" w:ascii="宋体" w:hAnsi="宋体" w:eastAsia="宋体" w:cs="宋体"/>
                <w:color w:val="auto"/>
                <w:sz w:val="21"/>
                <w:szCs w:val="21"/>
              </w:rPr>
              <w:t>2.软件开发使用的技术有:java web;spring;html5;unity3D等。</w:t>
            </w:r>
          </w:p>
          <w:p>
            <w:pPr>
              <w:rPr>
                <w:rFonts w:hint="eastAsia" w:ascii="宋体" w:hAnsi="宋体" w:eastAsia="宋体" w:cs="宋体"/>
                <w:color w:val="auto"/>
                <w:sz w:val="21"/>
                <w:szCs w:val="21"/>
              </w:rPr>
            </w:pPr>
            <w:r>
              <w:rPr>
                <w:rFonts w:hint="eastAsia" w:ascii="宋体" w:hAnsi="宋体" w:eastAsia="宋体" w:cs="宋体"/>
                <w:color w:val="auto"/>
                <w:sz w:val="21"/>
                <w:szCs w:val="21"/>
              </w:rPr>
              <w:t>第二部分：功能要求</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软件分为</w:t>
            </w:r>
            <w:r>
              <w:rPr>
                <w:rFonts w:hint="eastAsia" w:ascii="宋体" w:hAnsi="宋体" w:eastAsia="宋体" w:cs="宋体"/>
                <w:color w:val="auto"/>
                <w:sz w:val="21"/>
                <w:szCs w:val="21"/>
                <w:lang w:val="en-US" w:eastAsia="zh-CN"/>
              </w:rPr>
              <w:t>两个模块构成，模块一：公共部门绩效管理实训平台；模块二：公共部门录用与甄选平台软件</w:t>
            </w:r>
          </w:p>
          <w:p>
            <w:pPr>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模块一：公共部门绩效管理实训平台</w:t>
            </w:r>
          </w:p>
          <w:p>
            <w:pPr>
              <w:rPr>
                <w:rFonts w:hint="eastAsia" w:ascii="宋体" w:hAnsi="宋体" w:eastAsia="宋体" w:cs="宋体"/>
                <w:color w:val="auto"/>
                <w:sz w:val="21"/>
                <w:szCs w:val="21"/>
              </w:rPr>
            </w:pPr>
            <w:r>
              <w:rPr>
                <w:rFonts w:hint="eastAsia" w:ascii="宋体" w:hAnsi="宋体" w:eastAsia="宋体" w:cs="宋体"/>
                <w:color w:val="auto"/>
                <w:sz w:val="21"/>
                <w:szCs w:val="21"/>
              </w:rPr>
              <w:t>公共部门绩效管理实训平台以实践案例为基本素材，搭建公共部门绩效考核的实际场景，通过</w:t>
            </w:r>
            <w:r>
              <w:rPr>
                <w:rFonts w:hint="eastAsia" w:ascii="宋体" w:hAnsi="宋体" w:eastAsia="宋体" w:cs="宋体"/>
                <w:color w:val="auto"/>
                <w:sz w:val="21"/>
                <w:szCs w:val="21"/>
                <w:lang w:eastAsia="zh-CN"/>
              </w:rPr>
              <w:t>动画</w:t>
            </w:r>
            <w:r>
              <w:rPr>
                <w:rFonts w:hint="eastAsia" w:ascii="宋体" w:hAnsi="宋体" w:eastAsia="宋体" w:cs="宋体"/>
                <w:color w:val="auto"/>
                <w:sz w:val="21"/>
                <w:szCs w:val="21"/>
              </w:rPr>
              <w:t>等生动的形式让学生掌握绩效考核的要点和内容。</w:t>
            </w:r>
          </w:p>
          <w:p>
            <w:pPr>
              <w:rPr>
                <w:rFonts w:hint="eastAsia" w:ascii="宋体" w:hAnsi="宋体" w:eastAsia="宋体" w:cs="宋体"/>
                <w:color w:val="auto"/>
                <w:sz w:val="21"/>
                <w:szCs w:val="21"/>
              </w:rPr>
            </w:pPr>
            <w:r>
              <w:rPr>
                <w:rFonts w:hint="eastAsia" w:ascii="宋体" w:hAnsi="宋体" w:eastAsia="宋体" w:cs="宋体"/>
                <w:color w:val="auto"/>
                <w:sz w:val="21"/>
                <w:szCs w:val="21"/>
              </w:rPr>
              <w:t>1.公共部门绩效管理实训平台软件包含管理员、教师和学生三个端口，不同端口管理权限不同：管理员端口支持用户管理、班级管理、实验管理、报告管理、资料中心和自定义，资料中心包含学习资料、专业名词、网络链接；教师端口支持班级管理、实验管理、报告管理、资料中心、自定义和审核；学生端口支持开展绩效管理模拟实训、平衡计分卡和360度评估法实训和案例自定义，包括资料中心和私信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仿宋" w:hAnsi="仿宋" w:eastAsia="仿宋" w:cs="仿宋"/>
                <w:color w:val="auto"/>
                <w:sz w:val="21"/>
                <w:szCs w:val="21"/>
              </w:rPr>
              <w:t>▲</w:t>
            </w:r>
            <w:r>
              <w:rPr>
                <w:rFonts w:hint="eastAsia" w:ascii="宋体" w:hAnsi="宋体" w:eastAsia="宋体" w:cs="宋体"/>
                <w:color w:val="auto"/>
                <w:sz w:val="21"/>
                <w:szCs w:val="21"/>
              </w:rPr>
              <w:t>支持实训案例和案例自定义：实训案例中，教师可分配系统提供的实训案例；案例自定义中，老师可自主创建并编辑案例流程；同时支持学生自定义案例，可选择案例模式、编辑案例名称、案例背景和案例内容，预览案例并提交教师进行审核；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3.软件包括绩效管理模拟实训和评估方法专项实训两种模式；</w:t>
            </w:r>
          </w:p>
          <w:p>
            <w:pPr>
              <w:rPr>
                <w:rFonts w:hint="eastAsia" w:ascii="宋体" w:hAnsi="宋体" w:eastAsia="宋体" w:cs="宋体"/>
                <w:color w:val="auto"/>
                <w:sz w:val="21"/>
                <w:szCs w:val="21"/>
              </w:rPr>
            </w:pPr>
            <w:r>
              <w:rPr>
                <w:rFonts w:hint="eastAsia" w:ascii="宋体" w:hAnsi="宋体" w:eastAsia="宋体" w:cs="宋体"/>
                <w:color w:val="auto"/>
                <w:sz w:val="21"/>
                <w:szCs w:val="21"/>
              </w:rPr>
              <w:t>4.绩效模拟实训包括：案例背景、绩效计划、绩效实施、绩效评估、绩效反馈五大主流程，以及案例背景、设定绩效目标、选定考核方法、选定考评主体、设定绩效考核标准、设置权重、审核公示、绩效沟通、绩效调整、成果认定、评分、结果确认等若干子流程。</w:t>
            </w:r>
          </w:p>
          <w:p>
            <w:pPr>
              <w:rPr>
                <w:rFonts w:hint="eastAsia" w:ascii="宋体" w:hAnsi="宋体" w:eastAsia="宋体" w:cs="宋体"/>
                <w:color w:val="auto"/>
                <w:sz w:val="21"/>
                <w:szCs w:val="21"/>
              </w:rPr>
            </w:pPr>
            <w:r>
              <w:rPr>
                <w:rFonts w:hint="eastAsia" w:ascii="宋体" w:hAnsi="宋体" w:eastAsia="宋体" w:cs="宋体"/>
                <w:color w:val="auto"/>
                <w:sz w:val="21"/>
                <w:szCs w:val="21"/>
              </w:rPr>
              <w:t>5.评估方法专项实训包括：平衡计分卡和360度评估法，且评估方法中涉及SWOT分析法、层次分析法的应用；</w:t>
            </w:r>
          </w:p>
          <w:p>
            <w:pPr>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仿宋" w:hAnsi="仿宋" w:eastAsia="仿宋" w:cs="仿宋"/>
                <w:color w:val="auto"/>
                <w:sz w:val="21"/>
                <w:szCs w:val="21"/>
              </w:rPr>
              <w:t>▲</w:t>
            </w:r>
            <w:r>
              <w:rPr>
                <w:rFonts w:hint="eastAsia" w:ascii="宋体" w:hAnsi="宋体" w:eastAsia="宋体" w:cs="宋体"/>
                <w:color w:val="auto"/>
                <w:sz w:val="21"/>
                <w:szCs w:val="21"/>
              </w:rPr>
              <w:t>实训模拟包含阶段索引，可快速查询跳转至所在步骤；注：该功能需提供系统功能截图或说明书等证明材料加盖投标人单位公章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仿宋" w:hAnsi="仿宋" w:eastAsia="仿宋" w:cs="仿宋"/>
                <w:color w:val="auto"/>
                <w:sz w:val="21"/>
                <w:szCs w:val="21"/>
              </w:rPr>
              <w:t>▲</w:t>
            </w:r>
            <w:r>
              <w:rPr>
                <w:rFonts w:hint="eastAsia" w:ascii="宋体" w:hAnsi="宋体" w:eastAsia="宋体" w:cs="宋体"/>
                <w:color w:val="auto"/>
                <w:sz w:val="21"/>
                <w:szCs w:val="21"/>
              </w:rPr>
              <w:t>绩效模拟实训软件包含多个</w:t>
            </w:r>
            <w:r>
              <w:rPr>
                <w:rFonts w:hint="eastAsia" w:ascii="宋体" w:hAnsi="宋体" w:eastAsia="宋体" w:cs="宋体"/>
                <w:color w:val="auto"/>
                <w:sz w:val="21"/>
                <w:szCs w:val="21"/>
                <w:lang w:val="en-US" w:eastAsia="zh-CN"/>
              </w:rPr>
              <w:t>动画</w:t>
            </w:r>
            <w:r>
              <w:rPr>
                <w:rFonts w:hint="eastAsia" w:ascii="宋体" w:hAnsi="宋体" w:eastAsia="宋体" w:cs="宋体"/>
                <w:color w:val="auto"/>
                <w:sz w:val="21"/>
                <w:szCs w:val="21"/>
              </w:rPr>
              <w:t>（审核公示阶段、绩效沟通阶段、绩效调整阶段、结果确认阶段），以场景化的形式帮助学生进行实训；注：该功能需提供系统功能截图或说明书等证明材料加盖投标人单位公章</w:t>
            </w:r>
          </w:p>
          <w:p>
            <w:pPr>
              <w:rPr>
                <w:rFonts w:hint="eastAsia" w:ascii="宋体" w:hAnsi="宋体" w:eastAsia="宋体" w:cs="宋体"/>
                <w:color w:val="auto"/>
                <w:sz w:val="21"/>
                <w:szCs w:val="21"/>
              </w:rPr>
            </w:pPr>
            <w:r>
              <w:rPr>
                <w:rFonts w:hint="eastAsia" w:ascii="宋体" w:hAnsi="宋体" w:eastAsia="宋体" w:cs="宋体"/>
                <w:color w:val="auto"/>
                <w:sz w:val="21"/>
                <w:szCs w:val="21"/>
              </w:rPr>
              <w:t>8.实验管理功能可设置是否允许学生查看参考答案/下载参考报告，可选择对单个学生/单个班级/多个班级分配实验；</w:t>
            </w:r>
          </w:p>
          <w:p>
            <w:pPr>
              <w:rPr>
                <w:rFonts w:hint="eastAsia" w:ascii="宋体" w:hAnsi="宋体" w:eastAsia="宋体" w:cs="宋体"/>
                <w:color w:val="auto"/>
                <w:sz w:val="21"/>
                <w:szCs w:val="21"/>
              </w:rPr>
            </w:pPr>
            <w:r>
              <w:rPr>
                <w:rFonts w:hint="eastAsia" w:ascii="宋体" w:hAnsi="宋体" w:eastAsia="宋体" w:cs="宋体"/>
                <w:color w:val="auto"/>
                <w:sz w:val="21"/>
                <w:szCs w:val="21"/>
              </w:rPr>
              <w:t>9.学生实验结束后平台对实验结果进行智能评分，自动生成学生实验报告，教师可下载查看报告；实验报告封面包含学生的基本信息、实验案例基本信息，报告结构包含基本信息、题目信息、答案、解题思路、实验得分、建议；</w:t>
            </w:r>
          </w:p>
          <w:p>
            <w:pPr>
              <w:rPr>
                <w:rFonts w:hint="eastAsia" w:ascii="宋体" w:hAnsi="宋体" w:eastAsia="宋体" w:cs="宋体"/>
                <w:color w:val="auto"/>
                <w:sz w:val="21"/>
                <w:szCs w:val="21"/>
              </w:rPr>
            </w:pPr>
            <w:r>
              <w:rPr>
                <w:rFonts w:hint="eastAsia" w:ascii="宋体" w:hAnsi="宋体" w:eastAsia="宋体" w:cs="宋体"/>
                <w:color w:val="auto"/>
                <w:sz w:val="21"/>
                <w:szCs w:val="21"/>
              </w:rPr>
              <w:t>10.教师可通过报告管理查看学生实验完成进度，支持教师单个/批量下载学生实验报告；同时可按班级下载学生成绩统计Excel表，表格中包含班级内学生各个阶段得分、实训总分、班级平均分等信息；</w:t>
            </w:r>
          </w:p>
          <w:p>
            <w:pPr>
              <w:rPr>
                <w:rFonts w:hint="eastAsia" w:ascii="宋体" w:hAnsi="宋体" w:eastAsia="宋体" w:cs="宋体"/>
                <w:color w:val="auto"/>
                <w:sz w:val="21"/>
                <w:szCs w:val="21"/>
              </w:rPr>
            </w:pPr>
            <w:r>
              <w:rPr>
                <w:rFonts w:hint="eastAsia" w:ascii="宋体" w:hAnsi="宋体" w:eastAsia="宋体" w:cs="宋体"/>
                <w:color w:val="auto"/>
                <w:sz w:val="21"/>
                <w:szCs w:val="21"/>
              </w:rPr>
              <w:t>11.支持教师用户之间分享案例资源和课程资料(资料中心），支持教师和学生通过私信功能进行沟通，交流实训课程相关信息；</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模块二：公共部门录用与甄选平台软件</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共部门录用与甄选平台软件通过视频、动画、图片、文字等多样化信息展现案例；以标准化的实验流程实训录用与甄选的综合流程及结构化面试、角色扮演、无领导小组等面试技术，让学生深入到案例中，最大化实操专业理论知识、最大化达到实训效果。同时，软件引入智能反馈技术，对学生的操作内容实时引导、对操作结果智能反馈。</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（一）综合实训</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软件涉及如上所述公务员招录的所有环节，并将公务员招录各个环节中的要点内容融入实训步骤呈现给学生；软件完整呈现公务员招录中人力资源规划、岗位分析、制作招聘计划、申报计划、发布考试公告、资格审查、笔试、面试、录用、体检、审核等步骤，通过3D场景模拟将学生带入案例情景；</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仿宋" w:hAnsi="仿宋" w:eastAsia="仿宋" w:cs="仿宋"/>
                <w:color w:val="auto"/>
                <w:sz w:val="21"/>
                <w:szCs w:val="21"/>
                <w:lang w:val="en-US" w:eastAsia="zh-CN"/>
              </w:rPr>
              <w:t>▲</w:t>
            </w:r>
            <w:r>
              <w:rPr>
                <w:rFonts w:hint="eastAsia" w:ascii="宋体" w:hAnsi="宋体" w:eastAsia="宋体" w:cs="宋体"/>
                <w:color w:val="auto"/>
                <w:sz w:val="21"/>
                <w:szCs w:val="21"/>
                <w:lang w:val="en-US" w:eastAsia="zh-CN"/>
              </w:rPr>
              <w:t>实训过程中，学习者会首先经历岗位分析，选择评价指标、选择评估这些指标的评价方法，然后一边观看公务员录用面试视频，一边做行为记录和打分；操作结束后，系统会自动生成相应的评价报告；注：该功能需提供系统功能截图或说明书等证明材料加盖投标人单位公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仿宋" w:hAnsi="仿宋" w:eastAsia="仿宋" w:cs="仿宋"/>
                <w:color w:val="auto"/>
                <w:sz w:val="21"/>
                <w:szCs w:val="21"/>
                <w:lang w:val="en-US" w:eastAsia="zh-CN"/>
              </w:rPr>
              <w:t>▲</w:t>
            </w:r>
            <w:r>
              <w:rPr>
                <w:rFonts w:hint="eastAsia" w:ascii="宋体" w:hAnsi="宋体" w:eastAsia="宋体" w:cs="宋体"/>
                <w:color w:val="auto"/>
                <w:sz w:val="21"/>
                <w:szCs w:val="21"/>
                <w:lang w:val="en-US" w:eastAsia="zh-CN"/>
              </w:rPr>
              <w:t>学生实验结束后平台对实验结果进行智能评分，自动生成学生实验报告，教师可下载查看报告；实验报告封面包含学生的基本信息、实验案例基本信息，报告结构包含题目信息、参考答案、解题思路、实验得分、建议；注：该功能需提供系统功能截图或说明书等证明材料加盖投标人单位公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4.教师可通过报告管理查看学生实验状态（进行中、已结束），支持教师单个/批量下载学生实验报告；同时可按班级下载学生成绩统计Excel表，表格中包含班级内学生各步骤得分、实训总分、班级平均分等信息；</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教师后台支持综合实训全流程自定义，包括案例背景、人力资源规划、岗位分析、制作招聘计划、申报计划、考试公告、资格审查、笔试、面试视频及实施标准、体检、审核报案和报告阅读建议；在面试自定义步骤，教师可管理测评维度，增删或修改测评维度、参考测评维度、维度权重数据；</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6.教师可一键切换至学生端，并且可以直接跳转到任意流程步骤实时查看案例；</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7.软件包含笔试、体检和审核报案多个动画动画。</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（二）方法实训</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 </w:t>
            </w:r>
            <w:r>
              <w:rPr>
                <w:rFonts w:hint="eastAsia" w:ascii="仿宋" w:hAnsi="仿宋" w:eastAsia="仿宋" w:cs="仿宋"/>
                <w:color w:val="auto"/>
                <w:sz w:val="21"/>
                <w:szCs w:val="21"/>
                <w:lang w:val="en-US" w:eastAsia="zh-CN"/>
              </w:rPr>
              <w:t>▲</w:t>
            </w:r>
            <w:r>
              <w:rPr>
                <w:rFonts w:hint="eastAsia" w:ascii="宋体" w:hAnsi="宋体" w:eastAsia="宋体" w:cs="宋体"/>
                <w:color w:val="auto"/>
                <w:sz w:val="21"/>
                <w:szCs w:val="21"/>
                <w:lang w:val="en-US" w:eastAsia="zh-CN"/>
              </w:rPr>
              <w:t>方法包含无领导小组讨论、结构化面试和角色扮演的经典公务员面试方法；注：该功能需提供系统功能截图或说明书等证明材料加盖投标人单位公章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系统支持学生自定义分组，在线组成面试官考评小组，在确定评价维度、标准、等级后，系统提供无领导小组讨论/结构化面试/角色扮演的候选人实景模拟面试视频，学生小组进行在线讨论，对每个候选人进行评价和打分，最终确定候选人是否录用或者进行下一轮的复试；</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分配实验后，学生依次进行岗位维度分析、方法定位、权重划分、评委组团、评价实施、评价撰写的固定程序，根据该职位的胜任特征要求，采用专门的题库、评价标准和评价方法，通过考官小组与应考者的交流等方式来评价应考者是否符合招聘岗位要求；</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 学生实验结束后平台对实验结果进行智能评分，自动生成学生实验报告，教师可下载查看报告；实训报告部分提供行为记录范本、维度评价标准、参考答案和解析；同时，系统会根据专家或老师设定的“参考答案”给每个步骤进行自动打分，最后汇总得到总分；</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5.支持学生自定义案例，教师审核通过后，案例可继续用于实验分配，拓展学生实践能力的同时增加案例数量。</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6、要求厂商具有自主研发能力，可以根据用户最终需求进行合理化调整</w:t>
            </w:r>
          </w:p>
        </w:tc>
        <w:tc>
          <w:tcPr>
            <w:tcW w:w="813"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681"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67"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190000</w:t>
            </w:r>
          </w:p>
        </w:tc>
        <w:tc>
          <w:tcPr>
            <w:tcW w:w="786" w:type="dxa"/>
            <w:vAlign w:val="center"/>
          </w:tcPr>
          <w:p>
            <w:pPr>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653" w:type="dxa"/>
            <w:gridSpan w:val="6"/>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分项报价合计（元）</w:t>
            </w:r>
          </w:p>
        </w:tc>
        <w:tc>
          <w:tcPr>
            <w:tcW w:w="786" w:type="dxa"/>
          </w:tcPr>
          <w:p>
            <w:pPr>
              <w:jc w:val="center"/>
              <w:rPr>
                <w:rFonts w:hint="eastAsia" w:ascii="宋体" w:hAnsi="宋体" w:eastAsia="宋体" w:cs="宋体"/>
                <w:color w:val="auto"/>
                <w:sz w:val="21"/>
                <w:szCs w:val="21"/>
                <w:lang w:val="en-US" w:eastAsia="zh-CN"/>
              </w:rPr>
            </w:pPr>
          </w:p>
        </w:tc>
      </w:tr>
    </w:tbl>
    <w:p>
      <w:pPr>
        <w:rPr>
          <w:sz w:val="24"/>
        </w:rPr>
        <w:sectPr>
          <w:pgSz w:w="16838" w:h="11906" w:orient="landscape"/>
          <w:pgMar w:top="1797" w:right="1440" w:bottom="1440" w:left="1440" w:header="851" w:footer="992" w:gutter="0"/>
          <w:pgBorders>
            <w:top w:val="none" w:sz="0" w:space="0"/>
            <w:left w:val="none" w:sz="0" w:space="0"/>
            <w:bottom w:val="none" w:sz="0" w:space="0"/>
            <w:right w:val="none" w:sz="0" w:space="0"/>
          </w:pgBorders>
          <w:pgNumType w:fmt="decimal"/>
          <w:cols w:space="425" w:num="1"/>
          <w:docGrid w:linePitch="312" w:charSpace="0"/>
        </w:sectPr>
      </w:pPr>
      <w:r>
        <w:rPr>
          <w:sz w:val="24"/>
        </w:rPr>
        <w:br w:type="page"/>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color w:val="FF0000"/>
          <w:kern w:val="0"/>
          <w:szCs w:val="21"/>
          <w:u w:val="single"/>
        </w:rPr>
        <w:t xml:space="preserve">  </w:t>
      </w:r>
      <w:r>
        <w:rPr>
          <w:rFonts w:hint="eastAsia"/>
          <w:color w:val="FF0000"/>
          <w:sz w:val="32"/>
          <w:szCs w:val="32"/>
          <w:u w:val="single"/>
        </w:rPr>
        <w:t>一</w:t>
      </w:r>
      <w:r>
        <w:rPr>
          <w:color w:val="FF0000"/>
          <w:kern w:val="0"/>
          <w:szCs w:val="21"/>
          <w:u w:val="single"/>
        </w:rPr>
        <w:t xml:space="preserve"> </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（技术部分）</w:t>
      </w:r>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3"/>
        <w:jc w:val="center"/>
      </w:pPr>
      <w:r>
        <w:rPr>
          <w:rFonts w:hint="eastAsia" w:ascii="Times New Roman" w:hAnsi="Times New Roman" w:cs="Times New Roman"/>
          <w:sz w:val="28"/>
          <w:szCs w:val="28"/>
        </w:rPr>
        <w:t>投标文件在   年  月  日时分前不得开启</w:t>
      </w:r>
    </w:p>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4"/>
        <w:spacing w:before="0" w:after="0" w:line="240" w:lineRule="auto"/>
        <w:rPr>
          <w:rFonts w:ascii="Times New Roman" w:hAnsi="Times New Roman"/>
          <w:sz w:val="28"/>
          <w:szCs w:val="28"/>
        </w:rPr>
      </w:pPr>
      <w:bookmarkStart w:id="323" w:name="_Toc14389"/>
      <w:r>
        <w:rPr>
          <w:rFonts w:hint="eastAsia" w:ascii="Times New Roman" w:hAnsi="Times New Roman"/>
          <w:sz w:val="28"/>
          <w:szCs w:val="28"/>
        </w:rPr>
        <w:t xml:space="preserve">第三部分 </w:t>
      </w:r>
      <w:r>
        <w:rPr>
          <w:rFonts w:ascii="Times New Roman" w:hAnsi="Times New Roman"/>
          <w:sz w:val="28"/>
          <w:szCs w:val="28"/>
        </w:rPr>
        <w:t xml:space="preserve"> 技术部分</w:t>
      </w:r>
      <w:bookmarkEnd w:id="320"/>
      <w:bookmarkEnd w:id="323"/>
    </w:p>
    <w:p>
      <w:pPr>
        <w:pStyle w:val="2"/>
        <w:spacing w:before="0" w:after="0" w:line="240" w:lineRule="auto"/>
      </w:pPr>
      <w:bookmarkStart w:id="324" w:name="_Toc627"/>
      <w:bookmarkStart w:id="325" w:name="_Toc103677773"/>
      <w:r>
        <w:rPr>
          <w:rFonts w:eastAsia="黑体"/>
          <w:sz w:val="28"/>
          <w:szCs w:val="28"/>
        </w:rPr>
        <w:t>一</w:t>
      </w:r>
      <w:r>
        <w:rPr>
          <w:rFonts w:hint="eastAsia" w:eastAsia="黑体"/>
          <w:sz w:val="28"/>
          <w:szCs w:val="28"/>
        </w:rPr>
        <w:t>、</w:t>
      </w:r>
      <w:r>
        <w:rPr>
          <w:rFonts w:eastAsia="黑体"/>
          <w:sz w:val="28"/>
          <w:szCs w:val="28"/>
        </w:rPr>
        <w:t>技术偏离表</w:t>
      </w:r>
      <w:bookmarkEnd w:id="324"/>
      <w:bookmarkEnd w:id="325"/>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1</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2</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3</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4</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5</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6</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ind w:left="-103" w:leftChars="-49" w:firstLine="15"/>
      </w:pPr>
      <w:r>
        <w:t>法定代表人或其委托代理人：（签字或加盖人名章）</w:t>
      </w:r>
    </w:p>
    <w:p>
      <w:pPr>
        <w:spacing w:before="120" w:beforeLines="50"/>
        <w:ind w:left="-103" w:leftChars="-49" w:firstLine="15"/>
      </w:pPr>
      <w:r>
        <w:t>日期：</w:t>
      </w:r>
    </w:p>
    <w:p>
      <w:pPr>
        <w:spacing w:line="360" w:lineRule="auto"/>
      </w:pPr>
    </w:p>
    <w:p>
      <w:pPr>
        <w:tabs>
          <w:tab w:val="left" w:pos="1200"/>
        </w:tabs>
        <w:snapToGrid w:val="0"/>
        <w:spacing w:after="120" w:afterLines="50"/>
        <w:ind w:left="850" w:leftChars="203" w:hanging="424" w:hangingChars="202"/>
      </w:pPr>
      <w:r>
        <w:t>注：投标人递交的投标文件中与招标文件的技术部分的要求有不同时，应逐条列在技术偏差表中，否则将认为投标人接受招标文件的要求。</w:t>
      </w:r>
    </w:p>
    <w:p>
      <w:pPr>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r>
        <w:rPr>
          <w:b/>
          <w:sz w:val="32"/>
          <w:szCs w:val="32"/>
        </w:rPr>
        <w:br w:type="page"/>
      </w:r>
    </w:p>
    <w:p>
      <w:pPr>
        <w:pStyle w:val="2"/>
        <w:spacing w:before="0" w:after="0" w:line="240" w:lineRule="auto"/>
        <w:rPr>
          <w:rFonts w:eastAsia="黑体"/>
          <w:sz w:val="28"/>
          <w:szCs w:val="28"/>
        </w:rPr>
      </w:pPr>
      <w:bookmarkStart w:id="326" w:name="_Toc103677774"/>
      <w:bookmarkStart w:id="327" w:name="_Toc22730"/>
      <w:bookmarkStart w:id="328" w:name="_Toc157759075"/>
      <w:bookmarkStart w:id="350" w:name="_GoBack"/>
      <w:bookmarkEnd w:id="350"/>
      <w:r>
        <w:rPr>
          <w:rFonts w:eastAsia="黑体"/>
          <w:sz w:val="28"/>
          <w:szCs w:val="28"/>
        </w:rPr>
        <w:t>二</w:t>
      </w:r>
      <w:r>
        <w:rPr>
          <w:rFonts w:hint="eastAsia" w:eastAsia="黑体"/>
          <w:sz w:val="28"/>
          <w:szCs w:val="28"/>
        </w:rPr>
        <w:t>、</w:t>
      </w:r>
      <w:r>
        <w:rPr>
          <w:rFonts w:eastAsia="黑体"/>
          <w:sz w:val="28"/>
          <w:szCs w:val="28"/>
        </w:rPr>
        <w:t>服务方案</w:t>
      </w:r>
      <w:bookmarkEnd w:id="326"/>
      <w:bookmarkEnd w:id="327"/>
    </w:p>
    <w:bookmarkEnd w:id="328"/>
    <w:p/>
    <w:p>
      <w:pPr>
        <w:adjustRightInd w:val="0"/>
        <w:snapToGrid w:val="0"/>
        <w:spacing w:line="360" w:lineRule="auto"/>
        <w:ind w:firstLine="480" w:firstLineChars="200"/>
        <w:rPr>
          <w:sz w:val="24"/>
          <w:highlight w:val="none"/>
        </w:rPr>
      </w:pPr>
      <w:r>
        <w:rPr>
          <w:sz w:val="24"/>
          <w:highlight w:val="none"/>
        </w:rPr>
        <w:t>服务方案包含但不限于</w:t>
      </w:r>
      <w:r>
        <w:rPr>
          <w:rFonts w:hint="eastAsia"/>
          <w:sz w:val="24"/>
          <w:highlight w:val="none"/>
          <w:lang w:eastAsia="zh-CN"/>
        </w:rPr>
        <w:t>（</w:t>
      </w:r>
      <w:r>
        <w:rPr>
          <w:rFonts w:hint="eastAsia"/>
          <w:sz w:val="24"/>
          <w:highlight w:val="none"/>
          <w:lang w:val="en-US" w:eastAsia="zh-CN"/>
        </w:rPr>
        <w:t>根据本项目采购需求自行编制</w:t>
      </w:r>
      <w:r>
        <w:rPr>
          <w:rFonts w:hint="eastAsia"/>
          <w:sz w:val="24"/>
          <w:highlight w:val="none"/>
          <w:lang w:eastAsia="zh-CN"/>
        </w:rPr>
        <w:t>）</w:t>
      </w:r>
      <w:r>
        <w:rPr>
          <w:sz w:val="24"/>
          <w:highlight w:val="none"/>
        </w:rPr>
        <w:t>：</w:t>
      </w:r>
    </w:p>
    <w:p>
      <w:pPr>
        <w:numPr>
          <w:ilvl w:val="0"/>
          <w:numId w:val="15"/>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软件功能的符合性；</w:t>
      </w:r>
    </w:p>
    <w:p>
      <w:pPr>
        <w:numPr>
          <w:ilvl w:val="0"/>
          <w:numId w:val="15"/>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技术方案；</w:t>
      </w:r>
    </w:p>
    <w:p>
      <w:pPr>
        <w:numPr>
          <w:ilvl w:val="0"/>
          <w:numId w:val="15"/>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质量及进度保障措施；</w:t>
      </w:r>
    </w:p>
    <w:p>
      <w:pPr>
        <w:numPr>
          <w:ilvl w:val="0"/>
          <w:numId w:val="15"/>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故障应急预案以及风险管理；</w:t>
      </w:r>
    </w:p>
    <w:p>
      <w:pPr>
        <w:numPr>
          <w:ilvl w:val="0"/>
          <w:numId w:val="15"/>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后续服务保证措施；</w:t>
      </w:r>
    </w:p>
    <w:p>
      <w:p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6、其他投标商认为必要的承诺内容及优惠条件等。</w:t>
      </w:r>
    </w:p>
    <w:p>
      <w:pPr>
        <w:pStyle w:val="14"/>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sz w:val="24"/>
          <w:highlight w:val="none"/>
          <w:lang w:val="en-US" w:eastAsia="zh-CN"/>
        </w:rPr>
        <w:t>......</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firstLine="1200" w:firstLineChars="500"/>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r>
        <w:rPr>
          <w:sz w:val="24"/>
        </w:rPr>
        <w:t>日期：</w:t>
      </w:r>
      <w:r>
        <w:rPr>
          <w:sz w:val="24"/>
          <w:u w:val="single"/>
        </w:rPr>
        <w:t xml:space="preserve">                           </w:t>
      </w:r>
    </w:p>
    <w:p>
      <w:pPr>
        <w:pStyle w:val="2"/>
        <w:spacing w:before="0" w:after="0" w:line="240" w:lineRule="auto"/>
        <w:rPr>
          <w:rFonts w:eastAsia="黑体"/>
          <w:sz w:val="28"/>
          <w:szCs w:val="28"/>
        </w:rPr>
      </w:pPr>
      <w:bookmarkStart w:id="329" w:name="_Toc103677778"/>
      <w:bookmarkStart w:id="330" w:name="_Toc22395"/>
      <w:r>
        <w:rPr>
          <w:rFonts w:hint="eastAsia" w:eastAsia="黑体"/>
          <w:sz w:val="28"/>
          <w:szCs w:val="28"/>
          <w:lang w:val="en-US" w:eastAsia="zh-CN"/>
        </w:rPr>
        <w:t>三</w:t>
      </w:r>
      <w:r>
        <w:rPr>
          <w:rFonts w:hint="eastAsia" w:eastAsia="黑体"/>
          <w:sz w:val="28"/>
          <w:szCs w:val="28"/>
        </w:rPr>
        <w:t>、</w:t>
      </w:r>
      <w:r>
        <w:rPr>
          <w:rFonts w:hint="eastAsia" w:eastAsia="黑体"/>
          <w:sz w:val="28"/>
          <w:szCs w:val="28"/>
          <w:lang w:val="en-US" w:eastAsia="zh-CN"/>
        </w:rPr>
        <w:t>软件</w:t>
      </w:r>
      <w:r>
        <w:rPr>
          <w:rFonts w:eastAsia="黑体"/>
          <w:sz w:val="28"/>
          <w:szCs w:val="28"/>
        </w:rPr>
        <w:t>技术支持文件（包含但不限于彩页等）</w:t>
      </w:r>
      <w:bookmarkEnd w:id="329"/>
      <w:bookmarkEnd w:id="330"/>
    </w:p>
    <w:p/>
    <w:p/>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
    <w:p/>
    <w:p/>
    <w:p>
      <w:pPr>
        <w:jc w:val="left"/>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bookmarkEnd w:id="321"/>
    <w:bookmarkEnd w:id="322"/>
    <w:p>
      <w:pPr>
        <w:pStyle w:val="2"/>
        <w:spacing w:before="0" w:after="0" w:line="240" w:lineRule="auto"/>
        <w:rPr>
          <w:rFonts w:eastAsia="黑体"/>
          <w:sz w:val="28"/>
          <w:szCs w:val="28"/>
        </w:rPr>
      </w:pPr>
      <w:bookmarkStart w:id="331" w:name="_Toc13176"/>
      <w:bookmarkStart w:id="332" w:name="_Toc103677779"/>
      <w:bookmarkStart w:id="333" w:name="_Toc22090"/>
      <w:bookmarkStart w:id="334" w:name="_Toc23809"/>
      <w:r>
        <w:rPr>
          <w:rFonts w:hint="eastAsia" w:eastAsia="黑体"/>
          <w:sz w:val="28"/>
          <w:szCs w:val="28"/>
          <w:lang w:val="en-US" w:eastAsia="zh-CN"/>
        </w:rPr>
        <w:t>四</w:t>
      </w:r>
      <w:r>
        <w:rPr>
          <w:rFonts w:hint="eastAsia" w:eastAsia="黑体"/>
          <w:sz w:val="28"/>
          <w:szCs w:val="28"/>
        </w:rPr>
        <w:t>、</w:t>
      </w:r>
      <w:r>
        <w:rPr>
          <w:rFonts w:eastAsia="黑体"/>
          <w:sz w:val="28"/>
          <w:szCs w:val="28"/>
        </w:rPr>
        <w:t>售后服务承诺书</w:t>
      </w:r>
      <w:bookmarkEnd w:id="331"/>
      <w:bookmarkEnd w:id="332"/>
      <w:r>
        <w:rPr>
          <w:rFonts w:eastAsia="黑体"/>
          <w:sz w:val="28"/>
          <w:szCs w:val="28"/>
        </w:rPr>
        <w:t xml:space="preserve"> </w:t>
      </w:r>
    </w:p>
    <w:p>
      <w:pPr>
        <w:jc w:val="center"/>
        <w:rPr>
          <w:sz w:val="24"/>
        </w:rPr>
      </w:pPr>
    </w:p>
    <w:p>
      <w:pPr>
        <w:jc w:val="center"/>
        <w:rPr>
          <w:b/>
          <w:bCs/>
          <w:sz w:val="36"/>
          <w:szCs w:val="36"/>
        </w:rPr>
      </w:pPr>
      <w:r>
        <w:rPr>
          <w:b/>
          <w:bCs/>
          <w:sz w:val="36"/>
          <w:szCs w:val="36"/>
        </w:rPr>
        <w:t>售后服务承诺书</w:t>
      </w:r>
    </w:p>
    <w:p>
      <w:pPr>
        <w:rPr>
          <w:sz w:val="24"/>
        </w:rPr>
      </w:pPr>
    </w:p>
    <w:p>
      <w:pPr>
        <w:spacing w:line="360" w:lineRule="auto"/>
        <w:rPr>
          <w:sz w:val="24"/>
        </w:rPr>
      </w:pPr>
      <w:r>
        <w:rPr>
          <w:sz w:val="24"/>
        </w:rPr>
        <w:t>投标人必须按提交的售后服务承诺书，提供售后服务。</w:t>
      </w:r>
    </w:p>
    <w:p>
      <w:pPr>
        <w:spacing w:line="360" w:lineRule="auto"/>
        <w:rPr>
          <w:sz w:val="24"/>
        </w:rPr>
      </w:pPr>
      <w:bookmarkStart w:id="335" w:name="_Toc7524"/>
      <w:bookmarkStart w:id="336" w:name="_Toc6550"/>
      <w:r>
        <w:rPr>
          <w:rFonts w:hint="eastAsia"/>
          <w:sz w:val="24"/>
          <w:lang w:val="en-US" w:eastAsia="zh-CN"/>
        </w:rPr>
        <w:t>1</w:t>
      </w:r>
      <w:r>
        <w:rPr>
          <w:sz w:val="24"/>
        </w:rPr>
        <w:t>、拟提供售后服务的项目：</w:t>
      </w:r>
      <w:bookmarkEnd w:id="335"/>
      <w:bookmarkEnd w:id="336"/>
    </w:p>
    <w:p>
      <w:pPr>
        <w:spacing w:line="360" w:lineRule="auto"/>
        <w:rPr>
          <w:sz w:val="24"/>
        </w:rPr>
      </w:pPr>
      <w:bookmarkStart w:id="337" w:name="_Toc3487"/>
      <w:bookmarkStart w:id="338" w:name="_Toc20237"/>
      <w:r>
        <w:rPr>
          <w:rFonts w:hint="eastAsia"/>
          <w:sz w:val="24"/>
          <w:lang w:val="en-US" w:eastAsia="zh-CN"/>
        </w:rPr>
        <w:t>2</w:t>
      </w:r>
      <w:r>
        <w:rPr>
          <w:sz w:val="24"/>
        </w:rPr>
        <w:t>、所投产品售后免费质保服务期限：</w:t>
      </w:r>
      <w:bookmarkEnd w:id="337"/>
      <w:bookmarkEnd w:id="338"/>
    </w:p>
    <w:p>
      <w:pPr>
        <w:spacing w:line="360" w:lineRule="auto"/>
        <w:rPr>
          <w:sz w:val="24"/>
        </w:rPr>
      </w:pPr>
      <w:bookmarkStart w:id="339" w:name="_Toc23033"/>
      <w:bookmarkStart w:id="340" w:name="_Toc3033"/>
      <w:r>
        <w:rPr>
          <w:rFonts w:hint="eastAsia"/>
          <w:sz w:val="24"/>
          <w:lang w:val="en-US" w:eastAsia="zh-CN"/>
        </w:rPr>
        <w:t>3</w:t>
      </w:r>
      <w:r>
        <w:rPr>
          <w:sz w:val="24"/>
        </w:rPr>
        <w:t>、服务响应及到达现场的时间：</w:t>
      </w:r>
      <w:bookmarkEnd w:id="339"/>
      <w:bookmarkEnd w:id="340"/>
    </w:p>
    <w:p>
      <w:pPr>
        <w:spacing w:line="360" w:lineRule="auto"/>
        <w:rPr>
          <w:sz w:val="24"/>
        </w:rPr>
      </w:pPr>
      <w:r>
        <w:rPr>
          <w:rFonts w:hint="eastAsia"/>
          <w:sz w:val="24"/>
          <w:lang w:val="en-US" w:eastAsia="zh-CN"/>
        </w:rPr>
        <w:t>4</w:t>
      </w:r>
      <w:r>
        <w:rPr>
          <w:sz w:val="24"/>
        </w:rPr>
        <w:t>、</w:t>
      </w:r>
      <w:bookmarkStart w:id="341" w:name="_Toc13169"/>
      <w:bookmarkStart w:id="342" w:name="_Toc12891"/>
      <w:r>
        <w:rPr>
          <w:sz w:val="24"/>
        </w:rPr>
        <w:t>投标人的其他服务承诺：</w:t>
      </w:r>
      <w:bookmarkEnd w:id="341"/>
      <w:bookmarkEnd w:id="342"/>
    </w:p>
    <w:bookmarkEnd w:id="333"/>
    <w:bookmarkEnd w:id="334"/>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投标人：（公章）</w:t>
      </w:r>
    </w:p>
    <w:p>
      <w:pPr>
        <w:spacing w:before="120" w:beforeLines="50" w:line="440" w:lineRule="exact"/>
        <w:ind w:left="1105" w:leftChars="526" w:firstLine="15"/>
      </w:pPr>
      <w:r>
        <w:t>法定代表人或其委托代理人：（签字或加盖人名章）</w:t>
      </w:r>
    </w:p>
    <w:p>
      <w:pPr>
        <w:spacing w:before="120" w:beforeLines="50" w:line="440" w:lineRule="exact"/>
        <w:ind w:left="1105" w:leftChars="526" w:firstLine="15"/>
      </w:pPr>
      <w:r>
        <w:t>日期：</w:t>
      </w:r>
    </w:p>
    <w:p>
      <w:pPr>
        <w:spacing w:line="360" w:lineRule="auto"/>
        <w:outlineLvl w:val="1"/>
        <w:rPr>
          <w:b/>
          <w:sz w:val="24"/>
        </w:rPr>
        <w:sectPr>
          <w:footerReference r:id="rId13"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sz w:val="24"/>
        </w:rPr>
      </w:pPr>
      <w:bookmarkStart w:id="343" w:name="_Toc16322"/>
      <w:bookmarkStart w:id="344" w:name="_Toc103677780"/>
      <w:r>
        <w:rPr>
          <w:rFonts w:hint="eastAsia" w:eastAsia="黑体"/>
          <w:sz w:val="28"/>
          <w:szCs w:val="28"/>
          <w:lang w:val="en-US" w:eastAsia="zh-CN"/>
        </w:rPr>
        <w:t>五</w:t>
      </w:r>
      <w:r>
        <w:rPr>
          <w:rFonts w:hint="eastAsia" w:eastAsia="黑体"/>
          <w:sz w:val="28"/>
          <w:szCs w:val="28"/>
        </w:rPr>
        <w:t>、</w:t>
      </w:r>
      <w:r>
        <w:rPr>
          <w:rFonts w:eastAsia="黑体"/>
          <w:sz w:val="28"/>
          <w:szCs w:val="28"/>
        </w:rPr>
        <w:t>质量保证承诺书</w:t>
      </w:r>
      <w:bookmarkEnd w:id="343"/>
      <w:bookmarkEnd w:id="344"/>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
        <w:spacing w:before="0" w:after="0" w:line="240" w:lineRule="auto"/>
        <w:rPr>
          <w:rFonts w:eastAsia="黑体"/>
          <w:sz w:val="28"/>
          <w:szCs w:val="28"/>
        </w:rPr>
      </w:pPr>
      <w:bookmarkStart w:id="345" w:name="_Toc207"/>
      <w:bookmarkStart w:id="346" w:name="_Toc103677781"/>
      <w:r>
        <w:rPr>
          <w:rFonts w:hint="eastAsia" w:eastAsia="黑体"/>
          <w:sz w:val="28"/>
          <w:szCs w:val="28"/>
          <w:lang w:val="en-US" w:eastAsia="zh-CN"/>
        </w:rPr>
        <w:t>六</w:t>
      </w:r>
      <w:r>
        <w:rPr>
          <w:rFonts w:hint="eastAsia" w:eastAsia="黑体"/>
          <w:sz w:val="28"/>
          <w:szCs w:val="28"/>
        </w:rPr>
        <w:t>、</w:t>
      </w:r>
      <w:r>
        <w:rPr>
          <w:rFonts w:eastAsia="黑体"/>
          <w:sz w:val="28"/>
          <w:szCs w:val="28"/>
        </w:rPr>
        <w:t>其他资料</w:t>
      </w:r>
      <w:bookmarkEnd w:id="345"/>
      <w:bookmarkEnd w:id="346"/>
    </w:p>
    <w:p>
      <w:pPr>
        <w:spacing w:line="360" w:lineRule="auto"/>
        <w:rPr>
          <w:sz w:val="24"/>
        </w:rPr>
      </w:pPr>
    </w:p>
    <w:p>
      <w:pPr>
        <w:spacing w:line="360" w:lineRule="auto"/>
        <w:rPr>
          <w:sz w:val="24"/>
        </w:rPr>
      </w:pPr>
      <w:r>
        <w:rPr>
          <w:sz w:val="24"/>
        </w:rPr>
        <w:t>招标文件中要求提交的其他技术资料，或投标人认为需要提供的其它说明和资料。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w:t>
      </w:r>
      <w:r>
        <w:rPr>
          <w:u w:val="single"/>
        </w:rPr>
        <w:t xml:space="preserve">                  </w:t>
      </w:r>
      <w:r>
        <w:t>（公章）</w:t>
      </w:r>
    </w:p>
    <w:p>
      <w:pPr>
        <w:spacing w:before="120" w:beforeLines="50" w:line="440" w:lineRule="exact"/>
        <w:ind w:left="1105" w:leftChars="526" w:firstLine="15"/>
      </w:pPr>
      <w:r>
        <w:t>法定代表人或其委托代理人：</w:t>
      </w:r>
      <w:r>
        <w:rPr>
          <w:u w:val="single"/>
        </w:rPr>
        <w:t xml:space="preserve">                        </w:t>
      </w:r>
      <w:r>
        <w:t>（签字或加盖人名章）</w:t>
      </w:r>
    </w:p>
    <w:p>
      <w:pPr>
        <w:spacing w:before="120" w:beforeLines="50" w:line="440" w:lineRule="exact"/>
        <w:ind w:left="1105" w:leftChars="526" w:firstLine="15"/>
        <w:rPr>
          <w:u w:val="single"/>
        </w:rPr>
      </w:pPr>
      <w:r>
        <w:t xml:space="preserve">日期： </w:t>
      </w:r>
      <w:r>
        <w:rPr>
          <w:u w:val="single"/>
        </w:rPr>
        <w:t xml:space="preserve">                      </w:t>
      </w:r>
    </w:p>
    <w:p>
      <w:pPr>
        <w:snapToGrid w:val="0"/>
        <w:spacing w:after="120" w:afterLines="50"/>
      </w:pPr>
    </w:p>
    <w:p>
      <w:pPr>
        <w:snapToGrid w:val="0"/>
        <w:spacing w:after="120" w:afterLines="50"/>
      </w:pPr>
    </w:p>
    <w:p>
      <w:pPr>
        <w:pStyle w:val="19"/>
        <w:tabs>
          <w:tab w:val="left" w:pos="567"/>
        </w:tabs>
        <w:rPr>
          <w:rFonts w:eastAsia="黑体"/>
          <w:i/>
        </w:rPr>
      </w:pPr>
    </w:p>
    <w:p>
      <w:pPr>
        <w:snapToGrid w:val="0"/>
        <w:spacing w:after="120" w:afterLines="50"/>
      </w:pPr>
    </w:p>
    <w:p>
      <w:pPr>
        <w:spacing w:line="360" w:lineRule="auto"/>
        <w:jc w:val="center"/>
        <w:outlineLvl w:val="0"/>
        <w:rPr>
          <w:kern w:val="0"/>
          <w:sz w:val="32"/>
          <w:szCs w:val="32"/>
        </w:rPr>
      </w:pPr>
      <w:r>
        <w:br w:type="page"/>
      </w:r>
      <w:bookmarkStart w:id="347" w:name="_Toc103677782"/>
      <w:bookmarkStart w:id="348" w:name="_Toc32087"/>
      <w:bookmarkStart w:id="349" w:name="_Toc30681"/>
      <w:r>
        <w:rPr>
          <w:kern w:val="0"/>
          <w:sz w:val="32"/>
          <w:szCs w:val="32"/>
        </w:rPr>
        <w:t>第七章 其它</w:t>
      </w:r>
      <w:bookmarkEnd w:id="347"/>
      <w:bookmarkEnd w:id="348"/>
      <w:bookmarkEnd w:id="349"/>
      <w:r>
        <w:rPr>
          <w:kern w:val="0"/>
          <w:sz w:val="32"/>
          <w:szCs w:val="32"/>
        </w:rPr>
        <w:t xml:space="preserve"> </w:t>
      </w:r>
    </w:p>
    <w:p>
      <w:pPr>
        <w:tabs>
          <w:tab w:val="left" w:pos="3552"/>
        </w:tabs>
        <w:snapToGrid w:val="0"/>
        <w:spacing w:after="120" w:afterLines="50"/>
      </w:pPr>
      <w:r>
        <w:tab/>
      </w:r>
    </w:p>
    <w:p>
      <w:pPr>
        <w:jc w:val="center"/>
        <w:rPr>
          <w:b/>
          <w:bCs/>
          <w:sz w:val="28"/>
          <w:szCs w:val="28"/>
        </w:rPr>
      </w:pPr>
      <w:r>
        <w:rPr>
          <w:b/>
          <w:bCs/>
          <w:sz w:val="28"/>
          <w:szCs w:val="28"/>
        </w:rPr>
        <w:t>质疑函范本</w:t>
      </w:r>
    </w:p>
    <w:p>
      <w:pPr>
        <w:adjustRightInd w:val="0"/>
        <w:snapToGrid w:val="0"/>
        <w:spacing w:before="240" w:beforeLines="100" w:line="360" w:lineRule="auto"/>
        <w:rPr>
          <w:bCs/>
          <w:sz w:val="24"/>
        </w:rPr>
      </w:pPr>
      <w:r>
        <w:rPr>
          <w:bCs/>
          <w:sz w:val="24"/>
        </w:rPr>
        <w:t>一、质疑供应商基本信息</w:t>
      </w:r>
    </w:p>
    <w:p>
      <w:pPr>
        <w:adjustRightInd w:val="0"/>
        <w:snapToGrid w:val="0"/>
        <w:spacing w:line="360" w:lineRule="auto"/>
        <w:rPr>
          <w:sz w:val="24"/>
          <w:u w:val="dotted"/>
        </w:rPr>
      </w:pPr>
      <w:r>
        <w:rPr>
          <w:sz w:val="24"/>
        </w:rPr>
        <w:t>质疑供应商：</w:t>
      </w:r>
      <w:r>
        <w:rPr>
          <w:sz w:val="24"/>
          <w:u w:val="dotted"/>
        </w:rPr>
        <w:t xml:space="preserve">                                        </w:t>
      </w:r>
    </w:p>
    <w:p>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pPr>
        <w:adjustRightInd w:val="0"/>
        <w:snapToGrid w:val="0"/>
        <w:spacing w:line="360" w:lineRule="auto"/>
        <w:rPr>
          <w:sz w:val="24"/>
          <w:u w:val="dotted"/>
        </w:rPr>
      </w:pPr>
      <w:r>
        <w:rPr>
          <w:sz w:val="24"/>
        </w:rPr>
        <w:t>授权代表：</w:t>
      </w:r>
      <w:r>
        <w:rPr>
          <w:sz w:val="24"/>
          <w:u w:val="dotted"/>
        </w:rPr>
        <w:t xml:space="preserve">                                          </w:t>
      </w:r>
    </w:p>
    <w:p>
      <w:pPr>
        <w:adjustRightInd w:val="0"/>
        <w:snapToGrid w:val="0"/>
        <w:spacing w:line="360" w:lineRule="auto"/>
        <w:rPr>
          <w:sz w:val="24"/>
        </w:rPr>
      </w:pPr>
      <w:r>
        <w:rPr>
          <w:sz w:val="24"/>
        </w:rPr>
        <w:t>联系电话：</w:t>
      </w:r>
      <w:r>
        <w:rPr>
          <w:sz w:val="24"/>
          <w:u w:val="dotted"/>
        </w:rPr>
        <w:t xml:space="preserve">                                           </w:t>
      </w:r>
      <w:r>
        <w:rPr>
          <w:sz w:val="24"/>
        </w:rPr>
        <w:t xml:space="preserve"> </w:t>
      </w:r>
    </w:p>
    <w:p>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pPr>
        <w:adjustRightInd w:val="0"/>
        <w:snapToGrid w:val="0"/>
        <w:spacing w:line="360" w:lineRule="auto"/>
        <w:rPr>
          <w:bCs/>
          <w:sz w:val="24"/>
        </w:rPr>
      </w:pPr>
      <w:r>
        <w:rPr>
          <w:bCs/>
          <w:sz w:val="24"/>
        </w:rPr>
        <w:t>二、质疑项目基本情况</w:t>
      </w:r>
    </w:p>
    <w:p>
      <w:pPr>
        <w:adjustRightInd w:val="0"/>
        <w:snapToGrid w:val="0"/>
        <w:spacing w:line="360" w:lineRule="auto"/>
        <w:rPr>
          <w:sz w:val="24"/>
        </w:rPr>
      </w:pPr>
      <w:r>
        <w:rPr>
          <w:sz w:val="24"/>
        </w:rPr>
        <w:t>质疑项目的名称：</w:t>
      </w:r>
      <w:r>
        <w:rPr>
          <w:sz w:val="24"/>
          <w:u w:val="dotted"/>
        </w:rPr>
        <w:t xml:space="preserve">                                      </w:t>
      </w:r>
    </w:p>
    <w:p>
      <w:pPr>
        <w:adjustRightInd w:val="0"/>
        <w:snapToGrid w:val="0"/>
        <w:spacing w:line="360" w:lineRule="auto"/>
        <w:rPr>
          <w:sz w:val="24"/>
        </w:rPr>
      </w:pPr>
      <w:r>
        <w:rPr>
          <w:sz w:val="24"/>
        </w:rPr>
        <w:t>质疑项目的编号：</w:t>
      </w:r>
      <w:r>
        <w:rPr>
          <w:sz w:val="24"/>
          <w:u w:val="dotted"/>
        </w:rPr>
        <w:t xml:space="preserve">               </w:t>
      </w:r>
      <w:r>
        <w:rPr>
          <w:szCs w:val="21"/>
        </w:rPr>
        <w:t>标项</w:t>
      </w:r>
      <w:r>
        <w:rPr>
          <w:sz w:val="24"/>
        </w:rPr>
        <w:t>号：</w:t>
      </w:r>
      <w:r>
        <w:rPr>
          <w:sz w:val="24"/>
          <w:u w:val="dotted"/>
        </w:rPr>
        <w:t xml:space="preserve">                 </w:t>
      </w:r>
    </w:p>
    <w:p>
      <w:pPr>
        <w:adjustRightInd w:val="0"/>
        <w:snapToGrid w:val="0"/>
        <w:spacing w:line="360" w:lineRule="auto"/>
        <w:rPr>
          <w:sz w:val="24"/>
          <w:u w:val="dotted"/>
        </w:rPr>
      </w:pPr>
      <w:r>
        <w:rPr>
          <w:sz w:val="24"/>
        </w:rPr>
        <w:t>采购人名称：</w:t>
      </w:r>
      <w:r>
        <w:rPr>
          <w:sz w:val="24"/>
          <w:u w:val="dotted"/>
        </w:rPr>
        <w:t xml:space="preserve">                                         </w:t>
      </w:r>
    </w:p>
    <w:p>
      <w:pPr>
        <w:adjustRightInd w:val="0"/>
        <w:snapToGrid w:val="0"/>
        <w:spacing w:line="360" w:lineRule="auto"/>
        <w:rPr>
          <w:sz w:val="24"/>
        </w:rPr>
      </w:pPr>
      <w:r>
        <w:rPr>
          <w:sz w:val="24"/>
        </w:rPr>
        <w:t>招标文件获取日期：</w:t>
      </w:r>
      <w:r>
        <w:rPr>
          <w:sz w:val="24"/>
          <w:u w:val="dotted"/>
        </w:rPr>
        <w:t xml:space="preserve">                                           </w:t>
      </w:r>
    </w:p>
    <w:p>
      <w:pPr>
        <w:adjustRightInd w:val="0"/>
        <w:snapToGrid w:val="0"/>
        <w:spacing w:line="360" w:lineRule="auto"/>
        <w:rPr>
          <w:bCs/>
          <w:sz w:val="24"/>
        </w:rPr>
      </w:pPr>
      <w:r>
        <w:rPr>
          <w:bCs/>
          <w:sz w:val="24"/>
        </w:rPr>
        <w:t>三、质疑事项具体内容</w:t>
      </w:r>
    </w:p>
    <w:p>
      <w:pPr>
        <w:adjustRightInd w:val="0"/>
        <w:snapToGrid w:val="0"/>
        <w:spacing w:line="360" w:lineRule="auto"/>
        <w:rPr>
          <w:sz w:val="24"/>
          <w:u w:val="dotted"/>
        </w:rPr>
      </w:pPr>
      <w:r>
        <w:rPr>
          <w:sz w:val="24"/>
        </w:rPr>
        <w:t>质疑事项1：</w:t>
      </w:r>
      <w:r>
        <w:rPr>
          <w:sz w:val="24"/>
          <w:u w:val="dotted"/>
        </w:rPr>
        <w:t xml:space="preserve">                                         </w:t>
      </w:r>
    </w:p>
    <w:p>
      <w:pPr>
        <w:adjustRightInd w:val="0"/>
        <w:snapToGrid w:val="0"/>
        <w:spacing w:line="360" w:lineRule="auto"/>
        <w:rPr>
          <w:sz w:val="24"/>
          <w:u w:val="dotted"/>
        </w:rPr>
      </w:pPr>
      <w:r>
        <w:rPr>
          <w:sz w:val="24"/>
        </w:rPr>
        <w:t>事实依据：</w:t>
      </w:r>
      <w:r>
        <w:rPr>
          <w:sz w:val="24"/>
          <w:u w:val="dotted"/>
        </w:rPr>
        <w:t xml:space="preserve">                                          </w:t>
      </w:r>
    </w:p>
    <w:p>
      <w:pPr>
        <w:adjustRightInd w:val="0"/>
        <w:snapToGrid w:val="0"/>
        <w:spacing w:line="360" w:lineRule="auto"/>
        <w:rPr>
          <w:sz w:val="24"/>
        </w:rPr>
      </w:pPr>
      <w:r>
        <w:rPr>
          <w:sz w:val="24"/>
          <w:u w:val="dotted"/>
        </w:rPr>
        <w:t xml:space="preserve">                                                       </w:t>
      </w:r>
    </w:p>
    <w:p>
      <w:pPr>
        <w:adjustRightInd w:val="0"/>
        <w:snapToGrid w:val="0"/>
        <w:spacing w:line="360" w:lineRule="auto"/>
        <w:rPr>
          <w:sz w:val="24"/>
          <w:u w:val="dotted"/>
        </w:rPr>
      </w:pPr>
      <w:r>
        <w:rPr>
          <w:sz w:val="24"/>
        </w:rPr>
        <w:t>法律依据：</w:t>
      </w:r>
      <w:r>
        <w:rPr>
          <w:sz w:val="24"/>
          <w:u w:val="dotted"/>
        </w:rPr>
        <w:t xml:space="preserve">                                          </w:t>
      </w:r>
    </w:p>
    <w:p>
      <w:pPr>
        <w:adjustRightInd w:val="0"/>
        <w:snapToGrid w:val="0"/>
        <w:spacing w:line="360" w:lineRule="auto"/>
        <w:rPr>
          <w:sz w:val="24"/>
          <w:u w:val="dotted"/>
        </w:rPr>
      </w:pPr>
      <w:r>
        <w:rPr>
          <w:sz w:val="24"/>
          <w:u w:val="dotted"/>
        </w:rPr>
        <w:t xml:space="preserve">                                                     </w:t>
      </w:r>
    </w:p>
    <w:p>
      <w:pPr>
        <w:adjustRightInd w:val="0"/>
        <w:snapToGrid w:val="0"/>
        <w:spacing w:line="360" w:lineRule="auto"/>
        <w:rPr>
          <w:sz w:val="24"/>
          <w:u w:val="dotted"/>
        </w:rPr>
      </w:pPr>
      <w:r>
        <w:rPr>
          <w:sz w:val="24"/>
        </w:rPr>
        <w:t>质疑事项2</w:t>
      </w:r>
    </w:p>
    <w:p>
      <w:pPr>
        <w:adjustRightInd w:val="0"/>
        <w:snapToGrid w:val="0"/>
        <w:spacing w:line="360" w:lineRule="auto"/>
        <w:rPr>
          <w:sz w:val="24"/>
        </w:rPr>
      </w:pPr>
      <w:r>
        <w:rPr>
          <w:sz w:val="24"/>
        </w:rPr>
        <w:t>……</w:t>
      </w:r>
    </w:p>
    <w:p>
      <w:pPr>
        <w:snapToGrid w:val="0"/>
        <w:spacing w:after="120" w:afterLines="50"/>
        <w:rPr>
          <w:sz w:val="24"/>
        </w:rPr>
      </w:pPr>
      <w:r>
        <w:rPr>
          <w:bCs/>
          <w:sz w:val="24"/>
        </w:rPr>
        <w:t>四、与质疑事项相关的质疑请求</w:t>
      </w:r>
    </w:p>
    <w:p>
      <w:pPr>
        <w:adjustRightInd w:val="0"/>
        <w:snapToGrid w:val="0"/>
        <w:spacing w:line="360" w:lineRule="auto"/>
        <w:rPr>
          <w:sz w:val="24"/>
          <w:u w:val="dotted"/>
        </w:rPr>
      </w:pPr>
      <w:r>
        <w:rPr>
          <w:sz w:val="24"/>
        </w:rPr>
        <w:t>请求：</w:t>
      </w:r>
      <w:r>
        <w:rPr>
          <w:sz w:val="24"/>
          <w:u w:val="dotted"/>
        </w:rPr>
        <w:t xml:space="preserve">                                               </w:t>
      </w:r>
    </w:p>
    <w:p>
      <w:pPr>
        <w:rPr>
          <w:sz w:val="24"/>
        </w:rPr>
      </w:pPr>
      <w:r>
        <w:rPr>
          <w:sz w:val="24"/>
        </w:rPr>
        <w:t xml:space="preserve">签字(签章)：                   公章：                      </w:t>
      </w:r>
    </w:p>
    <w:p>
      <w:pPr>
        <w:rPr>
          <w:sz w:val="24"/>
        </w:rPr>
      </w:pPr>
      <w:r>
        <w:rPr>
          <w:sz w:val="24"/>
        </w:rPr>
        <w:t xml:space="preserve">日期：    </w:t>
      </w:r>
    </w:p>
    <w:p>
      <w:pPr>
        <w:adjustRightInd w:val="0"/>
        <w:snapToGrid w:val="0"/>
        <w:spacing w:line="360" w:lineRule="auto"/>
        <w:rPr>
          <w:sz w:val="24"/>
        </w:rPr>
      </w:pPr>
    </w:p>
    <w:p>
      <w:pPr>
        <w:rPr>
          <w:bCs/>
          <w:sz w:val="24"/>
        </w:rPr>
      </w:pPr>
      <w:r>
        <w:rPr>
          <w:sz w:val="24"/>
        </w:rPr>
        <w:br w:type="page"/>
      </w:r>
      <w:r>
        <w:rPr>
          <w:bCs/>
          <w:sz w:val="24"/>
        </w:rPr>
        <w:t>质疑函制作说明：</w:t>
      </w:r>
    </w:p>
    <w:p>
      <w:pPr>
        <w:widowControl/>
        <w:ind w:firstLine="480" w:firstLineChars="200"/>
        <w:jc w:val="left"/>
        <w:rPr>
          <w:bCs/>
          <w:sz w:val="24"/>
        </w:rPr>
      </w:pPr>
      <w:r>
        <w:rPr>
          <w:bCs/>
          <w:sz w:val="24"/>
        </w:rPr>
        <w:t>1.供应商提出质疑时，应提交质疑函和必要的证明材料。</w:t>
      </w:r>
    </w:p>
    <w:p>
      <w:pPr>
        <w:widowControl/>
        <w:ind w:firstLine="480" w:firstLineChars="200"/>
        <w:jc w:val="left"/>
        <w:rPr>
          <w:bCs/>
          <w:sz w:val="24"/>
        </w:rPr>
      </w:pPr>
      <w:r>
        <w:rPr>
          <w:bCs/>
          <w:sz w:val="24"/>
        </w:rPr>
        <w:t>2.质疑供应商若委托代理人进行质疑的，质疑函应按要求列明“授权代表”的有关内容，并在附件中提交由质疑</w:t>
      </w:r>
      <w:r>
        <w:rPr>
          <w:bCs/>
          <w:kern w:val="0"/>
          <w:sz w:val="24"/>
        </w:rPr>
        <w:t>供应商签署的授权委托书。授权委托书应载明代理人的姓名或者名称、代理事项、具体权限、期限和相关事项。</w:t>
      </w:r>
    </w:p>
    <w:p>
      <w:pPr>
        <w:widowControl/>
        <w:ind w:firstLine="480" w:firstLineChars="200"/>
        <w:jc w:val="left"/>
        <w:rPr>
          <w:bCs/>
          <w:sz w:val="24"/>
        </w:rPr>
      </w:pPr>
      <w:r>
        <w:rPr>
          <w:bCs/>
          <w:sz w:val="24"/>
        </w:rPr>
        <w:t>3.质疑供应商若对项目的某一分包进行质疑，质疑函中应列明具体分包号。</w:t>
      </w:r>
    </w:p>
    <w:p>
      <w:pPr>
        <w:widowControl/>
        <w:ind w:firstLine="480" w:firstLineChars="200"/>
        <w:jc w:val="left"/>
        <w:rPr>
          <w:bCs/>
          <w:sz w:val="24"/>
        </w:rPr>
      </w:pPr>
      <w:r>
        <w:rPr>
          <w:bCs/>
          <w:sz w:val="24"/>
        </w:rPr>
        <w:t>4.质疑函的质疑事项应具体、明确，并有必要的事实依据和法律依据。</w:t>
      </w:r>
    </w:p>
    <w:p>
      <w:pPr>
        <w:widowControl/>
        <w:ind w:firstLine="480" w:firstLineChars="200"/>
        <w:jc w:val="left"/>
        <w:rPr>
          <w:bCs/>
          <w:sz w:val="24"/>
        </w:rPr>
      </w:pPr>
      <w:r>
        <w:rPr>
          <w:bCs/>
          <w:sz w:val="24"/>
        </w:rPr>
        <w:t>5.质疑函的质疑请求应与质疑事项相关。</w:t>
      </w:r>
    </w:p>
    <w:p>
      <w:pPr>
        <w:widowControl/>
        <w:ind w:firstLine="480" w:firstLineChars="200"/>
        <w:jc w:val="left"/>
        <w:rPr>
          <w:bCs/>
          <w:sz w:val="24"/>
        </w:rPr>
      </w:pPr>
      <w:r>
        <w:rPr>
          <w:bCs/>
          <w:sz w:val="24"/>
        </w:rPr>
        <w:t>6.质疑供应商为自然人的，质疑函应由本人签字；质疑供应商为法人或者其他组织的，质疑函应由法定代表人、主要负责人，或者其授权代表签字或者盖章，并加盖公章。</w:t>
      </w:r>
    </w:p>
    <w:p>
      <w:pPr>
        <w:snapToGrid w:val="0"/>
        <w:spacing w:after="120" w:afterLines="50"/>
        <w:rPr>
          <w:sz w:val="24"/>
        </w:rPr>
      </w:pPr>
    </w:p>
    <w:p>
      <w:pPr>
        <w:snapToGrid w:val="0"/>
        <w:spacing w:after="120" w:afterLines="50"/>
        <w:rPr>
          <w:sz w:val="24"/>
        </w:rPr>
      </w:pPr>
    </w:p>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z-index:251660288;mso-width-relative:page;mso-height-relative:page;" filled="f" stroked="f" coordsize="21600,21600" o:gfxdata="UEsDBAoAAAAAAIdO4kAAAAAAAAAAAAAAAAAEAAAAZHJzL1BLAwQUAAAACACHTuJA3RRYatMAAAAG&#10;AQAADwAAAGRycy9kb3ducmV2LnhtbE2PMU/DMBCFdyT+g3VILKh1HKQ2pHE6IFjYKCxsbnwkUe1z&#10;FLtJ6K/nOsH2nt7pve+q/eKdmHCMfSANap2BQGqC7anV8PnxuipAxGTIGhcINfxghH19e1OZ0oaZ&#10;3nE6pFZwCcXSaOhSGkopY9OhN3EdBiTOvsPoTWI7ttKOZuZy72SeZRvpTU+80JkBnztsToez17BZ&#10;XoaHtyfM50vjJvq6KJVQaX1/p7IdiIRL+juGKz6jQ81Mx3AmG4XTwI8kDatHEBzmRcH+eBXbLci6&#10;kv/x619QSwMEFAAAAAgAh07iQC1xNSvDAQAAjwMAAA4AAABkcnMvZTJvRG9jLnhtbK1TzY7TMBC+&#10;I/EOlu/U2UqLqqjpClTtCgkB0sIDuI7dWPLfetwmfQF4A05cuPNcfQ7GTtKF5bIHLs54ZvzNfN9M&#10;1jeDNeQoI2jvGnq1qCiRTvhWu31Dv3y+fbWiBBJ3LTfeyYaeJNCbzcsX6z7Ucuk7b1oZCYI4qPvQ&#10;0C6lUDMGopOWw8IH6TCofLQ84TXuWRt5j+jWsGVVvWa9j22IXkgA9G7HIJ0Q43MAvVJayK0XBytd&#10;GlGjNDwhJeh0ALop3SolRfqoFMhETEORaSonFkF7l0+2WfN6H3notJha4M9p4Qkny7XDoheoLU+c&#10;HKL+B8pqET14lRbCWzYSKYogi6vqiTb3HQ+ycEGpIVxEh/8HKz4cP0Wi24ZeU+K4xYGfv387//h1&#10;/vmVXGd5+gA1Zt0HzEvDWz/g0sx+QGdmPaho8xf5EIyjuKeLuHJIRORHq+VqVWFIYGy+ID57fB4i&#10;pDvpLclGQyNOr4jKj+8hjalzSq7m/K02pkzQuL8ciJk9LPc+9pitNOyGidDOtyfk0+PgGwoPBx4l&#10;JeadQ2XzlsxGnI3dZOQqEN4cEpYuHWXcEWwqh3MqnKadyovw571kPf5H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FFhq0wAAAAYBAAAPAAAAAAAAAAEAIAAAACIAAABkcnMvZG93bnJldi54bWxQ&#10;SwECFAAUAAAACACHTuJALXE1K8MBAACPAwAADgAAAAAAAAABACAAAAAiAQAAZHJzL2Uyb0RvYy54&#10;bWxQSwUGAAAAAAYABgBZAQAAVwUAAAAA&#10;">
              <v:fill on="f" focussize="0,0"/>
              <v:stroke on="f"/>
              <v:imagedata o:title=""/>
              <o:lock v:ext="edit" aspectratio="f"/>
              <v:textbox inset="0mm,0mm,0mm,0mm" style="mso-fit-shape-to-text:t;">
                <w:txbxContent>
                  <w:p>
                    <w:pPr>
                      <w:pStyle w:val="29"/>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9"/>
      <w:rPr>
        <w:rFonts w:eastAsia="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both"/>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jc w:val="both"/>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7MLc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vr&#10;3J4+QI1ZDwHz0nDnB0yd/YDOrHpQ0eYv6iEYx+aer82VQyIiP1qv1usKQwJj8wXx2ePzECG9ld6S&#10;bDQ04vRKU/npPaQxdU7J1Zy/18aUCRr3lwMxs4dl7iPHbKVhP0yC9r49o54eB99Qh3tOiXnnsK95&#10;R2YjzsZ+No4h6kOH1JaFF4TbY0IShVuuMMJOhXFiRd20XXkl/ryXrM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sezC3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FpRMgBAACY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1/n&#10;7vQBakx6CJiWhjs/4M7MfkBnFj2oaPMX5RCMY2/P197KIRGRH61X63WFIYGx+YL47PF5iJDeSm9J&#10;NhoacXilp/z0HtKYOqfkas7fa2PKAI37y4GY2cMy95FjttKwHyZBe9+eUU+Pc2+owzWnxLxz2Na8&#10;IrMRZ2M/G8cQ9aFDasvCC8LtMSGJwi1XGGGnwjiwom5arrwRf95L1u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RaUT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Ehj8gBAACY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bBIY/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52</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v+ncg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3BDieMWJ3758f3y8/fl17eb&#10;3J4+QI1Z9wHz0vDWD5g6+wGdWfWgos1f1EMwjs09X5srh0REfrRerdcVhgTG5gvis4fnIUJ6J70l&#10;2WhoxOmVpvLTB0hj6pySqzl/p40pEzTuLwdiZg/L3EeO2UrDfpgE7X17Rj09Dr6hDvecEvPeYV/z&#10;jsxGnI39bBxD1IcOqS0LLwhvjglJFG65wgg7FcaJFXXTduWVeHwvWQ9/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F7/p3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r>
      <w:rPr>
        <w:rFonts w:hint="eastAsia"/>
      </w:rPr>
      <w:t>72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9080" cy="1828800"/>
              <wp:effectExtent l="0" t="0" r="0" b="0"/>
              <wp:wrapNone/>
              <wp:docPr id="10"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pt;height:144pt;width:20.4pt;mso-position-horizontal:center;mso-position-horizontal-relative:margin;z-index:251661312;mso-width-relative:page;mso-height-relative:page;" filled="f" stroked="f" coordsize="21600,21600" o:gfxdata="UEsDBAoAAAAAAIdO4kAAAAAAAAAAAAAAAAAEAAAAZHJzL1BLAwQUAAAACACHTuJAwlbDgNIAAAAE&#10;AQAADwAAAGRycy9kb3ducmV2LnhtbE2PsU7EMBBEeyT+wVokGsTZjtAphDhXIGjoOGiu88VLEmGv&#10;o9iXhPt6FhpoRlrNauZNvVuDFzNOaYhkQG8UCKQ2uoE6A+9vz7cliJQtOesjoYEvTLBrLi9qW7m4&#10;0CvO+9wJDqFUWQN9zmMlZWp7DDZt4ojE3kecgs18Tp10k104PHhZKLWVwQ7EDb0d8bHH9nN/Cga2&#10;69N483KPxXJu/UyHs9YZtTHXV1o9gMi45r9n+MFndGiY6RhP5JLwBnhI/lX27hSvOBooylKBbGr5&#10;H775BlBLAwQUAAAACACHTuJAy8qrkc8BAACaAwAADgAAAGRycy9lMm9Eb2MueG1srVNLbtswEN0X&#10;6B0I7mPJBlKoguWghZGiQNEWSHMAmqIsAvyFQ1nyBdobdNVN9z2Xz9EhJTm/TRbZUKOZ0Zv33lDr&#10;q0ErchAepDUVXS5ySoThtpZmX9HbH9cXBSUQmKmZskZU9CiAXm3evln3rhQr21pVC08QxEDZu4q2&#10;Ibgyy4C3QjNYWCcMFhvrNQv46vdZ7VmP6Fplqzx/l/XW185bLgAwux2LdEL0LwG0TSO52FreaWHC&#10;iOqFYgElQSsd0E1i2zSCh29NAyIQVVFUGtKJQzDexTPbrFm598y1kk8U2EsoPNGkmTQ49Ay1ZYGR&#10;zstnUFpyb8E2YcGtzkYhyRFUscyfeHPTMieSFrQa3Nl0eD1Y/vXw3RNZ401ASwzTuPHT71+nP/9O&#10;f39eRnt6ByV23TjsC8NHO2DrnAdMRtVD43V8oh6CdUQ6ns0VQyAck6vL93mBFY6lZbEqijy5n91/&#10;7TyET8JqEoOKelxe8pQdvkBAJtg6t8Rhxl5LpdIClXmUwMaYySL1kWKMwrAbJj07Wx9RTo97ryjc&#10;dcwLStRng8YiwzAHfg52c9A5L/ctklsmZuA+dAFpJHZxxgg8jcaVJdLT9Yp34uF76rr/pTb/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JWw4DSAAAABAEAAA8AAAAAAAAAAQAgAAAAIgAAAGRycy9k&#10;b3ducmV2LnhtbFBLAQIUABQAAAAIAIdO4kDLyquRzwEAAJoDAAAOAAAAAAAAAAEAIAAAACE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pPr>
    <w:r>
      <w:rPr>
        <w:rFonts w:hint="eastAsia"/>
        <w:lang w:eastAsia="zh-CN"/>
      </w:rPr>
      <w:t>新疆财经大学公共管理应急虚拟仿真综合实验平台建设项目</w:t>
    </w:r>
    <w:r>
      <w:t xml:space="preserve">                 </w:t>
    </w:r>
    <w:r>
      <w:rPr>
        <w:rFonts w:hint="eastAsia"/>
        <w:lang w:val="en-US" w:eastAsia="zh-CN"/>
      </w:rPr>
      <w:t xml:space="preserve">     </w:t>
    </w:r>
    <w:r>
      <w:t xml:space="preserve"> </w:t>
    </w:r>
    <w:r>
      <w:rPr>
        <w:rFonts w:hint="eastAsia"/>
        <w:lang w:val="en-US" w:eastAsia="zh-CN"/>
      </w:rPr>
      <w:t xml:space="preserve">     </w:t>
    </w:r>
    <w:r>
      <w:t xml:space="preserve">      </w:t>
    </w:r>
  </w:p>
  <w:p>
    <w:pPr>
      <w:pStyle w:val="30"/>
      <w:jc w:val="left"/>
    </w:pP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F1D69"/>
    <w:multiLevelType w:val="singleLevel"/>
    <w:tmpl w:val="C10F1D69"/>
    <w:lvl w:ilvl="0" w:tentative="0">
      <w:start w:val="1"/>
      <w:numFmt w:val="decimal"/>
      <w:suff w:val="nothing"/>
      <w:lvlText w:val="%1、"/>
      <w:lvlJc w:val="left"/>
    </w:lvl>
  </w:abstractNum>
  <w:abstractNum w:abstractNumId="1">
    <w:nsid w:val="DABC7975"/>
    <w:multiLevelType w:val="singleLevel"/>
    <w:tmpl w:val="DABC7975"/>
    <w:lvl w:ilvl="0" w:tentative="0">
      <w:start w:val="2"/>
      <w:numFmt w:val="chineseCounting"/>
      <w:suff w:val="space"/>
      <w:lvlText w:val="第%1章"/>
      <w:lvlJc w:val="left"/>
      <w:rPr>
        <w:rFonts w:hint="eastAsia"/>
      </w:rPr>
    </w:lvl>
  </w:abstractNum>
  <w:abstractNum w:abstractNumId="2">
    <w:nsid w:val="0000000A"/>
    <w:multiLevelType w:val="multilevel"/>
    <w:tmpl w:val="0000000A"/>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4">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5">
    <w:nsid w:val="0000000E"/>
    <w:multiLevelType w:val="multilevel"/>
    <w:tmpl w:val="0000000E"/>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7">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8">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B"/>
    <w:multiLevelType w:val="multilevel"/>
    <w:tmpl w:val="0000001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0000001C"/>
    <w:multiLevelType w:val="multilevel"/>
    <w:tmpl w:val="0000001C"/>
    <w:lvl w:ilvl="0" w:tentative="0">
      <w:start w:val="1"/>
      <w:numFmt w:val="decimal"/>
      <w:lvlText w:val="（%1）"/>
      <w:lvlJc w:val="left"/>
      <w:pPr>
        <w:ind w:left="1441" w:hanging="420"/>
      </w:pPr>
      <w:rPr>
        <w:rFonts w:hint="eastAsia"/>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1">
    <w:nsid w:val="0BDB8CF7"/>
    <w:multiLevelType w:val="singleLevel"/>
    <w:tmpl w:val="0BDB8CF7"/>
    <w:lvl w:ilvl="0" w:tentative="0">
      <w:start w:val="1"/>
      <w:numFmt w:val="decimal"/>
      <w:suff w:val="nothing"/>
      <w:lvlText w:val="%1、"/>
      <w:lvlJc w:val="left"/>
    </w:lvl>
  </w:abstractNum>
  <w:abstractNum w:abstractNumId="12">
    <w:nsid w:val="2B4E197E"/>
    <w:multiLevelType w:val="multilevel"/>
    <w:tmpl w:val="2B4E197E"/>
    <w:lvl w:ilvl="0" w:tentative="0">
      <w:start w:val="4"/>
      <w:numFmt w:val="decimal"/>
      <w:lvlText w:val="%1"/>
      <w:lvlJc w:val="left"/>
      <w:pPr>
        <w:tabs>
          <w:tab w:val="left" w:pos="1134"/>
        </w:tabs>
        <w:ind w:left="1134" w:hanging="1134"/>
      </w:pPr>
      <w:rPr>
        <w:rFonts w:hint="eastAsia" w:ascii="宋体" w:eastAsia="宋体"/>
        <w:sz w:val="24"/>
        <w:szCs w:val="24"/>
      </w:rPr>
    </w:lvl>
    <w:lvl w:ilvl="1" w:tentative="0">
      <w:start w:val="3"/>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533A20A9"/>
    <w:multiLevelType w:val="multilevel"/>
    <w:tmpl w:val="533A20A9"/>
    <w:lvl w:ilvl="0" w:tentative="0">
      <w:start w:val="4"/>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3"/>
  </w:num>
  <w:num w:numId="2">
    <w:abstractNumId w:val="1"/>
  </w:num>
  <w:num w:numId="3">
    <w:abstractNumId w:val="0"/>
  </w:num>
  <w:num w:numId="4">
    <w:abstractNumId w:val="3"/>
  </w:num>
  <w:num w:numId="5">
    <w:abstractNumId w:val="9"/>
  </w:num>
  <w:num w:numId="6">
    <w:abstractNumId w:val="2"/>
  </w:num>
  <w:num w:numId="7">
    <w:abstractNumId w:val="6"/>
  </w:num>
  <w:num w:numId="8">
    <w:abstractNumId w:val="7"/>
  </w:num>
  <w:num w:numId="9">
    <w:abstractNumId w:val="4"/>
  </w:num>
  <w:num w:numId="10">
    <w:abstractNumId w:val="14"/>
  </w:num>
  <w:num w:numId="11">
    <w:abstractNumId w:val="12"/>
  </w:num>
  <w:num w:numId="12">
    <w:abstractNumId w:val="10"/>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wNTFmZTkwNjQ0Y2FjYjQyMWExOGRkYzQ4N2ZiNmYifQ=="/>
  </w:docVars>
  <w:rsids>
    <w:rsidRoot w:val="00172A27"/>
    <w:rsid w:val="00000A9B"/>
    <w:rsid w:val="00001C32"/>
    <w:rsid w:val="00005472"/>
    <w:rsid w:val="00006FBD"/>
    <w:rsid w:val="000078C3"/>
    <w:rsid w:val="0001143A"/>
    <w:rsid w:val="000246F1"/>
    <w:rsid w:val="000247EC"/>
    <w:rsid w:val="00025F22"/>
    <w:rsid w:val="000319EE"/>
    <w:rsid w:val="00033E05"/>
    <w:rsid w:val="000404B0"/>
    <w:rsid w:val="00045943"/>
    <w:rsid w:val="000512E4"/>
    <w:rsid w:val="00055F5F"/>
    <w:rsid w:val="00060AB3"/>
    <w:rsid w:val="00066230"/>
    <w:rsid w:val="000701CC"/>
    <w:rsid w:val="00071BC6"/>
    <w:rsid w:val="000751AC"/>
    <w:rsid w:val="00083507"/>
    <w:rsid w:val="00086400"/>
    <w:rsid w:val="000922F9"/>
    <w:rsid w:val="00093A7A"/>
    <w:rsid w:val="000A2161"/>
    <w:rsid w:val="000A25B2"/>
    <w:rsid w:val="000A3210"/>
    <w:rsid w:val="000A4E8D"/>
    <w:rsid w:val="000B06BA"/>
    <w:rsid w:val="000B10D7"/>
    <w:rsid w:val="000B2A55"/>
    <w:rsid w:val="000B2D07"/>
    <w:rsid w:val="000D047B"/>
    <w:rsid w:val="000D11AD"/>
    <w:rsid w:val="000D15B7"/>
    <w:rsid w:val="000E0B41"/>
    <w:rsid w:val="000E1D5B"/>
    <w:rsid w:val="000E3EAE"/>
    <w:rsid w:val="000E4220"/>
    <w:rsid w:val="000E704A"/>
    <w:rsid w:val="000F2553"/>
    <w:rsid w:val="000F3552"/>
    <w:rsid w:val="00100DED"/>
    <w:rsid w:val="00102058"/>
    <w:rsid w:val="0010428F"/>
    <w:rsid w:val="00104C63"/>
    <w:rsid w:val="00104D9A"/>
    <w:rsid w:val="00105968"/>
    <w:rsid w:val="00105F45"/>
    <w:rsid w:val="00106D15"/>
    <w:rsid w:val="00111554"/>
    <w:rsid w:val="00113CFB"/>
    <w:rsid w:val="001141C8"/>
    <w:rsid w:val="0011493B"/>
    <w:rsid w:val="00127C92"/>
    <w:rsid w:val="00133DEA"/>
    <w:rsid w:val="00137819"/>
    <w:rsid w:val="001405DE"/>
    <w:rsid w:val="00140F84"/>
    <w:rsid w:val="00144037"/>
    <w:rsid w:val="001449BF"/>
    <w:rsid w:val="00145784"/>
    <w:rsid w:val="00145BD0"/>
    <w:rsid w:val="00147E5C"/>
    <w:rsid w:val="0015267C"/>
    <w:rsid w:val="001534EB"/>
    <w:rsid w:val="00153591"/>
    <w:rsid w:val="00153D06"/>
    <w:rsid w:val="001563B0"/>
    <w:rsid w:val="00157740"/>
    <w:rsid w:val="0016106E"/>
    <w:rsid w:val="0016276D"/>
    <w:rsid w:val="001679A3"/>
    <w:rsid w:val="00172A27"/>
    <w:rsid w:val="001735E4"/>
    <w:rsid w:val="001748D6"/>
    <w:rsid w:val="00181DCE"/>
    <w:rsid w:val="001823BF"/>
    <w:rsid w:val="001832A3"/>
    <w:rsid w:val="00184941"/>
    <w:rsid w:val="001941D6"/>
    <w:rsid w:val="00196A2C"/>
    <w:rsid w:val="001A2794"/>
    <w:rsid w:val="001A2AA7"/>
    <w:rsid w:val="001A7142"/>
    <w:rsid w:val="001C336D"/>
    <w:rsid w:val="001C429B"/>
    <w:rsid w:val="001C630C"/>
    <w:rsid w:val="001D6A3C"/>
    <w:rsid w:val="001E114B"/>
    <w:rsid w:val="001E1DA0"/>
    <w:rsid w:val="001E1F89"/>
    <w:rsid w:val="001F06EA"/>
    <w:rsid w:val="001F15D4"/>
    <w:rsid w:val="001F2D05"/>
    <w:rsid w:val="00200E8F"/>
    <w:rsid w:val="002015BA"/>
    <w:rsid w:val="002042C3"/>
    <w:rsid w:val="00206413"/>
    <w:rsid w:val="00210B1D"/>
    <w:rsid w:val="00211EC8"/>
    <w:rsid w:val="00215127"/>
    <w:rsid w:val="00216867"/>
    <w:rsid w:val="00216BD8"/>
    <w:rsid w:val="0021761F"/>
    <w:rsid w:val="002176FE"/>
    <w:rsid w:val="00225378"/>
    <w:rsid w:val="00225F12"/>
    <w:rsid w:val="00232541"/>
    <w:rsid w:val="002330AA"/>
    <w:rsid w:val="0023355C"/>
    <w:rsid w:val="00235A12"/>
    <w:rsid w:val="0024142C"/>
    <w:rsid w:val="00246615"/>
    <w:rsid w:val="00255026"/>
    <w:rsid w:val="00256600"/>
    <w:rsid w:val="00256A18"/>
    <w:rsid w:val="0025734D"/>
    <w:rsid w:val="0026068D"/>
    <w:rsid w:val="00261625"/>
    <w:rsid w:val="0026246C"/>
    <w:rsid w:val="002629D1"/>
    <w:rsid w:val="002663B5"/>
    <w:rsid w:val="0027000B"/>
    <w:rsid w:val="002706E6"/>
    <w:rsid w:val="00273723"/>
    <w:rsid w:val="00273C95"/>
    <w:rsid w:val="0027590C"/>
    <w:rsid w:val="00276330"/>
    <w:rsid w:val="002825FF"/>
    <w:rsid w:val="002836A4"/>
    <w:rsid w:val="0028622C"/>
    <w:rsid w:val="00290475"/>
    <w:rsid w:val="00290C17"/>
    <w:rsid w:val="00292730"/>
    <w:rsid w:val="002958FD"/>
    <w:rsid w:val="002963C4"/>
    <w:rsid w:val="00296EE6"/>
    <w:rsid w:val="002A106E"/>
    <w:rsid w:val="002A30BE"/>
    <w:rsid w:val="002A5C6D"/>
    <w:rsid w:val="002A761B"/>
    <w:rsid w:val="002B01F1"/>
    <w:rsid w:val="002B23C3"/>
    <w:rsid w:val="002C0A71"/>
    <w:rsid w:val="002C1789"/>
    <w:rsid w:val="002C250A"/>
    <w:rsid w:val="002C3585"/>
    <w:rsid w:val="002C47D0"/>
    <w:rsid w:val="002C4A7A"/>
    <w:rsid w:val="002C598D"/>
    <w:rsid w:val="002C5E32"/>
    <w:rsid w:val="002D1A9D"/>
    <w:rsid w:val="002D47CF"/>
    <w:rsid w:val="002D4EFC"/>
    <w:rsid w:val="002D67D9"/>
    <w:rsid w:val="002E048F"/>
    <w:rsid w:val="002E1186"/>
    <w:rsid w:val="002E1DA2"/>
    <w:rsid w:val="002E2D76"/>
    <w:rsid w:val="002E3770"/>
    <w:rsid w:val="002E55BF"/>
    <w:rsid w:val="002E58FA"/>
    <w:rsid w:val="002E7E8B"/>
    <w:rsid w:val="002F1F91"/>
    <w:rsid w:val="002F450C"/>
    <w:rsid w:val="002F47C9"/>
    <w:rsid w:val="002F4BAE"/>
    <w:rsid w:val="002F603B"/>
    <w:rsid w:val="002F7828"/>
    <w:rsid w:val="0030137D"/>
    <w:rsid w:val="003016DF"/>
    <w:rsid w:val="00301FF5"/>
    <w:rsid w:val="00302C78"/>
    <w:rsid w:val="00305976"/>
    <w:rsid w:val="003102B1"/>
    <w:rsid w:val="00310554"/>
    <w:rsid w:val="003113DB"/>
    <w:rsid w:val="003126AB"/>
    <w:rsid w:val="00312B05"/>
    <w:rsid w:val="00313091"/>
    <w:rsid w:val="003154AE"/>
    <w:rsid w:val="00316D81"/>
    <w:rsid w:val="00316F2D"/>
    <w:rsid w:val="00317E4A"/>
    <w:rsid w:val="00322B2C"/>
    <w:rsid w:val="003233CA"/>
    <w:rsid w:val="00324DA1"/>
    <w:rsid w:val="00326187"/>
    <w:rsid w:val="0033137D"/>
    <w:rsid w:val="00331B48"/>
    <w:rsid w:val="00334521"/>
    <w:rsid w:val="00334A2F"/>
    <w:rsid w:val="0033632C"/>
    <w:rsid w:val="003422C5"/>
    <w:rsid w:val="003445A4"/>
    <w:rsid w:val="003467CF"/>
    <w:rsid w:val="003476CA"/>
    <w:rsid w:val="00347F86"/>
    <w:rsid w:val="003507A6"/>
    <w:rsid w:val="0035299D"/>
    <w:rsid w:val="003529DD"/>
    <w:rsid w:val="0035500B"/>
    <w:rsid w:val="00364495"/>
    <w:rsid w:val="00370E18"/>
    <w:rsid w:val="00371037"/>
    <w:rsid w:val="003716CC"/>
    <w:rsid w:val="00373BE9"/>
    <w:rsid w:val="00376ABF"/>
    <w:rsid w:val="00380149"/>
    <w:rsid w:val="0038050E"/>
    <w:rsid w:val="003833B6"/>
    <w:rsid w:val="003833F3"/>
    <w:rsid w:val="00383764"/>
    <w:rsid w:val="0038616E"/>
    <w:rsid w:val="00390BB2"/>
    <w:rsid w:val="00390F40"/>
    <w:rsid w:val="003913A7"/>
    <w:rsid w:val="00392875"/>
    <w:rsid w:val="00394C82"/>
    <w:rsid w:val="003A0A75"/>
    <w:rsid w:val="003A0CD3"/>
    <w:rsid w:val="003A38B1"/>
    <w:rsid w:val="003A5374"/>
    <w:rsid w:val="003A5A2C"/>
    <w:rsid w:val="003B33FE"/>
    <w:rsid w:val="003B431C"/>
    <w:rsid w:val="003B46F6"/>
    <w:rsid w:val="003B4F0D"/>
    <w:rsid w:val="003B5D7C"/>
    <w:rsid w:val="003B7537"/>
    <w:rsid w:val="003C7710"/>
    <w:rsid w:val="003C798A"/>
    <w:rsid w:val="003D412A"/>
    <w:rsid w:val="003D6D3A"/>
    <w:rsid w:val="003E0A1F"/>
    <w:rsid w:val="003E29AE"/>
    <w:rsid w:val="003E7F76"/>
    <w:rsid w:val="003F0345"/>
    <w:rsid w:val="003F0570"/>
    <w:rsid w:val="003F3F04"/>
    <w:rsid w:val="003F460B"/>
    <w:rsid w:val="004009C2"/>
    <w:rsid w:val="00401D9E"/>
    <w:rsid w:val="00403880"/>
    <w:rsid w:val="00411580"/>
    <w:rsid w:val="00425318"/>
    <w:rsid w:val="00425AB6"/>
    <w:rsid w:val="004260FA"/>
    <w:rsid w:val="004279E9"/>
    <w:rsid w:val="0043210C"/>
    <w:rsid w:val="0043255E"/>
    <w:rsid w:val="0043265D"/>
    <w:rsid w:val="004359A4"/>
    <w:rsid w:val="004365FA"/>
    <w:rsid w:val="004413EA"/>
    <w:rsid w:val="004416C3"/>
    <w:rsid w:val="00444584"/>
    <w:rsid w:val="00444B76"/>
    <w:rsid w:val="00451488"/>
    <w:rsid w:val="00455787"/>
    <w:rsid w:val="00461DF6"/>
    <w:rsid w:val="00464335"/>
    <w:rsid w:val="00465E21"/>
    <w:rsid w:val="00471AEB"/>
    <w:rsid w:val="00471C30"/>
    <w:rsid w:val="00473CDC"/>
    <w:rsid w:val="004777D3"/>
    <w:rsid w:val="004819A6"/>
    <w:rsid w:val="0048373F"/>
    <w:rsid w:val="004851EB"/>
    <w:rsid w:val="00485231"/>
    <w:rsid w:val="004860D3"/>
    <w:rsid w:val="00495071"/>
    <w:rsid w:val="004A1512"/>
    <w:rsid w:val="004A271E"/>
    <w:rsid w:val="004A3BF6"/>
    <w:rsid w:val="004A54F5"/>
    <w:rsid w:val="004A57BA"/>
    <w:rsid w:val="004C2813"/>
    <w:rsid w:val="004C36A1"/>
    <w:rsid w:val="004C5D7B"/>
    <w:rsid w:val="004D0990"/>
    <w:rsid w:val="004D197D"/>
    <w:rsid w:val="004D4B72"/>
    <w:rsid w:val="004D67ED"/>
    <w:rsid w:val="004E06DC"/>
    <w:rsid w:val="004E43AB"/>
    <w:rsid w:val="004F0D31"/>
    <w:rsid w:val="004F2ECA"/>
    <w:rsid w:val="004F64DB"/>
    <w:rsid w:val="004F7F20"/>
    <w:rsid w:val="00500561"/>
    <w:rsid w:val="0050283A"/>
    <w:rsid w:val="00502C59"/>
    <w:rsid w:val="00510D20"/>
    <w:rsid w:val="00511359"/>
    <w:rsid w:val="00511A60"/>
    <w:rsid w:val="00515AE1"/>
    <w:rsid w:val="00517BC1"/>
    <w:rsid w:val="00521841"/>
    <w:rsid w:val="00525AB8"/>
    <w:rsid w:val="00527748"/>
    <w:rsid w:val="00535F28"/>
    <w:rsid w:val="0053612E"/>
    <w:rsid w:val="005400EF"/>
    <w:rsid w:val="00540C87"/>
    <w:rsid w:val="00541F3D"/>
    <w:rsid w:val="005432C7"/>
    <w:rsid w:val="005464F1"/>
    <w:rsid w:val="00546660"/>
    <w:rsid w:val="00552A62"/>
    <w:rsid w:val="005569F7"/>
    <w:rsid w:val="00562C58"/>
    <w:rsid w:val="00563689"/>
    <w:rsid w:val="00567BBD"/>
    <w:rsid w:val="00573BA8"/>
    <w:rsid w:val="00574E6D"/>
    <w:rsid w:val="00582681"/>
    <w:rsid w:val="00584CC2"/>
    <w:rsid w:val="00590D76"/>
    <w:rsid w:val="00591377"/>
    <w:rsid w:val="0059577B"/>
    <w:rsid w:val="005A2208"/>
    <w:rsid w:val="005A430B"/>
    <w:rsid w:val="005A6C95"/>
    <w:rsid w:val="005B1996"/>
    <w:rsid w:val="005B299D"/>
    <w:rsid w:val="005B3F9D"/>
    <w:rsid w:val="005B443F"/>
    <w:rsid w:val="005C0256"/>
    <w:rsid w:val="005D009A"/>
    <w:rsid w:val="005D26CA"/>
    <w:rsid w:val="005E458C"/>
    <w:rsid w:val="005E540C"/>
    <w:rsid w:val="005E5A3B"/>
    <w:rsid w:val="005E7F6D"/>
    <w:rsid w:val="005F47D7"/>
    <w:rsid w:val="005F683A"/>
    <w:rsid w:val="005F7711"/>
    <w:rsid w:val="0061063E"/>
    <w:rsid w:val="0061117A"/>
    <w:rsid w:val="006115DF"/>
    <w:rsid w:val="00612235"/>
    <w:rsid w:val="006169BA"/>
    <w:rsid w:val="00617A0D"/>
    <w:rsid w:val="006235EC"/>
    <w:rsid w:val="0063131C"/>
    <w:rsid w:val="00636619"/>
    <w:rsid w:val="00636A9C"/>
    <w:rsid w:val="00636F4E"/>
    <w:rsid w:val="00641D97"/>
    <w:rsid w:val="00642486"/>
    <w:rsid w:val="0064357D"/>
    <w:rsid w:val="00643792"/>
    <w:rsid w:val="006501DD"/>
    <w:rsid w:val="00650DE5"/>
    <w:rsid w:val="00652C67"/>
    <w:rsid w:val="00652DA9"/>
    <w:rsid w:val="00657FB8"/>
    <w:rsid w:val="00660B36"/>
    <w:rsid w:val="00662228"/>
    <w:rsid w:val="006643C0"/>
    <w:rsid w:val="0066745D"/>
    <w:rsid w:val="00667700"/>
    <w:rsid w:val="00667F5A"/>
    <w:rsid w:val="0067485B"/>
    <w:rsid w:val="00683F4B"/>
    <w:rsid w:val="00683FEF"/>
    <w:rsid w:val="00684352"/>
    <w:rsid w:val="00690E32"/>
    <w:rsid w:val="006A2AD1"/>
    <w:rsid w:val="006A3CAA"/>
    <w:rsid w:val="006A67D2"/>
    <w:rsid w:val="006B1FD3"/>
    <w:rsid w:val="006B20B2"/>
    <w:rsid w:val="006B267F"/>
    <w:rsid w:val="006B4DA1"/>
    <w:rsid w:val="006B596F"/>
    <w:rsid w:val="006C2050"/>
    <w:rsid w:val="006C2D4E"/>
    <w:rsid w:val="006C2FDC"/>
    <w:rsid w:val="006C40AC"/>
    <w:rsid w:val="006C632A"/>
    <w:rsid w:val="006C64EC"/>
    <w:rsid w:val="006D5251"/>
    <w:rsid w:val="006D7370"/>
    <w:rsid w:val="006E173C"/>
    <w:rsid w:val="006E3A21"/>
    <w:rsid w:val="006E6008"/>
    <w:rsid w:val="006E7694"/>
    <w:rsid w:val="006F115D"/>
    <w:rsid w:val="0070493B"/>
    <w:rsid w:val="00706B99"/>
    <w:rsid w:val="0071069D"/>
    <w:rsid w:val="0072038C"/>
    <w:rsid w:val="0072132A"/>
    <w:rsid w:val="00723ABB"/>
    <w:rsid w:val="00723B39"/>
    <w:rsid w:val="00725275"/>
    <w:rsid w:val="00725472"/>
    <w:rsid w:val="0072588A"/>
    <w:rsid w:val="00726891"/>
    <w:rsid w:val="00726B71"/>
    <w:rsid w:val="00726D2D"/>
    <w:rsid w:val="00733CE5"/>
    <w:rsid w:val="00736611"/>
    <w:rsid w:val="007428B2"/>
    <w:rsid w:val="007433D9"/>
    <w:rsid w:val="00745316"/>
    <w:rsid w:val="00745C72"/>
    <w:rsid w:val="00745FCE"/>
    <w:rsid w:val="007501F7"/>
    <w:rsid w:val="00750288"/>
    <w:rsid w:val="00751D40"/>
    <w:rsid w:val="007532CF"/>
    <w:rsid w:val="007560E1"/>
    <w:rsid w:val="007567D2"/>
    <w:rsid w:val="007610AE"/>
    <w:rsid w:val="00761B32"/>
    <w:rsid w:val="00773BA4"/>
    <w:rsid w:val="00774003"/>
    <w:rsid w:val="0078175D"/>
    <w:rsid w:val="007838AA"/>
    <w:rsid w:val="00784A81"/>
    <w:rsid w:val="00786C52"/>
    <w:rsid w:val="0078703E"/>
    <w:rsid w:val="00790A75"/>
    <w:rsid w:val="0079643A"/>
    <w:rsid w:val="00797F86"/>
    <w:rsid w:val="007A0016"/>
    <w:rsid w:val="007A1CBC"/>
    <w:rsid w:val="007A2B9F"/>
    <w:rsid w:val="007A4646"/>
    <w:rsid w:val="007A615A"/>
    <w:rsid w:val="007A6368"/>
    <w:rsid w:val="007A6455"/>
    <w:rsid w:val="007A699E"/>
    <w:rsid w:val="007A6FC5"/>
    <w:rsid w:val="007A7028"/>
    <w:rsid w:val="007B3475"/>
    <w:rsid w:val="007C3A69"/>
    <w:rsid w:val="007C418B"/>
    <w:rsid w:val="007C79F9"/>
    <w:rsid w:val="007D033D"/>
    <w:rsid w:val="007D0491"/>
    <w:rsid w:val="007D30BD"/>
    <w:rsid w:val="007D3129"/>
    <w:rsid w:val="007D6767"/>
    <w:rsid w:val="007D7A9B"/>
    <w:rsid w:val="007E0D78"/>
    <w:rsid w:val="007E385A"/>
    <w:rsid w:val="007E739B"/>
    <w:rsid w:val="007F006F"/>
    <w:rsid w:val="007F24A5"/>
    <w:rsid w:val="007F27F0"/>
    <w:rsid w:val="007F4626"/>
    <w:rsid w:val="007F59F0"/>
    <w:rsid w:val="00802FEE"/>
    <w:rsid w:val="00803806"/>
    <w:rsid w:val="008128E9"/>
    <w:rsid w:val="00816132"/>
    <w:rsid w:val="00817034"/>
    <w:rsid w:val="0081783B"/>
    <w:rsid w:val="0082417C"/>
    <w:rsid w:val="008276FF"/>
    <w:rsid w:val="008304C9"/>
    <w:rsid w:val="008313E0"/>
    <w:rsid w:val="00834B65"/>
    <w:rsid w:val="0083520D"/>
    <w:rsid w:val="0083687D"/>
    <w:rsid w:val="008415AD"/>
    <w:rsid w:val="00841B2D"/>
    <w:rsid w:val="0084507D"/>
    <w:rsid w:val="00850765"/>
    <w:rsid w:val="008554A4"/>
    <w:rsid w:val="00860EAA"/>
    <w:rsid w:val="00862D08"/>
    <w:rsid w:val="00867374"/>
    <w:rsid w:val="00872539"/>
    <w:rsid w:val="00883AB7"/>
    <w:rsid w:val="00885AFB"/>
    <w:rsid w:val="008872B7"/>
    <w:rsid w:val="00887CBD"/>
    <w:rsid w:val="00891E36"/>
    <w:rsid w:val="00892DA5"/>
    <w:rsid w:val="008959B6"/>
    <w:rsid w:val="00896E9E"/>
    <w:rsid w:val="008A06C3"/>
    <w:rsid w:val="008A3A1F"/>
    <w:rsid w:val="008A6041"/>
    <w:rsid w:val="008A6423"/>
    <w:rsid w:val="008B1307"/>
    <w:rsid w:val="008B68F2"/>
    <w:rsid w:val="008B731E"/>
    <w:rsid w:val="008C01E6"/>
    <w:rsid w:val="008D3958"/>
    <w:rsid w:val="008D44F9"/>
    <w:rsid w:val="008D4AF2"/>
    <w:rsid w:val="008E0F02"/>
    <w:rsid w:val="008E29C5"/>
    <w:rsid w:val="008E3CFB"/>
    <w:rsid w:val="008E4B4D"/>
    <w:rsid w:val="008E7515"/>
    <w:rsid w:val="008F3F82"/>
    <w:rsid w:val="009000BA"/>
    <w:rsid w:val="009011F3"/>
    <w:rsid w:val="00906786"/>
    <w:rsid w:val="00907D81"/>
    <w:rsid w:val="00910627"/>
    <w:rsid w:val="00911AEC"/>
    <w:rsid w:val="009127D7"/>
    <w:rsid w:val="009129F4"/>
    <w:rsid w:val="00913C13"/>
    <w:rsid w:val="00914079"/>
    <w:rsid w:val="00914B00"/>
    <w:rsid w:val="00917D12"/>
    <w:rsid w:val="00922121"/>
    <w:rsid w:val="009227D1"/>
    <w:rsid w:val="009276E6"/>
    <w:rsid w:val="009342B1"/>
    <w:rsid w:val="0093667A"/>
    <w:rsid w:val="0095562F"/>
    <w:rsid w:val="00962331"/>
    <w:rsid w:val="00966461"/>
    <w:rsid w:val="00966491"/>
    <w:rsid w:val="00970A5B"/>
    <w:rsid w:val="00972D6C"/>
    <w:rsid w:val="00973065"/>
    <w:rsid w:val="00981725"/>
    <w:rsid w:val="00982823"/>
    <w:rsid w:val="00990265"/>
    <w:rsid w:val="00990D36"/>
    <w:rsid w:val="00996282"/>
    <w:rsid w:val="009A1D06"/>
    <w:rsid w:val="009A244C"/>
    <w:rsid w:val="009A26AC"/>
    <w:rsid w:val="009A284E"/>
    <w:rsid w:val="009A7101"/>
    <w:rsid w:val="009A7D66"/>
    <w:rsid w:val="009B0857"/>
    <w:rsid w:val="009B152B"/>
    <w:rsid w:val="009B1DC6"/>
    <w:rsid w:val="009B3BE2"/>
    <w:rsid w:val="009B61ED"/>
    <w:rsid w:val="009C2DC9"/>
    <w:rsid w:val="009C655F"/>
    <w:rsid w:val="009C6AFC"/>
    <w:rsid w:val="009D3E17"/>
    <w:rsid w:val="009E0250"/>
    <w:rsid w:val="009E5DE3"/>
    <w:rsid w:val="009F1215"/>
    <w:rsid w:val="009F1363"/>
    <w:rsid w:val="009F1696"/>
    <w:rsid w:val="009F1B65"/>
    <w:rsid w:val="009F32D7"/>
    <w:rsid w:val="009F341F"/>
    <w:rsid w:val="009F5646"/>
    <w:rsid w:val="009F6868"/>
    <w:rsid w:val="009F68A4"/>
    <w:rsid w:val="009F7893"/>
    <w:rsid w:val="00A0263D"/>
    <w:rsid w:val="00A02A58"/>
    <w:rsid w:val="00A02EB7"/>
    <w:rsid w:val="00A05802"/>
    <w:rsid w:val="00A06EB0"/>
    <w:rsid w:val="00A07861"/>
    <w:rsid w:val="00A12C97"/>
    <w:rsid w:val="00A13F8B"/>
    <w:rsid w:val="00A15E32"/>
    <w:rsid w:val="00A17344"/>
    <w:rsid w:val="00A20D5C"/>
    <w:rsid w:val="00A20EEC"/>
    <w:rsid w:val="00A233DC"/>
    <w:rsid w:val="00A25DE2"/>
    <w:rsid w:val="00A26EEF"/>
    <w:rsid w:val="00A2704E"/>
    <w:rsid w:val="00A31464"/>
    <w:rsid w:val="00A31D36"/>
    <w:rsid w:val="00A32A01"/>
    <w:rsid w:val="00A35607"/>
    <w:rsid w:val="00A37D73"/>
    <w:rsid w:val="00A411B8"/>
    <w:rsid w:val="00A42822"/>
    <w:rsid w:val="00A50A2E"/>
    <w:rsid w:val="00A52282"/>
    <w:rsid w:val="00A5434B"/>
    <w:rsid w:val="00A562BC"/>
    <w:rsid w:val="00A6142C"/>
    <w:rsid w:val="00A64934"/>
    <w:rsid w:val="00A70A5F"/>
    <w:rsid w:val="00A7115B"/>
    <w:rsid w:val="00A80912"/>
    <w:rsid w:val="00A81737"/>
    <w:rsid w:val="00A838F9"/>
    <w:rsid w:val="00A90455"/>
    <w:rsid w:val="00A91B9C"/>
    <w:rsid w:val="00A93379"/>
    <w:rsid w:val="00A9505F"/>
    <w:rsid w:val="00A9594F"/>
    <w:rsid w:val="00AA2FD5"/>
    <w:rsid w:val="00AA35D6"/>
    <w:rsid w:val="00AA389E"/>
    <w:rsid w:val="00AA38E9"/>
    <w:rsid w:val="00AA3A00"/>
    <w:rsid w:val="00AB0AB2"/>
    <w:rsid w:val="00AB1D23"/>
    <w:rsid w:val="00AB1E9C"/>
    <w:rsid w:val="00AB7921"/>
    <w:rsid w:val="00AC35BC"/>
    <w:rsid w:val="00AC4704"/>
    <w:rsid w:val="00AC6160"/>
    <w:rsid w:val="00AC69A4"/>
    <w:rsid w:val="00AD1776"/>
    <w:rsid w:val="00AE1742"/>
    <w:rsid w:val="00AE326F"/>
    <w:rsid w:val="00AF038A"/>
    <w:rsid w:val="00AF11F4"/>
    <w:rsid w:val="00AF3F41"/>
    <w:rsid w:val="00AF5058"/>
    <w:rsid w:val="00AF53D5"/>
    <w:rsid w:val="00AF5497"/>
    <w:rsid w:val="00B00114"/>
    <w:rsid w:val="00B001FF"/>
    <w:rsid w:val="00B01E77"/>
    <w:rsid w:val="00B04EAC"/>
    <w:rsid w:val="00B062B1"/>
    <w:rsid w:val="00B11624"/>
    <w:rsid w:val="00B16A47"/>
    <w:rsid w:val="00B1746B"/>
    <w:rsid w:val="00B17603"/>
    <w:rsid w:val="00B24572"/>
    <w:rsid w:val="00B24B08"/>
    <w:rsid w:val="00B325ED"/>
    <w:rsid w:val="00B34C1B"/>
    <w:rsid w:val="00B3555C"/>
    <w:rsid w:val="00B42635"/>
    <w:rsid w:val="00B4492D"/>
    <w:rsid w:val="00B44A1B"/>
    <w:rsid w:val="00B46093"/>
    <w:rsid w:val="00B55944"/>
    <w:rsid w:val="00B55F8D"/>
    <w:rsid w:val="00B570FC"/>
    <w:rsid w:val="00B613AF"/>
    <w:rsid w:val="00B642BC"/>
    <w:rsid w:val="00B64316"/>
    <w:rsid w:val="00B6451C"/>
    <w:rsid w:val="00B647ED"/>
    <w:rsid w:val="00B64A21"/>
    <w:rsid w:val="00B655D2"/>
    <w:rsid w:val="00B6751A"/>
    <w:rsid w:val="00B71F76"/>
    <w:rsid w:val="00B721A7"/>
    <w:rsid w:val="00B74D18"/>
    <w:rsid w:val="00B7623D"/>
    <w:rsid w:val="00B77352"/>
    <w:rsid w:val="00B81637"/>
    <w:rsid w:val="00B834B1"/>
    <w:rsid w:val="00B8607F"/>
    <w:rsid w:val="00B87276"/>
    <w:rsid w:val="00B87CDE"/>
    <w:rsid w:val="00B91FD9"/>
    <w:rsid w:val="00B9210C"/>
    <w:rsid w:val="00B92354"/>
    <w:rsid w:val="00B92D42"/>
    <w:rsid w:val="00B935A2"/>
    <w:rsid w:val="00B94761"/>
    <w:rsid w:val="00B950EE"/>
    <w:rsid w:val="00B9764E"/>
    <w:rsid w:val="00BA003C"/>
    <w:rsid w:val="00BA570C"/>
    <w:rsid w:val="00BA6413"/>
    <w:rsid w:val="00BA6A49"/>
    <w:rsid w:val="00BA7FEF"/>
    <w:rsid w:val="00BB0519"/>
    <w:rsid w:val="00BB6770"/>
    <w:rsid w:val="00BC0019"/>
    <w:rsid w:val="00BC0FCD"/>
    <w:rsid w:val="00BC128C"/>
    <w:rsid w:val="00BC4A9F"/>
    <w:rsid w:val="00BC4EF1"/>
    <w:rsid w:val="00BC5903"/>
    <w:rsid w:val="00BD0028"/>
    <w:rsid w:val="00BD0428"/>
    <w:rsid w:val="00BD11BA"/>
    <w:rsid w:val="00BD456F"/>
    <w:rsid w:val="00BE054F"/>
    <w:rsid w:val="00BE1017"/>
    <w:rsid w:val="00BE1A94"/>
    <w:rsid w:val="00BE4BF9"/>
    <w:rsid w:val="00BE793A"/>
    <w:rsid w:val="00BE7A9F"/>
    <w:rsid w:val="00BF2012"/>
    <w:rsid w:val="00BF4B66"/>
    <w:rsid w:val="00BF53BC"/>
    <w:rsid w:val="00BF6072"/>
    <w:rsid w:val="00C009CD"/>
    <w:rsid w:val="00C03BC2"/>
    <w:rsid w:val="00C065E7"/>
    <w:rsid w:val="00C10943"/>
    <w:rsid w:val="00C10C76"/>
    <w:rsid w:val="00C16B78"/>
    <w:rsid w:val="00C21755"/>
    <w:rsid w:val="00C22AE8"/>
    <w:rsid w:val="00C22DAE"/>
    <w:rsid w:val="00C2450D"/>
    <w:rsid w:val="00C263C5"/>
    <w:rsid w:val="00C27CFC"/>
    <w:rsid w:val="00C31431"/>
    <w:rsid w:val="00C3421D"/>
    <w:rsid w:val="00C351AF"/>
    <w:rsid w:val="00C42CA9"/>
    <w:rsid w:val="00C42D3C"/>
    <w:rsid w:val="00C46F3E"/>
    <w:rsid w:val="00C528E2"/>
    <w:rsid w:val="00C529FD"/>
    <w:rsid w:val="00C5593F"/>
    <w:rsid w:val="00C60F31"/>
    <w:rsid w:val="00C62005"/>
    <w:rsid w:val="00C65479"/>
    <w:rsid w:val="00C72B2D"/>
    <w:rsid w:val="00C73B4C"/>
    <w:rsid w:val="00C75FA7"/>
    <w:rsid w:val="00C76714"/>
    <w:rsid w:val="00C76721"/>
    <w:rsid w:val="00C81C88"/>
    <w:rsid w:val="00C8518B"/>
    <w:rsid w:val="00C855CB"/>
    <w:rsid w:val="00C864AF"/>
    <w:rsid w:val="00C867C3"/>
    <w:rsid w:val="00C87B77"/>
    <w:rsid w:val="00C919BE"/>
    <w:rsid w:val="00C94AF3"/>
    <w:rsid w:val="00C96C33"/>
    <w:rsid w:val="00C9763E"/>
    <w:rsid w:val="00C976AE"/>
    <w:rsid w:val="00CA17B6"/>
    <w:rsid w:val="00CA3A50"/>
    <w:rsid w:val="00CA45C0"/>
    <w:rsid w:val="00CA6181"/>
    <w:rsid w:val="00CB5A29"/>
    <w:rsid w:val="00CC062D"/>
    <w:rsid w:val="00CC1F4D"/>
    <w:rsid w:val="00CC383B"/>
    <w:rsid w:val="00CC5042"/>
    <w:rsid w:val="00CC7EC7"/>
    <w:rsid w:val="00CD183D"/>
    <w:rsid w:val="00CD20C4"/>
    <w:rsid w:val="00CD3211"/>
    <w:rsid w:val="00CD6266"/>
    <w:rsid w:val="00CE077E"/>
    <w:rsid w:val="00CE09D9"/>
    <w:rsid w:val="00CE4ED4"/>
    <w:rsid w:val="00CE5EA7"/>
    <w:rsid w:val="00CE7320"/>
    <w:rsid w:val="00CE7A9F"/>
    <w:rsid w:val="00CE7C7D"/>
    <w:rsid w:val="00CF41C2"/>
    <w:rsid w:val="00CF4DAA"/>
    <w:rsid w:val="00CF757B"/>
    <w:rsid w:val="00D003FC"/>
    <w:rsid w:val="00D12E64"/>
    <w:rsid w:val="00D1342D"/>
    <w:rsid w:val="00D27BC5"/>
    <w:rsid w:val="00D3072C"/>
    <w:rsid w:val="00D322AC"/>
    <w:rsid w:val="00D33BE2"/>
    <w:rsid w:val="00D3582C"/>
    <w:rsid w:val="00D372D2"/>
    <w:rsid w:val="00D41218"/>
    <w:rsid w:val="00D4655B"/>
    <w:rsid w:val="00D507EE"/>
    <w:rsid w:val="00D512C6"/>
    <w:rsid w:val="00D5330B"/>
    <w:rsid w:val="00D53BB4"/>
    <w:rsid w:val="00D53CFD"/>
    <w:rsid w:val="00D55D81"/>
    <w:rsid w:val="00D55EAB"/>
    <w:rsid w:val="00D5729C"/>
    <w:rsid w:val="00D57847"/>
    <w:rsid w:val="00D618EF"/>
    <w:rsid w:val="00D62E3B"/>
    <w:rsid w:val="00D638A4"/>
    <w:rsid w:val="00D65479"/>
    <w:rsid w:val="00D65CF4"/>
    <w:rsid w:val="00D76B9E"/>
    <w:rsid w:val="00D829E6"/>
    <w:rsid w:val="00D82C88"/>
    <w:rsid w:val="00D83AB5"/>
    <w:rsid w:val="00D859E3"/>
    <w:rsid w:val="00D87191"/>
    <w:rsid w:val="00D90F46"/>
    <w:rsid w:val="00D963A7"/>
    <w:rsid w:val="00DA09FD"/>
    <w:rsid w:val="00DA0B70"/>
    <w:rsid w:val="00DA5F41"/>
    <w:rsid w:val="00DA6326"/>
    <w:rsid w:val="00DB1480"/>
    <w:rsid w:val="00DB38E4"/>
    <w:rsid w:val="00DB4282"/>
    <w:rsid w:val="00DB435F"/>
    <w:rsid w:val="00DC0249"/>
    <w:rsid w:val="00DC3D81"/>
    <w:rsid w:val="00DC4445"/>
    <w:rsid w:val="00DC729F"/>
    <w:rsid w:val="00DD147A"/>
    <w:rsid w:val="00DD5ADA"/>
    <w:rsid w:val="00DD696E"/>
    <w:rsid w:val="00DD76E9"/>
    <w:rsid w:val="00DE0FB8"/>
    <w:rsid w:val="00DE6AF5"/>
    <w:rsid w:val="00DF1AD9"/>
    <w:rsid w:val="00DF267D"/>
    <w:rsid w:val="00DF49D9"/>
    <w:rsid w:val="00DF5EF0"/>
    <w:rsid w:val="00DF67E7"/>
    <w:rsid w:val="00DF6977"/>
    <w:rsid w:val="00DF69AB"/>
    <w:rsid w:val="00DF7C87"/>
    <w:rsid w:val="00E048FB"/>
    <w:rsid w:val="00E10A1F"/>
    <w:rsid w:val="00E13C04"/>
    <w:rsid w:val="00E13CCD"/>
    <w:rsid w:val="00E16F46"/>
    <w:rsid w:val="00E21873"/>
    <w:rsid w:val="00E221F8"/>
    <w:rsid w:val="00E26AE8"/>
    <w:rsid w:val="00E26C20"/>
    <w:rsid w:val="00E3057C"/>
    <w:rsid w:val="00E326EE"/>
    <w:rsid w:val="00E3281E"/>
    <w:rsid w:val="00E332EA"/>
    <w:rsid w:val="00E3638D"/>
    <w:rsid w:val="00E41AFE"/>
    <w:rsid w:val="00E41D03"/>
    <w:rsid w:val="00E41E84"/>
    <w:rsid w:val="00E466C0"/>
    <w:rsid w:val="00E46A65"/>
    <w:rsid w:val="00E50665"/>
    <w:rsid w:val="00E50EC4"/>
    <w:rsid w:val="00E53695"/>
    <w:rsid w:val="00E548C3"/>
    <w:rsid w:val="00E54EF4"/>
    <w:rsid w:val="00E60936"/>
    <w:rsid w:val="00E63178"/>
    <w:rsid w:val="00E63439"/>
    <w:rsid w:val="00E66456"/>
    <w:rsid w:val="00E667A1"/>
    <w:rsid w:val="00E72D79"/>
    <w:rsid w:val="00E80E91"/>
    <w:rsid w:val="00E85D88"/>
    <w:rsid w:val="00E908A4"/>
    <w:rsid w:val="00E90CDC"/>
    <w:rsid w:val="00E91A62"/>
    <w:rsid w:val="00E9228B"/>
    <w:rsid w:val="00E93549"/>
    <w:rsid w:val="00E94D9E"/>
    <w:rsid w:val="00EA04B5"/>
    <w:rsid w:val="00EA22EA"/>
    <w:rsid w:val="00EA3C88"/>
    <w:rsid w:val="00EA69AB"/>
    <w:rsid w:val="00EB1E9B"/>
    <w:rsid w:val="00EB36C2"/>
    <w:rsid w:val="00EB6B2E"/>
    <w:rsid w:val="00EB6D65"/>
    <w:rsid w:val="00EC028B"/>
    <w:rsid w:val="00EC0FD9"/>
    <w:rsid w:val="00EC5046"/>
    <w:rsid w:val="00ED18E8"/>
    <w:rsid w:val="00ED1DBD"/>
    <w:rsid w:val="00ED299D"/>
    <w:rsid w:val="00EE47FD"/>
    <w:rsid w:val="00EE72DD"/>
    <w:rsid w:val="00EE7F58"/>
    <w:rsid w:val="00EF1BA5"/>
    <w:rsid w:val="00EF1BE3"/>
    <w:rsid w:val="00EF28E3"/>
    <w:rsid w:val="00F05785"/>
    <w:rsid w:val="00F079FD"/>
    <w:rsid w:val="00F07E8D"/>
    <w:rsid w:val="00F11CC1"/>
    <w:rsid w:val="00F1407C"/>
    <w:rsid w:val="00F155D6"/>
    <w:rsid w:val="00F162D0"/>
    <w:rsid w:val="00F16A51"/>
    <w:rsid w:val="00F1749C"/>
    <w:rsid w:val="00F17613"/>
    <w:rsid w:val="00F200FA"/>
    <w:rsid w:val="00F21099"/>
    <w:rsid w:val="00F249DD"/>
    <w:rsid w:val="00F30101"/>
    <w:rsid w:val="00F30682"/>
    <w:rsid w:val="00F3076D"/>
    <w:rsid w:val="00F421FD"/>
    <w:rsid w:val="00F44E61"/>
    <w:rsid w:val="00F4573D"/>
    <w:rsid w:val="00F5786E"/>
    <w:rsid w:val="00F57A13"/>
    <w:rsid w:val="00F57A35"/>
    <w:rsid w:val="00F623C3"/>
    <w:rsid w:val="00F64188"/>
    <w:rsid w:val="00F66D2B"/>
    <w:rsid w:val="00F70644"/>
    <w:rsid w:val="00F7388D"/>
    <w:rsid w:val="00F76AA9"/>
    <w:rsid w:val="00F7760E"/>
    <w:rsid w:val="00F80197"/>
    <w:rsid w:val="00F83894"/>
    <w:rsid w:val="00F84932"/>
    <w:rsid w:val="00F84EAC"/>
    <w:rsid w:val="00F86494"/>
    <w:rsid w:val="00F907C8"/>
    <w:rsid w:val="00F92D9A"/>
    <w:rsid w:val="00F9312C"/>
    <w:rsid w:val="00F935E3"/>
    <w:rsid w:val="00F9524A"/>
    <w:rsid w:val="00F96B2F"/>
    <w:rsid w:val="00FA044C"/>
    <w:rsid w:val="00FA6150"/>
    <w:rsid w:val="00FA6445"/>
    <w:rsid w:val="00FA6684"/>
    <w:rsid w:val="00FB312B"/>
    <w:rsid w:val="00FC49DC"/>
    <w:rsid w:val="00FD114D"/>
    <w:rsid w:val="00FD206B"/>
    <w:rsid w:val="00FD45B3"/>
    <w:rsid w:val="00FD65D1"/>
    <w:rsid w:val="00FD7757"/>
    <w:rsid w:val="00FE2014"/>
    <w:rsid w:val="00FE414C"/>
    <w:rsid w:val="00FE48E9"/>
    <w:rsid w:val="00FE7E07"/>
    <w:rsid w:val="00FF22DA"/>
    <w:rsid w:val="00FF6F1B"/>
    <w:rsid w:val="01075C21"/>
    <w:rsid w:val="010B405F"/>
    <w:rsid w:val="011F753E"/>
    <w:rsid w:val="0125078D"/>
    <w:rsid w:val="012B35C7"/>
    <w:rsid w:val="01455617"/>
    <w:rsid w:val="01461956"/>
    <w:rsid w:val="016651A5"/>
    <w:rsid w:val="01761E20"/>
    <w:rsid w:val="01865B7E"/>
    <w:rsid w:val="01A93FA3"/>
    <w:rsid w:val="01C43576"/>
    <w:rsid w:val="01D066AF"/>
    <w:rsid w:val="01E512EF"/>
    <w:rsid w:val="01E52B01"/>
    <w:rsid w:val="01E856A0"/>
    <w:rsid w:val="02045B03"/>
    <w:rsid w:val="02054F52"/>
    <w:rsid w:val="02103C8D"/>
    <w:rsid w:val="021711DF"/>
    <w:rsid w:val="022D6BC3"/>
    <w:rsid w:val="02443CCC"/>
    <w:rsid w:val="02691984"/>
    <w:rsid w:val="027B1C47"/>
    <w:rsid w:val="02803F31"/>
    <w:rsid w:val="02860795"/>
    <w:rsid w:val="02874D5C"/>
    <w:rsid w:val="02B31730"/>
    <w:rsid w:val="02BA5317"/>
    <w:rsid w:val="02BE0355"/>
    <w:rsid w:val="02C23F8B"/>
    <w:rsid w:val="02C60CDB"/>
    <w:rsid w:val="02C646E1"/>
    <w:rsid w:val="02C866AB"/>
    <w:rsid w:val="02CD5930"/>
    <w:rsid w:val="02D06F2C"/>
    <w:rsid w:val="02F72AEC"/>
    <w:rsid w:val="03251453"/>
    <w:rsid w:val="0331750E"/>
    <w:rsid w:val="0353484F"/>
    <w:rsid w:val="03942D80"/>
    <w:rsid w:val="03A054CA"/>
    <w:rsid w:val="03B048C5"/>
    <w:rsid w:val="03BC09EC"/>
    <w:rsid w:val="03CB265C"/>
    <w:rsid w:val="03E47F2D"/>
    <w:rsid w:val="040C0819"/>
    <w:rsid w:val="0413222E"/>
    <w:rsid w:val="04310280"/>
    <w:rsid w:val="04335F2F"/>
    <w:rsid w:val="04356CF7"/>
    <w:rsid w:val="044E0E32"/>
    <w:rsid w:val="045F36C4"/>
    <w:rsid w:val="04732C05"/>
    <w:rsid w:val="04991CFE"/>
    <w:rsid w:val="04B969EB"/>
    <w:rsid w:val="04BC3FEE"/>
    <w:rsid w:val="04CD247C"/>
    <w:rsid w:val="04E74644"/>
    <w:rsid w:val="04EE6122"/>
    <w:rsid w:val="04F01EE9"/>
    <w:rsid w:val="050414F1"/>
    <w:rsid w:val="050613C0"/>
    <w:rsid w:val="050F4B2F"/>
    <w:rsid w:val="05183D16"/>
    <w:rsid w:val="05250EBD"/>
    <w:rsid w:val="053E18E4"/>
    <w:rsid w:val="05426301"/>
    <w:rsid w:val="054573B7"/>
    <w:rsid w:val="05504736"/>
    <w:rsid w:val="05647E81"/>
    <w:rsid w:val="05776166"/>
    <w:rsid w:val="05781409"/>
    <w:rsid w:val="0580330E"/>
    <w:rsid w:val="058C700C"/>
    <w:rsid w:val="058C7A5C"/>
    <w:rsid w:val="05942874"/>
    <w:rsid w:val="05EB52BF"/>
    <w:rsid w:val="060D50BB"/>
    <w:rsid w:val="06124A11"/>
    <w:rsid w:val="062748D8"/>
    <w:rsid w:val="06316315"/>
    <w:rsid w:val="06722A54"/>
    <w:rsid w:val="067C1396"/>
    <w:rsid w:val="06856661"/>
    <w:rsid w:val="06A3092D"/>
    <w:rsid w:val="06AE5BB8"/>
    <w:rsid w:val="06B95ED7"/>
    <w:rsid w:val="06CA5CDD"/>
    <w:rsid w:val="06D373CC"/>
    <w:rsid w:val="06DA075B"/>
    <w:rsid w:val="06FE778E"/>
    <w:rsid w:val="07140111"/>
    <w:rsid w:val="07210937"/>
    <w:rsid w:val="07596697"/>
    <w:rsid w:val="075C1B4F"/>
    <w:rsid w:val="075F067E"/>
    <w:rsid w:val="07740BAF"/>
    <w:rsid w:val="078246C2"/>
    <w:rsid w:val="07C1202E"/>
    <w:rsid w:val="07C531B9"/>
    <w:rsid w:val="07E86EA8"/>
    <w:rsid w:val="08041970"/>
    <w:rsid w:val="080E3F82"/>
    <w:rsid w:val="081C72A8"/>
    <w:rsid w:val="082C7F1B"/>
    <w:rsid w:val="08313C7F"/>
    <w:rsid w:val="084B0887"/>
    <w:rsid w:val="08515374"/>
    <w:rsid w:val="08546EC5"/>
    <w:rsid w:val="08BD20E2"/>
    <w:rsid w:val="08D062B9"/>
    <w:rsid w:val="08F55D20"/>
    <w:rsid w:val="08F71A98"/>
    <w:rsid w:val="08FB46E2"/>
    <w:rsid w:val="0910700E"/>
    <w:rsid w:val="09186F60"/>
    <w:rsid w:val="091C4700"/>
    <w:rsid w:val="092D3853"/>
    <w:rsid w:val="093E6A69"/>
    <w:rsid w:val="09464101"/>
    <w:rsid w:val="0966277A"/>
    <w:rsid w:val="096E0EE2"/>
    <w:rsid w:val="09951D91"/>
    <w:rsid w:val="099D66DA"/>
    <w:rsid w:val="09A91A1A"/>
    <w:rsid w:val="09FB0BE0"/>
    <w:rsid w:val="0A217692"/>
    <w:rsid w:val="0A225BE7"/>
    <w:rsid w:val="0A2A5DED"/>
    <w:rsid w:val="0A314B36"/>
    <w:rsid w:val="0A402FCB"/>
    <w:rsid w:val="0A4C1970"/>
    <w:rsid w:val="0A501BB4"/>
    <w:rsid w:val="0A5E496A"/>
    <w:rsid w:val="0A80786B"/>
    <w:rsid w:val="0A8D6782"/>
    <w:rsid w:val="0A956499"/>
    <w:rsid w:val="0A9F2BA8"/>
    <w:rsid w:val="0ADC0D82"/>
    <w:rsid w:val="0AEB71AE"/>
    <w:rsid w:val="0AEC2B45"/>
    <w:rsid w:val="0AF81AF7"/>
    <w:rsid w:val="0B036EA1"/>
    <w:rsid w:val="0B085A65"/>
    <w:rsid w:val="0B111A50"/>
    <w:rsid w:val="0B113360"/>
    <w:rsid w:val="0B1957C1"/>
    <w:rsid w:val="0B3E7194"/>
    <w:rsid w:val="0B444A32"/>
    <w:rsid w:val="0B523714"/>
    <w:rsid w:val="0B57276C"/>
    <w:rsid w:val="0B903D2C"/>
    <w:rsid w:val="0BA63302"/>
    <w:rsid w:val="0BCA5515"/>
    <w:rsid w:val="0BE056FA"/>
    <w:rsid w:val="0C13125D"/>
    <w:rsid w:val="0C233558"/>
    <w:rsid w:val="0C2A3F33"/>
    <w:rsid w:val="0C3D004B"/>
    <w:rsid w:val="0C411777"/>
    <w:rsid w:val="0C6F059C"/>
    <w:rsid w:val="0C91743F"/>
    <w:rsid w:val="0C9B273A"/>
    <w:rsid w:val="0CBA252E"/>
    <w:rsid w:val="0CC53C5B"/>
    <w:rsid w:val="0CE54E38"/>
    <w:rsid w:val="0CFC7D38"/>
    <w:rsid w:val="0D0115C4"/>
    <w:rsid w:val="0D110C4F"/>
    <w:rsid w:val="0D2A6FC0"/>
    <w:rsid w:val="0D3154AD"/>
    <w:rsid w:val="0D336C85"/>
    <w:rsid w:val="0D3F4141"/>
    <w:rsid w:val="0D460D83"/>
    <w:rsid w:val="0D6F0F0B"/>
    <w:rsid w:val="0D81757E"/>
    <w:rsid w:val="0DA90565"/>
    <w:rsid w:val="0DAF0B93"/>
    <w:rsid w:val="0DCC0B92"/>
    <w:rsid w:val="0DDC300B"/>
    <w:rsid w:val="0DE16873"/>
    <w:rsid w:val="0DEB634F"/>
    <w:rsid w:val="0E3B7858"/>
    <w:rsid w:val="0E4A4418"/>
    <w:rsid w:val="0E6E0892"/>
    <w:rsid w:val="0E8F6A08"/>
    <w:rsid w:val="0E947D89"/>
    <w:rsid w:val="0E973EDC"/>
    <w:rsid w:val="0EAC151C"/>
    <w:rsid w:val="0ED463D8"/>
    <w:rsid w:val="0F01062B"/>
    <w:rsid w:val="0F035579"/>
    <w:rsid w:val="0F075BEC"/>
    <w:rsid w:val="0F0C3A42"/>
    <w:rsid w:val="0F2B5643"/>
    <w:rsid w:val="0F4470B9"/>
    <w:rsid w:val="0F5E0C2E"/>
    <w:rsid w:val="0F7450E6"/>
    <w:rsid w:val="0F7E0D2B"/>
    <w:rsid w:val="0F8B2F3A"/>
    <w:rsid w:val="0F9672E9"/>
    <w:rsid w:val="0F9C6EF5"/>
    <w:rsid w:val="0FA20284"/>
    <w:rsid w:val="0FB326EA"/>
    <w:rsid w:val="0FC14BAE"/>
    <w:rsid w:val="0FF02238"/>
    <w:rsid w:val="10577FF7"/>
    <w:rsid w:val="107C11A1"/>
    <w:rsid w:val="108005C5"/>
    <w:rsid w:val="10A02A15"/>
    <w:rsid w:val="10AF4A06"/>
    <w:rsid w:val="10BC1F88"/>
    <w:rsid w:val="10CB66C4"/>
    <w:rsid w:val="10D12BCF"/>
    <w:rsid w:val="10E5667A"/>
    <w:rsid w:val="10ED552F"/>
    <w:rsid w:val="10F25191"/>
    <w:rsid w:val="110F456B"/>
    <w:rsid w:val="11187865"/>
    <w:rsid w:val="11335BD7"/>
    <w:rsid w:val="117D68B3"/>
    <w:rsid w:val="11961CCB"/>
    <w:rsid w:val="11C10E95"/>
    <w:rsid w:val="11D3607E"/>
    <w:rsid w:val="11FC1F7F"/>
    <w:rsid w:val="12080923"/>
    <w:rsid w:val="121C60CC"/>
    <w:rsid w:val="12456041"/>
    <w:rsid w:val="12676FF8"/>
    <w:rsid w:val="12695E57"/>
    <w:rsid w:val="12985F6F"/>
    <w:rsid w:val="12D77066"/>
    <w:rsid w:val="12F2507E"/>
    <w:rsid w:val="12F82873"/>
    <w:rsid w:val="13026EC7"/>
    <w:rsid w:val="13166FBF"/>
    <w:rsid w:val="1336140F"/>
    <w:rsid w:val="133E02C4"/>
    <w:rsid w:val="134C1CEB"/>
    <w:rsid w:val="137B32C6"/>
    <w:rsid w:val="13850E78"/>
    <w:rsid w:val="1393653E"/>
    <w:rsid w:val="13C33DC9"/>
    <w:rsid w:val="13C80904"/>
    <w:rsid w:val="14040F79"/>
    <w:rsid w:val="143A53BF"/>
    <w:rsid w:val="14522A66"/>
    <w:rsid w:val="146825D9"/>
    <w:rsid w:val="147246C9"/>
    <w:rsid w:val="14A20ACC"/>
    <w:rsid w:val="14A73067"/>
    <w:rsid w:val="14B1050B"/>
    <w:rsid w:val="14C173FE"/>
    <w:rsid w:val="14C66209"/>
    <w:rsid w:val="14DA401C"/>
    <w:rsid w:val="14E219FF"/>
    <w:rsid w:val="14E51F3A"/>
    <w:rsid w:val="14EC5EF6"/>
    <w:rsid w:val="15040702"/>
    <w:rsid w:val="150B7AED"/>
    <w:rsid w:val="1514752E"/>
    <w:rsid w:val="152D5484"/>
    <w:rsid w:val="152F6116"/>
    <w:rsid w:val="154B658F"/>
    <w:rsid w:val="15783B55"/>
    <w:rsid w:val="158712F6"/>
    <w:rsid w:val="158C7006"/>
    <w:rsid w:val="159445ED"/>
    <w:rsid w:val="15A77B14"/>
    <w:rsid w:val="15C72FA5"/>
    <w:rsid w:val="15DE4E43"/>
    <w:rsid w:val="15EC27EF"/>
    <w:rsid w:val="16007AB2"/>
    <w:rsid w:val="161E6859"/>
    <w:rsid w:val="162701E6"/>
    <w:rsid w:val="16414353"/>
    <w:rsid w:val="165E18B1"/>
    <w:rsid w:val="1672275E"/>
    <w:rsid w:val="16867C8A"/>
    <w:rsid w:val="169930DC"/>
    <w:rsid w:val="16A6725D"/>
    <w:rsid w:val="16AF1C64"/>
    <w:rsid w:val="16B34B25"/>
    <w:rsid w:val="16C60CFC"/>
    <w:rsid w:val="16D2663D"/>
    <w:rsid w:val="17050116"/>
    <w:rsid w:val="170B670F"/>
    <w:rsid w:val="172E714C"/>
    <w:rsid w:val="17681A81"/>
    <w:rsid w:val="17A0779F"/>
    <w:rsid w:val="17E0004D"/>
    <w:rsid w:val="17F84EE5"/>
    <w:rsid w:val="180D1902"/>
    <w:rsid w:val="18143E7E"/>
    <w:rsid w:val="18486D9C"/>
    <w:rsid w:val="184E2252"/>
    <w:rsid w:val="188A5FFF"/>
    <w:rsid w:val="188F3E30"/>
    <w:rsid w:val="18A54759"/>
    <w:rsid w:val="18AE37F5"/>
    <w:rsid w:val="18B84674"/>
    <w:rsid w:val="18BC23B6"/>
    <w:rsid w:val="18C15C1F"/>
    <w:rsid w:val="18CA752F"/>
    <w:rsid w:val="18DE057F"/>
    <w:rsid w:val="18F81250"/>
    <w:rsid w:val="18FF4051"/>
    <w:rsid w:val="1900118F"/>
    <w:rsid w:val="19334157"/>
    <w:rsid w:val="19467ED2"/>
    <w:rsid w:val="194E045B"/>
    <w:rsid w:val="198A7DBF"/>
    <w:rsid w:val="19C239FC"/>
    <w:rsid w:val="19CF7EC7"/>
    <w:rsid w:val="19DE010A"/>
    <w:rsid w:val="1A087A83"/>
    <w:rsid w:val="1A0B5237"/>
    <w:rsid w:val="1A12131B"/>
    <w:rsid w:val="1A231FC1"/>
    <w:rsid w:val="1A407919"/>
    <w:rsid w:val="1A410E46"/>
    <w:rsid w:val="1A4F2DB6"/>
    <w:rsid w:val="1A511E09"/>
    <w:rsid w:val="1A5E3F18"/>
    <w:rsid w:val="1A5F4866"/>
    <w:rsid w:val="1A9A08B1"/>
    <w:rsid w:val="1AAB467C"/>
    <w:rsid w:val="1ABA183A"/>
    <w:rsid w:val="1ABC044C"/>
    <w:rsid w:val="1AD02149"/>
    <w:rsid w:val="1ADE366B"/>
    <w:rsid w:val="1B1E5CC8"/>
    <w:rsid w:val="1B2D0B48"/>
    <w:rsid w:val="1B31047F"/>
    <w:rsid w:val="1B400660"/>
    <w:rsid w:val="1B4544BE"/>
    <w:rsid w:val="1B492B8F"/>
    <w:rsid w:val="1B4B2504"/>
    <w:rsid w:val="1B6A3019"/>
    <w:rsid w:val="1B730595"/>
    <w:rsid w:val="1B987B47"/>
    <w:rsid w:val="1BA76A6C"/>
    <w:rsid w:val="1BCA49F8"/>
    <w:rsid w:val="1BD21EF1"/>
    <w:rsid w:val="1BD44240"/>
    <w:rsid w:val="1BDF6F8C"/>
    <w:rsid w:val="1C00750C"/>
    <w:rsid w:val="1C082537"/>
    <w:rsid w:val="1C166281"/>
    <w:rsid w:val="1C1F5136"/>
    <w:rsid w:val="1C3D55BC"/>
    <w:rsid w:val="1C3E1BB2"/>
    <w:rsid w:val="1C695DAA"/>
    <w:rsid w:val="1C821221"/>
    <w:rsid w:val="1C96296D"/>
    <w:rsid w:val="1C991608"/>
    <w:rsid w:val="1CBD77D4"/>
    <w:rsid w:val="1CF54B8A"/>
    <w:rsid w:val="1D052F29"/>
    <w:rsid w:val="1D0A4ACA"/>
    <w:rsid w:val="1D142607"/>
    <w:rsid w:val="1D1446F2"/>
    <w:rsid w:val="1D1D719C"/>
    <w:rsid w:val="1D21672A"/>
    <w:rsid w:val="1D3A267F"/>
    <w:rsid w:val="1D4209B0"/>
    <w:rsid w:val="1D592234"/>
    <w:rsid w:val="1D5E6338"/>
    <w:rsid w:val="1D6E4ED7"/>
    <w:rsid w:val="1D7129B5"/>
    <w:rsid w:val="1DB63878"/>
    <w:rsid w:val="1DC35F95"/>
    <w:rsid w:val="1DC77766"/>
    <w:rsid w:val="1DDE692B"/>
    <w:rsid w:val="1E326C77"/>
    <w:rsid w:val="1E36109D"/>
    <w:rsid w:val="1E5D1F46"/>
    <w:rsid w:val="1E6C1577"/>
    <w:rsid w:val="1E7B2E65"/>
    <w:rsid w:val="1E7B6968"/>
    <w:rsid w:val="1E8C2FD4"/>
    <w:rsid w:val="1ECB0A06"/>
    <w:rsid w:val="1ECF072E"/>
    <w:rsid w:val="1EE3035C"/>
    <w:rsid w:val="1F2C5B22"/>
    <w:rsid w:val="1F38650F"/>
    <w:rsid w:val="1F4D2694"/>
    <w:rsid w:val="1F682713"/>
    <w:rsid w:val="1F7F7C9A"/>
    <w:rsid w:val="1F9C7EBF"/>
    <w:rsid w:val="1FBB2EAE"/>
    <w:rsid w:val="1FBC301E"/>
    <w:rsid w:val="201900EE"/>
    <w:rsid w:val="201E0AA9"/>
    <w:rsid w:val="202952E5"/>
    <w:rsid w:val="202C7E22"/>
    <w:rsid w:val="20304226"/>
    <w:rsid w:val="20370574"/>
    <w:rsid w:val="203A1FAA"/>
    <w:rsid w:val="208539D6"/>
    <w:rsid w:val="20C52024"/>
    <w:rsid w:val="20E64474"/>
    <w:rsid w:val="20F070A1"/>
    <w:rsid w:val="21091F11"/>
    <w:rsid w:val="210A22DD"/>
    <w:rsid w:val="210D26E9"/>
    <w:rsid w:val="21156B08"/>
    <w:rsid w:val="211C60E8"/>
    <w:rsid w:val="21384A83"/>
    <w:rsid w:val="217F21D3"/>
    <w:rsid w:val="218D5001"/>
    <w:rsid w:val="2190618E"/>
    <w:rsid w:val="21933ED0"/>
    <w:rsid w:val="219D5FDD"/>
    <w:rsid w:val="21B02D1C"/>
    <w:rsid w:val="21B42E8F"/>
    <w:rsid w:val="21B62AC2"/>
    <w:rsid w:val="21C72E6D"/>
    <w:rsid w:val="22146DBF"/>
    <w:rsid w:val="2225350A"/>
    <w:rsid w:val="222635DB"/>
    <w:rsid w:val="224C33BE"/>
    <w:rsid w:val="225603A9"/>
    <w:rsid w:val="227057CA"/>
    <w:rsid w:val="22835257"/>
    <w:rsid w:val="2286568A"/>
    <w:rsid w:val="228F55D2"/>
    <w:rsid w:val="22E65B9F"/>
    <w:rsid w:val="22EB1A8E"/>
    <w:rsid w:val="22F56664"/>
    <w:rsid w:val="22FF5BB9"/>
    <w:rsid w:val="23186CF3"/>
    <w:rsid w:val="23203542"/>
    <w:rsid w:val="23256DAA"/>
    <w:rsid w:val="233A0AA7"/>
    <w:rsid w:val="23511462"/>
    <w:rsid w:val="236230E7"/>
    <w:rsid w:val="23700624"/>
    <w:rsid w:val="238002CA"/>
    <w:rsid w:val="23B618A1"/>
    <w:rsid w:val="23B9652B"/>
    <w:rsid w:val="23C44815"/>
    <w:rsid w:val="23C959D7"/>
    <w:rsid w:val="23DE58D7"/>
    <w:rsid w:val="23EA5BC3"/>
    <w:rsid w:val="23F7700F"/>
    <w:rsid w:val="240C1EF0"/>
    <w:rsid w:val="2435402E"/>
    <w:rsid w:val="244D6141"/>
    <w:rsid w:val="245F6995"/>
    <w:rsid w:val="249757F1"/>
    <w:rsid w:val="24B30884"/>
    <w:rsid w:val="24E45993"/>
    <w:rsid w:val="25083BE5"/>
    <w:rsid w:val="253879ED"/>
    <w:rsid w:val="25890B3D"/>
    <w:rsid w:val="259961A6"/>
    <w:rsid w:val="259A75DB"/>
    <w:rsid w:val="25B74631"/>
    <w:rsid w:val="25EE74A0"/>
    <w:rsid w:val="2613475F"/>
    <w:rsid w:val="261C69C9"/>
    <w:rsid w:val="26444656"/>
    <w:rsid w:val="264A075D"/>
    <w:rsid w:val="2650413E"/>
    <w:rsid w:val="26DE2FF3"/>
    <w:rsid w:val="26EB0CD8"/>
    <w:rsid w:val="26FC0C63"/>
    <w:rsid w:val="27165388"/>
    <w:rsid w:val="273437E7"/>
    <w:rsid w:val="27460774"/>
    <w:rsid w:val="27982240"/>
    <w:rsid w:val="279F35CF"/>
    <w:rsid w:val="27B801ED"/>
    <w:rsid w:val="27BB43F5"/>
    <w:rsid w:val="27CD727F"/>
    <w:rsid w:val="27E24B00"/>
    <w:rsid w:val="27F23665"/>
    <w:rsid w:val="281C12EF"/>
    <w:rsid w:val="28223E36"/>
    <w:rsid w:val="2827273D"/>
    <w:rsid w:val="282E6701"/>
    <w:rsid w:val="28367301"/>
    <w:rsid w:val="28380C96"/>
    <w:rsid w:val="28885E11"/>
    <w:rsid w:val="28971753"/>
    <w:rsid w:val="28AA4330"/>
    <w:rsid w:val="28B31225"/>
    <w:rsid w:val="2900009D"/>
    <w:rsid w:val="29052806"/>
    <w:rsid w:val="291F0617"/>
    <w:rsid w:val="292226AF"/>
    <w:rsid w:val="296454F8"/>
    <w:rsid w:val="297107C7"/>
    <w:rsid w:val="297B6774"/>
    <w:rsid w:val="298E4358"/>
    <w:rsid w:val="298F31CF"/>
    <w:rsid w:val="29965F04"/>
    <w:rsid w:val="29C8521C"/>
    <w:rsid w:val="29C97B0E"/>
    <w:rsid w:val="29CB291D"/>
    <w:rsid w:val="2A0C292E"/>
    <w:rsid w:val="2A0E2346"/>
    <w:rsid w:val="2A8A2314"/>
    <w:rsid w:val="2A904799"/>
    <w:rsid w:val="2A9410D5"/>
    <w:rsid w:val="2A9773EA"/>
    <w:rsid w:val="2AA66A22"/>
    <w:rsid w:val="2AAE3A07"/>
    <w:rsid w:val="2AB15801"/>
    <w:rsid w:val="2AF87901"/>
    <w:rsid w:val="2B102276"/>
    <w:rsid w:val="2B3A3025"/>
    <w:rsid w:val="2B5C0993"/>
    <w:rsid w:val="2B5E72FD"/>
    <w:rsid w:val="2B9070E1"/>
    <w:rsid w:val="2BAF74B7"/>
    <w:rsid w:val="2BC56073"/>
    <w:rsid w:val="2BD06374"/>
    <w:rsid w:val="2BD355F5"/>
    <w:rsid w:val="2BDA5428"/>
    <w:rsid w:val="2BDF5274"/>
    <w:rsid w:val="2BDF78E1"/>
    <w:rsid w:val="2BE048B9"/>
    <w:rsid w:val="2BFA0959"/>
    <w:rsid w:val="2C104F88"/>
    <w:rsid w:val="2C224AEE"/>
    <w:rsid w:val="2C261C4B"/>
    <w:rsid w:val="2C275941"/>
    <w:rsid w:val="2C2C601B"/>
    <w:rsid w:val="2C765D7F"/>
    <w:rsid w:val="2C7F752B"/>
    <w:rsid w:val="2CAB0320"/>
    <w:rsid w:val="2CC413E2"/>
    <w:rsid w:val="2D0312D3"/>
    <w:rsid w:val="2D0B7011"/>
    <w:rsid w:val="2D1063D5"/>
    <w:rsid w:val="2D187243"/>
    <w:rsid w:val="2D4D3EEA"/>
    <w:rsid w:val="2D607001"/>
    <w:rsid w:val="2D6377C4"/>
    <w:rsid w:val="2D813DD7"/>
    <w:rsid w:val="2DA30137"/>
    <w:rsid w:val="2DB41456"/>
    <w:rsid w:val="2DD02307"/>
    <w:rsid w:val="2DD4793D"/>
    <w:rsid w:val="2E0352BC"/>
    <w:rsid w:val="2E1879D5"/>
    <w:rsid w:val="2E3714A4"/>
    <w:rsid w:val="2E396D0E"/>
    <w:rsid w:val="2E3E00ED"/>
    <w:rsid w:val="2E3F25AE"/>
    <w:rsid w:val="2E6C32E7"/>
    <w:rsid w:val="2E7A7223"/>
    <w:rsid w:val="2E826474"/>
    <w:rsid w:val="2E841817"/>
    <w:rsid w:val="2E862DF3"/>
    <w:rsid w:val="2E8757F1"/>
    <w:rsid w:val="2EB85D49"/>
    <w:rsid w:val="2F7E4D74"/>
    <w:rsid w:val="2F892D42"/>
    <w:rsid w:val="2F9A3429"/>
    <w:rsid w:val="2FEA779A"/>
    <w:rsid w:val="2FFA063A"/>
    <w:rsid w:val="2FFE2E5D"/>
    <w:rsid w:val="2FFF4660"/>
    <w:rsid w:val="300224CA"/>
    <w:rsid w:val="30264D1E"/>
    <w:rsid w:val="303E75EB"/>
    <w:rsid w:val="3049232A"/>
    <w:rsid w:val="304A0517"/>
    <w:rsid w:val="307D5C1A"/>
    <w:rsid w:val="308948DA"/>
    <w:rsid w:val="30B73C5B"/>
    <w:rsid w:val="30C77323"/>
    <w:rsid w:val="30C827FD"/>
    <w:rsid w:val="30CE6CD3"/>
    <w:rsid w:val="30DB6CFA"/>
    <w:rsid w:val="30DC319E"/>
    <w:rsid w:val="30EB624E"/>
    <w:rsid w:val="30EC5700"/>
    <w:rsid w:val="310E5321"/>
    <w:rsid w:val="31183B98"/>
    <w:rsid w:val="313602F9"/>
    <w:rsid w:val="31557C6B"/>
    <w:rsid w:val="31644F41"/>
    <w:rsid w:val="31724B9C"/>
    <w:rsid w:val="31B96F05"/>
    <w:rsid w:val="31BE597C"/>
    <w:rsid w:val="31C4631C"/>
    <w:rsid w:val="31EA1CF2"/>
    <w:rsid w:val="32023469"/>
    <w:rsid w:val="32085B11"/>
    <w:rsid w:val="321416BA"/>
    <w:rsid w:val="321915A3"/>
    <w:rsid w:val="321A1EE3"/>
    <w:rsid w:val="32274BE6"/>
    <w:rsid w:val="322F4F27"/>
    <w:rsid w:val="323745C1"/>
    <w:rsid w:val="32452FC5"/>
    <w:rsid w:val="325B46AF"/>
    <w:rsid w:val="32676A97"/>
    <w:rsid w:val="326F1DF0"/>
    <w:rsid w:val="329A15A9"/>
    <w:rsid w:val="329A50BF"/>
    <w:rsid w:val="32BA0C51"/>
    <w:rsid w:val="32D7490F"/>
    <w:rsid w:val="32D83E39"/>
    <w:rsid w:val="32EB0A22"/>
    <w:rsid w:val="331210F9"/>
    <w:rsid w:val="33182487"/>
    <w:rsid w:val="33353CD3"/>
    <w:rsid w:val="33423060"/>
    <w:rsid w:val="33462630"/>
    <w:rsid w:val="335E60EC"/>
    <w:rsid w:val="33606A17"/>
    <w:rsid w:val="3369669F"/>
    <w:rsid w:val="33785BDE"/>
    <w:rsid w:val="339C3931"/>
    <w:rsid w:val="33C30C5E"/>
    <w:rsid w:val="33C66390"/>
    <w:rsid w:val="33E04D53"/>
    <w:rsid w:val="34100013"/>
    <w:rsid w:val="341E1D1F"/>
    <w:rsid w:val="342E1F62"/>
    <w:rsid w:val="344572AC"/>
    <w:rsid w:val="34610279"/>
    <w:rsid w:val="3462703E"/>
    <w:rsid w:val="349124F1"/>
    <w:rsid w:val="349D49F2"/>
    <w:rsid w:val="34A55F9D"/>
    <w:rsid w:val="34C77CC1"/>
    <w:rsid w:val="34CC76FA"/>
    <w:rsid w:val="34D663AF"/>
    <w:rsid w:val="34E24AFB"/>
    <w:rsid w:val="350E3F95"/>
    <w:rsid w:val="352020BE"/>
    <w:rsid w:val="35737042"/>
    <w:rsid w:val="35AA4ED1"/>
    <w:rsid w:val="35B8635F"/>
    <w:rsid w:val="35B91A99"/>
    <w:rsid w:val="35C81F43"/>
    <w:rsid w:val="35D5640E"/>
    <w:rsid w:val="35E8510B"/>
    <w:rsid w:val="360B1E2F"/>
    <w:rsid w:val="36264037"/>
    <w:rsid w:val="36985DB9"/>
    <w:rsid w:val="369A0379"/>
    <w:rsid w:val="36DB3EF8"/>
    <w:rsid w:val="36EE56C3"/>
    <w:rsid w:val="36EF5F27"/>
    <w:rsid w:val="36FF3742"/>
    <w:rsid w:val="372238D5"/>
    <w:rsid w:val="37296A11"/>
    <w:rsid w:val="3747333B"/>
    <w:rsid w:val="374F6680"/>
    <w:rsid w:val="375A48D2"/>
    <w:rsid w:val="3776710C"/>
    <w:rsid w:val="37981210"/>
    <w:rsid w:val="37AD13F0"/>
    <w:rsid w:val="37AD2A4C"/>
    <w:rsid w:val="37F214F9"/>
    <w:rsid w:val="38066D52"/>
    <w:rsid w:val="382D1009"/>
    <w:rsid w:val="383438BF"/>
    <w:rsid w:val="385026F4"/>
    <w:rsid w:val="385F4274"/>
    <w:rsid w:val="38713724"/>
    <w:rsid w:val="38825E66"/>
    <w:rsid w:val="388C36FB"/>
    <w:rsid w:val="389D1465"/>
    <w:rsid w:val="38AC27BD"/>
    <w:rsid w:val="38C16036"/>
    <w:rsid w:val="38E01351"/>
    <w:rsid w:val="38E928FC"/>
    <w:rsid w:val="38F01BC3"/>
    <w:rsid w:val="38F92DBF"/>
    <w:rsid w:val="38FD6C84"/>
    <w:rsid w:val="39095C94"/>
    <w:rsid w:val="392373ED"/>
    <w:rsid w:val="392D1347"/>
    <w:rsid w:val="392F491E"/>
    <w:rsid w:val="393029C8"/>
    <w:rsid w:val="394221A2"/>
    <w:rsid w:val="39474A0A"/>
    <w:rsid w:val="395155D3"/>
    <w:rsid w:val="395E33AA"/>
    <w:rsid w:val="39621D5E"/>
    <w:rsid w:val="396B1A41"/>
    <w:rsid w:val="39A86313"/>
    <w:rsid w:val="3A0003D7"/>
    <w:rsid w:val="3A174F19"/>
    <w:rsid w:val="3A2401B7"/>
    <w:rsid w:val="3A497F78"/>
    <w:rsid w:val="3A502507"/>
    <w:rsid w:val="3A5D3360"/>
    <w:rsid w:val="3A673B47"/>
    <w:rsid w:val="3A7C12C5"/>
    <w:rsid w:val="3A800389"/>
    <w:rsid w:val="3A8521B0"/>
    <w:rsid w:val="3A912A0A"/>
    <w:rsid w:val="3AE71221"/>
    <w:rsid w:val="3B104705"/>
    <w:rsid w:val="3B1F4001"/>
    <w:rsid w:val="3B30719C"/>
    <w:rsid w:val="3B53405D"/>
    <w:rsid w:val="3B612EFA"/>
    <w:rsid w:val="3C01497A"/>
    <w:rsid w:val="3C0909AF"/>
    <w:rsid w:val="3C2D76D8"/>
    <w:rsid w:val="3C303945"/>
    <w:rsid w:val="3C4816E7"/>
    <w:rsid w:val="3C6D311F"/>
    <w:rsid w:val="3C8B6C00"/>
    <w:rsid w:val="3C9A5CBB"/>
    <w:rsid w:val="3CA2250B"/>
    <w:rsid w:val="3CAA1ED1"/>
    <w:rsid w:val="3CD010C9"/>
    <w:rsid w:val="3CD34B17"/>
    <w:rsid w:val="3CD76F0F"/>
    <w:rsid w:val="3CE70777"/>
    <w:rsid w:val="3CF55271"/>
    <w:rsid w:val="3D0C6006"/>
    <w:rsid w:val="3D1D0FEA"/>
    <w:rsid w:val="3D220FDE"/>
    <w:rsid w:val="3D51232B"/>
    <w:rsid w:val="3D5612A3"/>
    <w:rsid w:val="3D5817DE"/>
    <w:rsid w:val="3D6C331F"/>
    <w:rsid w:val="3D804EB1"/>
    <w:rsid w:val="3DB66B25"/>
    <w:rsid w:val="3DB72FC9"/>
    <w:rsid w:val="3DB8289D"/>
    <w:rsid w:val="3DF83452"/>
    <w:rsid w:val="3E535B95"/>
    <w:rsid w:val="3E636124"/>
    <w:rsid w:val="3E6660AE"/>
    <w:rsid w:val="3E755F09"/>
    <w:rsid w:val="3E946E66"/>
    <w:rsid w:val="3EA133EA"/>
    <w:rsid w:val="3EA93D0D"/>
    <w:rsid w:val="3EAD43CC"/>
    <w:rsid w:val="3EBE2135"/>
    <w:rsid w:val="3ED87036"/>
    <w:rsid w:val="3EE93E44"/>
    <w:rsid w:val="3EF02308"/>
    <w:rsid w:val="3F0853A8"/>
    <w:rsid w:val="3F0C73DB"/>
    <w:rsid w:val="3F204B9E"/>
    <w:rsid w:val="3F343EDD"/>
    <w:rsid w:val="3F5A3485"/>
    <w:rsid w:val="3F76656C"/>
    <w:rsid w:val="3F93084A"/>
    <w:rsid w:val="3FAE21A9"/>
    <w:rsid w:val="3FC92FE8"/>
    <w:rsid w:val="3FD73804"/>
    <w:rsid w:val="3FDF3768"/>
    <w:rsid w:val="3FE213FE"/>
    <w:rsid w:val="3FF613D6"/>
    <w:rsid w:val="4040191C"/>
    <w:rsid w:val="404C083A"/>
    <w:rsid w:val="404E573A"/>
    <w:rsid w:val="40605A4F"/>
    <w:rsid w:val="407F393A"/>
    <w:rsid w:val="40AA5CF0"/>
    <w:rsid w:val="41117623"/>
    <w:rsid w:val="41140732"/>
    <w:rsid w:val="41141717"/>
    <w:rsid w:val="416163D3"/>
    <w:rsid w:val="416645D9"/>
    <w:rsid w:val="41765224"/>
    <w:rsid w:val="41790595"/>
    <w:rsid w:val="41962FC4"/>
    <w:rsid w:val="41A84F13"/>
    <w:rsid w:val="41AA1D72"/>
    <w:rsid w:val="41AC096A"/>
    <w:rsid w:val="41B810BD"/>
    <w:rsid w:val="41BC492B"/>
    <w:rsid w:val="41FB7F1B"/>
    <w:rsid w:val="42087906"/>
    <w:rsid w:val="420B6D41"/>
    <w:rsid w:val="4229687C"/>
    <w:rsid w:val="424E1964"/>
    <w:rsid w:val="42887029"/>
    <w:rsid w:val="429A6A15"/>
    <w:rsid w:val="42AC3A3A"/>
    <w:rsid w:val="42AD419D"/>
    <w:rsid w:val="42B70F03"/>
    <w:rsid w:val="42DD3AB9"/>
    <w:rsid w:val="42F57A6A"/>
    <w:rsid w:val="431525BD"/>
    <w:rsid w:val="43317379"/>
    <w:rsid w:val="43494082"/>
    <w:rsid w:val="437A6A42"/>
    <w:rsid w:val="438C2D35"/>
    <w:rsid w:val="439534B9"/>
    <w:rsid w:val="43957638"/>
    <w:rsid w:val="44063E32"/>
    <w:rsid w:val="441122B4"/>
    <w:rsid w:val="441D78FE"/>
    <w:rsid w:val="4439440E"/>
    <w:rsid w:val="44524995"/>
    <w:rsid w:val="445B0148"/>
    <w:rsid w:val="446931AC"/>
    <w:rsid w:val="447F2366"/>
    <w:rsid w:val="44A21BB1"/>
    <w:rsid w:val="44A80D9D"/>
    <w:rsid w:val="44A973E3"/>
    <w:rsid w:val="44DA6974"/>
    <w:rsid w:val="450F4A4B"/>
    <w:rsid w:val="453672DE"/>
    <w:rsid w:val="45416628"/>
    <w:rsid w:val="45521829"/>
    <w:rsid w:val="45572253"/>
    <w:rsid w:val="45592BB7"/>
    <w:rsid w:val="456B2958"/>
    <w:rsid w:val="4586581D"/>
    <w:rsid w:val="45CA2D97"/>
    <w:rsid w:val="45D24718"/>
    <w:rsid w:val="4603066A"/>
    <w:rsid w:val="461A0599"/>
    <w:rsid w:val="46524477"/>
    <w:rsid w:val="465854C9"/>
    <w:rsid w:val="465F41FD"/>
    <w:rsid w:val="469D363E"/>
    <w:rsid w:val="46B94BBA"/>
    <w:rsid w:val="46C95B1B"/>
    <w:rsid w:val="46E75FA1"/>
    <w:rsid w:val="47072496"/>
    <w:rsid w:val="470B7648"/>
    <w:rsid w:val="471A1ED2"/>
    <w:rsid w:val="471F398D"/>
    <w:rsid w:val="4725528A"/>
    <w:rsid w:val="472D3BDD"/>
    <w:rsid w:val="47453A8F"/>
    <w:rsid w:val="47460F19"/>
    <w:rsid w:val="477E798F"/>
    <w:rsid w:val="479666D5"/>
    <w:rsid w:val="47AF25E8"/>
    <w:rsid w:val="47CA38F8"/>
    <w:rsid w:val="47FA06E5"/>
    <w:rsid w:val="47FC3091"/>
    <w:rsid w:val="480534AF"/>
    <w:rsid w:val="48164D90"/>
    <w:rsid w:val="48550E49"/>
    <w:rsid w:val="48763A80"/>
    <w:rsid w:val="487E515D"/>
    <w:rsid w:val="48F923DD"/>
    <w:rsid w:val="49146D80"/>
    <w:rsid w:val="4916491B"/>
    <w:rsid w:val="49182D28"/>
    <w:rsid w:val="494A53F2"/>
    <w:rsid w:val="496B4C67"/>
    <w:rsid w:val="49BF718C"/>
    <w:rsid w:val="49C273D2"/>
    <w:rsid w:val="49D15BEE"/>
    <w:rsid w:val="49E55A72"/>
    <w:rsid w:val="49F44C34"/>
    <w:rsid w:val="4A0B0B6D"/>
    <w:rsid w:val="4A112B40"/>
    <w:rsid w:val="4A34774F"/>
    <w:rsid w:val="4A440E6D"/>
    <w:rsid w:val="4A814DEF"/>
    <w:rsid w:val="4A9E3DCA"/>
    <w:rsid w:val="4AB63EA1"/>
    <w:rsid w:val="4AC7411F"/>
    <w:rsid w:val="4B0144FF"/>
    <w:rsid w:val="4B182BCD"/>
    <w:rsid w:val="4B5B76B8"/>
    <w:rsid w:val="4B836726"/>
    <w:rsid w:val="4B8B7991"/>
    <w:rsid w:val="4B9C55AC"/>
    <w:rsid w:val="4BA206E8"/>
    <w:rsid w:val="4BAD7E9E"/>
    <w:rsid w:val="4BD25D21"/>
    <w:rsid w:val="4BEA4569"/>
    <w:rsid w:val="4BFA7163"/>
    <w:rsid w:val="4C107D48"/>
    <w:rsid w:val="4C1D5048"/>
    <w:rsid w:val="4C215AB1"/>
    <w:rsid w:val="4C28494E"/>
    <w:rsid w:val="4C2B3B59"/>
    <w:rsid w:val="4C6F0F12"/>
    <w:rsid w:val="4C7B73CA"/>
    <w:rsid w:val="4CB84667"/>
    <w:rsid w:val="4CD945DE"/>
    <w:rsid w:val="4CDD70E0"/>
    <w:rsid w:val="4CF21EE0"/>
    <w:rsid w:val="4CFF22B6"/>
    <w:rsid w:val="4D0673AC"/>
    <w:rsid w:val="4D090380"/>
    <w:rsid w:val="4D2910C1"/>
    <w:rsid w:val="4D333CEE"/>
    <w:rsid w:val="4D44414D"/>
    <w:rsid w:val="4D683313"/>
    <w:rsid w:val="4D6F03FB"/>
    <w:rsid w:val="4D8C73EB"/>
    <w:rsid w:val="4D8E614E"/>
    <w:rsid w:val="4DB16804"/>
    <w:rsid w:val="4DCA28A4"/>
    <w:rsid w:val="4DDA2295"/>
    <w:rsid w:val="4DDE00FE"/>
    <w:rsid w:val="4DFF063E"/>
    <w:rsid w:val="4E01203E"/>
    <w:rsid w:val="4E0F6997"/>
    <w:rsid w:val="4E444416"/>
    <w:rsid w:val="4E52289A"/>
    <w:rsid w:val="4E6D31DA"/>
    <w:rsid w:val="4E80031D"/>
    <w:rsid w:val="4E855F30"/>
    <w:rsid w:val="4EA07161"/>
    <w:rsid w:val="4EAC15B1"/>
    <w:rsid w:val="4EBC0F48"/>
    <w:rsid w:val="4EC44D7B"/>
    <w:rsid w:val="4EE73F7A"/>
    <w:rsid w:val="4EFC5CCA"/>
    <w:rsid w:val="4F0903A9"/>
    <w:rsid w:val="4F23768C"/>
    <w:rsid w:val="4F242555"/>
    <w:rsid w:val="4F311B45"/>
    <w:rsid w:val="4F3D4E31"/>
    <w:rsid w:val="4F4444F1"/>
    <w:rsid w:val="4F5B577E"/>
    <w:rsid w:val="4F6A7558"/>
    <w:rsid w:val="4F7C7A8C"/>
    <w:rsid w:val="4F7F3DFA"/>
    <w:rsid w:val="4F93316A"/>
    <w:rsid w:val="4F946B56"/>
    <w:rsid w:val="4F952A3E"/>
    <w:rsid w:val="4FB1539E"/>
    <w:rsid w:val="4FB54E8E"/>
    <w:rsid w:val="4FBD3D43"/>
    <w:rsid w:val="4FD03A76"/>
    <w:rsid w:val="4FE15C83"/>
    <w:rsid w:val="4FE45773"/>
    <w:rsid w:val="4FE94AB8"/>
    <w:rsid w:val="500E276F"/>
    <w:rsid w:val="503F05B1"/>
    <w:rsid w:val="5040775D"/>
    <w:rsid w:val="504273BB"/>
    <w:rsid w:val="504C5972"/>
    <w:rsid w:val="504D50C7"/>
    <w:rsid w:val="5074796C"/>
    <w:rsid w:val="50827466"/>
    <w:rsid w:val="50841B1F"/>
    <w:rsid w:val="50AB011C"/>
    <w:rsid w:val="50B61EFB"/>
    <w:rsid w:val="50B9287D"/>
    <w:rsid w:val="50B96D3A"/>
    <w:rsid w:val="5119144D"/>
    <w:rsid w:val="513C2171"/>
    <w:rsid w:val="513F6888"/>
    <w:rsid w:val="514B1790"/>
    <w:rsid w:val="514F01E1"/>
    <w:rsid w:val="514F0B06"/>
    <w:rsid w:val="515A3F3F"/>
    <w:rsid w:val="516C77CE"/>
    <w:rsid w:val="517A3CF4"/>
    <w:rsid w:val="517C5E3E"/>
    <w:rsid w:val="5180327A"/>
    <w:rsid w:val="518907DB"/>
    <w:rsid w:val="5191613E"/>
    <w:rsid w:val="51C452E5"/>
    <w:rsid w:val="51CF0055"/>
    <w:rsid w:val="51CF1221"/>
    <w:rsid w:val="51E51AE5"/>
    <w:rsid w:val="51F04F4A"/>
    <w:rsid w:val="51FC240F"/>
    <w:rsid w:val="5225614D"/>
    <w:rsid w:val="52455DAC"/>
    <w:rsid w:val="525C5A95"/>
    <w:rsid w:val="525F10E1"/>
    <w:rsid w:val="52671C33"/>
    <w:rsid w:val="52750C77"/>
    <w:rsid w:val="5296030C"/>
    <w:rsid w:val="52C35287"/>
    <w:rsid w:val="52F91536"/>
    <w:rsid w:val="52F9420E"/>
    <w:rsid w:val="533C1422"/>
    <w:rsid w:val="535350EA"/>
    <w:rsid w:val="536270DB"/>
    <w:rsid w:val="539C677A"/>
    <w:rsid w:val="53B866C0"/>
    <w:rsid w:val="53B90521"/>
    <w:rsid w:val="53C549D3"/>
    <w:rsid w:val="53DE7679"/>
    <w:rsid w:val="53FD5056"/>
    <w:rsid w:val="53FD6E9A"/>
    <w:rsid w:val="54102DC5"/>
    <w:rsid w:val="54165D94"/>
    <w:rsid w:val="54336627"/>
    <w:rsid w:val="544232BE"/>
    <w:rsid w:val="54476B8C"/>
    <w:rsid w:val="544F7757"/>
    <w:rsid w:val="54562F47"/>
    <w:rsid w:val="5479602E"/>
    <w:rsid w:val="548A6041"/>
    <w:rsid w:val="54B15016"/>
    <w:rsid w:val="54B15E53"/>
    <w:rsid w:val="54D53D30"/>
    <w:rsid w:val="54DA7145"/>
    <w:rsid w:val="54DC110F"/>
    <w:rsid w:val="54E22B90"/>
    <w:rsid w:val="54E611A9"/>
    <w:rsid w:val="5503345D"/>
    <w:rsid w:val="5555648E"/>
    <w:rsid w:val="555962BC"/>
    <w:rsid w:val="556436F4"/>
    <w:rsid w:val="557A6C6A"/>
    <w:rsid w:val="557B0928"/>
    <w:rsid w:val="557C1FAA"/>
    <w:rsid w:val="558E411C"/>
    <w:rsid w:val="559D337F"/>
    <w:rsid w:val="55D10548"/>
    <w:rsid w:val="56045CA6"/>
    <w:rsid w:val="56384123"/>
    <w:rsid w:val="564B6950"/>
    <w:rsid w:val="5681375B"/>
    <w:rsid w:val="568D26C1"/>
    <w:rsid w:val="56A27888"/>
    <w:rsid w:val="56A33C92"/>
    <w:rsid w:val="56A51F17"/>
    <w:rsid w:val="56AD4B11"/>
    <w:rsid w:val="56EC2EAE"/>
    <w:rsid w:val="57103A18"/>
    <w:rsid w:val="57183B71"/>
    <w:rsid w:val="57462870"/>
    <w:rsid w:val="574B00F5"/>
    <w:rsid w:val="575257A5"/>
    <w:rsid w:val="5771432A"/>
    <w:rsid w:val="579C4088"/>
    <w:rsid w:val="57A54ECC"/>
    <w:rsid w:val="57B74B58"/>
    <w:rsid w:val="57CE286F"/>
    <w:rsid w:val="57D165DD"/>
    <w:rsid w:val="57E63206"/>
    <w:rsid w:val="57FA36A6"/>
    <w:rsid w:val="57FD73D2"/>
    <w:rsid w:val="580544D9"/>
    <w:rsid w:val="580D330F"/>
    <w:rsid w:val="582C415B"/>
    <w:rsid w:val="583A6878"/>
    <w:rsid w:val="583E3C5F"/>
    <w:rsid w:val="58524939"/>
    <w:rsid w:val="58591997"/>
    <w:rsid w:val="58647037"/>
    <w:rsid w:val="589A7317"/>
    <w:rsid w:val="59177F48"/>
    <w:rsid w:val="592866D1"/>
    <w:rsid w:val="592F3F03"/>
    <w:rsid w:val="59794FE7"/>
    <w:rsid w:val="598633F7"/>
    <w:rsid w:val="59AD6BD6"/>
    <w:rsid w:val="59D0451D"/>
    <w:rsid w:val="59DB69B0"/>
    <w:rsid w:val="5A37271A"/>
    <w:rsid w:val="5A691E21"/>
    <w:rsid w:val="5A8E07B6"/>
    <w:rsid w:val="5A9870AD"/>
    <w:rsid w:val="5A992F99"/>
    <w:rsid w:val="5AAE0103"/>
    <w:rsid w:val="5AB757B2"/>
    <w:rsid w:val="5AB85193"/>
    <w:rsid w:val="5AB94067"/>
    <w:rsid w:val="5AE97FCB"/>
    <w:rsid w:val="5B022D15"/>
    <w:rsid w:val="5B247EA7"/>
    <w:rsid w:val="5B263BBB"/>
    <w:rsid w:val="5B6248F3"/>
    <w:rsid w:val="5B6559BA"/>
    <w:rsid w:val="5B6D0D13"/>
    <w:rsid w:val="5B8F774E"/>
    <w:rsid w:val="5BA069F2"/>
    <w:rsid w:val="5BAC183B"/>
    <w:rsid w:val="5BF14209"/>
    <w:rsid w:val="5C0F5926"/>
    <w:rsid w:val="5C253E3D"/>
    <w:rsid w:val="5C467452"/>
    <w:rsid w:val="5C50666A"/>
    <w:rsid w:val="5C753960"/>
    <w:rsid w:val="5C7B28DE"/>
    <w:rsid w:val="5C7E6AB7"/>
    <w:rsid w:val="5C8D5A90"/>
    <w:rsid w:val="5CAC0FA1"/>
    <w:rsid w:val="5CAC586B"/>
    <w:rsid w:val="5CB24F3D"/>
    <w:rsid w:val="5CD31049"/>
    <w:rsid w:val="5CDF354A"/>
    <w:rsid w:val="5D6A35D0"/>
    <w:rsid w:val="5D7731B7"/>
    <w:rsid w:val="5D9500AD"/>
    <w:rsid w:val="5D952CEB"/>
    <w:rsid w:val="5DB833BB"/>
    <w:rsid w:val="5DB91AB2"/>
    <w:rsid w:val="5E267CFF"/>
    <w:rsid w:val="5E336359"/>
    <w:rsid w:val="5E652175"/>
    <w:rsid w:val="5EA55530"/>
    <w:rsid w:val="5EB71319"/>
    <w:rsid w:val="5EC479D0"/>
    <w:rsid w:val="5ECA6F8E"/>
    <w:rsid w:val="5EDE7DA8"/>
    <w:rsid w:val="5EFD5F0A"/>
    <w:rsid w:val="5F2711D9"/>
    <w:rsid w:val="5F2B2A77"/>
    <w:rsid w:val="5F3003BD"/>
    <w:rsid w:val="5F356E87"/>
    <w:rsid w:val="5FAF4401"/>
    <w:rsid w:val="5FB70C17"/>
    <w:rsid w:val="5FF1267B"/>
    <w:rsid w:val="5FF90DC7"/>
    <w:rsid w:val="602A2D2E"/>
    <w:rsid w:val="602A71D2"/>
    <w:rsid w:val="60397415"/>
    <w:rsid w:val="60595FDE"/>
    <w:rsid w:val="60720B77"/>
    <w:rsid w:val="6075270A"/>
    <w:rsid w:val="60762289"/>
    <w:rsid w:val="60841098"/>
    <w:rsid w:val="608D7975"/>
    <w:rsid w:val="60A15829"/>
    <w:rsid w:val="60A20F8F"/>
    <w:rsid w:val="60A62E6E"/>
    <w:rsid w:val="60B42F40"/>
    <w:rsid w:val="60B62CA5"/>
    <w:rsid w:val="60BB1361"/>
    <w:rsid w:val="60C51CAB"/>
    <w:rsid w:val="60D64C64"/>
    <w:rsid w:val="60E61215"/>
    <w:rsid w:val="60E72519"/>
    <w:rsid w:val="611B04DE"/>
    <w:rsid w:val="618D7A19"/>
    <w:rsid w:val="61D35CA3"/>
    <w:rsid w:val="61D65F44"/>
    <w:rsid w:val="620E37A7"/>
    <w:rsid w:val="623C331A"/>
    <w:rsid w:val="62403D31"/>
    <w:rsid w:val="62643CF8"/>
    <w:rsid w:val="62884421"/>
    <w:rsid w:val="6290279A"/>
    <w:rsid w:val="62997921"/>
    <w:rsid w:val="62B611F1"/>
    <w:rsid w:val="62B92EE2"/>
    <w:rsid w:val="62BE4BB2"/>
    <w:rsid w:val="630D4BD5"/>
    <w:rsid w:val="634872C2"/>
    <w:rsid w:val="63A64E99"/>
    <w:rsid w:val="63A96660"/>
    <w:rsid w:val="63C45248"/>
    <w:rsid w:val="63C63383"/>
    <w:rsid w:val="63D27965"/>
    <w:rsid w:val="63D6255C"/>
    <w:rsid w:val="63E262C8"/>
    <w:rsid w:val="63E72456"/>
    <w:rsid w:val="64004D92"/>
    <w:rsid w:val="64153CF6"/>
    <w:rsid w:val="641859F7"/>
    <w:rsid w:val="643C5726"/>
    <w:rsid w:val="64436CA9"/>
    <w:rsid w:val="64713622"/>
    <w:rsid w:val="648D7A54"/>
    <w:rsid w:val="64956FFA"/>
    <w:rsid w:val="64AA76E1"/>
    <w:rsid w:val="64C25130"/>
    <w:rsid w:val="64D92F75"/>
    <w:rsid w:val="64F331A6"/>
    <w:rsid w:val="650C2D20"/>
    <w:rsid w:val="650D4D67"/>
    <w:rsid w:val="652D633A"/>
    <w:rsid w:val="65325AEB"/>
    <w:rsid w:val="65493C57"/>
    <w:rsid w:val="655512DA"/>
    <w:rsid w:val="655A4FBD"/>
    <w:rsid w:val="65906EE7"/>
    <w:rsid w:val="65C215F7"/>
    <w:rsid w:val="65E41BD1"/>
    <w:rsid w:val="66026D9A"/>
    <w:rsid w:val="660D550E"/>
    <w:rsid w:val="66116AFD"/>
    <w:rsid w:val="662841B4"/>
    <w:rsid w:val="66464C58"/>
    <w:rsid w:val="668533B4"/>
    <w:rsid w:val="66B71094"/>
    <w:rsid w:val="66DB4D83"/>
    <w:rsid w:val="66FB2F87"/>
    <w:rsid w:val="67177D85"/>
    <w:rsid w:val="67257618"/>
    <w:rsid w:val="672908D6"/>
    <w:rsid w:val="6740552D"/>
    <w:rsid w:val="674E37D0"/>
    <w:rsid w:val="67506B86"/>
    <w:rsid w:val="675C3D15"/>
    <w:rsid w:val="67754078"/>
    <w:rsid w:val="679F2A6D"/>
    <w:rsid w:val="67B25FF2"/>
    <w:rsid w:val="67D45F35"/>
    <w:rsid w:val="67FB3A20"/>
    <w:rsid w:val="680369A8"/>
    <w:rsid w:val="681779BF"/>
    <w:rsid w:val="683F7593"/>
    <w:rsid w:val="685C5969"/>
    <w:rsid w:val="686D4100"/>
    <w:rsid w:val="688B4586"/>
    <w:rsid w:val="688C7BEB"/>
    <w:rsid w:val="68986FBA"/>
    <w:rsid w:val="68991171"/>
    <w:rsid w:val="68DC51DE"/>
    <w:rsid w:val="68EC3582"/>
    <w:rsid w:val="68FF2545"/>
    <w:rsid w:val="6904091F"/>
    <w:rsid w:val="690757FD"/>
    <w:rsid w:val="69195C4A"/>
    <w:rsid w:val="692C6664"/>
    <w:rsid w:val="692F7608"/>
    <w:rsid w:val="694A7D99"/>
    <w:rsid w:val="69644D1D"/>
    <w:rsid w:val="69790883"/>
    <w:rsid w:val="698D6EBE"/>
    <w:rsid w:val="69943A6E"/>
    <w:rsid w:val="699B12FA"/>
    <w:rsid w:val="69A55B1C"/>
    <w:rsid w:val="69AB7D3C"/>
    <w:rsid w:val="69BC72BD"/>
    <w:rsid w:val="69F36887"/>
    <w:rsid w:val="69F93F58"/>
    <w:rsid w:val="6A090D15"/>
    <w:rsid w:val="6A1516F9"/>
    <w:rsid w:val="6A266C5C"/>
    <w:rsid w:val="6A3D3FA6"/>
    <w:rsid w:val="6A441AB9"/>
    <w:rsid w:val="6A446B7B"/>
    <w:rsid w:val="6A5D4E77"/>
    <w:rsid w:val="6A5F52CE"/>
    <w:rsid w:val="6A681023"/>
    <w:rsid w:val="6A9637CE"/>
    <w:rsid w:val="6A9E05E4"/>
    <w:rsid w:val="6AAE78FF"/>
    <w:rsid w:val="6ABF5CE5"/>
    <w:rsid w:val="6AC90ED7"/>
    <w:rsid w:val="6AD47CA9"/>
    <w:rsid w:val="6B217424"/>
    <w:rsid w:val="6B264C63"/>
    <w:rsid w:val="6B517D09"/>
    <w:rsid w:val="6B5B0B88"/>
    <w:rsid w:val="6B5F65ED"/>
    <w:rsid w:val="6B6C2E6F"/>
    <w:rsid w:val="6B700FC3"/>
    <w:rsid w:val="6B911907"/>
    <w:rsid w:val="6BD61FBC"/>
    <w:rsid w:val="6BED7D19"/>
    <w:rsid w:val="6C0E769F"/>
    <w:rsid w:val="6C1A0813"/>
    <w:rsid w:val="6C225202"/>
    <w:rsid w:val="6C3D028D"/>
    <w:rsid w:val="6C49059D"/>
    <w:rsid w:val="6C690506"/>
    <w:rsid w:val="6C7C7008"/>
    <w:rsid w:val="6C7F1B81"/>
    <w:rsid w:val="6C870A40"/>
    <w:rsid w:val="6C953C26"/>
    <w:rsid w:val="6CB6151D"/>
    <w:rsid w:val="6CBB5A72"/>
    <w:rsid w:val="6CCA0197"/>
    <w:rsid w:val="6CDC1854"/>
    <w:rsid w:val="6CEB380E"/>
    <w:rsid w:val="6CFA617E"/>
    <w:rsid w:val="6D260ECD"/>
    <w:rsid w:val="6D520A39"/>
    <w:rsid w:val="6D7221B9"/>
    <w:rsid w:val="6D794FDE"/>
    <w:rsid w:val="6D796781"/>
    <w:rsid w:val="6D91263F"/>
    <w:rsid w:val="6D9A22F9"/>
    <w:rsid w:val="6DAE4132"/>
    <w:rsid w:val="6DB36353"/>
    <w:rsid w:val="6DD24A05"/>
    <w:rsid w:val="6DDB6404"/>
    <w:rsid w:val="6E001F1B"/>
    <w:rsid w:val="6E041B02"/>
    <w:rsid w:val="6E232EED"/>
    <w:rsid w:val="6E296D1B"/>
    <w:rsid w:val="6E2A4E9B"/>
    <w:rsid w:val="6E4037A1"/>
    <w:rsid w:val="6E5400DA"/>
    <w:rsid w:val="6E6F6D9D"/>
    <w:rsid w:val="6E884432"/>
    <w:rsid w:val="6E8B4955"/>
    <w:rsid w:val="6EC407F2"/>
    <w:rsid w:val="6EE1695B"/>
    <w:rsid w:val="6EE862ED"/>
    <w:rsid w:val="6F0678E6"/>
    <w:rsid w:val="6F1D3589"/>
    <w:rsid w:val="6F212166"/>
    <w:rsid w:val="6F2F79BF"/>
    <w:rsid w:val="6F3516F0"/>
    <w:rsid w:val="6F451933"/>
    <w:rsid w:val="6F500DA7"/>
    <w:rsid w:val="6F6820E9"/>
    <w:rsid w:val="6F6F69B0"/>
    <w:rsid w:val="6FC13E8A"/>
    <w:rsid w:val="6FC47A36"/>
    <w:rsid w:val="6FD73ED6"/>
    <w:rsid w:val="6FF625F3"/>
    <w:rsid w:val="6FF96FFF"/>
    <w:rsid w:val="6FFD692C"/>
    <w:rsid w:val="700A59DA"/>
    <w:rsid w:val="701E76F2"/>
    <w:rsid w:val="707470BA"/>
    <w:rsid w:val="709366CE"/>
    <w:rsid w:val="70A4572A"/>
    <w:rsid w:val="70B054D2"/>
    <w:rsid w:val="70C75AA2"/>
    <w:rsid w:val="71065FA1"/>
    <w:rsid w:val="714E088A"/>
    <w:rsid w:val="71512CD6"/>
    <w:rsid w:val="719170B1"/>
    <w:rsid w:val="71D97BCC"/>
    <w:rsid w:val="71E85505"/>
    <w:rsid w:val="71F2790F"/>
    <w:rsid w:val="71FA5AA8"/>
    <w:rsid w:val="721D47FD"/>
    <w:rsid w:val="7228600A"/>
    <w:rsid w:val="723004CB"/>
    <w:rsid w:val="72361A07"/>
    <w:rsid w:val="724265FE"/>
    <w:rsid w:val="72612BEE"/>
    <w:rsid w:val="72656FEF"/>
    <w:rsid w:val="72663166"/>
    <w:rsid w:val="727120BB"/>
    <w:rsid w:val="72B7183E"/>
    <w:rsid w:val="72C82C96"/>
    <w:rsid w:val="7306762B"/>
    <w:rsid w:val="730715B1"/>
    <w:rsid w:val="73182104"/>
    <w:rsid w:val="733028FA"/>
    <w:rsid w:val="734F0FD2"/>
    <w:rsid w:val="73590E8E"/>
    <w:rsid w:val="735C2D56"/>
    <w:rsid w:val="735E0EEA"/>
    <w:rsid w:val="73686025"/>
    <w:rsid w:val="737237B7"/>
    <w:rsid w:val="737B3536"/>
    <w:rsid w:val="73CB2590"/>
    <w:rsid w:val="73CF62B0"/>
    <w:rsid w:val="741F55E9"/>
    <w:rsid w:val="743957DE"/>
    <w:rsid w:val="74534471"/>
    <w:rsid w:val="74534C97"/>
    <w:rsid w:val="74714F78"/>
    <w:rsid w:val="747944A5"/>
    <w:rsid w:val="7489592E"/>
    <w:rsid w:val="748A7DE8"/>
    <w:rsid w:val="74943E9C"/>
    <w:rsid w:val="74996569"/>
    <w:rsid w:val="74AA355A"/>
    <w:rsid w:val="74D41FAD"/>
    <w:rsid w:val="74D46DA4"/>
    <w:rsid w:val="74DA7262"/>
    <w:rsid w:val="74DF0134"/>
    <w:rsid w:val="74E4733D"/>
    <w:rsid w:val="74F61AF8"/>
    <w:rsid w:val="74FE57B1"/>
    <w:rsid w:val="75073D33"/>
    <w:rsid w:val="751360FC"/>
    <w:rsid w:val="75322AAC"/>
    <w:rsid w:val="754069F6"/>
    <w:rsid w:val="75550E18"/>
    <w:rsid w:val="75A1147F"/>
    <w:rsid w:val="75C0179C"/>
    <w:rsid w:val="75D82C21"/>
    <w:rsid w:val="75F41B11"/>
    <w:rsid w:val="75FF52F1"/>
    <w:rsid w:val="76154E2E"/>
    <w:rsid w:val="761756AB"/>
    <w:rsid w:val="761A519B"/>
    <w:rsid w:val="761E721E"/>
    <w:rsid w:val="76465329"/>
    <w:rsid w:val="76544062"/>
    <w:rsid w:val="76570C13"/>
    <w:rsid w:val="765A05BC"/>
    <w:rsid w:val="766B1420"/>
    <w:rsid w:val="767B6650"/>
    <w:rsid w:val="767C19B2"/>
    <w:rsid w:val="7682521B"/>
    <w:rsid w:val="7687395B"/>
    <w:rsid w:val="76982C90"/>
    <w:rsid w:val="769C6C9B"/>
    <w:rsid w:val="76A05667"/>
    <w:rsid w:val="76CD220E"/>
    <w:rsid w:val="76CE596E"/>
    <w:rsid w:val="76EF03D6"/>
    <w:rsid w:val="771C3B09"/>
    <w:rsid w:val="773504DF"/>
    <w:rsid w:val="773618B1"/>
    <w:rsid w:val="773A127C"/>
    <w:rsid w:val="773C186D"/>
    <w:rsid w:val="775407D3"/>
    <w:rsid w:val="777A05E8"/>
    <w:rsid w:val="777C2A8C"/>
    <w:rsid w:val="777F5BFE"/>
    <w:rsid w:val="77CC1E42"/>
    <w:rsid w:val="781A42C2"/>
    <w:rsid w:val="786170B2"/>
    <w:rsid w:val="786A6C97"/>
    <w:rsid w:val="7879243F"/>
    <w:rsid w:val="78801C2E"/>
    <w:rsid w:val="78A85DD1"/>
    <w:rsid w:val="78DB50B6"/>
    <w:rsid w:val="78EA00BA"/>
    <w:rsid w:val="78F41D35"/>
    <w:rsid w:val="78F7531E"/>
    <w:rsid w:val="78F968DF"/>
    <w:rsid w:val="79020163"/>
    <w:rsid w:val="79036A22"/>
    <w:rsid w:val="79330A4E"/>
    <w:rsid w:val="79346328"/>
    <w:rsid w:val="794669D3"/>
    <w:rsid w:val="795D5ACB"/>
    <w:rsid w:val="79612EFA"/>
    <w:rsid w:val="796C7119"/>
    <w:rsid w:val="79870BE5"/>
    <w:rsid w:val="7988601A"/>
    <w:rsid w:val="798E2128"/>
    <w:rsid w:val="799A6EF2"/>
    <w:rsid w:val="79AC25AE"/>
    <w:rsid w:val="79B7342D"/>
    <w:rsid w:val="79BA4CCB"/>
    <w:rsid w:val="79C925D4"/>
    <w:rsid w:val="79D04B8F"/>
    <w:rsid w:val="79D51B05"/>
    <w:rsid w:val="79F30CC9"/>
    <w:rsid w:val="7A6D4434"/>
    <w:rsid w:val="7A807CC3"/>
    <w:rsid w:val="7A843E4B"/>
    <w:rsid w:val="7A886C59"/>
    <w:rsid w:val="7A9419C0"/>
    <w:rsid w:val="7AB90383"/>
    <w:rsid w:val="7AD10ECD"/>
    <w:rsid w:val="7ADF662A"/>
    <w:rsid w:val="7AFD57B8"/>
    <w:rsid w:val="7B0A398E"/>
    <w:rsid w:val="7B0F1047"/>
    <w:rsid w:val="7B2F25DE"/>
    <w:rsid w:val="7B580C40"/>
    <w:rsid w:val="7B7C76A7"/>
    <w:rsid w:val="7BA2010D"/>
    <w:rsid w:val="7BC13290"/>
    <w:rsid w:val="7BC736D0"/>
    <w:rsid w:val="7BD7073C"/>
    <w:rsid w:val="7BF62A6B"/>
    <w:rsid w:val="7C0E52B5"/>
    <w:rsid w:val="7C42194F"/>
    <w:rsid w:val="7C6A2D3F"/>
    <w:rsid w:val="7C924679"/>
    <w:rsid w:val="7C9C63D4"/>
    <w:rsid w:val="7CBA3C1C"/>
    <w:rsid w:val="7CEB38F0"/>
    <w:rsid w:val="7CFD4BCC"/>
    <w:rsid w:val="7D034183"/>
    <w:rsid w:val="7D065865"/>
    <w:rsid w:val="7D231D04"/>
    <w:rsid w:val="7D3E309D"/>
    <w:rsid w:val="7D4868B1"/>
    <w:rsid w:val="7D625DA6"/>
    <w:rsid w:val="7D63567A"/>
    <w:rsid w:val="7D673F4F"/>
    <w:rsid w:val="7D69294D"/>
    <w:rsid w:val="7D9A0179"/>
    <w:rsid w:val="7DA71A0B"/>
    <w:rsid w:val="7DD520D4"/>
    <w:rsid w:val="7E0230E5"/>
    <w:rsid w:val="7E2120FB"/>
    <w:rsid w:val="7E331719"/>
    <w:rsid w:val="7E3A462D"/>
    <w:rsid w:val="7E4E0472"/>
    <w:rsid w:val="7E603103"/>
    <w:rsid w:val="7E6250F7"/>
    <w:rsid w:val="7E743A52"/>
    <w:rsid w:val="7E74673E"/>
    <w:rsid w:val="7E83691D"/>
    <w:rsid w:val="7F17496E"/>
    <w:rsid w:val="7F4A4868"/>
    <w:rsid w:val="7F72726E"/>
    <w:rsid w:val="7F965AE8"/>
    <w:rsid w:val="7FA04963"/>
    <w:rsid w:val="7FA44454"/>
    <w:rsid w:val="7FA93818"/>
    <w:rsid w:val="7FAA7590"/>
    <w:rsid w:val="7FBC15F0"/>
    <w:rsid w:val="7FC543EE"/>
    <w:rsid w:val="7FE231CE"/>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53"/>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370"/>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57"/>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8">
    <w:name w:val="heading 7"/>
    <w:basedOn w:val="1"/>
    <w:next w:val="1"/>
    <w:link w:val="58"/>
    <w:qFormat/>
    <w:uiPriority w:val="0"/>
    <w:pPr>
      <w:keepNext/>
      <w:keepLines/>
      <w:tabs>
        <w:tab w:val="left" w:pos="1296"/>
      </w:tabs>
      <w:spacing w:before="240" w:after="64" w:line="317" w:lineRule="auto"/>
      <w:ind w:left="1296" w:hanging="1296"/>
      <w:outlineLvl w:val="6"/>
    </w:pPr>
    <w:rPr>
      <w:b/>
      <w:sz w:val="24"/>
    </w:rPr>
  </w:style>
  <w:style w:type="paragraph" w:styleId="9">
    <w:name w:val="heading 8"/>
    <w:basedOn w:val="1"/>
    <w:next w:val="1"/>
    <w:link w:val="59"/>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0">
    <w:name w:val="heading 9"/>
    <w:basedOn w:val="1"/>
    <w:next w:val="1"/>
    <w:link w:val="60"/>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4">
    <w:name w:val="Normal Indent"/>
    <w:basedOn w:val="1"/>
    <w:next w:val="1"/>
    <w:qFormat/>
    <w:uiPriority w:val="99"/>
    <w:pPr>
      <w:ind w:firstLine="420" w:firstLineChars="200"/>
    </w:pPr>
  </w:style>
  <w:style w:type="paragraph" w:styleId="15">
    <w:name w:val="caption"/>
    <w:basedOn w:val="1"/>
    <w:next w:val="1"/>
    <w:link w:val="71"/>
    <w:qFormat/>
    <w:uiPriority w:val="0"/>
    <w:pPr>
      <w:ind w:firstLine="6290" w:firstLineChars="2282"/>
    </w:pPr>
    <w:rPr>
      <w:b/>
      <w:bCs/>
      <w:color w:val="000080"/>
      <w:sz w:val="28"/>
    </w:rPr>
  </w:style>
  <w:style w:type="paragraph" w:styleId="16">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7">
    <w:name w:val="annotation text"/>
    <w:basedOn w:val="1"/>
    <w:link w:val="63"/>
    <w:qFormat/>
    <w:uiPriority w:val="0"/>
    <w:pPr>
      <w:jc w:val="left"/>
    </w:pPr>
  </w:style>
  <w:style w:type="paragraph" w:styleId="18">
    <w:name w:val="List Bullet 3"/>
    <w:basedOn w:val="1"/>
    <w:qFormat/>
    <w:uiPriority w:val="0"/>
    <w:pPr>
      <w:tabs>
        <w:tab w:val="left" w:pos="775"/>
      </w:tabs>
      <w:spacing w:line="360" w:lineRule="auto"/>
      <w:ind w:left="775" w:hanging="360"/>
    </w:pPr>
    <w:rPr>
      <w:kern w:val="0"/>
    </w:rPr>
  </w:style>
  <w:style w:type="paragraph" w:styleId="19">
    <w:name w:val="Body Text"/>
    <w:basedOn w:val="1"/>
    <w:next w:val="20"/>
    <w:link w:val="66"/>
    <w:qFormat/>
    <w:uiPriority w:val="0"/>
    <w:pPr>
      <w:spacing w:line="360" w:lineRule="auto"/>
    </w:pPr>
  </w:style>
  <w:style w:type="paragraph" w:styleId="20">
    <w:name w:val="Body Text 2"/>
    <w:basedOn w:val="1"/>
    <w:qFormat/>
    <w:uiPriority w:val="99"/>
    <w:pPr>
      <w:adjustRightInd w:val="0"/>
      <w:snapToGrid w:val="0"/>
      <w:spacing w:line="480" w:lineRule="atLeast"/>
    </w:pPr>
    <w:rPr>
      <w:sz w:val="28"/>
      <w:szCs w:val="28"/>
    </w:rPr>
  </w:style>
  <w:style w:type="paragraph" w:styleId="21">
    <w:name w:val="Body Text Indent"/>
    <w:basedOn w:val="1"/>
    <w:link w:val="443"/>
    <w:qFormat/>
    <w:uiPriority w:val="0"/>
    <w:pPr>
      <w:spacing w:after="120"/>
      <w:ind w:left="420" w:leftChars="200"/>
    </w:pPr>
  </w:style>
  <w:style w:type="paragraph" w:styleId="22">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25">
    <w:name w:val="Plain Text"/>
    <w:basedOn w:val="1"/>
    <w:link w:val="434"/>
    <w:qFormat/>
    <w:uiPriority w:val="0"/>
    <w:pPr>
      <w:spacing w:line="305" w:lineRule="auto"/>
      <w:ind w:firstLine="420"/>
    </w:pPr>
    <w:rPr>
      <w:rFonts w:ascii="宋体" w:hAnsi="Courier New" w:cs="Courier New"/>
      <w:szCs w:val="21"/>
    </w:rPr>
  </w:style>
  <w:style w:type="paragraph" w:styleId="26">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27">
    <w:name w:val="toc 8"/>
    <w:basedOn w:val="1"/>
    <w:next w:val="1"/>
    <w:qFormat/>
    <w:uiPriority w:val="0"/>
    <w:pPr>
      <w:ind w:left="1470"/>
      <w:jc w:val="left"/>
    </w:pPr>
    <w:rPr>
      <w:sz w:val="18"/>
      <w:szCs w:val="18"/>
    </w:rPr>
  </w:style>
  <w:style w:type="paragraph" w:styleId="28">
    <w:name w:val="endnote text"/>
    <w:basedOn w:val="1"/>
    <w:link w:val="86"/>
    <w:qFormat/>
    <w:uiPriority w:val="0"/>
    <w:pPr>
      <w:snapToGrid w:val="0"/>
      <w:spacing w:line="500" w:lineRule="exact"/>
      <w:jc w:val="left"/>
    </w:pPr>
  </w:style>
  <w:style w:type="paragraph" w:styleId="29">
    <w:name w:val="footer"/>
    <w:basedOn w:val="1"/>
    <w:link w:val="87"/>
    <w:qFormat/>
    <w:uiPriority w:val="99"/>
    <w:pPr>
      <w:tabs>
        <w:tab w:val="center" w:pos="4153"/>
        <w:tab w:val="right" w:pos="8306"/>
      </w:tabs>
      <w:snapToGrid w:val="0"/>
      <w:jc w:val="left"/>
    </w:pPr>
    <w:rPr>
      <w:sz w:val="18"/>
      <w:szCs w:val="18"/>
    </w:rPr>
  </w:style>
  <w:style w:type="paragraph" w:styleId="30">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32">
    <w:name w:val="toc 4"/>
    <w:basedOn w:val="1"/>
    <w:next w:val="1"/>
    <w:qFormat/>
    <w:uiPriority w:val="0"/>
    <w:pPr>
      <w:ind w:left="630"/>
      <w:jc w:val="left"/>
    </w:pPr>
    <w:rPr>
      <w:sz w:val="18"/>
      <w:szCs w:val="18"/>
    </w:rPr>
  </w:style>
  <w:style w:type="paragraph" w:styleId="33">
    <w:name w:val="footnote text"/>
    <w:basedOn w:val="1"/>
    <w:link w:val="91"/>
    <w:qFormat/>
    <w:uiPriority w:val="0"/>
    <w:pPr>
      <w:adjustRightInd w:val="0"/>
      <w:spacing w:line="312" w:lineRule="atLeast"/>
      <w:jc w:val="left"/>
      <w:textAlignment w:val="baseline"/>
    </w:pPr>
    <w:rPr>
      <w:sz w:val="18"/>
    </w:rPr>
  </w:style>
  <w:style w:type="paragraph" w:styleId="34">
    <w:name w:val="toc 6"/>
    <w:basedOn w:val="1"/>
    <w:next w:val="1"/>
    <w:qFormat/>
    <w:uiPriority w:val="0"/>
    <w:pPr>
      <w:ind w:left="1050"/>
      <w:jc w:val="left"/>
    </w:pPr>
    <w:rPr>
      <w:sz w:val="18"/>
      <w:szCs w:val="18"/>
    </w:rPr>
  </w:style>
  <w:style w:type="paragraph" w:styleId="35">
    <w:name w:val="toc 2"/>
    <w:basedOn w:val="1"/>
    <w:next w:val="1"/>
    <w:qFormat/>
    <w:uiPriority w:val="39"/>
    <w:pPr>
      <w:tabs>
        <w:tab w:val="right" w:leader="dot" w:pos="8778"/>
      </w:tabs>
      <w:ind w:left="23" w:leftChars="9" w:hanging="4" w:hangingChars="2"/>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Normal (Web)"/>
    <w:basedOn w:val="1"/>
    <w:qFormat/>
    <w:uiPriority w:val="0"/>
    <w:pPr>
      <w:spacing w:beforeAutospacing="1" w:afterAutospacing="1"/>
      <w:jc w:val="left"/>
    </w:pPr>
    <w:rPr>
      <w:kern w:val="0"/>
      <w:sz w:val="24"/>
    </w:rPr>
  </w:style>
  <w:style w:type="paragraph" w:styleId="38">
    <w:name w:val="Title"/>
    <w:basedOn w:val="1"/>
    <w:link w:val="100"/>
    <w:qFormat/>
    <w:uiPriority w:val="0"/>
    <w:pPr>
      <w:widowControl/>
      <w:spacing w:before="240" w:after="60"/>
      <w:jc w:val="center"/>
      <w:outlineLvl w:val="0"/>
    </w:pPr>
    <w:rPr>
      <w:rFonts w:ascii="Arial" w:hAnsi="Arial" w:eastAsia="楷体_GB2312"/>
      <w:b/>
      <w:sz w:val="32"/>
    </w:rPr>
  </w:style>
  <w:style w:type="paragraph" w:styleId="39">
    <w:name w:val="annotation subject"/>
    <w:basedOn w:val="17"/>
    <w:next w:val="17"/>
    <w:link w:val="425"/>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Hyperlink"/>
    <w:basedOn w:val="42"/>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paragraph" w:customStyle="1" w:styleId="50">
    <w:name w:val="标题 5（有编号）（绿盟科技）"/>
    <w:basedOn w:val="1"/>
    <w:next w:val="5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2">
    <w:name w:val="标题 1 字符"/>
    <w:link w:val="3"/>
    <w:semiHidden/>
    <w:qFormat/>
    <w:uiPriority w:val="0"/>
    <w:rPr>
      <w:rFonts w:ascii="Times New Roman" w:hAnsi="Times New Roman"/>
      <w:b/>
      <w:bCs/>
      <w:kern w:val="44"/>
      <w:sz w:val="44"/>
      <w:szCs w:val="44"/>
    </w:rPr>
  </w:style>
  <w:style w:type="character" w:customStyle="1" w:styleId="53">
    <w:name w:val="标题 2 字符"/>
    <w:link w:val="4"/>
    <w:qFormat/>
    <w:uiPriority w:val="0"/>
    <w:rPr>
      <w:rFonts w:ascii="Arial" w:hAnsi="Arial" w:eastAsia="黑体"/>
      <w:b/>
      <w:bCs/>
      <w:kern w:val="2"/>
      <w:sz w:val="32"/>
      <w:szCs w:val="32"/>
    </w:rPr>
  </w:style>
  <w:style w:type="character" w:customStyle="1" w:styleId="54">
    <w:name w:val="标题 3 字符"/>
    <w:link w:val="2"/>
    <w:semiHidden/>
    <w:qFormat/>
    <w:uiPriority w:val="0"/>
    <w:rPr>
      <w:rFonts w:ascii="Times New Roman" w:hAnsi="Times New Roman"/>
      <w:b/>
      <w:bCs/>
      <w:kern w:val="2"/>
      <w:sz w:val="32"/>
      <w:szCs w:val="32"/>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标题 5 Char"/>
    <w:semiHidden/>
    <w:qFormat/>
    <w:uiPriority w:val="0"/>
    <w:rPr>
      <w:rFonts w:ascii="Times New Roman" w:hAnsi="Times New Roman"/>
      <w:b/>
      <w:bCs/>
      <w:kern w:val="2"/>
      <w:sz w:val="28"/>
      <w:szCs w:val="28"/>
    </w:rPr>
  </w:style>
  <w:style w:type="character" w:customStyle="1" w:styleId="57">
    <w:name w:val="标题 6 字符"/>
    <w:link w:val="7"/>
    <w:semiHidden/>
    <w:qFormat/>
    <w:uiPriority w:val="0"/>
    <w:rPr>
      <w:rFonts w:ascii="Arial" w:hAnsi="Arial" w:eastAsia="黑体"/>
      <w:b/>
      <w:kern w:val="2"/>
      <w:sz w:val="24"/>
    </w:rPr>
  </w:style>
  <w:style w:type="character" w:customStyle="1" w:styleId="58">
    <w:name w:val="标题 7 字符"/>
    <w:link w:val="8"/>
    <w:semiHidden/>
    <w:qFormat/>
    <w:uiPriority w:val="0"/>
    <w:rPr>
      <w:rFonts w:ascii="Times New Roman" w:hAnsi="Times New Roman"/>
      <w:b/>
      <w:kern w:val="2"/>
      <w:sz w:val="24"/>
    </w:rPr>
  </w:style>
  <w:style w:type="character" w:customStyle="1" w:styleId="59">
    <w:name w:val="标题 8 字符"/>
    <w:link w:val="9"/>
    <w:semiHidden/>
    <w:qFormat/>
    <w:uiPriority w:val="0"/>
    <w:rPr>
      <w:rFonts w:ascii="Arial" w:hAnsi="Arial" w:eastAsia="黑体"/>
      <w:kern w:val="2"/>
      <w:sz w:val="24"/>
    </w:rPr>
  </w:style>
  <w:style w:type="character" w:customStyle="1" w:styleId="60">
    <w:name w:val="标题 9 字符"/>
    <w:link w:val="10"/>
    <w:semiHidden/>
    <w:qFormat/>
    <w:uiPriority w:val="0"/>
    <w:rPr>
      <w:rFonts w:ascii="Arial" w:hAnsi="Arial" w:eastAsia="黑体"/>
      <w:kern w:val="2"/>
      <w:sz w:val="21"/>
    </w:rPr>
  </w:style>
  <w:style w:type="character" w:customStyle="1" w:styleId="61">
    <w:name w:val="批注主题 Char"/>
    <w:link w:val="62"/>
    <w:semiHidden/>
    <w:qFormat/>
    <w:uiPriority w:val="0"/>
    <w:rPr>
      <w:rFonts w:ascii="Times New Roman" w:hAnsi="Times New Roman" w:eastAsia="宋体" w:cs="Times New Roman"/>
      <w:b/>
      <w:bCs/>
      <w:kern w:val="2"/>
      <w:sz w:val="21"/>
      <w:szCs w:val="24"/>
    </w:rPr>
  </w:style>
  <w:style w:type="paragraph" w:customStyle="1" w:styleId="62">
    <w:name w:val="批注主题1"/>
    <w:basedOn w:val="17"/>
    <w:next w:val="17"/>
    <w:link w:val="61"/>
    <w:qFormat/>
    <w:uiPriority w:val="0"/>
    <w:rPr>
      <w:b/>
      <w:bCs/>
    </w:rPr>
  </w:style>
  <w:style w:type="character" w:customStyle="1" w:styleId="63">
    <w:name w:val="批注文字 字符"/>
    <w:link w:val="17"/>
    <w:semiHidden/>
    <w:qFormat/>
    <w:uiPriority w:val="0"/>
    <w:rPr>
      <w:rFonts w:ascii="Times New Roman" w:hAnsi="Times New Roman" w:eastAsia="宋体" w:cs="Times New Roman"/>
      <w:szCs w:val="24"/>
    </w:rPr>
  </w:style>
  <w:style w:type="character" w:customStyle="1" w:styleId="64">
    <w:name w:val="正文首行缩进 Char"/>
    <w:link w:val="65"/>
    <w:semiHidden/>
    <w:qFormat/>
    <w:uiPriority w:val="0"/>
    <w:rPr>
      <w:rFonts w:ascii="Times New Roman" w:hAnsi="Times New Roman"/>
      <w:color w:val="7030A0"/>
      <w:kern w:val="2"/>
      <w:sz w:val="21"/>
      <w:szCs w:val="24"/>
    </w:rPr>
  </w:style>
  <w:style w:type="paragraph" w:customStyle="1" w:styleId="65">
    <w:name w:val="正文文本首行缩进1"/>
    <w:basedOn w:val="1"/>
    <w:link w:val="64"/>
    <w:qFormat/>
    <w:uiPriority w:val="0"/>
    <w:pPr>
      <w:tabs>
        <w:tab w:val="left" w:pos="360"/>
      </w:tabs>
      <w:spacing w:line="220" w:lineRule="exact"/>
      <w:ind w:left="360" w:hanging="360" w:firstLineChars="200"/>
      <w:jc w:val="left"/>
    </w:pPr>
    <w:rPr>
      <w:color w:val="7030A0"/>
    </w:rPr>
  </w:style>
  <w:style w:type="character" w:customStyle="1" w:styleId="66">
    <w:name w:val="正文文本 字符"/>
    <w:link w:val="19"/>
    <w:qFormat/>
    <w:uiPriority w:val="0"/>
    <w:rPr>
      <w:rFonts w:ascii="Times New Roman" w:hAnsi="Times New Roman"/>
      <w:kern w:val="2"/>
      <w:sz w:val="21"/>
      <w:szCs w:val="24"/>
    </w:rPr>
  </w:style>
  <w:style w:type="character" w:customStyle="1" w:styleId="67">
    <w:name w:val="宏文本 Char"/>
    <w:link w:val="68"/>
    <w:semiHidden/>
    <w:qFormat/>
    <w:uiPriority w:val="0"/>
    <w:rPr>
      <w:rFonts w:ascii="Courier New" w:hAnsi="Courier New" w:cs="Courier New"/>
      <w:kern w:val="2"/>
      <w:sz w:val="24"/>
      <w:szCs w:val="24"/>
      <w:lang w:val="en-US" w:eastAsia="zh-CN" w:bidi="ar-SA"/>
    </w:rPr>
  </w:style>
  <w:style w:type="paragraph" w:customStyle="1" w:styleId="68">
    <w:name w:val="宏文本1"/>
    <w:link w:val="6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69">
    <w:name w:val="正文缩进 Char"/>
    <w:link w:val="70"/>
    <w:semiHidden/>
    <w:qFormat/>
    <w:uiPriority w:val="0"/>
    <w:rPr>
      <w:rFonts w:ascii="宋体" w:hAnsi="Times New Roman"/>
      <w:sz w:val="24"/>
    </w:rPr>
  </w:style>
  <w:style w:type="paragraph" w:customStyle="1" w:styleId="70">
    <w:name w:val="正文缩进1"/>
    <w:basedOn w:val="1"/>
    <w:link w:val="69"/>
    <w:qFormat/>
    <w:uiPriority w:val="0"/>
    <w:pPr>
      <w:autoSpaceDE w:val="0"/>
      <w:autoSpaceDN w:val="0"/>
      <w:adjustRightInd w:val="0"/>
      <w:spacing w:line="360" w:lineRule="atLeast"/>
      <w:ind w:firstLine="420"/>
      <w:textAlignment w:val="baseline"/>
    </w:pPr>
    <w:rPr>
      <w:rFonts w:ascii="宋体"/>
      <w:sz w:val="24"/>
    </w:rPr>
  </w:style>
  <w:style w:type="character" w:customStyle="1" w:styleId="71">
    <w:name w:val="题注 字符"/>
    <w:link w:val="15"/>
    <w:semiHidden/>
    <w:qFormat/>
    <w:uiPriority w:val="0"/>
    <w:rPr>
      <w:rFonts w:ascii="Times New Roman" w:hAnsi="Times New Roman"/>
      <w:b/>
      <w:bCs/>
      <w:color w:val="000080"/>
      <w:kern w:val="2"/>
      <w:sz w:val="28"/>
      <w:szCs w:val="24"/>
    </w:rPr>
  </w:style>
  <w:style w:type="character" w:customStyle="1" w:styleId="72">
    <w:name w:val="文档结构图 Char"/>
    <w:link w:val="73"/>
    <w:semiHidden/>
    <w:qFormat/>
    <w:uiPriority w:val="0"/>
    <w:rPr>
      <w:rFonts w:ascii="宋体" w:hAnsi="Times New Roman" w:eastAsia="宋体" w:cs="Times New Roman"/>
      <w:sz w:val="18"/>
      <w:szCs w:val="18"/>
    </w:rPr>
  </w:style>
  <w:style w:type="paragraph" w:customStyle="1" w:styleId="73">
    <w:name w:val="文档结构图1"/>
    <w:basedOn w:val="1"/>
    <w:link w:val="72"/>
    <w:qFormat/>
    <w:uiPriority w:val="0"/>
    <w:rPr>
      <w:rFonts w:ascii="宋体"/>
      <w:sz w:val="18"/>
      <w:szCs w:val="18"/>
    </w:rPr>
  </w:style>
  <w:style w:type="character" w:customStyle="1" w:styleId="74">
    <w:name w:val="称呼 Char"/>
    <w:link w:val="75"/>
    <w:semiHidden/>
    <w:qFormat/>
    <w:uiPriority w:val="0"/>
    <w:rPr>
      <w:rFonts w:ascii="Times New Roman" w:hAnsi="Times New Roman"/>
      <w:kern w:val="2"/>
      <w:sz w:val="24"/>
    </w:rPr>
  </w:style>
  <w:style w:type="paragraph" w:customStyle="1" w:styleId="75">
    <w:name w:val="称呼1"/>
    <w:basedOn w:val="1"/>
    <w:next w:val="1"/>
    <w:link w:val="74"/>
    <w:qFormat/>
    <w:uiPriority w:val="0"/>
    <w:rPr>
      <w:sz w:val="24"/>
    </w:rPr>
  </w:style>
  <w:style w:type="character" w:customStyle="1" w:styleId="76">
    <w:name w:val="正文文本 3 Char"/>
    <w:link w:val="77"/>
    <w:semiHidden/>
    <w:qFormat/>
    <w:uiPriority w:val="0"/>
    <w:rPr>
      <w:rFonts w:ascii="Times New Roman" w:hAnsi="Times New Roman"/>
      <w:kern w:val="2"/>
      <w:sz w:val="16"/>
      <w:szCs w:val="16"/>
    </w:rPr>
  </w:style>
  <w:style w:type="paragraph" w:customStyle="1" w:styleId="77">
    <w:name w:val="正文文本 31"/>
    <w:basedOn w:val="1"/>
    <w:link w:val="76"/>
    <w:qFormat/>
    <w:uiPriority w:val="0"/>
    <w:pPr>
      <w:spacing w:after="120"/>
    </w:pPr>
    <w:rPr>
      <w:sz w:val="16"/>
      <w:szCs w:val="16"/>
    </w:rPr>
  </w:style>
  <w:style w:type="character" w:customStyle="1" w:styleId="78">
    <w:name w:val="正文文本缩进 Char"/>
    <w:semiHidden/>
    <w:qFormat/>
    <w:uiPriority w:val="0"/>
    <w:rPr>
      <w:rFonts w:ascii="Times New Roman" w:hAnsi="Times New Roman"/>
      <w:kern w:val="2"/>
      <w:sz w:val="21"/>
      <w:szCs w:val="24"/>
    </w:rPr>
  </w:style>
  <w:style w:type="paragraph" w:customStyle="1" w:styleId="79">
    <w:name w:val="正文文本缩进1"/>
    <w:basedOn w:val="1"/>
    <w:link w:val="414"/>
    <w:qFormat/>
    <w:uiPriority w:val="0"/>
    <w:pPr>
      <w:spacing w:line="360" w:lineRule="auto"/>
    </w:pPr>
    <w:rPr>
      <w:rFonts w:ascii="宋体"/>
    </w:rPr>
  </w:style>
  <w:style w:type="character" w:customStyle="1" w:styleId="80">
    <w:name w:val="纯文本 Char"/>
    <w:link w:val="81"/>
    <w:qFormat/>
    <w:uiPriority w:val="0"/>
    <w:rPr>
      <w:rFonts w:ascii="宋体" w:hAnsi="Courier New" w:cs="Courier New"/>
      <w:kern w:val="2"/>
      <w:sz w:val="21"/>
      <w:szCs w:val="21"/>
    </w:rPr>
  </w:style>
  <w:style w:type="paragraph" w:customStyle="1" w:styleId="81">
    <w:name w:val="纯文本1"/>
    <w:basedOn w:val="1"/>
    <w:link w:val="80"/>
    <w:qFormat/>
    <w:uiPriority w:val="0"/>
    <w:rPr>
      <w:rFonts w:ascii="宋体" w:hAnsi="Courier New" w:cs="Courier New"/>
      <w:szCs w:val="21"/>
    </w:rPr>
  </w:style>
  <w:style w:type="character" w:customStyle="1" w:styleId="82">
    <w:name w:val="日期 Char"/>
    <w:link w:val="83"/>
    <w:semiHidden/>
    <w:qFormat/>
    <w:uiPriority w:val="0"/>
    <w:rPr>
      <w:rFonts w:eastAsia="楷体_GB2312"/>
      <w:kern w:val="2"/>
      <w:sz w:val="30"/>
    </w:rPr>
  </w:style>
  <w:style w:type="paragraph" w:customStyle="1" w:styleId="83">
    <w:name w:val="日期1"/>
    <w:basedOn w:val="1"/>
    <w:next w:val="1"/>
    <w:link w:val="82"/>
    <w:qFormat/>
    <w:uiPriority w:val="0"/>
    <w:pPr>
      <w:autoSpaceDE w:val="0"/>
      <w:autoSpaceDN w:val="0"/>
      <w:adjustRightInd w:val="0"/>
      <w:textAlignment w:val="baseline"/>
    </w:pPr>
    <w:rPr>
      <w:rFonts w:eastAsia="楷体_GB2312"/>
      <w:sz w:val="30"/>
    </w:rPr>
  </w:style>
  <w:style w:type="character" w:customStyle="1" w:styleId="84">
    <w:name w:val="正文文本缩进 2 Char"/>
    <w:link w:val="85"/>
    <w:semiHidden/>
    <w:qFormat/>
    <w:uiPriority w:val="0"/>
    <w:rPr>
      <w:rFonts w:ascii="Times New Roman" w:hAnsi="Times New Roman"/>
      <w:kern w:val="2"/>
      <w:sz w:val="21"/>
    </w:rPr>
  </w:style>
  <w:style w:type="paragraph" w:customStyle="1" w:styleId="85">
    <w:name w:val="正文文本缩进 21"/>
    <w:basedOn w:val="1"/>
    <w:link w:val="84"/>
    <w:qFormat/>
    <w:uiPriority w:val="0"/>
    <w:pPr>
      <w:spacing w:after="120" w:line="480" w:lineRule="auto"/>
      <w:ind w:left="420" w:leftChars="200"/>
    </w:pPr>
  </w:style>
  <w:style w:type="character" w:customStyle="1" w:styleId="86">
    <w:name w:val="尾注文本 字符"/>
    <w:link w:val="28"/>
    <w:semiHidden/>
    <w:qFormat/>
    <w:uiPriority w:val="0"/>
    <w:rPr>
      <w:rFonts w:ascii="Times New Roman" w:hAnsi="Times New Roman"/>
      <w:sz w:val="21"/>
      <w:szCs w:val="24"/>
    </w:rPr>
  </w:style>
  <w:style w:type="character" w:customStyle="1" w:styleId="87">
    <w:name w:val="页脚 字符"/>
    <w:link w:val="29"/>
    <w:qFormat/>
    <w:uiPriority w:val="99"/>
    <w:rPr>
      <w:rFonts w:ascii="Times New Roman" w:hAnsi="Times New Roman"/>
      <w:kern w:val="2"/>
      <w:sz w:val="18"/>
      <w:szCs w:val="18"/>
    </w:rPr>
  </w:style>
  <w:style w:type="character" w:customStyle="1" w:styleId="88">
    <w:name w:val="正文首行缩进 2 Char"/>
    <w:link w:val="89"/>
    <w:semiHidden/>
    <w:qFormat/>
    <w:uiPriority w:val="0"/>
    <w:rPr>
      <w:rFonts w:ascii="宋体" w:hAnsi="宋体"/>
      <w:kern w:val="2"/>
      <w:sz w:val="21"/>
      <w:szCs w:val="24"/>
    </w:rPr>
  </w:style>
  <w:style w:type="paragraph" w:customStyle="1" w:styleId="89">
    <w:name w:val="正文文本首行缩进 21"/>
    <w:basedOn w:val="79"/>
    <w:link w:val="88"/>
    <w:qFormat/>
    <w:uiPriority w:val="0"/>
    <w:pPr>
      <w:spacing w:after="120" w:line="240" w:lineRule="auto"/>
      <w:ind w:left="420" w:leftChars="200" w:firstLine="200" w:firstLineChars="200"/>
      <w:jc w:val="left"/>
    </w:pPr>
    <w:rPr>
      <w:rFonts w:hAnsi="宋体"/>
    </w:rPr>
  </w:style>
  <w:style w:type="character" w:customStyle="1" w:styleId="90">
    <w:name w:val="页眉 字符"/>
    <w:link w:val="30"/>
    <w:semiHidden/>
    <w:qFormat/>
    <w:uiPriority w:val="0"/>
    <w:rPr>
      <w:rFonts w:ascii="Times New Roman" w:hAnsi="Times New Roman"/>
      <w:kern w:val="2"/>
      <w:sz w:val="18"/>
      <w:szCs w:val="18"/>
    </w:rPr>
  </w:style>
  <w:style w:type="character" w:customStyle="1" w:styleId="91">
    <w:name w:val="脚注文本 字符"/>
    <w:link w:val="33"/>
    <w:semiHidden/>
    <w:qFormat/>
    <w:uiPriority w:val="0"/>
    <w:rPr>
      <w:rFonts w:ascii="Times New Roman" w:hAnsi="Times New Roman"/>
      <w:sz w:val="18"/>
    </w:rPr>
  </w:style>
  <w:style w:type="character" w:customStyle="1" w:styleId="92">
    <w:name w:val="正文文本缩进 3 Char"/>
    <w:link w:val="93"/>
    <w:semiHidden/>
    <w:qFormat/>
    <w:uiPriority w:val="0"/>
    <w:rPr>
      <w:rFonts w:ascii="Times New Roman" w:hAnsi="Times New Roman"/>
      <w:kern w:val="2"/>
      <w:sz w:val="21"/>
    </w:rPr>
  </w:style>
  <w:style w:type="paragraph" w:customStyle="1" w:styleId="93">
    <w:name w:val="正文文本缩进 31"/>
    <w:basedOn w:val="1"/>
    <w:link w:val="92"/>
    <w:qFormat/>
    <w:uiPriority w:val="0"/>
    <w:pPr>
      <w:ind w:left="1260" w:leftChars="600"/>
    </w:pPr>
  </w:style>
  <w:style w:type="character" w:customStyle="1" w:styleId="94">
    <w:name w:val="正文文本 2 Char"/>
    <w:link w:val="95"/>
    <w:semiHidden/>
    <w:qFormat/>
    <w:uiPriority w:val="0"/>
    <w:rPr>
      <w:rFonts w:ascii="Times New Roman" w:hAnsi="Times New Roman"/>
      <w:kern w:val="2"/>
      <w:sz w:val="21"/>
    </w:rPr>
  </w:style>
  <w:style w:type="paragraph" w:customStyle="1" w:styleId="95">
    <w:name w:val="正文文本 21"/>
    <w:basedOn w:val="1"/>
    <w:link w:val="94"/>
    <w:qFormat/>
    <w:uiPriority w:val="0"/>
    <w:pPr>
      <w:spacing w:after="120" w:line="480" w:lineRule="auto"/>
    </w:pPr>
  </w:style>
  <w:style w:type="character" w:customStyle="1" w:styleId="96">
    <w:name w:val="信息标题 Char"/>
    <w:link w:val="97"/>
    <w:semiHidden/>
    <w:qFormat/>
    <w:uiPriority w:val="0"/>
    <w:rPr>
      <w:rFonts w:ascii="Arial" w:hAnsi="Arial" w:cs="Arial"/>
      <w:color w:val="7030A0"/>
      <w:kern w:val="2"/>
      <w:sz w:val="24"/>
      <w:szCs w:val="24"/>
      <w:shd w:val="pct20" w:color="auto" w:fill="auto"/>
    </w:rPr>
  </w:style>
  <w:style w:type="paragraph" w:customStyle="1" w:styleId="97">
    <w:name w:val="信息标题1"/>
    <w:basedOn w:val="1"/>
    <w:link w:val="9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98">
    <w:name w:val="HTML 预设格式 Char"/>
    <w:link w:val="99"/>
    <w:semiHidden/>
    <w:qFormat/>
    <w:uiPriority w:val="0"/>
    <w:rPr>
      <w:rFonts w:ascii="Arial" w:hAnsi="Arial"/>
      <w:sz w:val="21"/>
      <w:szCs w:val="21"/>
    </w:rPr>
  </w:style>
  <w:style w:type="paragraph" w:customStyle="1" w:styleId="99">
    <w:name w:val="HTML 预设格式1"/>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szCs w:val="21"/>
    </w:rPr>
  </w:style>
  <w:style w:type="character" w:customStyle="1" w:styleId="100">
    <w:name w:val="标题 字符"/>
    <w:link w:val="38"/>
    <w:semiHidden/>
    <w:qFormat/>
    <w:uiPriority w:val="0"/>
    <w:rPr>
      <w:rFonts w:ascii="Arial" w:hAnsi="Arial" w:eastAsia="楷体_GB2312"/>
      <w:b/>
      <w:sz w:val="32"/>
    </w:rPr>
  </w:style>
  <w:style w:type="paragraph" w:customStyle="1" w:styleId="101">
    <w:name w:val="批注框文本 Char Char"/>
    <w:basedOn w:val="1"/>
    <w:link w:val="366"/>
    <w:qFormat/>
    <w:uiPriority w:val="0"/>
    <w:rPr>
      <w:sz w:val="18"/>
      <w:szCs w:val="18"/>
    </w:rPr>
  </w:style>
  <w:style w:type="paragraph" w:customStyle="1" w:styleId="102">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103">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104">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105">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106">
    <w:name w:val="引文目录标题1"/>
    <w:basedOn w:val="1"/>
    <w:next w:val="1"/>
    <w:qFormat/>
    <w:uiPriority w:val="0"/>
    <w:pPr>
      <w:spacing w:before="120"/>
    </w:pPr>
    <w:rPr>
      <w:rFonts w:ascii="Arial" w:hAnsi="Arial" w:cs="Arial"/>
      <w:sz w:val="24"/>
    </w:rPr>
  </w:style>
  <w:style w:type="paragraph" w:customStyle="1" w:styleId="107">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108">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109">
    <w:name w:val="列表 21"/>
    <w:basedOn w:val="1"/>
    <w:qFormat/>
    <w:uiPriority w:val="0"/>
    <w:pPr>
      <w:widowControl/>
      <w:ind w:left="840" w:hanging="420"/>
      <w:jc w:val="left"/>
    </w:pPr>
    <w:rPr>
      <w:rFonts w:ascii="宋体"/>
      <w:kern w:val="0"/>
      <w:sz w:val="22"/>
      <w:szCs w:val="20"/>
    </w:rPr>
  </w:style>
  <w:style w:type="paragraph" w:customStyle="1" w:styleId="110">
    <w:name w:val="列表接续1"/>
    <w:basedOn w:val="1"/>
    <w:qFormat/>
    <w:uiPriority w:val="0"/>
    <w:pPr>
      <w:widowControl/>
      <w:spacing w:after="120"/>
      <w:ind w:left="420"/>
      <w:jc w:val="left"/>
    </w:pPr>
    <w:rPr>
      <w:rFonts w:ascii="宋体"/>
      <w:kern w:val="0"/>
      <w:sz w:val="22"/>
      <w:szCs w:val="20"/>
    </w:rPr>
  </w:style>
  <w:style w:type="paragraph" w:customStyle="1" w:styleId="111">
    <w:name w:val="文本块1"/>
    <w:basedOn w:val="1"/>
    <w:qFormat/>
    <w:uiPriority w:val="0"/>
    <w:pPr>
      <w:tabs>
        <w:tab w:val="left" w:pos="8364"/>
      </w:tabs>
      <w:ind w:left="840" w:right="-57" w:hanging="300"/>
    </w:pPr>
    <w:rPr>
      <w:rFonts w:ascii="宋体"/>
      <w:szCs w:val="20"/>
    </w:rPr>
  </w:style>
  <w:style w:type="paragraph" w:customStyle="1" w:styleId="112">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113">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114">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115">
    <w:name w:val="索引标题1"/>
    <w:basedOn w:val="1"/>
    <w:next w:val="116"/>
    <w:qFormat/>
    <w:uiPriority w:val="0"/>
  </w:style>
  <w:style w:type="paragraph" w:customStyle="1" w:styleId="116">
    <w:name w:val="索引 11"/>
    <w:basedOn w:val="1"/>
    <w:next w:val="1"/>
    <w:qFormat/>
    <w:uiPriority w:val="0"/>
    <w:pPr>
      <w:spacing w:line="360" w:lineRule="auto"/>
      <w:ind w:left="1149" w:leftChars="547"/>
    </w:pPr>
    <w:rPr>
      <w:szCs w:val="20"/>
    </w:rPr>
  </w:style>
  <w:style w:type="paragraph" w:customStyle="1" w:styleId="117">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118">
    <w:name w:val="列表1"/>
    <w:basedOn w:val="1"/>
    <w:qFormat/>
    <w:uiPriority w:val="0"/>
    <w:pPr>
      <w:ind w:left="200" w:hanging="200" w:hangingChars="200"/>
    </w:pPr>
    <w:rPr>
      <w:szCs w:val="20"/>
    </w:rPr>
  </w:style>
  <w:style w:type="paragraph" w:customStyle="1" w:styleId="119">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120">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121">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122">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23">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124">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125">
    <w:name w:val="四级标题格式"/>
    <w:basedOn w:val="5"/>
    <w:link w:val="369"/>
    <w:qFormat/>
    <w:uiPriority w:val="0"/>
    <w:pPr>
      <w:spacing w:before="0" w:afterLines="100" w:line="240" w:lineRule="auto"/>
      <w:jc w:val="left"/>
    </w:pPr>
    <w:rPr>
      <w:rFonts w:ascii="Times New Roman" w:hAnsi="Times New Roman" w:eastAsia="黑体"/>
    </w:rPr>
  </w:style>
  <w:style w:type="paragraph" w:customStyle="1" w:styleId="126">
    <w:name w:val="标题3"/>
    <w:basedOn w:val="2"/>
    <w:link w:val="372"/>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127">
    <w:name w:val="样式 宋体 行距: 固定值 24 磅"/>
    <w:basedOn w:val="1"/>
    <w:link w:val="374"/>
    <w:qFormat/>
    <w:uiPriority w:val="0"/>
    <w:pPr>
      <w:spacing w:line="480" w:lineRule="exact"/>
      <w:ind w:firstLine="585" w:firstLineChars="200"/>
      <w:jc w:val="left"/>
    </w:pPr>
    <w:rPr>
      <w:rFonts w:ascii="宋体" w:cs="宋体"/>
      <w:color w:val="7030A0"/>
      <w:sz w:val="28"/>
    </w:rPr>
  </w:style>
  <w:style w:type="paragraph" w:customStyle="1" w:styleId="128">
    <w:name w:val="样式 首行缩进:  2 字符"/>
    <w:basedOn w:val="1"/>
    <w:link w:val="375"/>
    <w:qFormat/>
    <w:uiPriority w:val="0"/>
    <w:pPr>
      <w:spacing w:line="480" w:lineRule="exact"/>
      <w:ind w:firstLine="480" w:firstLineChars="200"/>
      <w:jc w:val="left"/>
    </w:pPr>
    <w:rPr>
      <w:color w:val="7030A0"/>
      <w:sz w:val="24"/>
    </w:rPr>
  </w:style>
  <w:style w:type="paragraph" w:customStyle="1" w:styleId="129">
    <w:name w:val="正文－wjnew"/>
    <w:basedOn w:val="1"/>
    <w:link w:val="377"/>
    <w:qFormat/>
    <w:uiPriority w:val="0"/>
    <w:pPr>
      <w:adjustRightInd w:val="0"/>
      <w:snapToGrid w:val="0"/>
      <w:spacing w:line="360" w:lineRule="auto"/>
      <w:ind w:firstLine="420"/>
    </w:pPr>
    <w:rPr>
      <w:rFonts w:ascii="宋体" w:cs="宋体"/>
      <w:szCs w:val="21"/>
    </w:rPr>
  </w:style>
  <w:style w:type="paragraph" w:customStyle="1" w:styleId="130">
    <w:name w:val="(1)"/>
    <w:basedOn w:val="1"/>
    <w:next w:val="1"/>
    <w:link w:val="379"/>
    <w:qFormat/>
    <w:uiPriority w:val="0"/>
    <w:pPr>
      <w:tabs>
        <w:tab w:val="left" w:pos="813"/>
      </w:tabs>
      <w:spacing w:line="360" w:lineRule="auto"/>
      <w:ind w:left="813" w:hanging="567"/>
    </w:pPr>
    <w:rPr>
      <w:rFonts w:ascii="宋体" w:hAnsi="宋体"/>
      <w:sz w:val="24"/>
    </w:rPr>
  </w:style>
  <w:style w:type="paragraph" w:customStyle="1" w:styleId="131">
    <w:name w:val="正文 BJ15"/>
    <w:basedOn w:val="1"/>
    <w:link w:val="382"/>
    <w:qFormat/>
    <w:uiPriority w:val="0"/>
    <w:pPr>
      <w:adjustRightInd w:val="0"/>
      <w:snapToGrid w:val="0"/>
      <w:spacing w:line="360" w:lineRule="auto"/>
      <w:ind w:firstLine="200" w:firstLineChars="200"/>
      <w:jc w:val="left"/>
    </w:pPr>
    <w:rPr>
      <w:sz w:val="24"/>
    </w:rPr>
  </w:style>
  <w:style w:type="paragraph" w:customStyle="1" w:styleId="132">
    <w:name w:val="正文－zlb"/>
    <w:basedOn w:val="1"/>
    <w:link w:val="390"/>
    <w:qFormat/>
    <w:uiPriority w:val="0"/>
    <w:pPr>
      <w:adjustRightInd w:val="0"/>
      <w:snapToGrid w:val="0"/>
      <w:spacing w:line="360" w:lineRule="auto"/>
      <w:ind w:firstLine="420"/>
    </w:pPr>
    <w:rPr>
      <w:rFonts w:ascii="宋体" w:cs="宋体"/>
      <w:sz w:val="24"/>
    </w:rPr>
  </w:style>
  <w:style w:type="paragraph" w:customStyle="1" w:styleId="133">
    <w:name w:val="图表标题 BJ8"/>
    <w:basedOn w:val="1"/>
    <w:link w:val="395"/>
    <w:qFormat/>
    <w:uiPriority w:val="0"/>
    <w:pPr>
      <w:adjustRightInd w:val="0"/>
      <w:snapToGrid w:val="0"/>
      <w:ind w:firstLine="200" w:firstLineChars="200"/>
      <w:jc w:val="center"/>
    </w:pPr>
    <w:rPr>
      <w:rFonts w:eastAsia="黑体"/>
      <w:sz w:val="24"/>
    </w:rPr>
  </w:style>
  <w:style w:type="paragraph" w:customStyle="1" w:styleId="134">
    <w:name w:val="列表框2"/>
    <w:basedOn w:val="1"/>
    <w:link w:val="397"/>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paragraph" w:customStyle="1" w:styleId="135">
    <w:name w:val="五级标题格式"/>
    <w:basedOn w:val="6"/>
    <w:link w:val="399"/>
    <w:qFormat/>
    <w:uiPriority w:val="0"/>
    <w:pPr>
      <w:tabs>
        <w:tab w:val="clear" w:pos="1008"/>
      </w:tabs>
      <w:spacing w:before="0" w:afterLines="50" w:line="240" w:lineRule="auto"/>
      <w:ind w:left="0" w:firstLine="0"/>
      <w:jc w:val="left"/>
    </w:pPr>
    <w:rPr>
      <w:sz w:val="24"/>
    </w:rPr>
  </w:style>
  <w:style w:type="paragraph" w:customStyle="1" w:styleId="136">
    <w:name w:val="正文段落格式"/>
    <w:basedOn w:val="128"/>
    <w:link w:val="403"/>
    <w:qFormat/>
    <w:uiPriority w:val="0"/>
    <w:pPr>
      <w:spacing w:afterLines="50" w:line="336" w:lineRule="auto"/>
    </w:pPr>
  </w:style>
  <w:style w:type="paragraph" w:customStyle="1" w:styleId="137">
    <w:name w:val="表格文字 BJ8"/>
    <w:basedOn w:val="1"/>
    <w:link w:val="404"/>
    <w:qFormat/>
    <w:uiPriority w:val="0"/>
    <w:pPr>
      <w:adjustRightInd w:val="0"/>
      <w:snapToGrid w:val="0"/>
      <w:spacing w:line="400" w:lineRule="exact"/>
      <w:ind w:firstLine="200" w:firstLineChars="200"/>
      <w:jc w:val="center"/>
    </w:pPr>
    <w:rPr>
      <w:szCs w:val="21"/>
    </w:rPr>
  </w:style>
  <w:style w:type="paragraph" w:customStyle="1" w:styleId="138">
    <w:name w:val="样式 标题 31.1条标题1.1.1二级节名h3Heading 3 - oldheading 3H3H31H3..."/>
    <w:basedOn w:val="2"/>
    <w:link w:val="406"/>
    <w:qFormat/>
    <w:uiPriority w:val="0"/>
    <w:pPr>
      <w:spacing w:before="240" w:after="120" w:line="480" w:lineRule="exact"/>
      <w:jc w:val="left"/>
    </w:pPr>
    <w:rPr>
      <w:rFonts w:ascii="宋体" w:hAnsi="宋体" w:eastAsia="黑体"/>
      <w:sz w:val="24"/>
      <w:szCs w:val="21"/>
    </w:rPr>
  </w:style>
  <w:style w:type="paragraph" w:customStyle="1" w:styleId="139">
    <w:name w:val="标题2"/>
    <w:basedOn w:val="3"/>
    <w:link w:val="407"/>
    <w:qFormat/>
    <w:uiPriority w:val="0"/>
    <w:pPr>
      <w:spacing w:before="0" w:after="0" w:line="312" w:lineRule="auto"/>
      <w:ind w:left="0" w:firstLine="0"/>
      <w:jc w:val="center"/>
    </w:pPr>
    <w:rPr>
      <w:rFonts w:ascii="宋体"/>
      <w:color w:val="92D050"/>
      <w:sz w:val="30"/>
    </w:rPr>
  </w:style>
  <w:style w:type="paragraph" w:customStyle="1" w:styleId="140">
    <w:name w:val="正文 QD3"/>
    <w:basedOn w:val="1"/>
    <w:link w:val="410"/>
    <w:qFormat/>
    <w:uiPriority w:val="0"/>
    <w:pPr>
      <w:adjustRightInd w:val="0"/>
      <w:snapToGrid w:val="0"/>
      <w:spacing w:line="360" w:lineRule="auto"/>
      <w:ind w:firstLine="200" w:firstLineChars="200"/>
      <w:jc w:val="left"/>
    </w:pPr>
    <w:rPr>
      <w:sz w:val="24"/>
    </w:rPr>
  </w:style>
  <w:style w:type="paragraph" w:customStyle="1" w:styleId="141">
    <w:name w:val="正文 BJ8"/>
    <w:basedOn w:val="1"/>
    <w:link w:val="411"/>
    <w:qFormat/>
    <w:uiPriority w:val="0"/>
    <w:pPr>
      <w:adjustRightInd w:val="0"/>
      <w:snapToGrid w:val="0"/>
      <w:spacing w:line="360" w:lineRule="auto"/>
      <w:ind w:firstLine="200" w:firstLineChars="200"/>
      <w:jc w:val="left"/>
    </w:pPr>
    <w:rPr>
      <w:color w:val="7030A0"/>
      <w:sz w:val="24"/>
    </w:rPr>
  </w:style>
  <w:style w:type="paragraph" w:customStyle="1" w:styleId="142">
    <w:name w:val="正文1"/>
    <w:basedOn w:val="1"/>
    <w:link w:val="415"/>
    <w:qFormat/>
    <w:uiPriority w:val="0"/>
    <w:pPr>
      <w:tabs>
        <w:tab w:val="left" w:pos="720"/>
        <w:tab w:val="right" w:pos="1191"/>
      </w:tabs>
      <w:spacing w:line="360" w:lineRule="auto"/>
      <w:ind w:left="720" w:hanging="360"/>
    </w:pPr>
    <w:rPr>
      <w:rFonts w:ascii="宋体" w:hAnsi="宋体"/>
      <w:kern w:val="10"/>
    </w:rPr>
  </w:style>
  <w:style w:type="paragraph" w:customStyle="1" w:styleId="143">
    <w:name w:val="样式"/>
    <w:link w:val="416"/>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4">
    <w:name w:val="无编号正文"/>
    <w:basedOn w:val="19"/>
    <w:next w:val="1"/>
    <w:link w:val="417"/>
    <w:qFormat/>
    <w:uiPriority w:val="0"/>
    <w:pPr>
      <w:ind w:left="200" w:leftChars="200" w:firstLine="200" w:firstLineChars="200"/>
    </w:pPr>
    <w:rPr>
      <w:rFonts w:ascii="宋体" w:hAnsi="宋体"/>
      <w:sz w:val="24"/>
    </w:rPr>
  </w:style>
  <w:style w:type="paragraph" w:customStyle="1" w:styleId="145">
    <w:name w:val="表图名称"/>
    <w:link w:val="418"/>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46">
    <w:name w:val="表格文字图表文字"/>
    <w:basedOn w:val="1"/>
    <w:link w:val="420"/>
    <w:qFormat/>
    <w:uiPriority w:val="0"/>
    <w:pPr>
      <w:snapToGrid w:val="0"/>
      <w:ind w:firstLine="200" w:firstLineChars="200"/>
      <w:jc w:val="center"/>
    </w:pPr>
    <w:rPr>
      <w:color w:val="7030A0"/>
    </w:rPr>
  </w:style>
  <w:style w:type="paragraph" w:customStyle="1" w:styleId="147">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48">
    <w:name w:val="通用"/>
    <w:basedOn w:val="1"/>
    <w:qFormat/>
    <w:uiPriority w:val="0"/>
    <w:pPr>
      <w:spacing w:line="360" w:lineRule="auto"/>
      <w:ind w:left="840" w:leftChars="400"/>
    </w:pPr>
    <w:rPr>
      <w:rFonts w:ascii="宋体" w:hAnsi="宋体"/>
      <w:szCs w:val="20"/>
    </w:rPr>
  </w:style>
  <w:style w:type="paragraph" w:customStyle="1" w:styleId="149">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50">
    <w:name w:val="1"/>
    <w:basedOn w:val="1"/>
    <w:next w:val="95"/>
    <w:qFormat/>
    <w:uiPriority w:val="0"/>
    <w:pPr>
      <w:spacing w:after="120" w:line="480" w:lineRule="auto"/>
      <w:ind w:firstLine="200" w:firstLineChars="200"/>
      <w:jc w:val="left"/>
    </w:pPr>
    <w:rPr>
      <w:color w:val="7030A0"/>
    </w:rPr>
  </w:style>
  <w:style w:type="paragraph" w:customStyle="1" w:styleId="15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52">
    <w:name w:val="Footer First"/>
    <w:basedOn w:val="2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53">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54">
    <w:name w:val="样式 宋体 行距: 1.5 倍行距"/>
    <w:basedOn w:val="1"/>
    <w:qFormat/>
    <w:uiPriority w:val="0"/>
    <w:pPr>
      <w:ind w:firstLine="200" w:firstLineChars="200"/>
      <w:jc w:val="left"/>
    </w:pPr>
    <w:rPr>
      <w:rFonts w:ascii="宋体" w:hAnsi="宋体"/>
      <w:color w:val="7030A0"/>
      <w:szCs w:val="20"/>
    </w:rPr>
  </w:style>
  <w:style w:type="paragraph" w:customStyle="1" w:styleId="155">
    <w:name w:val="样式 左侧:  2 字符 段前: 0.5 行"/>
    <w:basedOn w:val="1"/>
    <w:qFormat/>
    <w:uiPriority w:val="0"/>
    <w:pPr>
      <w:spacing w:beforeLines="50"/>
      <w:ind w:firstLine="200" w:firstLineChars="200"/>
    </w:pPr>
    <w:rPr>
      <w:rFonts w:ascii="宋体" w:cs="宋体"/>
      <w:sz w:val="24"/>
      <w:szCs w:val="20"/>
    </w:rPr>
  </w:style>
  <w:style w:type="paragraph" w:customStyle="1" w:styleId="156">
    <w:name w:val="八级正文格式"/>
    <w:basedOn w:val="136"/>
    <w:qFormat/>
    <w:uiPriority w:val="0"/>
    <w:pPr>
      <w:spacing w:after="120"/>
      <w:ind w:firstLine="0" w:firstLineChars="0"/>
    </w:pPr>
  </w:style>
  <w:style w:type="paragraph" w:customStyle="1" w:styleId="15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58">
    <w:name w:val="样式 样式 列表框 Char Char Char Char Char + 段后: 0.5 行 + 左侧:  6 字符 首行缩进..."/>
    <w:basedOn w:val="159"/>
    <w:qFormat/>
    <w:uiPriority w:val="0"/>
    <w:pPr>
      <w:tabs>
        <w:tab w:val="left" w:pos="420"/>
        <w:tab w:val="left" w:pos="2297"/>
      </w:tabs>
      <w:ind w:left="2297" w:leftChars="0" w:hanging="420" w:firstLineChars="0"/>
    </w:pPr>
  </w:style>
  <w:style w:type="paragraph" w:customStyle="1" w:styleId="159">
    <w:name w:val="样式 列表框 Char Char Char Char Char + 段后: 0.5 行"/>
    <w:basedOn w:val="160"/>
    <w:qFormat/>
    <w:uiPriority w:val="0"/>
    <w:pPr>
      <w:tabs>
        <w:tab w:val="left" w:pos="420"/>
      </w:tabs>
      <w:spacing w:after="156"/>
    </w:pPr>
    <w:rPr>
      <w:szCs w:val="20"/>
    </w:rPr>
  </w:style>
  <w:style w:type="paragraph" w:customStyle="1" w:styleId="160">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2">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6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6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65">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66">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67">
    <w:name w:val="批注框文本1"/>
    <w:basedOn w:val="1"/>
    <w:qFormat/>
    <w:uiPriority w:val="0"/>
    <w:rPr>
      <w:sz w:val="16"/>
      <w:szCs w:val="16"/>
    </w:rPr>
  </w:style>
  <w:style w:type="paragraph" w:customStyle="1" w:styleId="168">
    <w:name w:val="*"/>
    <w:basedOn w:val="1"/>
    <w:qFormat/>
    <w:uiPriority w:val="0"/>
    <w:pPr>
      <w:spacing w:line="360" w:lineRule="auto"/>
    </w:pPr>
    <w:rPr>
      <w:rFonts w:ascii="宋体" w:hAnsi="宋体"/>
      <w:kern w:val="0"/>
      <w:sz w:val="24"/>
    </w:rPr>
  </w:style>
  <w:style w:type="paragraph" w:customStyle="1" w:styleId="16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70">
    <w:name w:val="表格标题"/>
    <w:basedOn w:val="6"/>
    <w:qFormat/>
    <w:uiPriority w:val="0"/>
    <w:pPr>
      <w:tabs>
        <w:tab w:val="clear" w:pos="1008"/>
      </w:tabs>
      <w:spacing w:before="0" w:after="0" w:line="240" w:lineRule="auto"/>
      <w:ind w:left="0" w:firstLine="0"/>
      <w:jc w:val="center"/>
      <w:outlineLvl w:val="8"/>
    </w:pPr>
    <w:rPr>
      <w:b w:val="0"/>
      <w:sz w:val="21"/>
      <w:lang w:val="zh-CN"/>
    </w:rPr>
  </w:style>
  <w:style w:type="paragraph" w:customStyle="1" w:styleId="171">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72">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73">
    <w:name w:val="表格文字"/>
    <w:basedOn w:val="146"/>
    <w:qFormat/>
    <w:uiPriority w:val="0"/>
  </w:style>
  <w:style w:type="paragraph" w:customStyle="1" w:styleId="174">
    <w:name w:val="二级标题格式"/>
    <w:basedOn w:val="4"/>
    <w:qFormat/>
    <w:uiPriority w:val="0"/>
    <w:pPr>
      <w:spacing w:before="0" w:afterLines="100" w:line="240" w:lineRule="auto"/>
      <w:jc w:val="left"/>
    </w:pPr>
    <w:rPr>
      <w:rFonts w:ascii="Times New Roman" w:hAnsi="Times New Roman"/>
      <w:b w:val="0"/>
      <w:color w:val="C00000"/>
      <w:sz w:val="28"/>
      <w:szCs w:val="28"/>
    </w:rPr>
  </w:style>
  <w:style w:type="paragraph" w:customStyle="1" w:styleId="175">
    <w:name w:val="样式 标题 1标题 1 1编号标题1标题1 + 宋体 加粗"/>
    <w:basedOn w:val="3"/>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76">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7">
    <w:name w:val="列表框 Char Char Char Char Char"/>
    <w:basedOn w:val="160"/>
    <w:next w:val="160"/>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78">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7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1">
    <w:name w:val="Sprechblasentext"/>
    <w:basedOn w:val="1"/>
    <w:qFormat/>
    <w:uiPriority w:val="0"/>
    <w:pPr>
      <w:spacing w:line="300" w:lineRule="atLeast"/>
      <w:ind w:firstLine="709"/>
    </w:pPr>
    <w:rPr>
      <w:rFonts w:ascii="Tahoma" w:hAnsi="Tahoma" w:cs="Tahoma"/>
      <w:sz w:val="16"/>
      <w:szCs w:val="16"/>
    </w:rPr>
  </w:style>
  <w:style w:type="paragraph" w:customStyle="1" w:styleId="182">
    <w:name w:val="p0"/>
    <w:basedOn w:val="1"/>
    <w:qFormat/>
    <w:uiPriority w:val="0"/>
    <w:pPr>
      <w:widowControl/>
    </w:pPr>
    <w:rPr>
      <w:kern w:val="0"/>
      <w:szCs w:val="21"/>
    </w:rPr>
  </w:style>
  <w:style w:type="paragraph" w:customStyle="1" w:styleId="183">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84">
    <w:name w:val="表格正文"/>
    <w:basedOn w:val="1"/>
    <w:next w:val="1"/>
    <w:qFormat/>
    <w:uiPriority w:val="0"/>
    <w:pPr>
      <w:adjustRightInd w:val="0"/>
      <w:snapToGrid w:val="0"/>
      <w:jc w:val="center"/>
    </w:pPr>
    <w:rPr>
      <w:color w:val="548DD4"/>
    </w:rPr>
  </w:style>
  <w:style w:type="paragraph" w:customStyle="1" w:styleId="185">
    <w:name w:val="样式1"/>
    <w:basedOn w:val="30"/>
    <w:next w:val="1"/>
    <w:qFormat/>
    <w:uiPriority w:val="0"/>
    <w:pPr>
      <w:jc w:val="left"/>
    </w:pPr>
  </w:style>
  <w:style w:type="paragraph" w:customStyle="1" w:styleId="186">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9">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9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1">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92">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193">
    <w:name w:val="默认段落字体 Para Char Char Char Char Char Char Char"/>
    <w:basedOn w:val="1"/>
    <w:qFormat/>
    <w:uiPriority w:val="0"/>
    <w:pPr>
      <w:tabs>
        <w:tab w:val="left" w:pos="4665"/>
        <w:tab w:val="left" w:pos="8970"/>
      </w:tabs>
      <w:ind w:firstLine="400"/>
    </w:pPr>
    <w:rPr>
      <w:szCs w:val="20"/>
    </w:rPr>
  </w:style>
  <w:style w:type="paragraph" w:customStyle="1" w:styleId="19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95">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196">
    <w:name w:val="招标文件》"/>
    <w:basedOn w:val="197"/>
    <w:qFormat/>
    <w:uiPriority w:val="0"/>
    <w:pPr>
      <w:tabs>
        <w:tab w:val="left" w:pos="560"/>
      </w:tabs>
      <w:ind w:left="200" w:firstLine="0" w:firstLineChars="0"/>
    </w:pPr>
  </w:style>
  <w:style w:type="paragraph" w:customStyle="1" w:styleId="19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98">
    <w:name w:val="Numbered List"/>
    <w:basedOn w:val="3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99">
    <w:name w:val="列出段落1"/>
    <w:basedOn w:val="1"/>
    <w:qFormat/>
    <w:uiPriority w:val="34"/>
    <w:pPr>
      <w:ind w:firstLine="420" w:firstLineChars="200"/>
    </w:pPr>
    <w:rPr>
      <w:szCs w:val="20"/>
    </w:rPr>
  </w:style>
  <w:style w:type="paragraph" w:customStyle="1" w:styleId="20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01">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2">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3">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04">
    <w:name w:val="Char1 Char Char1 Char Char Char Char Char Char"/>
    <w:basedOn w:val="1"/>
    <w:qFormat/>
    <w:uiPriority w:val="0"/>
  </w:style>
  <w:style w:type="paragraph" w:customStyle="1" w:styleId="205">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6">
    <w:name w:val="样式 标题 5 + 右侧:  -0.18 字符"/>
    <w:basedOn w:val="1"/>
    <w:qFormat/>
    <w:uiPriority w:val="0"/>
    <w:pPr>
      <w:tabs>
        <w:tab w:val="left" w:pos="1008"/>
      </w:tabs>
      <w:ind w:left="1134" w:hanging="1134"/>
    </w:pPr>
  </w:style>
  <w:style w:type="paragraph" w:customStyle="1" w:styleId="207">
    <w:name w:val="xl24"/>
    <w:basedOn w:val="1"/>
    <w:qFormat/>
    <w:uiPriority w:val="0"/>
    <w:pPr>
      <w:widowControl/>
      <w:spacing w:before="100" w:beforeAutospacing="1" w:after="100" w:afterAutospacing="1"/>
      <w:jc w:val="left"/>
    </w:pPr>
    <w:rPr>
      <w:kern w:val="0"/>
      <w:sz w:val="24"/>
    </w:rPr>
  </w:style>
  <w:style w:type="paragraph" w:customStyle="1" w:styleId="208">
    <w:name w:val="xl28"/>
    <w:basedOn w:val="1"/>
    <w:qFormat/>
    <w:uiPriority w:val="0"/>
    <w:pPr>
      <w:widowControl/>
      <w:spacing w:before="100" w:beforeAutospacing="1" w:after="100" w:afterAutospacing="1"/>
      <w:jc w:val="center"/>
    </w:pPr>
    <w:rPr>
      <w:kern w:val="0"/>
      <w:sz w:val="24"/>
    </w:rPr>
  </w:style>
  <w:style w:type="paragraph" w:customStyle="1" w:styleId="209">
    <w:name w:val="默认段落字体 Para Char Char Char Char"/>
    <w:basedOn w:val="1"/>
    <w:qFormat/>
    <w:uiPriority w:val="0"/>
    <w:rPr>
      <w:szCs w:val="20"/>
    </w:rPr>
  </w:style>
  <w:style w:type="paragraph" w:customStyle="1" w:styleId="210">
    <w:name w:val="註解方塊文字"/>
    <w:basedOn w:val="1"/>
    <w:qFormat/>
    <w:uiPriority w:val="0"/>
    <w:pPr>
      <w:widowControl/>
      <w:jc w:val="left"/>
    </w:pPr>
    <w:rPr>
      <w:rFonts w:ascii="Arial" w:hAnsi="Arial" w:eastAsia="PMingLiU"/>
      <w:kern w:val="0"/>
      <w:sz w:val="18"/>
      <w:szCs w:val="18"/>
    </w:rPr>
  </w:style>
  <w:style w:type="paragraph" w:customStyle="1" w:styleId="211">
    <w:name w:val="标题四"/>
    <w:basedOn w:val="212"/>
    <w:qFormat/>
    <w:uiPriority w:val="0"/>
    <w:pPr>
      <w:tabs>
        <w:tab w:val="left" w:pos="0"/>
      </w:tabs>
      <w:spacing w:line="360" w:lineRule="auto"/>
      <w:ind w:left="0"/>
    </w:pPr>
    <w:rPr>
      <w:rFonts w:ascii="Tahoma" w:hAnsi="Tahoma"/>
      <w:sz w:val="24"/>
      <w:szCs w:val="24"/>
    </w:rPr>
  </w:style>
  <w:style w:type="paragraph" w:customStyle="1" w:styleId="212">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13">
    <w:name w:val="font5"/>
    <w:basedOn w:val="1"/>
    <w:qFormat/>
    <w:uiPriority w:val="0"/>
    <w:pPr>
      <w:widowControl/>
      <w:spacing w:before="100" w:beforeAutospacing="1" w:after="100" w:afterAutospacing="1"/>
      <w:jc w:val="left"/>
    </w:pPr>
    <w:rPr>
      <w:b/>
      <w:bCs/>
      <w:kern w:val="0"/>
      <w:sz w:val="22"/>
      <w:szCs w:val="22"/>
    </w:rPr>
  </w:style>
  <w:style w:type="paragraph" w:customStyle="1" w:styleId="214">
    <w:name w:val="Char Char Char Char Char"/>
    <w:basedOn w:val="1"/>
    <w:qFormat/>
    <w:uiPriority w:val="0"/>
    <w:pPr>
      <w:ind w:firstLine="200" w:firstLineChars="200"/>
      <w:jc w:val="left"/>
    </w:pPr>
    <w:rPr>
      <w:rFonts w:ascii="Tahoma" w:hAnsi="Tahoma"/>
      <w:color w:val="7030A0"/>
      <w:sz w:val="24"/>
      <w:szCs w:val="20"/>
    </w:rPr>
  </w:style>
  <w:style w:type="paragraph" w:customStyle="1" w:styleId="21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16">
    <w:name w:val="样式 标题 4 + 段前: 自动"/>
    <w:basedOn w:val="5"/>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17">
    <w:name w:val="顺序编号-zlb"/>
    <w:basedOn w:val="218"/>
    <w:qFormat/>
    <w:uiPriority w:val="0"/>
    <w:pPr>
      <w:tabs>
        <w:tab w:val="left" w:pos="0"/>
      </w:tabs>
      <w:ind w:firstLine="425"/>
      <w:outlineLvl w:val="8"/>
    </w:pPr>
  </w:style>
  <w:style w:type="paragraph" w:customStyle="1" w:styleId="218">
    <w:name w:val="级别4"/>
    <w:basedOn w:val="219"/>
    <w:qFormat/>
    <w:uiPriority w:val="0"/>
    <w:pPr>
      <w:tabs>
        <w:tab w:val="left" w:pos="0"/>
      </w:tabs>
      <w:outlineLvl w:val="3"/>
    </w:pPr>
    <w:rPr>
      <w:b w:val="0"/>
      <w:kern w:val="0"/>
    </w:rPr>
  </w:style>
  <w:style w:type="paragraph" w:customStyle="1" w:styleId="219">
    <w:name w:val="级别2"/>
    <w:basedOn w:val="3"/>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2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21">
    <w:name w:val="专用"/>
    <w:basedOn w:val="1"/>
    <w:qFormat/>
    <w:uiPriority w:val="0"/>
    <w:pPr>
      <w:spacing w:afterLines="100"/>
      <w:ind w:left="838" w:hanging="838" w:hangingChars="262"/>
    </w:pPr>
    <w:rPr>
      <w:rFonts w:ascii="宋体"/>
      <w:b/>
      <w:color w:val="000000"/>
      <w:sz w:val="32"/>
      <w:szCs w:val="20"/>
    </w:rPr>
  </w:style>
  <w:style w:type="paragraph" w:customStyle="1" w:styleId="22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23">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4">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25">
    <w:name w:val="Sub title 1"/>
    <w:basedOn w:val="205"/>
    <w:qFormat/>
    <w:uiPriority w:val="0"/>
    <w:pPr>
      <w:tabs>
        <w:tab w:val="left" w:pos="1304"/>
      </w:tabs>
      <w:ind w:left="1304" w:hanging="170"/>
    </w:pPr>
    <w:rPr>
      <w:color w:val="auto"/>
    </w:rPr>
  </w:style>
  <w:style w:type="paragraph" w:customStyle="1" w:styleId="226">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7">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28">
    <w:name w:val="正缩2字符"/>
    <w:basedOn w:val="1"/>
    <w:qFormat/>
    <w:uiPriority w:val="0"/>
    <w:pPr>
      <w:spacing w:line="480" w:lineRule="exact"/>
      <w:ind w:firstLine="200" w:firstLineChars="200"/>
    </w:pPr>
    <w:rPr>
      <w:sz w:val="24"/>
    </w:rPr>
  </w:style>
  <w:style w:type="paragraph" w:customStyle="1" w:styleId="229">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30">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31">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级别3"/>
    <w:basedOn w:val="219"/>
    <w:qFormat/>
    <w:uiPriority w:val="0"/>
    <w:pPr>
      <w:ind w:firstLine="425"/>
      <w:outlineLvl w:val="2"/>
    </w:pPr>
    <w:rPr>
      <w:b w:val="0"/>
    </w:rPr>
  </w:style>
  <w:style w:type="paragraph" w:customStyle="1" w:styleId="234">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35">
    <w:name w:val="样式 标题 3列表编号33 bulletb23 bullet1b1213 bullet2b2223 bul...2"/>
    <w:basedOn w:val="1"/>
    <w:qFormat/>
    <w:uiPriority w:val="0"/>
    <w:pPr>
      <w:ind w:left="1320" w:hanging="420" w:firstLineChars="200"/>
      <w:jc w:val="left"/>
    </w:pPr>
    <w:rPr>
      <w:color w:val="7030A0"/>
    </w:rPr>
  </w:style>
  <w:style w:type="paragraph" w:customStyle="1" w:styleId="236">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7">
    <w:name w:val="附图 BJ8"/>
    <w:basedOn w:val="1"/>
    <w:qFormat/>
    <w:uiPriority w:val="0"/>
    <w:pPr>
      <w:adjustRightInd w:val="0"/>
      <w:snapToGrid w:val="0"/>
      <w:ind w:firstLine="200" w:firstLineChars="200"/>
      <w:jc w:val="center"/>
    </w:pPr>
    <w:rPr>
      <w:rFonts w:hAnsi="Arial"/>
      <w:color w:val="7030A0"/>
      <w:kern w:val="0"/>
    </w:rPr>
  </w:style>
  <w:style w:type="paragraph" w:customStyle="1" w:styleId="238">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9">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40">
    <w:name w:val="Report Level 1"/>
    <w:basedOn w:val="1"/>
    <w:next w:val="241"/>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41">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42">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3">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45">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6">
    <w:name w:val="级别5"/>
    <w:basedOn w:val="218"/>
    <w:qFormat/>
    <w:uiPriority w:val="0"/>
    <w:pPr>
      <w:outlineLvl w:val="4"/>
    </w:pPr>
  </w:style>
  <w:style w:type="paragraph" w:customStyle="1" w:styleId="24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48">
    <w:name w:val="级别1"/>
    <w:basedOn w:val="3"/>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49">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50">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51">
    <w:name w:val="标准"/>
    <w:basedOn w:val="1"/>
    <w:qFormat/>
    <w:uiPriority w:val="0"/>
    <w:pPr>
      <w:adjustRightInd w:val="0"/>
      <w:spacing w:line="312" w:lineRule="atLeast"/>
      <w:jc w:val="center"/>
      <w:textAlignment w:val="baseline"/>
    </w:pPr>
    <w:rPr>
      <w:kern w:val="24"/>
      <w:sz w:val="24"/>
    </w:rPr>
  </w:style>
  <w:style w:type="paragraph" w:customStyle="1" w:styleId="252">
    <w:name w:val="1.1"/>
    <w:basedOn w:val="4"/>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53">
    <w:name w:val="Char Char Char Char"/>
    <w:basedOn w:val="73"/>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54">
    <w:name w:val="样式 标题2 + 字距调整8 磅"/>
    <w:qFormat/>
    <w:uiPriority w:val="0"/>
    <w:rPr>
      <w:rFonts w:ascii="Times New Roman" w:hAnsi="Times New Roman" w:eastAsia="宋体" w:cs="Times New Roman"/>
      <w:kern w:val="16"/>
      <w:lang w:val="en-US" w:eastAsia="zh-CN" w:bidi="ar-SA"/>
    </w:rPr>
  </w:style>
  <w:style w:type="paragraph" w:customStyle="1" w:styleId="255">
    <w:name w:val="Char Char Char Char Char Char1 Char Char Char Char"/>
    <w:basedOn w:val="1"/>
    <w:qFormat/>
    <w:uiPriority w:val="0"/>
    <w:rPr>
      <w:rFonts w:ascii="仿宋_GB2312" w:eastAsia="仿宋_GB2312"/>
      <w:b/>
      <w:sz w:val="32"/>
      <w:szCs w:val="32"/>
    </w:rPr>
  </w:style>
  <w:style w:type="paragraph" w:customStyle="1" w:styleId="256">
    <w:name w:val="xl32"/>
    <w:basedOn w:val="1"/>
    <w:qFormat/>
    <w:uiPriority w:val="0"/>
    <w:pPr>
      <w:widowControl/>
      <w:spacing w:before="100" w:beforeAutospacing="1" w:after="100" w:afterAutospacing="1"/>
      <w:jc w:val="center"/>
    </w:pPr>
    <w:rPr>
      <w:b/>
      <w:bCs/>
      <w:kern w:val="0"/>
      <w:sz w:val="24"/>
      <w:u w:val="single"/>
    </w:rPr>
  </w:style>
  <w:style w:type="paragraph" w:customStyle="1" w:styleId="2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8">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5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级别6"/>
    <w:basedOn w:val="246"/>
    <w:qFormat/>
    <w:uiPriority w:val="0"/>
    <w:pPr>
      <w:tabs>
        <w:tab w:val="left" w:pos="405"/>
      </w:tabs>
      <w:ind w:left="409" w:hanging="23"/>
      <w:outlineLvl w:val="5"/>
    </w:pPr>
  </w:style>
  <w:style w:type="paragraph" w:customStyle="1" w:styleId="261">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6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3">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5">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266">
    <w:name w:val="一"/>
    <w:basedOn w:val="3"/>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6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68">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9">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70">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71">
    <w:name w:val="三点段 Char"/>
    <w:basedOn w:val="1"/>
    <w:qFormat/>
    <w:uiPriority w:val="0"/>
    <w:pPr>
      <w:spacing w:line="360" w:lineRule="auto"/>
      <w:ind w:left="1200" w:hanging="1200" w:hangingChars="500"/>
    </w:pPr>
    <w:rPr>
      <w:rFonts w:hint="eastAsia" w:ascii="宋体"/>
      <w:sz w:val="24"/>
    </w:rPr>
  </w:style>
  <w:style w:type="paragraph" w:customStyle="1" w:styleId="272">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73">
    <w:name w:val="小标题一"/>
    <w:basedOn w:val="1"/>
    <w:next w:val="1"/>
    <w:qFormat/>
    <w:uiPriority w:val="0"/>
    <w:pPr>
      <w:tabs>
        <w:tab w:val="left" w:pos="1080"/>
      </w:tabs>
      <w:spacing w:line="500" w:lineRule="exact"/>
      <w:ind w:left="1080" w:hanging="1080"/>
    </w:pPr>
    <w:rPr>
      <w:sz w:val="28"/>
      <w:szCs w:val="20"/>
    </w:rPr>
  </w:style>
  <w:style w:type="paragraph" w:customStyle="1" w:styleId="274">
    <w:name w:val="Char"/>
    <w:basedOn w:val="1"/>
    <w:qFormat/>
    <w:uiPriority w:val="0"/>
    <w:rPr>
      <w:rFonts w:ascii="仿宋_GB2312" w:eastAsia="仿宋_GB2312"/>
      <w:b/>
      <w:sz w:val="32"/>
      <w:szCs w:val="32"/>
    </w:rPr>
  </w:style>
  <w:style w:type="paragraph" w:customStyle="1" w:styleId="275">
    <w:name w:val="文档正文"/>
    <w:basedOn w:val="1"/>
    <w:qFormat/>
    <w:uiPriority w:val="0"/>
    <w:pPr>
      <w:spacing w:line="360" w:lineRule="auto"/>
      <w:ind w:firstLine="200" w:firstLineChars="200"/>
    </w:pPr>
    <w:rPr>
      <w:rFonts w:ascii="宋体" w:hAnsi="宋体"/>
      <w:sz w:val="24"/>
    </w:rPr>
  </w:style>
  <w:style w:type="paragraph" w:customStyle="1" w:styleId="276">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77">
    <w:name w:val="合同书"/>
    <w:basedOn w:val="1"/>
    <w:qFormat/>
    <w:uiPriority w:val="0"/>
    <w:pPr>
      <w:spacing w:afterLines="100"/>
      <w:jc w:val="center"/>
    </w:pPr>
    <w:rPr>
      <w:rFonts w:hAnsi="宋体"/>
      <w:b/>
      <w:color w:val="000000"/>
      <w:sz w:val="44"/>
      <w:szCs w:val="44"/>
    </w:rPr>
  </w:style>
  <w:style w:type="paragraph" w:customStyle="1" w:styleId="278">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80">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8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2">
    <w:name w:val="样式 目录 1 + 左侧:  3 字符"/>
    <w:basedOn w:val="3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83">
    <w:name w:val="章节标题 BJ8"/>
    <w:basedOn w:val="141"/>
    <w:next w:val="141"/>
    <w:qFormat/>
    <w:uiPriority w:val="0"/>
    <w:pPr>
      <w:ind w:firstLine="0" w:firstLineChars="0"/>
      <w:jc w:val="center"/>
    </w:pPr>
    <w:rPr>
      <w:rFonts w:eastAsia="黑体"/>
      <w:b/>
      <w:sz w:val="44"/>
      <w:szCs w:val="84"/>
    </w:rPr>
  </w:style>
  <w:style w:type="paragraph" w:customStyle="1" w:styleId="28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5">
    <w:name w:val="表格"/>
    <w:basedOn w:val="1"/>
    <w:qFormat/>
    <w:uiPriority w:val="0"/>
    <w:pPr>
      <w:widowControl/>
      <w:snapToGrid w:val="0"/>
      <w:spacing w:before="60" w:after="60"/>
      <w:jc w:val="left"/>
    </w:pPr>
    <w:rPr>
      <w:rFonts w:ascii="宋体"/>
      <w:sz w:val="20"/>
      <w:szCs w:val="20"/>
    </w:rPr>
  </w:style>
  <w:style w:type="paragraph" w:customStyle="1" w:styleId="286">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90">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91">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92">
    <w:name w:val="青岛正文"/>
    <w:basedOn w:val="1"/>
    <w:qFormat/>
    <w:uiPriority w:val="0"/>
    <w:pPr>
      <w:spacing w:line="360" w:lineRule="auto"/>
    </w:pPr>
    <w:rPr>
      <w:sz w:val="28"/>
    </w:rPr>
  </w:style>
  <w:style w:type="paragraph" w:customStyle="1" w:styleId="293">
    <w:name w:val="样式 样式 列表框 Char Char Char Char Char + 右侧:  -0.05 字符 段后: 0.5 行 + 右..."/>
    <w:basedOn w:val="294"/>
    <w:qFormat/>
    <w:uiPriority w:val="0"/>
    <w:pPr>
      <w:tabs>
        <w:tab w:val="left" w:pos="375"/>
        <w:tab w:val="left" w:pos="630"/>
      </w:tabs>
    </w:pPr>
  </w:style>
  <w:style w:type="paragraph" w:customStyle="1" w:styleId="294">
    <w:name w:val="样式 列表框 Char Char Char Char Char + 右侧:  -0.05 字符 段后: 0.5 行"/>
    <w:basedOn w:val="177"/>
    <w:qFormat/>
    <w:uiPriority w:val="0"/>
    <w:pPr>
      <w:tabs>
        <w:tab w:val="left" w:pos="375"/>
        <w:tab w:val="clear" w:pos="450"/>
        <w:tab w:val="clear" w:pos="874"/>
      </w:tabs>
      <w:ind w:left="0" w:firstLine="0"/>
    </w:pPr>
    <w:rPr>
      <w:szCs w:val="20"/>
    </w:rPr>
  </w:style>
  <w:style w:type="paragraph" w:customStyle="1" w:styleId="295">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96">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297">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2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9">
    <w:name w:val="修订1"/>
    <w:qFormat/>
    <w:uiPriority w:val="0"/>
    <w:rPr>
      <w:rFonts w:ascii="Times New Roman" w:hAnsi="Times New Roman" w:eastAsia="宋体" w:cs="Times New Roman"/>
      <w:kern w:val="2"/>
      <w:sz w:val="21"/>
      <w:lang w:val="en-US" w:eastAsia="zh-CN" w:bidi="ar-SA"/>
    </w:rPr>
  </w:style>
  <w:style w:type="paragraph" w:customStyle="1" w:styleId="300">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01">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02">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03">
    <w:name w:val="样式 标题 2标题 1.1编号标题2head:2#2 headlinehheadlineS&amp;R2ERMH2He..."/>
    <w:basedOn w:val="4"/>
    <w:qFormat/>
    <w:uiPriority w:val="0"/>
    <w:pPr>
      <w:spacing w:before="120" w:after="120" w:line="500" w:lineRule="exact"/>
      <w:jc w:val="left"/>
    </w:pPr>
    <w:rPr>
      <w:rFonts w:cs="宋体"/>
      <w:color w:val="C00000"/>
      <w:kern w:val="44"/>
      <w:sz w:val="28"/>
      <w:szCs w:val="20"/>
    </w:rPr>
  </w:style>
  <w:style w:type="paragraph" w:customStyle="1" w:styleId="304">
    <w:name w:val="章节标题 QD3"/>
    <w:basedOn w:val="140"/>
    <w:next w:val="140"/>
    <w:qFormat/>
    <w:uiPriority w:val="0"/>
    <w:pPr>
      <w:ind w:firstLine="0" w:firstLineChars="0"/>
      <w:jc w:val="center"/>
    </w:pPr>
    <w:rPr>
      <w:rFonts w:eastAsia="黑体"/>
      <w:b/>
      <w:sz w:val="44"/>
      <w:szCs w:val="84"/>
    </w:rPr>
  </w:style>
  <w:style w:type="paragraph" w:customStyle="1" w:styleId="305">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06">
    <w:name w:val="xiao b"/>
    <w:basedOn w:val="1"/>
    <w:qFormat/>
    <w:uiPriority w:val="0"/>
    <w:pPr>
      <w:ind w:firstLine="200" w:firstLineChars="200"/>
      <w:jc w:val="center"/>
    </w:pPr>
    <w:rPr>
      <w:rFonts w:eastAsia="黑体"/>
      <w:color w:val="7030A0"/>
      <w:sz w:val="24"/>
      <w:szCs w:val="20"/>
    </w:rPr>
  </w:style>
  <w:style w:type="paragraph" w:customStyle="1" w:styleId="307">
    <w:name w:val="样式 标题 4 + 加粗"/>
    <w:basedOn w:val="5"/>
    <w:qFormat/>
    <w:uiPriority w:val="0"/>
    <w:pPr>
      <w:spacing w:before="120" w:after="0" w:line="240" w:lineRule="auto"/>
      <w:jc w:val="left"/>
    </w:pPr>
    <w:rPr>
      <w:rFonts w:ascii="Times New Roman" w:hAnsi="Times New Roman"/>
      <w:b w:val="0"/>
      <w:color w:val="00B050"/>
      <w:sz w:val="24"/>
    </w:rPr>
  </w:style>
  <w:style w:type="paragraph" w:customStyle="1" w:styleId="308">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9">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10">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11">
    <w:name w:val="正文2"/>
    <w:basedOn w:val="19"/>
    <w:qFormat/>
    <w:uiPriority w:val="0"/>
    <w:pPr>
      <w:ind w:firstLine="480" w:firstLineChars="200"/>
      <w:jc w:val="left"/>
    </w:pPr>
    <w:rPr>
      <w:rFonts w:ascii="宋体"/>
      <w:color w:val="7030A0"/>
    </w:rPr>
  </w:style>
  <w:style w:type="paragraph" w:customStyle="1" w:styleId="312">
    <w:name w:val="列表框1"/>
    <w:basedOn w:val="250"/>
    <w:next w:val="250"/>
    <w:qFormat/>
    <w:uiPriority w:val="0"/>
    <w:pPr>
      <w:tabs>
        <w:tab w:val="left" w:pos="960"/>
        <w:tab w:val="left" w:pos="1314"/>
      </w:tabs>
      <w:snapToGrid w:val="0"/>
      <w:ind w:left="1328" w:leftChars="397" w:hanging="375" w:hangingChars="163"/>
    </w:pPr>
    <w:rPr>
      <w:rFonts w:cs="Arial"/>
    </w:rPr>
  </w:style>
  <w:style w:type="paragraph" w:customStyle="1" w:styleId="313">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4">
    <w:name w:val="五级"/>
    <w:basedOn w:val="4"/>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15">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16">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7">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18">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19">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20">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1">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22">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23">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2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25">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26">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27">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2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29">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0">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1">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32">
    <w:name w:val="样式 目录 1"/>
    <w:basedOn w:val="3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33">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34">
    <w:name w:val="样式 样式 样式 宋体 小四 左侧:  1.85 厘米 段前: 11.15 磅 段后: 11.15 磅 + 图案: 清除 (白色..."/>
    <w:basedOn w:val="230"/>
    <w:qFormat/>
    <w:uiPriority w:val="0"/>
    <w:pPr>
      <w:spacing w:beforeLines="50" w:afterLines="50"/>
      <w:ind w:left="318"/>
    </w:pPr>
    <w:rPr>
      <w:szCs w:val="20"/>
    </w:rPr>
  </w:style>
  <w:style w:type="paragraph" w:customStyle="1" w:styleId="335">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36">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37">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38">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39">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40">
    <w:name w:val="三级条标题"/>
    <w:basedOn w:val="341"/>
    <w:next w:val="1"/>
    <w:qFormat/>
    <w:uiPriority w:val="0"/>
    <w:pPr>
      <w:tabs>
        <w:tab w:val="left" w:pos="425"/>
      </w:tabs>
      <w:outlineLvl w:val="4"/>
    </w:pPr>
  </w:style>
  <w:style w:type="paragraph" w:customStyle="1" w:styleId="341">
    <w:name w:val="二级条标题"/>
    <w:basedOn w:val="337"/>
    <w:next w:val="1"/>
    <w:qFormat/>
    <w:uiPriority w:val="0"/>
    <w:pPr>
      <w:tabs>
        <w:tab w:val="clear" w:pos="525"/>
      </w:tabs>
      <w:ind w:firstLine="0" w:firstLineChars="0"/>
      <w:outlineLvl w:val="3"/>
    </w:pPr>
  </w:style>
  <w:style w:type="paragraph" w:customStyle="1" w:styleId="342">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43">
    <w:name w:val="四级条标题"/>
    <w:basedOn w:val="340"/>
    <w:next w:val="1"/>
    <w:qFormat/>
    <w:uiPriority w:val="0"/>
    <w:pPr>
      <w:outlineLvl w:val="5"/>
    </w:pPr>
  </w:style>
  <w:style w:type="paragraph" w:customStyle="1" w:styleId="344">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45">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46">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47">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48">
    <w:name w:val="Report Level 2"/>
    <w:basedOn w:val="240"/>
    <w:next w:val="241"/>
    <w:qFormat/>
    <w:uiPriority w:val="0"/>
    <w:pPr>
      <w:tabs>
        <w:tab w:val="left" w:pos="1500"/>
        <w:tab w:val="clear" w:pos="1080"/>
      </w:tabs>
      <w:ind w:left="1500"/>
      <w:outlineLvl w:val="1"/>
    </w:pPr>
    <w:rPr>
      <w:caps w:val="0"/>
    </w:rPr>
  </w:style>
  <w:style w:type="paragraph" w:customStyle="1" w:styleId="349">
    <w:name w:val="Report Level 3"/>
    <w:basedOn w:val="240"/>
    <w:next w:val="241"/>
    <w:qFormat/>
    <w:uiPriority w:val="0"/>
    <w:pPr>
      <w:tabs>
        <w:tab w:val="left" w:pos="1889"/>
        <w:tab w:val="clear" w:pos="1080"/>
      </w:tabs>
      <w:spacing w:before="120"/>
      <w:ind w:left="1889" w:hanging="420"/>
      <w:outlineLvl w:val="2"/>
    </w:pPr>
    <w:rPr>
      <w:caps w:val="0"/>
      <w:sz w:val="20"/>
    </w:rPr>
  </w:style>
  <w:style w:type="paragraph" w:customStyle="1" w:styleId="350">
    <w:name w:val="Report Level 4"/>
    <w:basedOn w:val="349"/>
    <w:next w:val="241"/>
    <w:qFormat/>
    <w:uiPriority w:val="0"/>
    <w:pPr>
      <w:tabs>
        <w:tab w:val="left" w:pos="720"/>
        <w:tab w:val="left" w:pos="2309"/>
        <w:tab w:val="clear" w:pos="1889"/>
      </w:tabs>
      <w:ind w:left="720" w:hanging="720"/>
      <w:outlineLvl w:val="3"/>
    </w:pPr>
    <w:rPr>
      <w:rFonts w:ascii="Times New Roman" w:hAnsi="Times New Roman"/>
    </w:rPr>
  </w:style>
  <w:style w:type="paragraph" w:customStyle="1" w:styleId="351">
    <w:name w:val="样式3"/>
    <w:basedOn w:val="2"/>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52">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53">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54">
    <w:name w:val="表格文字格式"/>
    <w:basedOn w:val="1"/>
    <w:qFormat/>
    <w:uiPriority w:val="0"/>
    <w:pPr>
      <w:snapToGrid w:val="0"/>
      <w:jc w:val="center"/>
    </w:pPr>
    <w:rPr>
      <w:rFonts w:cs="宋体"/>
      <w:szCs w:val="20"/>
    </w:rPr>
  </w:style>
  <w:style w:type="paragraph" w:customStyle="1" w:styleId="355">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6">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57">
    <w:name w:val="五级条标题"/>
    <w:basedOn w:val="343"/>
    <w:next w:val="1"/>
    <w:qFormat/>
    <w:uiPriority w:val="0"/>
    <w:pPr>
      <w:outlineLvl w:val="6"/>
    </w:pPr>
  </w:style>
  <w:style w:type="paragraph" w:customStyle="1" w:styleId="358">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9">
    <w:name w:val="註解方塊文字2"/>
    <w:basedOn w:val="1"/>
    <w:qFormat/>
    <w:uiPriority w:val="0"/>
    <w:rPr>
      <w:rFonts w:ascii="Arial" w:hAnsi="Arial" w:eastAsia="PMingLiU"/>
      <w:color w:val="7030A0"/>
      <w:sz w:val="18"/>
      <w:szCs w:val="18"/>
    </w:rPr>
  </w:style>
  <w:style w:type="paragraph" w:customStyle="1" w:styleId="360">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61">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2">
    <w:name w:val="三级标题格式"/>
    <w:basedOn w:val="2"/>
    <w:qFormat/>
    <w:uiPriority w:val="0"/>
    <w:pPr>
      <w:spacing w:before="0" w:afterLines="100" w:line="240" w:lineRule="auto"/>
      <w:jc w:val="left"/>
    </w:pPr>
    <w:rPr>
      <w:rFonts w:eastAsia="黑体"/>
      <w:b w:val="0"/>
      <w:sz w:val="28"/>
      <w:szCs w:val="28"/>
    </w:rPr>
  </w:style>
  <w:style w:type="paragraph" w:customStyle="1" w:styleId="363">
    <w:name w:val="正文缩进11"/>
    <w:basedOn w:val="1"/>
    <w:link w:val="422"/>
    <w:qFormat/>
    <w:uiPriority w:val="0"/>
    <w:pPr>
      <w:spacing w:line="360" w:lineRule="auto"/>
      <w:ind w:firstLine="420"/>
    </w:pPr>
  </w:style>
  <w:style w:type="paragraph" w:customStyle="1" w:styleId="364">
    <w:name w:val="图文"/>
    <w:basedOn w:val="1"/>
    <w:qFormat/>
    <w:uiPriority w:val="0"/>
    <w:pPr>
      <w:adjustRightInd w:val="0"/>
      <w:snapToGrid w:val="0"/>
      <w:spacing w:after="50" w:line="360" w:lineRule="auto"/>
    </w:pPr>
    <w:rPr>
      <w:sz w:val="24"/>
    </w:rPr>
  </w:style>
  <w:style w:type="character" w:customStyle="1" w:styleId="365">
    <w:name w:val="页码1"/>
    <w:basedOn w:val="42"/>
    <w:qFormat/>
    <w:uiPriority w:val="0"/>
  </w:style>
  <w:style w:type="character" w:customStyle="1" w:styleId="366">
    <w:name w:val="批注框文本 Char Char Char Char"/>
    <w:link w:val="101"/>
    <w:semiHidden/>
    <w:qFormat/>
    <w:uiPriority w:val="0"/>
    <w:rPr>
      <w:rFonts w:ascii="Times New Roman" w:hAnsi="Times New Roman" w:eastAsia="宋体" w:cs="Times New Roman"/>
      <w:sz w:val="18"/>
      <w:szCs w:val="18"/>
    </w:rPr>
  </w:style>
  <w:style w:type="character" w:customStyle="1" w:styleId="367">
    <w:name w:val="HTML 打字机1"/>
    <w:qFormat/>
    <w:uiPriority w:val="0"/>
    <w:rPr>
      <w:rFonts w:ascii="黑体" w:hAnsi="Courier New" w:eastAsia="黑体" w:cs="Courier New"/>
      <w:sz w:val="20"/>
      <w:szCs w:val="20"/>
    </w:rPr>
  </w:style>
  <w:style w:type="character" w:customStyle="1" w:styleId="368">
    <w:name w:val="批注引用1"/>
    <w:qFormat/>
    <w:uiPriority w:val="0"/>
    <w:rPr>
      <w:sz w:val="21"/>
      <w:szCs w:val="21"/>
    </w:rPr>
  </w:style>
  <w:style w:type="character" w:customStyle="1" w:styleId="369">
    <w:name w:val="四级标题格式 Char Char"/>
    <w:link w:val="125"/>
    <w:semiHidden/>
    <w:qFormat/>
    <w:uiPriority w:val="0"/>
    <w:rPr>
      <w:rFonts w:ascii="Times New Roman" w:hAnsi="Times New Roman" w:eastAsia="黑体"/>
      <w:bCs/>
      <w:kern w:val="2"/>
      <w:sz w:val="28"/>
      <w:szCs w:val="28"/>
    </w:rPr>
  </w:style>
  <w:style w:type="character" w:customStyle="1" w:styleId="370">
    <w:name w:val="标题 5 字符"/>
    <w:link w:val="6"/>
    <w:qFormat/>
    <w:uiPriority w:val="0"/>
    <w:rPr>
      <w:rFonts w:ascii="Times New Roman" w:hAnsi="Times New Roman"/>
      <w:b/>
      <w:kern w:val="2"/>
      <w:sz w:val="28"/>
    </w:rPr>
  </w:style>
  <w:style w:type="character" w:customStyle="1" w:styleId="371">
    <w:name w:val="样式 标题 31.1条标题1.1.1二级节名h3Heading 3 - oldheading 3H3H31H3... Char Char"/>
    <w:qFormat/>
    <w:uiPriority w:val="0"/>
    <w:rPr>
      <w:rFonts w:ascii="宋体" w:hAnsi="宋体" w:eastAsia="黑体"/>
      <w:kern w:val="2"/>
      <w:sz w:val="24"/>
      <w:szCs w:val="21"/>
    </w:rPr>
  </w:style>
  <w:style w:type="character" w:customStyle="1" w:styleId="372">
    <w:name w:val="标题3 Char Char"/>
    <w:link w:val="126"/>
    <w:semiHidden/>
    <w:qFormat/>
    <w:uiPriority w:val="0"/>
    <w:rPr>
      <w:rFonts w:ascii="宋体" w:hAnsi="宋体"/>
      <w:b/>
      <w:bCs/>
      <w:color w:val="92D050"/>
      <w:kern w:val="44"/>
      <w:sz w:val="24"/>
      <w:szCs w:val="21"/>
    </w:rPr>
  </w:style>
  <w:style w:type="character" w:customStyle="1" w:styleId="373">
    <w:name w:val="selected"/>
    <w:qFormat/>
    <w:uiPriority w:val="0"/>
    <w:rPr>
      <w:shd w:val="clear" w:color="auto" w:fill="B00006"/>
    </w:rPr>
  </w:style>
  <w:style w:type="character" w:customStyle="1" w:styleId="374">
    <w:name w:val="样式 宋体 行距: 固定值 24 磅 Char Char"/>
    <w:link w:val="127"/>
    <w:semiHidden/>
    <w:qFormat/>
    <w:uiPriority w:val="0"/>
    <w:rPr>
      <w:rFonts w:ascii="宋体" w:cs="宋体"/>
      <w:color w:val="7030A0"/>
      <w:kern w:val="2"/>
      <w:sz w:val="28"/>
    </w:rPr>
  </w:style>
  <w:style w:type="character" w:customStyle="1" w:styleId="375">
    <w:name w:val="样式 首行缩进:  2 字符 Char1"/>
    <w:link w:val="128"/>
    <w:semiHidden/>
    <w:qFormat/>
    <w:uiPriority w:val="0"/>
    <w:rPr>
      <w:rFonts w:ascii="Times New Roman" w:hAnsi="Times New Roman"/>
      <w:color w:val="7030A0"/>
      <w:kern w:val="2"/>
      <w:sz w:val="24"/>
    </w:rPr>
  </w:style>
  <w:style w:type="character" w:customStyle="1" w:styleId="376">
    <w:name w:val="日期 Char1"/>
    <w:qFormat/>
    <w:uiPriority w:val="0"/>
    <w:rPr>
      <w:rFonts w:ascii="Times New Roman" w:hAnsi="Times New Roman"/>
      <w:kern w:val="2"/>
      <w:sz w:val="21"/>
      <w:szCs w:val="24"/>
    </w:rPr>
  </w:style>
  <w:style w:type="character" w:customStyle="1" w:styleId="377">
    <w:name w:val="正文－wjnew Char Char"/>
    <w:link w:val="129"/>
    <w:semiHidden/>
    <w:qFormat/>
    <w:uiPriority w:val="0"/>
    <w:rPr>
      <w:rFonts w:ascii="宋体" w:cs="宋体"/>
      <w:kern w:val="2"/>
      <w:sz w:val="21"/>
      <w:szCs w:val="21"/>
    </w:rPr>
  </w:style>
  <w:style w:type="character" w:customStyle="1" w:styleId="378">
    <w:name w:val="标题 4 Char1"/>
    <w:qFormat/>
    <w:uiPriority w:val="0"/>
    <w:rPr>
      <w:rFonts w:ascii="宋体" w:hAnsi="宋体"/>
      <w:b/>
      <w:bCs/>
      <w:kern w:val="2"/>
      <w:sz w:val="21"/>
    </w:rPr>
  </w:style>
  <w:style w:type="character" w:customStyle="1" w:styleId="379">
    <w:name w:val="(1) Char Char"/>
    <w:link w:val="130"/>
    <w:semiHidden/>
    <w:qFormat/>
    <w:uiPriority w:val="0"/>
    <w:rPr>
      <w:rFonts w:ascii="宋体" w:hAnsi="宋体"/>
      <w:kern w:val="2"/>
      <w:sz w:val="24"/>
      <w:szCs w:val="24"/>
    </w:rPr>
  </w:style>
  <w:style w:type="character" w:customStyle="1" w:styleId="380">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381">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382">
    <w:name w:val="正文 BJ15 Char Char"/>
    <w:link w:val="131"/>
    <w:semiHidden/>
    <w:qFormat/>
    <w:uiPriority w:val="0"/>
    <w:rPr>
      <w:rFonts w:ascii="Times New Roman" w:hAnsi="Times New Roman"/>
      <w:kern w:val="2"/>
      <w:sz w:val="24"/>
      <w:szCs w:val="24"/>
    </w:rPr>
  </w:style>
  <w:style w:type="character" w:customStyle="1" w:styleId="383">
    <w:name w:val="纯文本 Char Char"/>
    <w:qFormat/>
    <w:uiPriority w:val="0"/>
    <w:rPr>
      <w:rFonts w:ascii="宋体" w:hAnsi="Courier New" w:eastAsia="宋体" w:cs="Century"/>
      <w:kern w:val="2"/>
      <w:sz w:val="21"/>
      <w:szCs w:val="21"/>
      <w:lang w:val="en-US" w:eastAsia="zh-CN" w:bidi="ar-SA"/>
    </w:rPr>
  </w:style>
  <w:style w:type="character" w:customStyle="1" w:styleId="384">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385">
    <w:name w:val="1.1 Char Char"/>
    <w:qFormat/>
    <w:uiPriority w:val="0"/>
    <w:rPr>
      <w:rFonts w:ascii="宋体" w:eastAsia="宋体"/>
      <w:b/>
      <w:bCs/>
      <w:kern w:val="2"/>
      <w:sz w:val="24"/>
      <w:szCs w:val="32"/>
      <w:lang w:val="en-US" w:eastAsia="zh-CN" w:bidi="ar-SA"/>
    </w:rPr>
  </w:style>
  <w:style w:type="character" w:customStyle="1" w:styleId="386">
    <w:name w:val="正文文本 Char1"/>
    <w:qFormat/>
    <w:uiPriority w:val="0"/>
    <w:rPr>
      <w:rFonts w:ascii="Times New Roman" w:hAnsi="Times New Roman"/>
      <w:kern w:val="2"/>
      <w:sz w:val="24"/>
    </w:rPr>
  </w:style>
  <w:style w:type="character" w:customStyle="1" w:styleId="387">
    <w:name w:val="普通文字 Char Char"/>
    <w:qFormat/>
    <w:uiPriority w:val="0"/>
    <w:rPr>
      <w:rFonts w:ascii="宋体" w:hAnsi="Courier New" w:eastAsia="宋体"/>
      <w:kern w:val="2"/>
      <w:sz w:val="21"/>
      <w:lang w:val="en-US" w:eastAsia="zh-CN" w:bidi="ar-SA"/>
    </w:rPr>
  </w:style>
  <w:style w:type="character" w:customStyle="1" w:styleId="388">
    <w:name w:val="样式 二号 红色 边框:: (单实线 自动设置  0.5 磅 行宽)"/>
    <w:qFormat/>
    <w:uiPriority w:val="0"/>
    <w:rPr>
      <w:rFonts w:eastAsia="宋体"/>
      <w:color w:val="0000FF"/>
      <w:sz w:val="44"/>
      <w:bdr w:val="single" w:color="0000FF" w:sz="4" w:space="0"/>
    </w:rPr>
  </w:style>
  <w:style w:type="character" w:customStyle="1" w:styleId="389">
    <w:name w:val="displayarti"/>
    <w:qFormat/>
    <w:uiPriority w:val="0"/>
    <w:rPr>
      <w:color w:val="FFFFFF"/>
      <w:shd w:val="clear" w:color="auto" w:fill="A00000"/>
    </w:rPr>
  </w:style>
  <w:style w:type="character" w:customStyle="1" w:styleId="390">
    <w:name w:val="正文－zlb Char Char"/>
    <w:link w:val="132"/>
    <w:semiHidden/>
    <w:qFormat/>
    <w:uiPriority w:val="0"/>
    <w:rPr>
      <w:rFonts w:ascii="宋体" w:cs="宋体"/>
      <w:kern w:val="2"/>
      <w:sz w:val="24"/>
      <w:szCs w:val="24"/>
    </w:rPr>
  </w:style>
  <w:style w:type="character" w:customStyle="1" w:styleId="391">
    <w:name w:val="Char Char11"/>
    <w:qFormat/>
    <w:uiPriority w:val="0"/>
    <w:rPr>
      <w:rFonts w:eastAsia="宋体"/>
      <w:b/>
      <w:bCs/>
      <w:kern w:val="2"/>
      <w:sz w:val="24"/>
      <w:szCs w:val="24"/>
      <w:lang w:val="en-US" w:eastAsia="zh-CN" w:bidi="ar-SA"/>
    </w:rPr>
  </w:style>
  <w:style w:type="character" w:customStyle="1" w:styleId="392">
    <w:name w:val="正文（首行缩进两字） Char"/>
    <w:qFormat/>
    <w:uiPriority w:val="0"/>
    <w:rPr>
      <w:rFonts w:eastAsia="宋体"/>
      <w:sz w:val="32"/>
      <w:lang w:val="en-US" w:eastAsia="zh-CN" w:bidi="ar-SA"/>
    </w:rPr>
  </w:style>
  <w:style w:type="character" w:customStyle="1" w:styleId="393">
    <w:name w:val="b Char"/>
    <w:qFormat/>
    <w:uiPriority w:val="0"/>
    <w:rPr>
      <w:rFonts w:eastAsia="宋体"/>
      <w:b/>
      <w:bCs/>
      <w:kern w:val="2"/>
      <w:sz w:val="28"/>
      <w:szCs w:val="28"/>
      <w:lang w:val="en-US" w:eastAsia="zh-CN" w:bidi="ar-SA"/>
    </w:rPr>
  </w:style>
  <w:style w:type="character" w:customStyle="1" w:styleId="394">
    <w:name w:val="正文段落格式 Char Char"/>
    <w:qFormat/>
    <w:uiPriority w:val="0"/>
    <w:rPr>
      <w:rFonts w:cs="宋体"/>
      <w:color w:val="7030A0"/>
      <w:kern w:val="2"/>
      <w:sz w:val="24"/>
    </w:rPr>
  </w:style>
  <w:style w:type="character" w:customStyle="1" w:styleId="395">
    <w:name w:val="图表标题 BJ8 Char Char"/>
    <w:link w:val="133"/>
    <w:semiHidden/>
    <w:qFormat/>
    <w:uiPriority w:val="0"/>
    <w:rPr>
      <w:rFonts w:ascii="Times New Roman" w:hAnsi="Times New Roman" w:eastAsia="黑体"/>
      <w:kern w:val="2"/>
      <w:sz w:val="24"/>
    </w:rPr>
  </w:style>
  <w:style w:type="character" w:customStyle="1" w:styleId="396">
    <w:name w:val="应答文本 Char Char"/>
    <w:qFormat/>
    <w:uiPriority w:val="0"/>
    <w:rPr>
      <w:rFonts w:ascii="Arial" w:hAnsi="Arial" w:eastAsia="楷体_GB2312" w:cs="宋体"/>
      <w:spacing w:val="10"/>
      <w:sz w:val="21"/>
      <w:lang w:val="en-US" w:eastAsia="zh-CN" w:bidi="ar-SA"/>
    </w:rPr>
  </w:style>
  <w:style w:type="character" w:customStyle="1" w:styleId="397">
    <w:name w:val="列表框2 Char Char"/>
    <w:link w:val="134"/>
    <w:semiHidden/>
    <w:qFormat/>
    <w:uiPriority w:val="0"/>
    <w:rPr>
      <w:color w:val="7030A0"/>
      <w:spacing w:val="10"/>
      <w:sz w:val="24"/>
      <w:szCs w:val="24"/>
    </w:rPr>
  </w:style>
  <w:style w:type="character" w:customStyle="1" w:styleId="398">
    <w:name w:val="sub-dash Char"/>
    <w:qFormat/>
    <w:uiPriority w:val="0"/>
    <w:rPr>
      <w:rFonts w:ascii="Arial" w:hAnsi="Arial" w:eastAsia="黑体"/>
      <w:b/>
      <w:bCs/>
      <w:kern w:val="2"/>
      <w:sz w:val="24"/>
      <w:szCs w:val="24"/>
      <w:lang w:val="en-US" w:eastAsia="zh-CN" w:bidi="ar-SA"/>
    </w:rPr>
  </w:style>
  <w:style w:type="character" w:customStyle="1" w:styleId="399">
    <w:name w:val="五级标题格式 Char Char"/>
    <w:link w:val="135"/>
    <w:semiHidden/>
    <w:qFormat/>
    <w:uiPriority w:val="0"/>
    <w:rPr>
      <w:rFonts w:ascii="Times New Roman" w:hAnsi="Times New Roman"/>
      <w:b/>
      <w:bCs/>
      <w:kern w:val="2"/>
      <w:sz w:val="24"/>
      <w:szCs w:val="28"/>
    </w:rPr>
  </w:style>
  <w:style w:type="character" w:customStyle="1" w:styleId="400">
    <w:name w:val="Char Char111"/>
    <w:qFormat/>
    <w:uiPriority w:val="0"/>
    <w:rPr>
      <w:rFonts w:eastAsia="宋体"/>
      <w:b/>
      <w:bCs/>
      <w:kern w:val="2"/>
      <w:sz w:val="24"/>
      <w:szCs w:val="24"/>
      <w:lang w:val="en-US" w:eastAsia="zh-CN" w:bidi="ar-SA"/>
    </w:rPr>
  </w:style>
  <w:style w:type="character" w:customStyle="1" w:styleId="401">
    <w:name w:val="表格文字图表文字 Char Char"/>
    <w:qFormat/>
    <w:uiPriority w:val="0"/>
    <w:rPr>
      <w:color w:val="7030A0"/>
      <w:kern w:val="2"/>
      <w:sz w:val="21"/>
    </w:rPr>
  </w:style>
  <w:style w:type="character" w:customStyle="1" w:styleId="402">
    <w:name w:val="占位符文本1"/>
    <w:qFormat/>
    <w:uiPriority w:val="0"/>
    <w:rPr>
      <w:color w:val="808080"/>
    </w:rPr>
  </w:style>
  <w:style w:type="character" w:customStyle="1" w:styleId="403">
    <w:name w:val="正文段落格式 Char Char Char"/>
    <w:link w:val="136"/>
    <w:semiHidden/>
    <w:qFormat/>
    <w:uiPriority w:val="0"/>
    <w:rPr>
      <w:rFonts w:ascii="Times New Roman" w:hAnsi="Times New Roman"/>
      <w:color w:val="7030A0"/>
      <w:kern w:val="2"/>
      <w:sz w:val="24"/>
    </w:rPr>
  </w:style>
  <w:style w:type="character" w:customStyle="1" w:styleId="404">
    <w:name w:val="表格文字 BJ8 Char Char"/>
    <w:link w:val="137"/>
    <w:semiHidden/>
    <w:qFormat/>
    <w:uiPriority w:val="0"/>
    <w:rPr>
      <w:rFonts w:ascii="Times New Roman" w:hAnsi="Times New Roman"/>
      <w:kern w:val="2"/>
      <w:sz w:val="21"/>
      <w:szCs w:val="21"/>
    </w:rPr>
  </w:style>
  <w:style w:type="character" w:customStyle="1" w:styleId="405">
    <w:name w:val="gpa"/>
    <w:qFormat/>
    <w:uiPriority w:val="0"/>
    <w:rPr>
      <w:rFonts w:ascii="Arial" w:hAnsi="Arial" w:cs="Arial"/>
      <w:sz w:val="12"/>
      <w:szCs w:val="12"/>
    </w:rPr>
  </w:style>
  <w:style w:type="character" w:customStyle="1" w:styleId="406">
    <w:name w:val="样式 标题 31.1条标题1.1.1二级节名h3Heading 3 - oldheading 3H3H31H3... Char Char Char"/>
    <w:link w:val="138"/>
    <w:semiHidden/>
    <w:qFormat/>
    <w:uiPriority w:val="0"/>
    <w:rPr>
      <w:rFonts w:ascii="宋体" w:hAnsi="宋体" w:eastAsia="黑体"/>
      <w:kern w:val="2"/>
      <w:sz w:val="24"/>
      <w:szCs w:val="21"/>
    </w:rPr>
  </w:style>
  <w:style w:type="character" w:customStyle="1" w:styleId="407">
    <w:name w:val="标题2 Char Char"/>
    <w:link w:val="139"/>
    <w:semiHidden/>
    <w:qFormat/>
    <w:uiPriority w:val="0"/>
    <w:rPr>
      <w:rFonts w:ascii="宋体" w:hAnsi="Times New Roman"/>
      <w:b/>
      <w:color w:val="92D050"/>
      <w:kern w:val="44"/>
      <w:sz w:val="30"/>
    </w:rPr>
  </w:style>
  <w:style w:type="character" w:customStyle="1" w:styleId="408">
    <w:name w:val="Char Char2"/>
    <w:qFormat/>
    <w:uiPriority w:val="0"/>
    <w:rPr>
      <w:rFonts w:eastAsia="仿宋_GB2312"/>
      <w:kern w:val="2"/>
      <w:sz w:val="28"/>
      <w:lang w:val="en-US" w:eastAsia="zh-CN" w:bidi="ar-SA"/>
    </w:rPr>
  </w:style>
  <w:style w:type="character" w:customStyle="1" w:styleId="409">
    <w:name w:val="2 headline Char Char"/>
    <w:qFormat/>
    <w:uiPriority w:val="0"/>
    <w:rPr>
      <w:rFonts w:eastAsia="黑体"/>
      <w:bCs/>
      <w:kern w:val="2"/>
      <w:sz w:val="28"/>
      <w:szCs w:val="28"/>
      <w:lang w:val="en-US" w:eastAsia="zh-CN" w:bidi="ar-SA"/>
    </w:rPr>
  </w:style>
  <w:style w:type="character" w:customStyle="1" w:styleId="410">
    <w:name w:val="正文 QD3 Char Char"/>
    <w:link w:val="140"/>
    <w:semiHidden/>
    <w:qFormat/>
    <w:uiPriority w:val="0"/>
    <w:rPr>
      <w:rFonts w:ascii="Times New Roman" w:hAnsi="Times New Roman"/>
      <w:kern w:val="2"/>
      <w:sz w:val="24"/>
      <w:szCs w:val="24"/>
    </w:rPr>
  </w:style>
  <w:style w:type="character" w:customStyle="1" w:styleId="411">
    <w:name w:val="正文 BJ8 Char Char"/>
    <w:link w:val="141"/>
    <w:semiHidden/>
    <w:qFormat/>
    <w:uiPriority w:val="0"/>
    <w:rPr>
      <w:rFonts w:ascii="Times New Roman" w:hAnsi="Times New Roman"/>
      <w:color w:val="7030A0"/>
      <w:kern w:val="2"/>
      <w:sz w:val="24"/>
      <w:szCs w:val="24"/>
    </w:rPr>
  </w:style>
  <w:style w:type="character" w:customStyle="1" w:styleId="412">
    <w:name w:val="书籍标题1"/>
    <w:qFormat/>
    <w:uiPriority w:val="0"/>
    <w:rPr>
      <w:b/>
      <w:bCs/>
      <w:smallCaps/>
      <w:spacing w:val="5"/>
    </w:rPr>
  </w:style>
  <w:style w:type="character" w:customStyle="1" w:styleId="413">
    <w:name w:val="Char Char8"/>
    <w:qFormat/>
    <w:uiPriority w:val="0"/>
    <w:rPr>
      <w:rFonts w:eastAsia="宋体"/>
      <w:kern w:val="2"/>
      <w:sz w:val="21"/>
      <w:lang w:val="en-US" w:eastAsia="zh-CN" w:bidi="ar-SA"/>
    </w:rPr>
  </w:style>
  <w:style w:type="character" w:customStyle="1" w:styleId="414">
    <w:name w:val="正文文本缩进 Char1"/>
    <w:link w:val="79"/>
    <w:semiHidden/>
    <w:qFormat/>
    <w:uiPriority w:val="0"/>
    <w:rPr>
      <w:rFonts w:ascii="宋体" w:hAnsi="Times New Roman"/>
      <w:kern w:val="2"/>
      <w:sz w:val="21"/>
    </w:rPr>
  </w:style>
  <w:style w:type="character" w:customStyle="1" w:styleId="415">
    <w:name w:val="正文1 Char Char"/>
    <w:link w:val="142"/>
    <w:semiHidden/>
    <w:qFormat/>
    <w:uiPriority w:val="0"/>
    <w:rPr>
      <w:rFonts w:ascii="宋体" w:hAnsi="宋体"/>
      <w:kern w:val="10"/>
      <w:sz w:val="21"/>
      <w:szCs w:val="24"/>
    </w:rPr>
  </w:style>
  <w:style w:type="character" w:customStyle="1" w:styleId="416">
    <w:name w:val="样式 Char Char"/>
    <w:link w:val="143"/>
    <w:semiHidden/>
    <w:qFormat/>
    <w:uiPriority w:val="0"/>
    <w:rPr>
      <w:rFonts w:ascii="宋体" w:hAnsi="宋体" w:cs="宋体"/>
      <w:sz w:val="24"/>
      <w:szCs w:val="24"/>
      <w:lang w:val="en-US" w:eastAsia="zh-CN" w:bidi="ar-SA"/>
    </w:rPr>
  </w:style>
  <w:style w:type="character" w:customStyle="1" w:styleId="417">
    <w:name w:val="无编号正文 Char Char"/>
    <w:link w:val="144"/>
    <w:semiHidden/>
    <w:qFormat/>
    <w:uiPriority w:val="0"/>
    <w:rPr>
      <w:rFonts w:ascii="宋体" w:hAnsi="宋体"/>
      <w:sz w:val="24"/>
      <w:szCs w:val="24"/>
    </w:rPr>
  </w:style>
  <w:style w:type="character" w:customStyle="1" w:styleId="418">
    <w:name w:val="表图名称 Char Char"/>
    <w:link w:val="145"/>
    <w:semiHidden/>
    <w:qFormat/>
    <w:uiPriority w:val="0"/>
    <w:rPr>
      <w:rFonts w:ascii="黑体" w:hAnsi="宋体" w:eastAsia="黑体"/>
      <w:kern w:val="2"/>
      <w:sz w:val="24"/>
      <w:szCs w:val="24"/>
      <w:lang w:val="en-US" w:eastAsia="zh-CN" w:bidi="ar-SA"/>
    </w:rPr>
  </w:style>
  <w:style w:type="character" w:customStyle="1" w:styleId="419">
    <w:name w:val="列表框1 Char Char"/>
    <w:qFormat/>
    <w:uiPriority w:val="0"/>
    <w:rPr>
      <w:rFonts w:ascii="Arial" w:hAnsi="Arial" w:eastAsia="楷体_GB2312" w:cs="Arial"/>
      <w:spacing w:val="10"/>
      <w:sz w:val="21"/>
      <w:lang w:val="en-US" w:eastAsia="zh-CN" w:bidi="ar-SA"/>
    </w:rPr>
  </w:style>
  <w:style w:type="character" w:customStyle="1" w:styleId="420">
    <w:name w:val="表格文字图表文字 Char Char Char"/>
    <w:link w:val="146"/>
    <w:semiHidden/>
    <w:qFormat/>
    <w:uiPriority w:val="0"/>
    <w:rPr>
      <w:rFonts w:ascii="Times New Roman" w:hAnsi="Times New Roman"/>
      <w:color w:val="7030A0"/>
      <w:kern w:val="2"/>
      <w:sz w:val="21"/>
    </w:rPr>
  </w:style>
  <w:style w:type="character" w:customStyle="1" w:styleId="421">
    <w:name w:val="批注文字 Char1"/>
    <w:qFormat/>
    <w:uiPriority w:val="0"/>
    <w:rPr>
      <w:kern w:val="2"/>
      <w:sz w:val="24"/>
      <w:szCs w:val="24"/>
    </w:rPr>
  </w:style>
  <w:style w:type="character" w:customStyle="1" w:styleId="422">
    <w:name w:val="正文缩进 Char Char"/>
    <w:link w:val="363"/>
    <w:semiHidden/>
    <w:qFormat/>
    <w:uiPriority w:val="0"/>
    <w:rPr>
      <w:kern w:val="2"/>
      <w:sz w:val="21"/>
      <w:szCs w:val="24"/>
    </w:rPr>
  </w:style>
  <w:style w:type="paragraph" w:customStyle="1" w:styleId="423">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4">
    <w:name w:val="Default"/>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425">
    <w:name w:val="批注主题 字符"/>
    <w:link w:val="39"/>
    <w:qFormat/>
    <w:uiPriority w:val="0"/>
    <w:rPr>
      <w:rFonts w:ascii="Times New Roman" w:hAnsi="Times New Roman" w:eastAsia="宋体" w:cs="Times New Roman"/>
      <w:b/>
      <w:bCs/>
      <w:kern w:val="2"/>
      <w:sz w:val="21"/>
      <w:szCs w:val="24"/>
    </w:rPr>
  </w:style>
  <w:style w:type="paragraph" w:customStyle="1" w:styleId="42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27">
    <w:name w:val="样式 宋体 五号 行距: 单倍行距"/>
    <w:basedOn w:val="1"/>
    <w:qFormat/>
    <w:uiPriority w:val="0"/>
    <w:pPr>
      <w:adjustRightInd w:val="0"/>
      <w:jc w:val="left"/>
      <w:textAlignment w:val="baseline"/>
    </w:pPr>
    <w:rPr>
      <w:rFonts w:ascii="宋体" w:hAnsi="宋体"/>
      <w:kern w:val="0"/>
    </w:rPr>
  </w:style>
  <w:style w:type="paragraph" w:customStyle="1" w:styleId="4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styleId="430">
    <w:name w:val="List Paragraph"/>
    <w:basedOn w:val="1"/>
    <w:qFormat/>
    <w:uiPriority w:val="34"/>
    <w:pPr>
      <w:ind w:firstLine="420" w:firstLineChars="200"/>
    </w:pPr>
  </w:style>
  <w:style w:type="paragraph" w:customStyle="1" w:styleId="431">
    <w:name w:val="WPSOffice手动目录 1"/>
    <w:qFormat/>
    <w:uiPriority w:val="0"/>
    <w:rPr>
      <w:rFonts w:ascii="Times New Roman" w:hAnsi="Times New Roman" w:eastAsia="宋体" w:cs="Times New Roman"/>
      <w:lang w:val="en-US" w:eastAsia="zh-CN" w:bidi="ar-SA"/>
    </w:rPr>
  </w:style>
  <w:style w:type="paragraph" w:customStyle="1" w:styleId="432">
    <w:name w:val="纯文本3"/>
    <w:basedOn w:val="1"/>
    <w:qFormat/>
    <w:uiPriority w:val="0"/>
    <w:rPr>
      <w:rFonts w:ascii="宋体" w:hAnsi="Courier New" w:cs="Courier New"/>
      <w:szCs w:val="21"/>
    </w:rPr>
  </w:style>
  <w:style w:type="paragraph" w:customStyle="1" w:styleId="433">
    <w:name w:val="_Style 1"/>
    <w:qFormat/>
    <w:uiPriority w:val="1"/>
    <w:pPr>
      <w:adjustRightInd w:val="0"/>
      <w:snapToGrid w:val="0"/>
    </w:pPr>
    <w:rPr>
      <w:rFonts w:ascii="Tahoma" w:hAnsi="Tahoma" w:eastAsiaTheme="minorEastAsia" w:cstheme="minorBidi"/>
      <w:sz w:val="22"/>
      <w:szCs w:val="22"/>
      <w:lang w:val="en-US" w:eastAsia="zh-CN" w:bidi="ar-SA"/>
    </w:rPr>
  </w:style>
  <w:style w:type="character" w:customStyle="1" w:styleId="434">
    <w:name w:val="纯文本 字符"/>
    <w:link w:val="25"/>
    <w:qFormat/>
    <w:locked/>
    <w:uiPriority w:val="0"/>
    <w:rPr>
      <w:rFonts w:ascii="宋体" w:hAnsi="Courier New" w:cs="Courier New"/>
      <w:kern w:val="2"/>
      <w:sz w:val="21"/>
      <w:szCs w:val="21"/>
    </w:rPr>
  </w:style>
  <w:style w:type="paragraph" w:customStyle="1" w:styleId="435">
    <w:name w:val="TOC 标题2"/>
    <w:basedOn w:val="3"/>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38">
    <w:name w:val="apple-style-span"/>
    <w:qFormat/>
    <w:uiPriority w:val="0"/>
  </w:style>
  <w:style w:type="paragraph" w:styleId="4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0">
    <w:name w:val="_Style 436"/>
    <w:basedOn w:val="1"/>
    <w:next w:val="430"/>
    <w:qFormat/>
    <w:uiPriority w:val="34"/>
    <w:pPr>
      <w:ind w:firstLine="420" w:firstLineChars="200"/>
    </w:pPr>
    <w:rPr>
      <w:rFonts w:ascii="等线" w:hAnsi="等线" w:eastAsia="等线" w:cs="宋体"/>
      <w:szCs w:val="22"/>
    </w:rPr>
  </w:style>
  <w:style w:type="character" w:customStyle="1" w:styleId="441">
    <w:name w:val="NormalCharacter"/>
    <w:semiHidden/>
    <w:qFormat/>
    <w:uiPriority w:val="0"/>
    <w:rPr>
      <w:rFonts w:ascii="Times New Roman" w:hAnsi="Times New Roman" w:eastAsia="宋体"/>
      <w:sz w:val="24"/>
      <w:szCs w:val="24"/>
      <w:lang w:val="en-US" w:eastAsia="zh-CN" w:bidi="ar-SA"/>
    </w:rPr>
  </w:style>
  <w:style w:type="paragraph" w:customStyle="1" w:styleId="442">
    <w:name w:val="国内标题2"/>
    <w:basedOn w:val="4"/>
    <w:qFormat/>
    <w:uiPriority w:val="0"/>
    <w:pPr>
      <w:spacing w:line="416" w:lineRule="auto"/>
    </w:pPr>
    <w:rPr>
      <w:rFonts w:ascii="Calibri" w:hAnsi="Calibri" w:eastAsia="宋体"/>
    </w:rPr>
  </w:style>
  <w:style w:type="character" w:customStyle="1" w:styleId="443">
    <w:name w:val="正文文本缩进 字符"/>
    <w:basedOn w:val="42"/>
    <w:link w:val="21"/>
    <w:qFormat/>
    <w:uiPriority w:val="0"/>
    <w:rPr>
      <w:kern w:val="2"/>
      <w:sz w:val="21"/>
      <w:szCs w:val="24"/>
    </w:rPr>
  </w:style>
  <w:style w:type="character" w:customStyle="1" w:styleId="444">
    <w:name w:val="font01"/>
    <w:basedOn w:val="42"/>
    <w:qFormat/>
    <w:uiPriority w:val="0"/>
    <w:rPr>
      <w:rFonts w:hint="eastAsia" w:ascii="宋体" w:hAnsi="宋体" w:eastAsia="宋体" w:cs="宋体"/>
      <w:color w:val="000000"/>
      <w:sz w:val="32"/>
      <w:szCs w:val="32"/>
      <w:u w:val="none"/>
    </w:rPr>
  </w:style>
  <w:style w:type="character" w:customStyle="1" w:styleId="445">
    <w:name w:val="font11"/>
    <w:basedOn w:val="42"/>
    <w:qFormat/>
    <w:uiPriority w:val="0"/>
    <w:rPr>
      <w:rFonts w:hint="eastAsia" w:ascii="宋体" w:hAnsi="宋体" w:eastAsia="宋体" w:cs="宋体"/>
      <w:color w:val="000000"/>
      <w:sz w:val="22"/>
      <w:szCs w:val="22"/>
      <w:u w:val="none"/>
    </w:rPr>
  </w:style>
  <w:style w:type="character" w:customStyle="1" w:styleId="446">
    <w:name w:val="font41"/>
    <w:basedOn w:val="42"/>
    <w:qFormat/>
    <w:uiPriority w:val="0"/>
    <w:rPr>
      <w:rFonts w:hint="eastAsia" w:ascii="宋体" w:hAnsi="宋体" w:eastAsia="宋体" w:cs="宋体"/>
      <w:color w:val="000000"/>
      <w:sz w:val="20"/>
      <w:szCs w:val="20"/>
      <w:u w:val="none"/>
    </w:rPr>
  </w:style>
  <w:style w:type="character" w:customStyle="1" w:styleId="447">
    <w:name w:val="font21"/>
    <w:basedOn w:val="42"/>
    <w:qFormat/>
    <w:uiPriority w:val="0"/>
    <w:rPr>
      <w:rFonts w:hint="default" w:ascii="Times New Roman" w:hAnsi="Times New Roman" w:cs="Times New Roman"/>
      <w:color w:val="000000"/>
      <w:sz w:val="20"/>
      <w:szCs w:val="20"/>
      <w:u w:val="none"/>
    </w:rPr>
  </w:style>
  <w:style w:type="character" w:customStyle="1" w:styleId="448">
    <w:name w:val="font51"/>
    <w:basedOn w:val="42"/>
    <w:qFormat/>
    <w:uiPriority w:val="0"/>
    <w:rPr>
      <w:rFonts w:hint="eastAsia" w:ascii="宋体" w:hAnsi="宋体" w:eastAsia="宋体" w:cs="宋体"/>
      <w:color w:val="000000"/>
      <w:sz w:val="20"/>
      <w:szCs w:val="20"/>
      <w:u w:val="none"/>
    </w:rPr>
  </w:style>
  <w:style w:type="character" w:customStyle="1" w:styleId="449">
    <w:name w:val="font61"/>
    <w:basedOn w:val="42"/>
    <w:qFormat/>
    <w:uiPriority w:val="0"/>
    <w:rPr>
      <w:rFonts w:hint="eastAsia" w:ascii="宋体" w:hAnsi="宋体" w:eastAsia="宋体" w:cs="宋体"/>
      <w:color w:val="000000"/>
      <w:sz w:val="20"/>
      <w:szCs w:val="20"/>
      <w:u w:val="none"/>
    </w:rPr>
  </w:style>
  <w:style w:type="character" w:customStyle="1" w:styleId="450">
    <w:name w:val="font31"/>
    <w:basedOn w:val="42"/>
    <w:qFormat/>
    <w:uiPriority w:val="0"/>
    <w:rPr>
      <w:rFonts w:hint="eastAsia" w:ascii="宋体" w:hAnsi="宋体" w:eastAsia="宋体" w:cs="宋体"/>
      <w:b/>
      <w:bCs/>
      <w:color w:val="000000"/>
      <w:sz w:val="20"/>
      <w:szCs w:val="20"/>
      <w:u w:val="none"/>
    </w:rPr>
  </w:style>
  <w:style w:type="table" w:customStyle="1" w:styleId="45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D37A-DE10-4A54-A720-32C7466740C6}">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102</Pages>
  <Words>48825</Words>
  <Characters>51185</Characters>
  <Lines>334</Lines>
  <Paragraphs>94</Paragraphs>
  <TotalTime>10</TotalTime>
  <ScaleCrop>false</ScaleCrop>
  <LinksUpToDate>false</LinksUpToDate>
  <CharactersWithSpaces>55309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2023-03-29T06:23:00Z</dcterms:created>
  <dc:creator>wmq</dc:creator>
  <cp:lastModifiedBy>太阳花</cp:lastModifiedBy>
  <cp:lastPrinted>2018-03-19T01:37:00Z</cp:lastPrinted>
  <dcterms:modified xsi:type="dcterms:W3CDTF">2023-07-19T09:19:55Z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ADBDD7393F5743B6BFE77F14233217D7_13</vt:lpwstr>
  </property>
</Properties>
</file>