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ascii="仿宋_GB2312" w:hAnsi="仿宋" w:eastAsia="仿宋_GB2312"/>
          <w:b/>
          <w:color w:val="auto"/>
          <w:sz w:val="52"/>
          <w:szCs w:val="52"/>
          <w:lang w:eastAsia="zh-CN"/>
        </w:rPr>
      </w:pPr>
      <w:r>
        <w:rPr>
          <w:rFonts w:hint="eastAsia" w:eastAsia="仿宋_GB2312"/>
          <w:b/>
          <w:color w:val="auto"/>
          <w:sz w:val="52"/>
          <w:szCs w:val="52"/>
          <w:lang w:eastAsia="zh-CN"/>
        </w:rPr>
        <w:t>拜城县康其乡中学信息化设施设备采购</w:t>
      </w:r>
    </w:p>
    <w:p>
      <w:pPr>
        <w:pStyle w:val="72"/>
        <w:jc w:val="both"/>
        <w:rPr>
          <w:rFonts w:ascii="仿宋_GB2312" w:hAnsi="仿宋" w:eastAsia="仿宋_GB2312"/>
          <w:b/>
          <w:color w:val="auto"/>
          <w:sz w:val="48"/>
          <w:szCs w:val="48"/>
        </w:rPr>
      </w:pPr>
    </w:p>
    <w:p>
      <w:pPr>
        <w:pStyle w:val="72"/>
        <w:jc w:val="both"/>
        <w:rPr>
          <w:rFonts w:ascii="仿宋_GB2312" w:hAnsi="仿宋" w:eastAsia="仿宋_GB2312"/>
          <w:b/>
          <w:color w:val="auto"/>
          <w:sz w:val="48"/>
          <w:szCs w:val="48"/>
        </w:rPr>
      </w:pPr>
    </w:p>
    <w:p>
      <w:pPr>
        <w:pStyle w:val="72"/>
        <w:jc w:val="both"/>
        <w:rPr>
          <w:rFonts w:ascii="仿宋_GB2312" w:hAnsi="仿宋" w:eastAsia="仿宋_GB2312"/>
          <w:color w:val="auto"/>
          <w:sz w:val="48"/>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b/>
          <w:bCs/>
          <w:color w:val="auto"/>
          <w:spacing w:val="20"/>
          <w:sz w:val="32"/>
        </w:rPr>
      </w:pPr>
      <w:r>
        <w:rPr>
          <w:rFonts w:hint="eastAsia" w:ascii="仿宋_GB2312" w:hAnsi="仿宋" w:eastAsia="仿宋_GB2312"/>
          <w:b/>
          <w:bCs/>
          <w:color w:val="auto"/>
          <w:spacing w:val="20"/>
          <w:sz w:val="96"/>
          <w:szCs w:val="112"/>
          <w:lang w:eastAsia="zh-CN"/>
        </w:rPr>
        <w:t>采</w:t>
      </w:r>
      <w:r>
        <w:rPr>
          <w:rFonts w:hint="eastAsia" w:ascii="仿宋_GB2312" w:hAnsi="仿宋" w:eastAsia="仿宋_GB2312"/>
          <w:b/>
          <w:bCs/>
          <w:color w:val="auto"/>
          <w:spacing w:val="20"/>
          <w:sz w:val="96"/>
          <w:szCs w:val="112"/>
        </w:rPr>
        <w:t xml:space="preserve">  </w:t>
      </w:r>
      <w:r>
        <w:rPr>
          <w:rFonts w:hint="eastAsia" w:ascii="仿宋_GB2312" w:hAnsi="仿宋" w:eastAsia="仿宋_GB2312"/>
          <w:b/>
          <w:bCs/>
          <w:color w:val="auto"/>
          <w:spacing w:val="20"/>
          <w:sz w:val="96"/>
          <w:szCs w:val="112"/>
          <w:lang w:eastAsia="zh-CN"/>
        </w:rPr>
        <w:t>购</w:t>
      </w:r>
      <w:r>
        <w:rPr>
          <w:rFonts w:hint="eastAsia" w:ascii="仿宋_GB2312" w:hAnsi="仿宋" w:eastAsia="仿宋_GB2312"/>
          <w:b/>
          <w:bCs/>
          <w:color w:val="auto"/>
          <w:spacing w:val="20"/>
          <w:sz w:val="96"/>
          <w:szCs w:val="112"/>
        </w:rPr>
        <w:t xml:space="preserve">  文  件</w:t>
      </w:r>
    </w:p>
    <w:p>
      <w:pPr>
        <w:pStyle w:val="72"/>
        <w:ind w:firstLine="1920" w:firstLineChars="600"/>
        <w:jc w:val="center"/>
        <w:rPr>
          <w:rFonts w:ascii="仿宋_GB2312" w:hAnsi="仿宋" w:eastAsia="仿宋_GB2312"/>
          <w:color w:val="auto"/>
          <w:sz w:val="32"/>
        </w:rPr>
      </w:pPr>
    </w:p>
    <w:p>
      <w:pPr>
        <w:pStyle w:val="72"/>
        <w:ind w:firstLine="1920" w:firstLineChars="600"/>
        <w:jc w:val="center"/>
        <w:rPr>
          <w:rFonts w:ascii="仿宋_GB2312" w:hAnsi="仿宋" w:eastAsia="仿宋_GB2312"/>
          <w:color w:val="auto"/>
          <w:sz w:val="32"/>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w:t>
      </w:r>
      <w:r>
        <w:rPr>
          <w:rFonts w:hint="eastAsia" w:ascii="仿宋_GB2312" w:hAnsi="仿宋" w:eastAsia="仿宋_GB2312"/>
          <w:color w:val="auto"/>
          <w:sz w:val="32"/>
          <w:szCs w:val="31"/>
          <w:lang w:eastAsia="zh-CN"/>
        </w:rPr>
        <w:t>bcx-gkzb-2023-036</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拜城县教育和科学技术局</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新疆久隆昌泰建设项目管理有限公司</w:t>
      </w:r>
    </w:p>
    <w:p>
      <w:pPr>
        <w:pStyle w:val="72"/>
        <w:jc w:val="center"/>
        <w:rPr>
          <w:rFonts w:ascii="仿宋_GB2312" w:hAnsi="仿宋" w:eastAsia="仿宋_GB2312"/>
          <w:color w:val="auto"/>
          <w:sz w:val="30"/>
        </w:rPr>
      </w:pPr>
    </w:p>
    <w:p>
      <w:pPr>
        <w:pStyle w:val="72"/>
        <w:jc w:val="center"/>
        <w:rPr>
          <w:rFonts w:ascii="仿宋_GB2312" w:hAnsi="仿宋" w:eastAsia="仿宋_GB2312"/>
          <w:color w:val="auto"/>
          <w:sz w:val="30"/>
        </w:rPr>
      </w:pPr>
    </w:p>
    <w:p>
      <w:pPr>
        <w:jc w:val="center"/>
        <w:rPr>
          <w:rFonts w:ascii="仿宋_GB2312" w:hAnsi="仿宋" w:eastAsia="仿宋_GB2312"/>
          <w:color w:val="auto"/>
          <w:spacing w:val="40"/>
          <w:kern w:val="0"/>
          <w:sz w:val="32"/>
          <w:szCs w:val="32"/>
        </w:rPr>
      </w:pPr>
      <w:r>
        <w:rPr>
          <w:rFonts w:hint="eastAsia" w:ascii="仿宋_GB2312" w:hAnsi="仿宋" w:eastAsia="仿宋_GB2312"/>
          <w:color w:val="auto"/>
          <w:spacing w:val="40"/>
          <w:kern w:val="0"/>
          <w:sz w:val="32"/>
          <w:szCs w:val="32"/>
        </w:rPr>
        <w:t>二</w:t>
      </w:r>
      <w:r>
        <w:rPr>
          <w:rFonts w:hint="eastAsia" w:ascii="仿宋_GB2312" w:hAnsi="宋体" w:cs="宋体"/>
          <w:color w:val="auto"/>
          <w:spacing w:val="40"/>
          <w:kern w:val="0"/>
          <w:sz w:val="32"/>
          <w:szCs w:val="32"/>
        </w:rPr>
        <w:t>〇</w:t>
      </w:r>
      <w:r>
        <w:rPr>
          <w:rFonts w:hint="eastAsia" w:ascii="仿宋_GB2312" w:hAnsi="仿宋" w:eastAsia="仿宋_GB2312"/>
          <w:color w:val="auto"/>
          <w:spacing w:val="40"/>
          <w:kern w:val="0"/>
          <w:sz w:val="32"/>
          <w:szCs w:val="32"/>
        </w:rPr>
        <w:t>二</w:t>
      </w:r>
      <w:r>
        <w:rPr>
          <w:rFonts w:hint="eastAsia" w:ascii="仿宋_GB2312" w:hAnsi="仿宋" w:eastAsia="仿宋_GB2312"/>
          <w:color w:val="auto"/>
          <w:spacing w:val="40"/>
          <w:kern w:val="0"/>
          <w:sz w:val="32"/>
          <w:szCs w:val="32"/>
          <w:lang w:eastAsia="zh-CN"/>
        </w:rPr>
        <w:t>三</w:t>
      </w:r>
      <w:r>
        <w:rPr>
          <w:rFonts w:hint="eastAsia" w:ascii="仿宋_GB2312" w:hAnsi="仿宋_GB2312" w:eastAsia="仿宋_GB2312" w:cs="仿宋_GB2312"/>
          <w:color w:val="auto"/>
          <w:spacing w:val="40"/>
          <w:kern w:val="0"/>
          <w:sz w:val="32"/>
          <w:szCs w:val="32"/>
        </w:rPr>
        <w:t>年</w:t>
      </w:r>
      <w:r>
        <w:rPr>
          <w:rFonts w:hint="eastAsia" w:ascii="仿宋_GB2312" w:hAnsi="仿宋_GB2312" w:eastAsia="仿宋_GB2312" w:cs="仿宋_GB2312"/>
          <w:color w:val="auto"/>
          <w:spacing w:val="40"/>
          <w:kern w:val="0"/>
          <w:sz w:val="32"/>
          <w:szCs w:val="32"/>
          <w:lang w:eastAsia="zh-CN"/>
        </w:rPr>
        <w:t>七</w:t>
      </w:r>
      <w:r>
        <w:rPr>
          <w:rFonts w:hint="eastAsia" w:ascii="仿宋_GB2312" w:hAnsi="仿宋_GB2312" w:eastAsia="仿宋_GB2312" w:cs="仿宋_GB2312"/>
          <w:color w:val="auto"/>
          <w:spacing w:val="40"/>
          <w:kern w:val="0"/>
          <w:sz w:val="32"/>
          <w:szCs w:val="32"/>
        </w:rPr>
        <w:t>月</w:t>
      </w:r>
    </w:p>
    <w:p>
      <w:pPr>
        <w:rPr>
          <w:rFonts w:ascii="仿宋_GB2312" w:hAnsi="宋体" w:eastAsia="仿宋_GB2312"/>
          <w:b/>
          <w:color w:val="auto"/>
          <w:spacing w:val="20"/>
          <w:sz w:val="44"/>
          <w:szCs w:val="44"/>
        </w:rPr>
        <w:sectPr>
          <w:headerReference r:id="rId3" w:type="default"/>
          <w:footerReference r:id="rId4" w:type="default"/>
          <w:pgSz w:w="11906" w:h="16838"/>
          <w:pgMar w:top="2098" w:right="1440" w:bottom="1440" w:left="1440" w:header="851" w:footer="992" w:gutter="0"/>
          <w:cols w:space="720" w:num="1"/>
          <w:docGrid w:linePitch="312" w:charSpace="0"/>
        </w:sect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lang w:eastAsia="zh-CN"/>
        </w:rPr>
      </w:pPr>
      <w:r>
        <w:rPr>
          <w:rFonts w:hint="eastAsia" w:ascii="仿宋" w:hAnsi="仿宋" w:eastAsia="仿宋" w:cs="宋体"/>
          <w:b/>
          <w:color w:val="auto"/>
          <w:sz w:val="44"/>
          <w:szCs w:val="44"/>
          <w:lang w:eastAsia="zh-CN"/>
        </w:rPr>
        <w:t>采购文件</w:t>
      </w:r>
    </w:p>
    <w:p>
      <w:pPr>
        <w:pStyle w:val="2"/>
      </w:pPr>
      <w:bookmarkStart w:id="47" w:name="_GoBack"/>
      <w:bookmarkEnd w:id="47"/>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eastAsia="zh-CN"/>
        </w:rPr>
        <w:t>拜城县康其乡中学信息化设施设备采购</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拜城县教育和科学技术局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肉孜</w:t>
      </w:r>
      <w:r>
        <w:rPr>
          <w:rFonts w:hint="eastAsia" w:ascii="仿宋" w:hAnsi="仿宋" w:eastAsia="仿宋" w:cs="宋体"/>
          <w:bCs/>
          <w:color w:val="auto"/>
          <w:sz w:val="30"/>
          <w:szCs w:val="30"/>
          <w:lang w:val="en-US" w:eastAsia="zh-CN"/>
        </w:rPr>
        <w:t>·吐逊</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18094958837</w:t>
      </w:r>
    </w:p>
    <w:p>
      <w:pPr>
        <w:spacing w:line="360" w:lineRule="auto"/>
        <w:rPr>
          <w:rFonts w:hint="eastAsia" w:ascii="仿宋" w:hAnsi="仿宋" w:eastAsia="仿宋" w:cs="宋体"/>
          <w:bCs/>
          <w:color w:val="auto"/>
          <w:sz w:val="30"/>
          <w:szCs w:val="30"/>
        </w:rPr>
      </w:pPr>
      <w:r>
        <w:rPr>
          <w:rFonts w:hint="eastAsia" w:ascii="仿宋" w:hAnsi="仿宋" w:eastAsia="仿宋" w:cs="宋体"/>
          <w:bCs/>
          <w:color w:val="auto"/>
          <w:sz w:val="30"/>
          <w:szCs w:val="30"/>
          <w:lang w:val="en-US" w:eastAsia="zh-CN"/>
        </w:rPr>
        <w:t xml:space="preserve"> </w:t>
      </w: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新疆久隆昌泰建设项目管理有限公司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刘荣英</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0997-2558678   18799952512</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阿克苏市天山路1号华富锦城小区2幢2单元709室</w:t>
      </w:r>
    </w:p>
    <w:p>
      <w:pPr>
        <w:spacing w:line="560" w:lineRule="exact"/>
        <w:ind w:firstLine="555"/>
        <w:rPr>
          <w:rFonts w:ascii="仿宋" w:hAnsi="仿宋" w:eastAsia="仿宋" w:cs="宋体"/>
          <w:bCs/>
          <w:color w:val="auto"/>
          <w:sz w:val="28"/>
          <w:szCs w:val="28"/>
        </w:rPr>
      </w:pPr>
    </w:p>
    <w:p>
      <w:pPr>
        <w:spacing w:line="560" w:lineRule="exact"/>
        <w:jc w:val="center"/>
        <w:rPr>
          <w:rFonts w:hint="default" w:ascii="仿宋" w:hAnsi="仿宋" w:eastAsia="仿宋" w:cs="宋体"/>
          <w:bCs/>
          <w:color w:val="auto"/>
          <w:sz w:val="28"/>
          <w:szCs w:val="28"/>
          <w:lang w:val="en-US" w:eastAsia="zh-CN"/>
        </w:rPr>
      </w:pPr>
      <w:r>
        <w:rPr>
          <w:rFonts w:hint="eastAsia" w:ascii="仿宋" w:hAnsi="仿宋" w:eastAsia="仿宋" w:cs="宋体"/>
          <w:bCs/>
          <w:color w:val="auto"/>
          <w:sz w:val="28"/>
          <w:szCs w:val="28"/>
          <w:lang w:val="en-US" w:eastAsia="zh-CN"/>
        </w:rPr>
        <w:t>2023年7月</w:t>
      </w:r>
    </w:p>
    <w:p>
      <w:pPr>
        <w:rPr>
          <w:rFonts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color w:val="auto"/>
          <w:sz w:val="3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采购项目需求说明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合同一般条款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投标书格式</w:t>
      </w:r>
    </w:p>
    <w:p>
      <w:pPr>
        <w:spacing w:line="400" w:lineRule="exact"/>
        <w:rPr>
          <w:rFonts w:ascii="仿宋_GB2312" w:hAnsi="仿宋" w:eastAsia="仿宋_GB2312"/>
          <w:b/>
          <w:color w:val="auto"/>
          <w:sz w:val="32"/>
        </w:rPr>
      </w:pP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br w:type="page"/>
      </w: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2"/>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jc w:val="cente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jc w:val="center"/>
              <w:rPr>
                <w:rFonts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《采购需求说明》规定的货物（或服务）进行唯一报价，不得拆包（项）报价</w:t>
            </w:r>
            <w:r>
              <w:rPr>
                <w:rFonts w:hint="eastAsia" w:hAnsi="仿宋" w:eastAsia="仿宋" w:cs="Times New Roman"/>
                <w:color w:val="auto"/>
                <w:sz w:val="24"/>
                <w:lang w:eastAsia="zh-CN"/>
              </w:rPr>
              <w:t>，</w:t>
            </w:r>
            <w:r>
              <w:rPr>
                <w:rFonts w:hint="eastAsia" w:ascii="Times New Roman" w:hAnsi="仿宋" w:eastAsia="仿宋" w:cs="Times New Roman"/>
                <w:color w:val="auto"/>
                <w:sz w:val="24"/>
              </w:rPr>
              <w:t>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jc w:val="center"/>
              <w:rPr>
                <w:rFonts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noWrap/>
            <w:vAlign w:val="center"/>
          </w:tcPr>
          <w:p>
            <w:pPr>
              <w:spacing w:line="240" w:lineRule="exact"/>
              <w:jc w:val="center"/>
              <w:rPr>
                <w:rFonts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附件规定的内容，应如实填写，</w:t>
            </w:r>
            <w:r>
              <w:rPr>
                <w:rFonts w:hint="eastAsia" w:hAnsi="仿宋" w:eastAsia="仿宋" w:cs="Times New Roman"/>
                <w:color w:val="auto"/>
                <w:sz w:val="24"/>
                <w:lang w:eastAsia="zh-CN"/>
              </w:rPr>
              <w:t>逐页</w:t>
            </w:r>
            <w:r>
              <w:rPr>
                <w:rFonts w:hint="eastAsia" w:ascii="Times New Roman" w:hAnsi="仿宋" w:eastAsia="仿宋" w:cs="Times New Roman"/>
                <w:color w:val="auto"/>
                <w:sz w:val="24"/>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投标保证金的递交截止时间：20</w:t>
            </w:r>
            <w:r>
              <w:rPr>
                <w:rFonts w:hint="eastAsia" w:ascii="Times New Roman" w:hAnsi="仿宋" w:eastAsia="仿宋"/>
                <w:b/>
                <w:bCs/>
                <w:color w:val="auto"/>
                <w:sz w:val="24"/>
                <w:lang w:val="en-US" w:eastAsia="zh-CN"/>
              </w:rPr>
              <w:t>2</w:t>
            </w:r>
            <w:r>
              <w:rPr>
                <w:rFonts w:hint="eastAsia" w:hAnsi="仿宋" w:eastAsia="仿宋"/>
                <w:b/>
                <w:bCs/>
                <w:color w:val="auto"/>
                <w:sz w:val="24"/>
                <w:lang w:val="en-US" w:eastAsia="zh-CN"/>
              </w:rPr>
              <w:t>3</w:t>
            </w:r>
            <w:r>
              <w:rPr>
                <w:rFonts w:hint="eastAsia" w:ascii="Times New Roman" w:hAnsi="仿宋" w:eastAsia="仿宋"/>
                <w:b/>
                <w:bCs/>
                <w:color w:val="auto"/>
                <w:sz w:val="24"/>
              </w:rPr>
              <w:t>年</w:t>
            </w:r>
            <w:r>
              <w:rPr>
                <w:rFonts w:hint="eastAsia" w:hAnsi="仿宋" w:eastAsia="仿宋"/>
                <w:b/>
                <w:bCs/>
                <w:color w:val="auto"/>
                <w:sz w:val="24"/>
                <w:lang w:val="en-US" w:eastAsia="zh-CN"/>
              </w:rPr>
              <w:t>08</w:t>
            </w:r>
            <w:r>
              <w:rPr>
                <w:rFonts w:hint="eastAsia" w:ascii="Times New Roman" w:hAnsi="仿宋" w:eastAsia="仿宋"/>
                <w:b/>
                <w:bCs/>
                <w:color w:val="auto"/>
                <w:sz w:val="24"/>
              </w:rPr>
              <w:t>月</w:t>
            </w:r>
            <w:r>
              <w:rPr>
                <w:rFonts w:hint="eastAsia" w:hAnsi="仿宋" w:eastAsia="仿宋"/>
                <w:b/>
                <w:bCs/>
                <w:color w:val="auto"/>
                <w:sz w:val="24"/>
                <w:lang w:val="en-US" w:eastAsia="zh-CN"/>
              </w:rPr>
              <w:t>10</w:t>
            </w:r>
            <w:r>
              <w:rPr>
                <w:rFonts w:hint="eastAsia" w:ascii="Times New Roman" w:hAnsi="仿宋" w:eastAsia="仿宋"/>
                <w:b/>
                <w:bCs/>
                <w:color w:val="auto"/>
                <w:sz w:val="24"/>
              </w:rPr>
              <w:t>日</w:t>
            </w:r>
            <w:r>
              <w:rPr>
                <w:rFonts w:hint="eastAsia" w:hAnsi="仿宋" w:eastAsia="仿宋"/>
                <w:b/>
                <w:bCs/>
                <w:color w:val="auto"/>
                <w:sz w:val="24"/>
                <w:lang w:val="en-US" w:eastAsia="zh-CN"/>
              </w:rPr>
              <w:t>20</w:t>
            </w:r>
            <w:r>
              <w:rPr>
                <w:rFonts w:hint="eastAsia" w:ascii="Times New Roman" w:hAnsi="仿宋" w:eastAsia="仿宋"/>
                <w:b/>
                <w:bCs/>
                <w:color w:val="auto"/>
                <w:sz w:val="24"/>
              </w:rPr>
              <w:t>：</w:t>
            </w:r>
            <w:r>
              <w:rPr>
                <w:rFonts w:hint="eastAsia" w:hAnsi="仿宋" w:eastAsia="仿宋"/>
                <w:b/>
                <w:bCs/>
                <w:color w:val="auto"/>
                <w:sz w:val="24"/>
                <w:lang w:val="en-US" w:eastAsia="zh-CN"/>
              </w:rPr>
              <w:t>0</w:t>
            </w:r>
            <w:r>
              <w:rPr>
                <w:rFonts w:hint="eastAsia" w:ascii="Times New Roman" w:hAnsi="仿宋" w:eastAsia="仿宋"/>
                <w:b/>
                <w:bCs/>
                <w:color w:val="auto"/>
                <w:sz w:val="24"/>
              </w:rPr>
              <w:t>0前</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投标保证金：</w:t>
            </w:r>
            <w:r>
              <w:rPr>
                <w:rFonts w:hint="eastAsia" w:hAnsi="仿宋" w:eastAsia="仿宋"/>
                <w:b/>
                <w:bCs/>
                <w:color w:val="auto"/>
                <w:sz w:val="24"/>
                <w:lang w:val="en-US" w:eastAsia="zh-CN"/>
              </w:rPr>
              <w:t>20000元</w:t>
            </w:r>
            <w:r>
              <w:rPr>
                <w:rFonts w:hint="eastAsia" w:ascii="Times New Roman" w:hAnsi="仿宋" w:eastAsia="仿宋"/>
                <w:b/>
                <w:bCs/>
                <w:color w:val="auto"/>
                <w:sz w:val="24"/>
              </w:rPr>
              <w:t>；</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投标保证金提交方式：以支票、汇票、本票或者金融机构、担保机构出具的保函</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rPr>
              <w:t>等非现金形式提交</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开户名称：</w:t>
            </w:r>
            <w:r>
              <w:rPr>
                <w:rFonts w:hint="eastAsia" w:hAnsi="仿宋" w:eastAsia="仿宋"/>
                <w:b/>
                <w:bCs/>
                <w:color w:val="auto"/>
                <w:sz w:val="24"/>
                <w:lang w:val="zh-CN" w:eastAsia="zh-CN"/>
              </w:rPr>
              <w:t>新疆久隆昌泰建设项目管理有限公司</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开户行：中国建设银行股份有限公司阿克苏民主路支行</w:t>
            </w:r>
          </w:p>
          <w:p>
            <w:pPr>
              <w:widowControl/>
              <w:spacing w:line="360" w:lineRule="auto"/>
              <w:rPr>
                <w:rFonts w:hint="eastAsia" w:ascii="Times New Roman" w:hAnsi="仿宋" w:eastAsia="仿宋"/>
                <w:b/>
                <w:bCs/>
                <w:color w:val="auto"/>
                <w:sz w:val="24"/>
                <w:lang w:val="en-US" w:eastAsia="zh-CN"/>
              </w:rPr>
            </w:pPr>
            <w:r>
              <w:rPr>
                <w:rFonts w:hint="eastAsia" w:ascii="Times New Roman" w:hAnsi="仿宋" w:eastAsia="仿宋"/>
                <w:b/>
                <w:bCs/>
                <w:color w:val="auto"/>
                <w:sz w:val="24"/>
                <w:lang w:eastAsia="zh-CN"/>
              </w:rPr>
              <w:t>账号：65050169603800000060</w:t>
            </w:r>
          </w:p>
          <w:p>
            <w:pPr>
              <w:widowControl/>
              <w:spacing w:line="360" w:lineRule="auto"/>
              <w:rPr>
                <w:rFonts w:hint="eastAsia" w:ascii="仿宋" w:hAnsi="仿宋" w:eastAsia="仿宋" w:cs="宋体"/>
                <w:color w:val="auto"/>
                <w:sz w:val="24"/>
              </w:rPr>
            </w:pPr>
            <w:r>
              <w:rPr>
                <w:rFonts w:hint="eastAsia" w:ascii="Times New Roman" w:hAnsi="仿宋" w:eastAsia="仿宋"/>
                <w:b/>
                <w:bCs/>
                <w:color w:val="auto"/>
                <w:sz w:val="24"/>
              </w:rPr>
              <w:t>未提交投标保证金的投标文件无效。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sz w:val="24"/>
                <w:lang w:val="en-US" w:eastAsia="zh-CN"/>
              </w:rPr>
              <w:t>5</w:t>
            </w:r>
          </w:p>
        </w:tc>
        <w:tc>
          <w:tcPr>
            <w:tcW w:w="8827" w:type="dxa"/>
            <w:noWrap/>
            <w:vAlign w:val="center"/>
          </w:tcPr>
          <w:p>
            <w:pPr>
              <w:widowControl/>
              <w:spacing w:line="360" w:lineRule="auto"/>
              <w:rPr>
                <w:rFonts w:hint="default" w:ascii="仿宋_GB2312" w:hAnsi="仿宋" w:eastAsia="仿宋_GB2312" w:cs="Times New Roman"/>
                <w:color w:val="auto"/>
                <w:sz w:val="24"/>
                <w:lang w:val="en-US" w:eastAsia="zh-CN"/>
              </w:rPr>
            </w:pPr>
            <w:r>
              <w:rPr>
                <w:rFonts w:hint="eastAsia" w:ascii="Times New Roman" w:hAnsi="仿宋" w:eastAsia="仿宋" w:cs="Times New Roman"/>
                <w:color w:val="auto"/>
                <w:sz w:val="24"/>
                <w:lang w:val="en-US" w:eastAsia="zh-CN"/>
              </w:rPr>
              <w:t>是否专门面向中小企业</w:t>
            </w:r>
            <w:r>
              <w:rPr>
                <w:rFonts w:hint="eastAsia" w:hAnsi="仿宋" w:eastAsia="仿宋" w:cs="Times New Roman"/>
                <w:color w:val="auto"/>
                <w:sz w:val="24"/>
                <w:lang w:val="en-US" w:eastAsia="zh-CN"/>
              </w:rPr>
              <w:t>：</w:t>
            </w:r>
            <w:r>
              <w:rPr>
                <w:rFonts w:hint="eastAsia" w:ascii="Times New Roman" w:hAnsi="仿宋" w:eastAsia="仿宋" w:cs="Times New Roman"/>
                <w:color w:val="auto"/>
                <w:sz w:val="24"/>
                <w:lang w:val="en-US" w:eastAsia="zh-CN"/>
              </w:rPr>
              <w:t>是</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r>
              <w:rPr>
                <w:rFonts w:hint="eastAsia" w:ascii="Times New Roman" w:hAnsi="仿宋" w:eastAsia="仿宋" w:cs="Times New Roman"/>
                <w:color w:val="auto"/>
                <w:sz w:val="24"/>
                <w:lang w:val="en-US" w:eastAsia="zh-CN"/>
              </w:rPr>
              <w:t>否</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r>
              <w:rPr>
                <w:rFonts w:hint="eastAsia" w:hAnsi="仿宋" w:eastAsia="仿宋" w:cs="Times New Roman"/>
                <w:color w:val="auto"/>
                <w:sz w:val="24"/>
                <w:lang w:val="zh-CN" w:eastAsia="zh-CN"/>
              </w:rPr>
              <w:t>，本项目非专门面向中小微企业，对中小微企业给予</w:t>
            </w:r>
            <w:r>
              <w:rPr>
                <w:rFonts w:hint="eastAsia" w:hAnsi="仿宋" w:eastAsia="仿宋" w:cs="Times New Roman"/>
                <w:color w:val="auto"/>
                <w:sz w:val="24"/>
                <w:lang w:val="en-US" w:eastAsia="zh-CN"/>
              </w:rPr>
              <w:t>10%价格优惠。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w:t>
            </w:r>
            <w:r>
              <w:rPr>
                <w:rFonts w:hint="eastAsia" w:hAnsi="仿宋" w:eastAsia="仿宋" w:cs="Times New Roman"/>
                <w:color w:val="auto"/>
                <w:sz w:val="24"/>
                <w:lang w:eastAsia="zh-CN"/>
              </w:rPr>
              <w:t>为</w:t>
            </w:r>
            <w:r>
              <w:rPr>
                <w:rFonts w:hint="eastAsia" w:hAnsi="仿宋" w:eastAsia="仿宋" w:cs="Times New Roman"/>
                <w:color w:val="auto"/>
                <w:sz w:val="24"/>
                <w:lang w:val="en-US" w:eastAsia="zh-CN"/>
              </w:rPr>
              <w:t>3年（自移交接收之日起）</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w:t>
            </w:r>
            <w:r>
              <w:rPr>
                <w:rFonts w:hint="eastAsia" w:hAnsi="仿宋" w:eastAsia="仿宋" w:cs="Times New Roman"/>
                <w:color w:val="auto"/>
                <w:sz w:val="24"/>
                <w:lang w:val="zh-CN"/>
              </w:rPr>
              <w:t>维护维修：长期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交货地点：按甲方指定地点，合同另有规定除外。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w:t>
            </w:r>
            <w:r>
              <w:rPr>
                <w:rFonts w:hint="eastAsia" w:hAnsi="仿宋" w:eastAsia="仿宋" w:cs="Times New Roman"/>
                <w:color w:val="auto"/>
                <w:sz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11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 xml:space="preserve">投标文件截止时间： </w:t>
            </w:r>
            <w:r>
              <w:rPr>
                <w:rFonts w:hint="eastAsia" w:hAnsi="仿宋" w:eastAsia="仿宋" w:cs="Times New Roman"/>
                <w:color w:val="auto"/>
                <w:sz w:val="24"/>
                <w:lang w:eastAsia="zh-CN"/>
              </w:rPr>
              <w:t>2023年08月1</w:t>
            </w:r>
            <w:r>
              <w:rPr>
                <w:rFonts w:hint="eastAsia" w:hAnsi="仿宋" w:eastAsia="仿宋" w:cs="Times New Roman"/>
                <w:color w:val="auto"/>
                <w:sz w:val="24"/>
                <w:lang w:val="en-US" w:eastAsia="zh-CN"/>
              </w:rPr>
              <w:t>1</w:t>
            </w:r>
            <w:r>
              <w:rPr>
                <w:rFonts w:hint="eastAsia" w:hAnsi="仿宋" w:eastAsia="仿宋" w:cs="Times New Roman"/>
                <w:color w:val="auto"/>
                <w:sz w:val="24"/>
                <w:lang w:eastAsia="zh-CN"/>
              </w:rPr>
              <w:t>日</w:t>
            </w:r>
            <w:r>
              <w:rPr>
                <w:rFonts w:hint="eastAsia" w:hAnsi="仿宋" w:eastAsia="仿宋" w:cs="Times New Roman"/>
                <w:color w:val="auto"/>
                <w:sz w:val="24"/>
                <w:lang w:val="en-US" w:eastAsia="zh-CN"/>
              </w:rPr>
              <w:t xml:space="preserve"> 16</w:t>
            </w:r>
            <w:r>
              <w:rPr>
                <w:rFonts w:hint="eastAsia" w:ascii="Times New Roman" w:hAnsi="仿宋" w:eastAsia="仿宋" w:cs="Times New Roman"/>
                <w:color w:val="auto"/>
                <w:sz w:val="24"/>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w:t>
            </w:r>
            <w:r>
              <w:rPr>
                <w:rFonts w:hint="eastAsia" w:hAnsi="仿宋" w:eastAsia="仿宋" w:cs="Times New Roman"/>
                <w:color w:val="auto"/>
                <w:sz w:val="24"/>
                <w:lang w:eastAsia="zh-CN"/>
              </w:rPr>
              <w:t>2023年08月1</w:t>
            </w:r>
            <w:r>
              <w:rPr>
                <w:rFonts w:hint="eastAsia" w:hAnsi="仿宋" w:eastAsia="仿宋" w:cs="Times New Roman"/>
                <w:color w:val="auto"/>
                <w:sz w:val="24"/>
                <w:lang w:val="en-US" w:eastAsia="zh-CN"/>
              </w:rPr>
              <w:t>1</w:t>
            </w:r>
            <w:r>
              <w:rPr>
                <w:rFonts w:hint="eastAsia" w:hAnsi="仿宋" w:eastAsia="仿宋" w:cs="Times New Roman"/>
                <w:color w:val="auto"/>
                <w:sz w:val="24"/>
                <w:lang w:eastAsia="zh-CN"/>
              </w:rPr>
              <w:t>日</w:t>
            </w:r>
            <w:r>
              <w:rPr>
                <w:rFonts w:hint="eastAsia" w:ascii="Times New Roman" w:hAnsi="仿宋" w:eastAsia="仿宋" w:cs="Times New Roman"/>
                <w:color w:val="auto"/>
                <w:sz w:val="24"/>
                <w:lang w:val="en-US" w:eastAsia="zh-CN"/>
              </w:rPr>
              <w:t>1</w:t>
            </w:r>
            <w:r>
              <w:rPr>
                <w:rFonts w:hint="eastAsia" w:hAnsi="仿宋" w:eastAsia="仿宋" w:cs="Times New Roman"/>
                <w:color w:val="auto"/>
                <w:sz w:val="24"/>
                <w:lang w:val="en-US" w:eastAsia="zh-CN"/>
              </w:rPr>
              <w:t>6</w:t>
            </w:r>
            <w:r>
              <w:rPr>
                <w:rFonts w:hint="eastAsia" w:ascii="Times New Roman" w:hAnsi="仿宋" w:eastAsia="仿宋" w:cs="Times New Roman"/>
                <w:color w:val="auto"/>
                <w:sz w:val="24"/>
                <w:lang w:eastAsia="zh-CN"/>
              </w:rPr>
              <w:t>：</w:t>
            </w:r>
            <w:r>
              <w:rPr>
                <w:rFonts w:hint="eastAsia" w:hAnsi="仿宋" w:eastAsia="仿宋" w:cs="Times New Roman"/>
                <w:color w:val="auto"/>
                <w:sz w:val="24"/>
                <w:lang w:val="en-US" w:eastAsia="zh-CN"/>
              </w:rPr>
              <w:t>3</w:t>
            </w:r>
            <w:r>
              <w:rPr>
                <w:rFonts w:hint="eastAsia" w:ascii="Times New Roman" w:hAnsi="仿宋" w:eastAsia="仿宋" w:cs="Times New Roman"/>
                <w:color w:val="auto"/>
                <w:sz w:val="24"/>
                <w:lang w:val="en-US" w:eastAsia="zh-CN"/>
              </w:rPr>
              <w:t>0</w:t>
            </w:r>
            <w:r>
              <w:rPr>
                <w:rFonts w:hint="eastAsia" w:ascii="Times New Roman" w:hAnsi="仿宋" w:eastAsia="仿宋" w:cs="Times New Roman"/>
                <w:color w:val="auto"/>
                <w:sz w:val="24"/>
              </w:rPr>
              <w:t>（北京时间）</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val="en-US" w:eastAsia="zh-CN"/>
              </w:rPr>
              <w:t xml:space="preserve">政采云一站式政府采购云平台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8827" w:type="dxa"/>
            <w:noWrap/>
            <w:vAlign w:val="center"/>
          </w:tcPr>
          <w:p>
            <w:pPr>
              <w:widowControl/>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供货期限</w:t>
            </w:r>
            <w:r>
              <w:rPr>
                <w:rFonts w:hint="eastAsia" w:ascii="仿宋" w:hAnsi="仿宋" w:eastAsia="仿宋" w:cs="仿宋"/>
                <w:sz w:val="24"/>
                <w:szCs w:val="24"/>
              </w:rPr>
              <w:t>：</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lang w:val="en-US" w:eastAsia="zh-CN"/>
              </w:rPr>
              <w:t>15天内完成供货、安装、调试</w:t>
            </w:r>
          </w:p>
          <w:p>
            <w:pPr>
              <w:pStyle w:val="54"/>
              <w:numPr>
                <w:ilvl w:val="0"/>
                <w:numId w:val="0"/>
              </w:numPr>
              <w:rPr>
                <w:rFonts w:hint="eastAsia" w:ascii="仿宋" w:hAnsi="仿宋" w:eastAsia="仿宋" w:cs="仿宋"/>
                <w:sz w:val="24"/>
                <w:szCs w:val="24"/>
                <w:lang w:val="en-US"/>
              </w:rPr>
            </w:pPr>
            <w:r>
              <w:rPr>
                <w:rFonts w:hint="eastAsia" w:ascii="仿宋" w:hAnsi="仿宋" w:eastAsia="仿宋" w:cs="仿宋"/>
                <w:sz w:val="24"/>
                <w:szCs w:val="24"/>
                <w:lang w:val="en-US" w:eastAsia="zh-CN"/>
              </w:rPr>
              <w:t>质量要求：满足国家及地方规范要求，并能通过当地主管部门及委托方审查验收。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hAnsi="仿宋" w:eastAsia="仿宋" w:cs="Times New Roman"/>
                <w:b/>
                <w:bCs/>
                <w:color w:val="auto"/>
                <w:sz w:val="24"/>
                <w:lang w:val="en-US" w:eastAsia="zh-CN"/>
              </w:rPr>
              <w:t>2740545元</w:t>
            </w:r>
            <w:r>
              <w:rPr>
                <w:rFonts w:hint="eastAsia" w:ascii="Times New Roman" w:hAnsi="仿宋" w:eastAsia="仿宋" w:cs="Times New Roman"/>
                <w:b/>
                <w:bCs/>
                <w:color w:val="auto"/>
                <w:sz w:val="24"/>
              </w:rPr>
              <w:t>（大写：</w:t>
            </w:r>
            <w:r>
              <w:rPr>
                <w:rFonts w:hint="eastAsia" w:hAnsi="仿宋" w:eastAsia="仿宋" w:cs="Times New Roman"/>
                <w:b/>
                <w:bCs/>
                <w:color w:val="auto"/>
                <w:sz w:val="24"/>
                <w:lang w:val="en-US" w:eastAsia="zh-CN"/>
              </w:rPr>
              <w:t>贰佰柒拾肆万零伍佰肆拾伍元整</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供应商资格、能力、信誉及其它要求：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1.满足《中华人民共和国政府采购法》第二十二条规定；</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2.落实政府采购政策需满足的资格要求：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（1）《政府采购促进中小企业发展管理办法》（财库〔2020〕46号）；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3.本项目的特定资格要求：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（1）具有有效经年检的三证合一营业执照；</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（2）法定代表人身份证明或授权委托人身份证及授权委托书；</w:t>
            </w:r>
          </w:p>
          <w:p>
            <w:pPr>
              <w:widowControl/>
              <w:spacing w:line="360" w:lineRule="auto"/>
              <w:rPr>
                <w:rFonts w:hint="eastAsia" w:hAnsi="仿宋" w:eastAsia="仿宋" w:cs="Times New Roman"/>
                <w:color w:val="auto"/>
                <w:sz w:val="24"/>
                <w:lang w:val="en-US" w:eastAsia="zh-CN"/>
              </w:rPr>
            </w:pPr>
            <w:r>
              <w:rPr>
                <w:rFonts w:hint="eastAsia" w:ascii="Times New Roman" w:hAnsi="仿宋" w:eastAsia="仿宋" w:cs="Times New Roman"/>
                <w:color w:val="auto"/>
                <w:sz w:val="24"/>
                <w:lang w:val="en-US" w:eastAsia="zh-CN"/>
              </w:rPr>
              <w:t>（3）近三个月社保凭证（法人或委托人社保凭证）</w:t>
            </w:r>
            <w:r>
              <w:rPr>
                <w:rFonts w:hint="eastAsia"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4</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近半年任意三个月的完税证明</w:t>
            </w:r>
            <w:r>
              <w:rPr>
                <w:rFonts w:hint="eastAsia" w:ascii="Times New Roman"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5</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2022年的财务审计报告</w:t>
            </w:r>
            <w:r>
              <w:rPr>
                <w:rFonts w:hint="eastAsia" w:ascii="Times New Roman" w:hAnsi="仿宋" w:eastAsia="仿宋" w:cs="Times New Roman"/>
                <w:color w:val="auto"/>
                <w:sz w:val="24"/>
                <w:lang w:val="en-US" w:eastAsia="zh-CN"/>
              </w:rPr>
              <w:t>（成立不足一年的提供成立至今的财务报表，包含资产负债表、现金流量表、利润表）；</w:t>
            </w:r>
          </w:p>
          <w:p>
            <w:pPr>
              <w:pStyle w:val="2"/>
              <w:rPr>
                <w:rFonts w:hint="default" w:ascii="Times New Roman" w:hAnsi="仿宋" w:eastAsia="仿宋" w:cs="Times New Roman"/>
                <w:color w:val="auto"/>
                <w:kern w:val="2"/>
                <w:sz w:val="24"/>
                <w:szCs w:val="24"/>
                <w:lang w:val="en-US" w:eastAsia="zh-CN" w:bidi="ar-SA"/>
              </w:rPr>
            </w:pPr>
            <w:r>
              <w:rPr>
                <w:rFonts w:hint="eastAsia" w:ascii="Times New Roman" w:hAnsi="仿宋" w:eastAsia="仿宋" w:cs="Times New Roman"/>
                <w:color w:val="auto"/>
                <w:kern w:val="2"/>
                <w:sz w:val="24"/>
                <w:szCs w:val="24"/>
                <w:lang w:val="en-US" w:eastAsia="zh-CN" w:bidi="ar-SA"/>
              </w:rPr>
              <w:t>（6）投标保证金缴存凭证</w:t>
            </w:r>
            <w:r>
              <w:rPr>
                <w:rFonts w:hint="eastAsia" w:hAnsi="仿宋" w:eastAsia="仿宋" w:cs="Times New Roman"/>
                <w:color w:val="auto"/>
                <w:kern w:val="2"/>
                <w:sz w:val="24"/>
                <w:szCs w:val="24"/>
                <w:lang w:val="en-US" w:eastAsia="zh-CN" w:bidi="ar-SA"/>
              </w:rPr>
              <w:t>；</w:t>
            </w:r>
          </w:p>
          <w:p>
            <w:pPr>
              <w:widowControl/>
              <w:spacing w:line="360" w:lineRule="auto"/>
              <w:rPr>
                <w:rFonts w:hint="eastAsia" w:ascii="Times New Roman" w:hAnsi="仿宋" w:eastAsia="仿宋" w:cs="Times New Roman"/>
                <w:color w:val="auto"/>
                <w:sz w:val="24"/>
                <w:lang w:val="en-US" w:eastAsia="zh-CN"/>
              </w:rPr>
            </w:pPr>
            <w:r>
              <w:rPr>
                <w:rFonts w:hint="eastAsia" w:hAnsi="仿宋" w:eastAsia="仿宋" w:cs="Times New Roman"/>
                <w:color w:val="auto"/>
                <w:sz w:val="24"/>
                <w:lang w:val="en-US" w:eastAsia="zh-CN"/>
              </w:rPr>
              <w:t>（7）</w:t>
            </w:r>
            <w:r>
              <w:rPr>
                <w:rFonts w:hint="eastAsia" w:ascii="Times New Roman" w:hAnsi="仿宋" w:eastAsia="仿宋" w:cs="Times New Roman"/>
                <w:color w:val="auto"/>
                <w:sz w:val="24"/>
                <w:lang w:val="en-US" w:eastAsia="zh-CN"/>
              </w:rPr>
              <w:t>未被“信用中国”（www.creditchina.gov.cn）、中国政府采购网（www.ccgp.gov.cn）列入失信被执行人、重大税收违法案件当事人名单、政府采购严重违法失信行为记录名单的﹙供应商网上自行打印后加盖公章﹚</w:t>
            </w:r>
            <w:r>
              <w:rPr>
                <w:rFonts w:hint="eastAsia" w:hAnsi="仿宋" w:eastAsia="仿宋" w:cs="Times New Roman"/>
                <w:color w:val="auto"/>
                <w:sz w:val="24"/>
                <w:lang w:val="en-US" w:eastAsia="zh-CN"/>
              </w:rPr>
              <w:t>。</w:t>
            </w:r>
            <w:r>
              <w:rPr>
                <w:rFonts w:hint="eastAsia" w:ascii="Times New Roman" w:hAnsi="仿宋" w:eastAsia="仿宋" w:cs="Times New Roman"/>
                <w:b/>
                <w:bCs/>
                <w:color w:val="auto"/>
                <w:sz w:val="24"/>
                <w:lang w:val="en-US" w:eastAsia="zh-CN"/>
              </w:rPr>
              <w:t>（以上资料均需提供原件</w:t>
            </w:r>
            <w:r>
              <w:rPr>
                <w:rFonts w:hint="eastAsia" w:hAnsi="仿宋" w:eastAsia="仿宋" w:cs="Times New Roman"/>
                <w:b/>
                <w:bCs/>
                <w:color w:val="auto"/>
                <w:sz w:val="24"/>
                <w:lang w:val="en-US" w:eastAsia="zh-CN"/>
              </w:rPr>
              <w:t>扫描件</w:t>
            </w:r>
            <w:r>
              <w:rPr>
                <w:rFonts w:hint="eastAsia" w:ascii="Times New Roman" w:hAnsi="仿宋" w:eastAsia="仿宋" w:cs="Times New Roman"/>
                <w:b/>
                <w:bCs/>
                <w:color w:val="auto"/>
                <w:sz w:val="24"/>
                <w:lang w:val="en-US" w:eastAsia="zh-CN"/>
              </w:rPr>
              <w:t>放进投标响应文件中）</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en-US" w:eastAsia="zh-CN"/>
              </w:rPr>
              <w:t>4.</w:t>
            </w:r>
            <w:r>
              <w:rPr>
                <w:rFonts w:hint="eastAsia" w:ascii="Times New Roman" w:hAnsi="仿宋" w:eastAsia="仿宋" w:cs="Times New Roman"/>
                <w:color w:val="auto"/>
                <w:sz w:val="24"/>
              </w:rPr>
              <w:t>本项目不接受联合体</w:t>
            </w:r>
            <w:r>
              <w:rPr>
                <w:rFonts w:hint="eastAsia" w:ascii="Times New Roman" w:hAnsi="仿宋" w:eastAsia="仿宋" w:cs="Times New Roman"/>
                <w:color w:val="auto"/>
                <w:sz w:val="24"/>
                <w:lang w:eastAsia="zh-CN"/>
              </w:rPr>
              <w:t>投标</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18</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响应文件递交：</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4、供应商在开标时须携带制作加密电子响应文件所使用的CA锁，电脑须提前配置好浏览器（建议使用360浏览器或谷歌浏览器），以便开标时在线解密。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5、投标供应商应当在投标截止时间前，将生成的“JMBS格式电子加密响应文件”上传递交至“政府采购云平台”，投标截止时间以后上传递交的响应文件将被“政府采购云平台”拒收。</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6、供应商如在“信用中国”网站、中国政府采购网被列入严重违法失信行为记录名单的（尚在处罚期内的），将拒绝其参加本次政府采购活动﹙投标人网上自行打印后加盖投标单位公章﹚、</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7、相互关联存在实际控制、管理关系的两个企业，不得参加同一项目的投标。</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8、评标结束后，各投标单位须在一周内按</w:t>
            </w:r>
            <w:r>
              <w:rPr>
                <w:rFonts w:hint="eastAsia" w:hAnsi="仿宋" w:eastAsia="仿宋" w:cs="Times New Roman"/>
                <w:b/>
                <w:bCs/>
                <w:color w:val="auto"/>
                <w:sz w:val="24"/>
                <w:lang w:val="en-US" w:eastAsia="zh-CN"/>
              </w:rPr>
              <w:t>招标人</w:t>
            </w:r>
            <w:r>
              <w:rPr>
                <w:rFonts w:hint="eastAsia" w:ascii="Times New Roman" w:hAnsi="仿宋" w:eastAsia="仿宋" w:cs="Times New Roman"/>
                <w:b/>
                <w:bCs/>
                <w:color w:val="auto"/>
                <w:sz w:val="24"/>
                <w:lang w:val="en-US" w:eastAsia="zh-CN"/>
              </w:rPr>
              <w:t>要求将纸质版投标文件递交至招标代理处（所产生的的费用投标单位自理）。纸质版投标文件可通过加密电子版投标文件打印生成，应当与电子版投标文件一致。纸质版投标文件一正四副，电子版U盘2份。电子版为签字盖章后的正本扫描件，格式为PDF。</w:t>
            </w:r>
            <w:r>
              <w:rPr>
                <w:rFonts w:hint="eastAsia" w:ascii="Times New Roman" w:hAnsi="仿宋" w:eastAsia="仿宋" w:cs="Times New Roman"/>
                <w:b w:val="0"/>
                <w:bCs w:val="0"/>
                <w:color w:val="auto"/>
                <w:sz w:val="24"/>
                <w:lang w:val="en-US" w:eastAsia="zh-CN"/>
              </w:rPr>
              <w:t>备份投标文件：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val="0"/>
                <w:bCs w:val="0"/>
                <w:color w:val="auto"/>
                <w:sz w:val="24"/>
                <w:lang w:val="en-US" w:eastAsia="zh-CN"/>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295876479@qq.com），并在邮件中注明项目名称及投标人名称，传送的备份投标文件须打包压缩并加密，压缩包命名为“备份投标文件”，加密密码由投标人自行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19</w:t>
            </w:r>
          </w:p>
        </w:tc>
        <w:tc>
          <w:tcPr>
            <w:tcW w:w="8827" w:type="dxa"/>
            <w:noWrap/>
            <w:vAlign w:val="center"/>
          </w:tcPr>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中标成交结果公告：</w:t>
            </w:r>
            <w:r>
              <w:rPr>
                <w:rFonts w:hint="eastAsia" w:ascii="Times New Roman" w:hAnsi="仿宋" w:eastAsia="仿宋" w:cs="Times New Roman"/>
                <w:b w:val="0"/>
                <w:bCs w:val="0"/>
                <w:color w:val="auto"/>
                <w:sz w:val="24"/>
                <w:lang w:val="en-US" w:eastAsia="zh-CN"/>
              </w:rPr>
              <w:t>成交结果公告在</w:t>
            </w:r>
            <w:r>
              <w:rPr>
                <w:rFonts w:hint="eastAsia" w:hAnsi="仿宋" w:eastAsia="仿宋" w:cs="Times New Roman"/>
                <w:b w:val="0"/>
                <w:bCs w:val="0"/>
                <w:color w:val="auto"/>
                <w:sz w:val="24"/>
                <w:lang w:val="en-US" w:eastAsia="zh-CN"/>
              </w:rPr>
              <w:t>新疆政府采购网上</w:t>
            </w:r>
            <w:r>
              <w:rPr>
                <w:rFonts w:hint="eastAsia" w:ascii="Times New Roman" w:hAnsi="仿宋" w:eastAsia="仿宋" w:cs="Times New Roman"/>
                <w:b w:val="0"/>
                <w:bCs w:val="0"/>
                <w:color w:val="auto"/>
                <w:sz w:val="24"/>
                <w:lang w:val="en-US" w:eastAsia="zh-CN"/>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20</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电子加密</w:t>
            </w:r>
            <w:r>
              <w:rPr>
                <w:rFonts w:hint="eastAsia" w:hAnsi="仿宋" w:eastAsia="仿宋" w:cs="Times New Roman"/>
                <w:b/>
                <w:bCs/>
                <w:color w:val="auto"/>
                <w:sz w:val="24"/>
                <w:lang w:val="en-US" w:eastAsia="zh-CN"/>
              </w:rPr>
              <w:t>响应文件</w:t>
            </w:r>
            <w:r>
              <w:rPr>
                <w:rFonts w:hint="eastAsia" w:ascii="Times New Roman" w:hAnsi="仿宋" w:eastAsia="仿宋" w:cs="Times New Roman"/>
                <w:b/>
                <w:bCs/>
                <w:color w:val="auto"/>
                <w:sz w:val="24"/>
                <w:lang w:val="en-US" w:eastAsia="zh-CN"/>
              </w:rPr>
              <w:t>的解密和异常情况处理：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（1）开标后，采购代理机构将向各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发出“电子加密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”的解密通知，各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代表应当在接到解密通知后30分钟内自行完成“电子加密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（2）通过“政府采购云平台”成功上传递交的“电子加密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”无法按时解密（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已进行解密操作但未完成解密），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如按规定递交了“备份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”的，以“备份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”为依据（由采购代理机构按“政府采购云平台”操作规范将“备份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”上传至“政府采购云平台”，上传成功后，“电子加密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”自动失效），否则视为</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撤回。</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（3）响应截止时间前，</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仅递交了“备份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”而未将电子加密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olor w:val="auto"/>
                <w:sz w:val="24"/>
                <w:lang w:val="en-US" w:eastAsia="zh-CN"/>
              </w:rPr>
              <w:t>21</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低于成本价不正当竞争预防措施（实质性要求）：</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 在评审过程中，评审委员会认为供应商投标价低于成本价，有可能影响产品质量或者不能诚信履约的，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小组应当要求其在现场合理的时间内提供书面说明，并提交相关证明材料，供应商不能证明其报价合理性的，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小组应当将其作为无效处理。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2.供应商的书面说明材料应当按照国家财务会计制度的规定要求，逐项就供应商提供的货物、工程和服务的主营业务成本、税金及附加、销售费用、管理费用、财务费用等成本构成事项详细陈述）。</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 xml:space="preserve">3. 供应商书面说明应当签字确认或者加盖公章，否则无效。书面说明的签字确认，由其法定代表人或者其授权代表签字确认。 </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4.供应商提供书面说明后，</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小组应当结合采购</w:t>
            </w:r>
            <w:r>
              <w:rPr>
                <w:rFonts w:hint="eastAsia" w:hAnsi="仿宋" w:eastAsia="仿宋" w:cs="Times New Roman"/>
                <w:b w:val="0"/>
                <w:bCs w:val="0"/>
                <w:color w:val="auto"/>
                <w:sz w:val="24"/>
                <w:lang w:val="en-US" w:eastAsia="zh-CN"/>
              </w:rPr>
              <w:t>文件</w:t>
            </w:r>
            <w:r>
              <w:rPr>
                <w:rFonts w:hint="eastAsia" w:ascii="Times New Roman" w:hAnsi="仿宋" w:eastAsia="仿宋" w:cs="Times New Roman"/>
                <w:b w:val="0"/>
                <w:bCs w:val="0"/>
                <w:color w:val="auto"/>
                <w:sz w:val="24"/>
                <w:lang w:val="en-US" w:eastAsia="zh-CN"/>
              </w:rPr>
              <w:t>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22</w:t>
            </w:r>
          </w:p>
        </w:tc>
        <w:tc>
          <w:tcPr>
            <w:tcW w:w="8827" w:type="dxa"/>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zh-CN" w:eastAsia="zh-CN"/>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1.场地服务费：交易中心严格按照新发改服价【2020】578号文收取场地及设施服务费，收费标准为：各地交易中心向投标企业收取的场地及设施服务费单个招投标项目最高不得超过6000元。投标企业少于6家（含6家）的按每个投标企业每次1000元收取；投标企业超过6家的，按单个招投标项目6000元由投标企业平均分摊。</w:t>
            </w:r>
            <w:r>
              <w:rPr>
                <w:rFonts w:hint="eastAsia" w:ascii="仿宋" w:hAnsi="仿宋" w:eastAsia="仿宋" w:cs="仿宋"/>
                <w:b/>
                <w:bCs/>
                <w:color w:val="auto"/>
                <w:sz w:val="24"/>
                <w:highlight w:val="none"/>
                <w:lang w:val="en-US" w:eastAsia="zh-CN"/>
              </w:rPr>
              <w:t>投标人拒绝支付场地服务费的，将拒绝其投标。不见面开标投标人不需要到场，场地及设施服务费由招标代理公司代收，各投标单位将开票信息在缴纳场地费时发至招标代理公司。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2.代理服务费：参照【2002】1980号文件的标准计算，收取招标代理服务酬金，按差额定率累进法计算；招标工作结束后由中标单位支付（即中标人在领取中标通知书时支付。</w:t>
            </w:r>
          </w:p>
          <w:p>
            <w:pPr>
              <w:widowControl/>
              <w:spacing w:line="360" w:lineRule="auto"/>
              <w:rPr>
                <w:rFonts w:hint="eastAsia" w:ascii="Times New Roman" w:hAnsi="仿宋" w:eastAsia="仿宋" w:cs="Times New Roman"/>
                <w:b/>
                <w:bCs/>
                <w:color w:val="auto"/>
                <w:sz w:val="24"/>
                <w:lang w:val="en-US" w:eastAsia="zh-CN"/>
              </w:rPr>
            </w:pPr>
            <w:r>
              <w:rPr>
                <w:rFonts w:hint="eastAsia" w:ascii="仿宋" w:hAnsi="仿宋" w:eastAsia="仿宋" w:cs="仿宋"/>
                <w:color w:val="auto"/>
                <w:sz w:val="24"/>
                <w:highlight w:val="none"/>
                <w:lang w:val="en-US" w:eastAsia="zh-CN"/>
              </w:rPr>
              <w:t>3.公证费：本次中标单位须按《新价非字【1998】50号文件》向公证处缴纳公证费（具体收费标准可咨询当地公证处）。</w:t>
            </w:r>
          </w:p>
        </w:tc>
      </w:tr>
    </w:tbl>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39"/>
        <w:spacing w:before="0" w:beforeAutospacing="0" w:after="0" w:afterAutospacing="0" w:line="500" w:lineRule="exact"/>
        <w:rPr>
          <w:rFonts w:ascii="仿宋_GB2312" w:hAnsi="仿宋" w:eastAsia="仿宋_GB2312" w:cs="Arial"/>
          <w:b/>
          <w:color w:val="auto"/>
          <w:sz w:val="32"/>
          <w:szCs w:val="32"/>
        </w:rPr>
      </w:pPr>
    </w:p>
    <w:p>
      <w:pPr>
        <w:pStyle w:val="72"/>
        <w:ind w:left="4102" w:hanging="4102" w:hangingChars="1135"/>
        <w:jc w:val="center"/>
        <w:rPr>
          <w:rFonts w:eastAsia="仿宋_GB2312"/>
          <w:color w:val="auto"/>
          <w:sz w:val="28"/>
          <w:szCs w:val="28"/>
        </w:rPr>
      </w:pP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w:t>
      </w:r>
      <w:r>
        <w:rPr>
          <w:rFonts w:hint="eastAsia" w:ascii="仿宋_GB2312" w:hAnsi="仿宋" w:eastAsia="仿宋_GB2312"/>
          <w:b/>
          <w:bCs w:val="0"/>
          <w:color w:val="auto"/>
          <w:sz w:val="36"/>
          <w:szCs w:val="36"/>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ind w:firstLine="560" w:firstLineChars="200"/>
        <w:textAlignment w:val="auto"/>
        <w:rPr>
          <w:rFonts w:hint="default" w:ascii="Times New Roman" w:hAnsi="Times New Roman" w:eastAsia="仿宋" w:cs="Times New Roman"/>
          <w:sz w:val="28"/>
          <w:szCs w:val="28"/>
        </w:rPr>
      </w:pPr>
      <w:r>
        <w:rPr>
          <w:rFonts w:hint="eastAsia" w:eastAsia="仿宋" w:cs="Times New Roman"/>
          <w:sz w:val="28"/>
          <w:szCs w:val="28"/>
          <w:u w:val="none"/>
          <w:lang w:eastAsia="zh-CN"/>
        </w:rPr>
        <w:t>拜城县康其乡中学信息化设施设备采购</w:t>
      </w:r>
      <w:r>
        <w:rPr>
          <w:rFonts w:hint="default" w:ascii="Times New Roman" w:hAnsi="Times New Roman" w:eastAsia="仿宋" w:cs="Times New Roman"/>
          <w:sz w:val="28"/>
          <w:szCs w:val="28"/>
          <w:u w:val="none"/>
        </w:rPr>
        <w:t>的潜在供应商应在政采云平台获取采购文件，并于</w:t>
      </w:r>
      <w:r>
        <w:rPr>
          <w:rFonts w:hint="eastAsia" w:ascii="Times New Roman" w:hAnsi="Times New Roman" w:eastAsia="仿宋" w:cs="Times New Roman"/>
          <w:sz w:val="28"/>
          <w:szCs w:val="28"/>
          <w:u w:val="none"/>
          <w:lang w:eastAsia="zh-CN"/>
        </w:rPr>
        <w:t>2022年</w:t>
      </w:r>
      <w:r>
        <w:rPr>
          <w:rFonts w:hint="eastAsia" w:eastAsia="仿宋" w:cs="Times New Roman"/>
          <w:sz w:val="28"/>
          <w:szCs w:val="28"/>
          <w:u w:val="none"/>
          <w:lang w:val="en-US" w:eastAsia="zh-CN"/>
        </w:rPr>
        <w:t>08月11日 16:30</w:t>
      </w:r>
      <w:r>
        <w:rPr>
          <w:rFonts w:hint="default" w:ascii="Times New Roman" w:hAnsi="Times New Roman" w:eastAsia="仿宋" w:cs="Times New Roman"/>
          <w:sz w:val="28"/>
          <w:szCs w:val="28"/>
          <w:u w:val="none"/>
        </w:rPr>
        <w:t>（北京时间）前提交响应文件。</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rPr>
      </w:pPr>
      <w:bookmarkStart w:id="0" w:name="_Toc35393629"/>
      <w:bookmarkStart w:id="1" w:name="_Toc35393798"/>
      <w:bookmarkStart w:id="2" w:name="_Toc28359012"/>
      <w:bookmarkStart w:id="3" w:name="_Toc28359089"/>
      <w:r>
        <w:rPr>
          <w:rFonts w:hint="default" w:ascii="Times New Roman" w:hAnsi="Times New Roman" w:eastAsia="仿宋" w:cs="Times New Roman"/>
          <w:b/>
          <w:sz w:val="28"/>
          <w:szCs w:val="28"/>
        </w:rPr>
        <w:t>一、项目基本情况</w:t>
      </w:r>
      <w:bookmarkEnd w:id="0"/>
      <w:bookmarkEnd w:id="1"/>
      <w:bookmarkEnd w:id="2"/>
      <w:bookmarkEnd w:id="3"/>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FF0000"/>
          <w:sz w:val="28"/>
          <w:szCs w:val="28"/>
          <w:lang w:val="en-US"/>
        </w:rPr>
      </w:pPr>
      <w:bookmarkStart w:id="4" w:name="_Toc35393799"/>
      <w:bookmarkStart w:id="5" w:name="_Toc28359013"/>
      <w:bookmarkStart w:id="6" w:name="_Toc35393630"/>
      <w:bookmarkStart w:id="7" w:name="_Toc28359090"/>
      <w:r>
        <w:rPr>
          <w:rFonts w:hint="default" w:ascii="Times New Roman" w:hAnsi="Times New Roman" w:eastAsia="仿宋" w:cs="Times New Roman"/>
          <w:b w:val="0"/>
          <w:bCs w:val="0"/>
          <w:sz w:val="28"/>
          <w:szCs w:val="28"/>
        </w:rPr>
        <w:t>项目编号：</w:t>
      </w:r>
      <w:r>
        <w:rPr>
          <w:rFonts w:hint="eastAsia" w:eastAsia="仿宋" w:cs="Times New Roman"/>
          <w:b w:val="0"/>
          <w:bCs w:val="0"/>
          <w:sz w:val="28"/>
          <w:szCs w:val="28"/>
          <w:lang w:eastAsia="zh-CN"/>
        </w:rPr>
        <w:t>bcx-gkzb-2023-036</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项目名称：</w:t>
      </w:r>
      <w:r>
        <w:rPr>
          <w:rFonts w:hint="eastAsia" w:eastAsia="仿宋" w:cs="Times New Roman"/>
          <w:b w:val="0"/>
          <w:bCs w:val="0"/>
          <w:sz w:val="28"/>
          <w:szCs w:val="28"/>
          <w:lang w:eastAsia="zh-CN"/>
        </w:rPr>
        <w:t>拜城县康其乡中学信息化设施设备采购</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采购方式：</w:t>
      </w:r>
      <w:r>
        <w:rPr>
          <w:rFonts w:hint="eastAsia" w:ascii="Times New Roman" w:hAnsi="Times New Roman" w:eastAsia="仿宋" w:cs="Times New Roman"/>
          <w:b w:val="0"/>
          <w:bCs w:val="0"/>
          <w:sz w:val="28"/>
          <w:szCs w:val="28"/>
          <w:lang w:eastAsia="zh-CN"/>
        </w:rPr>
        <w:t>公开招标</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2740545</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最高限价（元）：</w:t>
      </w:r>
      <w:r>
        <w:rPr>
          <w:rFonts w:hint="eastAsia" w:eastAsia="仿宋" w:cs="Times New Roman"/>
          <w:b w:val="0"/>
          <w:bCs w:val="0"/>
          <w:sz w:val="28"/>
          <w:szCs w:val="28"/>
          <w:lang w:val="en-US" w:eastAsia="zh-CN"/>
        </w:rPr>
        <w:t>2740545</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采购需求：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数量：</w:t>
      </w:r>
      <w:r>
        <w:rPr>
          <w:rFonts w:hint="eastAsia" w:ascii="Times New Roman" w:hAnsi="Times New Roman" w:eastAsia="仿宋" w:cs="Times New Roman"/>
          <w:b w:val="0"/>
          <w:bCs w:val="0"/>
          <w:sz w:val="28"/>
          <w:szCs w:val="28"/>
          <w:lang w:val="en-US" w:eastAsia="zh-CN"/>
        </w:rPr>
        <w:t>不限</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2740545</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单位：</w:t>
      </w:r>
      <w:r>
        <w:rPr>
          <w:rFonts w:hint="eastAsia" w:ascii="Times New Roman" w:hAnsi="Times New Roman" w:eastAsia="仿宋" w:cs="Times New Roman"/>
          <w:b w:val="0"/>
          <w:bCs w:val="0"/>
          <w:sz w:val="28"/>
          <w:szCs w:val="28"/>
          <w:lang w:eastAsia="zh-CN"/>
        </w:rPr>
        <w:t>批</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简要规格描述：信息化设施设备</w:t>
      </w:r>
      <w:r>
        <w:rPr>
          <w:rFonts w:hint="eastAsia" w:eastAsia="仿宋" w:cs="Times New Roman"/>
          <w:b w:val="0"/>
          <w:bCs w:val="0"/>
          <w:color w:val="auto"/>
          <w:sz w:val="28"/>
          <w:szCs w:val="28"/>
          <w:lang w:eastAsia="zh-CN"/>
        </w:rPr>
        <w:t>采购（详见采购文件</w:t>
      </w:r>
      <w:r>
        <w:rPr>
          <w:rFonts w:hint="eastAsia" w:eastAsia="仿宋" w:cs="Times New Roman"/>
          <w:b w:val="0"/>
          <w:bCs w:val="0"/>
          <w:color w:val="auto"/>
          <w:sz w:val="28"/>
          <w:szCs w:val="28"/>
          <w:lang w:val="en-US" w:eastAsia="zh-CN"/>
        </w:rPr>
        <w:t>及清单</w:t>
      </w:r>
      <w:r>
        <w:rPr>
          <w:rFonts w:hint="eastAsia"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合同履约期限：按照甲、乙双方签订的合同日期执行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val="0"/>
          <w:bCs w:val="0"/>
          <w:sz w:val="28"/>
          <w:szCs w:val="28"/>
        </w:rPr>
        <w:t> 本项目（否）接受联合体投标。</w:t>
      </w:r>
    </w:p>
    <w:p>
      <w:pPr>
        <w:pageBreakBefore w:val="0"/>
        <w:widowControl/>
        <w:numPr>
          <w:ilvl w:val="0"/>
          <w:numId w:val="7"/>
        </w:numPr>
        <w:kinsoku/>
        <w:wordWrap/>
        <w:overflowPunct/>
        <w:topLinePunct w:val="0"/>
        <w:bidi w:val="0"/>
        <w:snapToGrid/>
        <w:spacing w:beforeAutospacing="0" w:afterAutospacing="0" w:line="460" w:lineRule="exact"/>
        <w:ind w:right="0"/>
        <w:jc w:val="left"/>
        <w:textAlignment w:val="auto"/>
        <w:rPr>
          <w:rFonts w:hint="default" w:ascii="Times New Roman" w:hAnsi="Times New Roman" w:eastAsia="仿宋" w:cs="Times New Roman"/>
          <w:b/>
          <w:sz w:val="28"/>
          <w:szCs w:val="28"/>
        </w:rPr>
      </w:pPr>
      <w:r>
        <w:rPr>
          <w:rFonts w:hint="default" w:ascii="Times New Roman" w:hAnsi="Times New Roman" w:eastAsia="仿宋" w:cs="Times New Roman"/>
          <w:b/>
          <w:bCs/>
          <w:sz w:val="28"/>
          <w:szCs w:val="28"/>
        </w:rPr>
        <w:t>申请人的资格要求</w:t>
      </w:r>
      <w:r>
        <w:rPr>
          <w:rFonts w:hint="default" w:ascii="Times New Roman" w:hAnsi="Times New Roman" w:eastAsia="仿宋" w:cs="Times New Roman"/>
          <w:b/>
          <w:sz w:val="28"/>
          <w:szCs w:val="28"/>
        </w:rPr>
        <w:t>：</w:t>
      </w:r>
      <w:bookmarkEnd w:id="4"/>
      <w:bookmarkEnd w:id="5"/>
      <w:bookmarkEnd w:id="6"/>
      <w:bookmarkEnd w:id="7"/>
    </w:p>
    <w:p>
      <w:pPr>
        <w:pageBreakBefore w:val="0"/>
        <w:widowControl/>
        <w:numPr>
          <w:ilvl w:val="0"/>
          <w:numId w:val="8"/>
        </w:numPr>
        <w:kinsoku/>
        <w:wordWrap/>
        <w:overflowPunct/>
        <w:topLinePunct w:val="0"/>
        <w:bidi w:val="0"/>
        <w:snapToGrid/>
        <w:spacing w:beforeAutospacing="0" w:afterAutospacing="0" w:line="460" w:lineRule="exact"/>
        <w:ind w:right="0" w:rightChars="0"/>
        <w:jc w:val="left"/>
        <w:textAlignment w:val="auto"/>
        <w:rPr>
          <w:rFonts w:hint="default" w:ascii="Times New Roman" w:hAnsi="Times New Roman" w:eastAsia="仿宋" w:cs="Times New Roman"/>
          <w:b w:val="0"/>
          <w:bCs w:val="0"/>
          <w:sz w:val="28"/>
          <w:szCs w:val="28"/>
        </w:rPr>
      </w:pPr>
      <w:bookmarkStart w:id="8" w:name="_Toc28359014"/>
      <w:bookmarkStart w:id="9" w:name="_Toc28359091"/>
      <w:bookmarkStart w:id="10" w:name="_Toc35393631"/>
      <w:bookmarkStart w:id="11" w:name="_Toc35393800"/>
      <w:r>
        <w:rPr>
          <w:rFonts w:hint="default" w:ascii="Times New Roman" w:hAnsi="Times New Roman" w:eastAsia="仿宋" w:cs="Times New Roman"/>
          <w:b w:val="0"/>
          <w:bCs w:val="0"/>
          <w:sz w:val="28"/>
          <w:szCs w:val="28"/>
        </w:rPr>
        <w:t>满足《中华人民共和国政府采购法》第二十二条规定；</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落实政府采购政策需满足的资格要求：</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（1）《政府采购促进中小企业发展管理办法》（财库〔2020〕46号）；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（2）《财政部、司法部关于政府采购支持监狱企业发展有关问题的通知》（财库〔2014〕68号）；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（3）《国务院办公厅关于建立政府强制采购节能产品制度的通知》（国办发〔2007〕51号）；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（4）《财政部 民政部 中国残疾人联合会关于促进残疾人就业政府采购政策的通知》财库〔2017〕141号</w:t>
      </w:r>
      <w:r>
        <w:rPr>
          <w:rFonts w:hint="eastAsia" w:eastAsia="仿宋" w:cs="Times New Roman"/>
          <w:b w:val="0"/>
          <w:bCs w:val="0"/>
          <w:sz w:val="28"/>
          <w:szCs w:val="28"/>
          <w:lang w:val="en-US" w:eastAsia="zh-CN"/>
        </w:rPr>
        <w:t>；</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default" w:ascii="Times New Roman" w:hAnsi="Times New Roman" w:eastAsia="仿宋" w:cs="Times New Roman"/>
          <w:b w:val="0"/>
          <w:bCs w:val="0"/>
          <w:sz w:val="28"/>
          <w:szCs w:val="28"/>
        </w:rPr>
        <w:t> </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本项目的特定资格要求：</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具有有效的营业执照</w:t>
      </w:r>
      <w:r>
        <w:rPr>
          <w:rFonts w:hint="eastAsia" w:ascii="Times New Roman" w:hAnsi="Times New Roman" w:eastAsia="仿宋" w:cs="Times New Roman"/>
          <w:b w:val="0"/>
          <w:bCs w:val="0"/>
          <w:color w:val="auto"/>
          <w:sz w:val="28"/>
          <w:szCs w:val="28"/>
          <w:lang w:eastAsia="zh-CN"/>
        </w:rPr>
        <w:t>；</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凡拟参加本次招标项目的投标人，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w:t>
      </w:r>
      <w:r>
        <w:rPr>
          <w:rFonts w:hint="default" w:ascii="Times New Roman" w:hAnsi="Times New Roman" w:eastAsia="仿宋" w:cs="Times New Roman"/>
          <w:b w:val="0"/>
          <w:bCs w:val="0"/>
          <w:sz w:val="28"/>
          <w:szCs w:val="28"/>
        </w:rPr>
        <w:br w:type="textWrapping"/>
      </w:r>
      <w:r>
        <w:rPr>
          <w:rFonts w:hint="default" w:ascii="Times New Roman" w:hAnsi="Times New Roman" w:eastAsia="仿宋" w:cs="Times New Roman"/>
          <w:b w:val="0"/>
          <w:bCs w:val="0"/>
          <w:sz w:val="28"/>
          <w:szCs w:val="28"/>
        </w:rPr>
        <w:t>   （3）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三、获取</w:t>
      </w:r>
      <w:bookmarkEnd w:id="8"/>
      <w:bookmarkEnd w:id="9"/>
      <w:bookmarkEnd w:id="10"/>
      <w:bookmarkEnd w:id="11"/>
      <w:r>
        <w:rPr>
          <w:rFonts w:hint="eastAsia" w:ascii="Times New Roman" w:hAnsi="Times New Roman" w:eastAsia="仿宋" w:cs="Times New Roman"/>
          <w:b/>
          <w:bCs/>
          <w:sz w:val="28"/>
          <w:szCs w:val="28"/>
          <w:lang w:val="en-US" w:eastAsia="zh-CN"/>
        </w:rPr>
        <w:t>采购文件</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none"/>
        </w:rPr>
      </w:pPr>
      <w:r>
        <w:rPr>
          <w:rFonts w:hint="default" w:ascii="Times New Roman" w:hAnsi="Times New Roman" w:eastAsia="仿宋" w:cs="Times New Roman"/>
          <w:sz w:val="28"/>
          <w:szCs w:val="28"/>
        </w:rPr>
        <w:t>时间：202</w:t>
      </w:r>
      <w:r>
        <w:rPr>
          <w:rFonts w:hint="eastAsia" w:eastAsia="仿宋" w:cs="Times New Roman"/>
          <w:sz w:val="28"/>
          <w:szCs w:val="28"/>
          <w:lang w:val="en-US" w:eastAsia="zh-CN"/>
        </w:rPr>
        <w:t>3</w:t>
      </w:r>
      <w:r>
        <w:rPr>
          <w:rFonts w:hint="default" w:ascii="Times New Roman" w:hAnsi="Times New Roman" w:eastAsia="仿宋" w:cs="Times New Roman"/>
          <w:sz w:val="28"/>
          <w:szCs w:val="28"/>
        </w:rPr>
        <w:t>年</w:t>
      </w:r>
      <w:r>
        <w:rPr>
          <w:rFonts w:hint="eastAsia" w:eastAsia="仿宋" w:cs="Times New Roman"/>
          <w:sz w:val="28"/>
          <w:szCs w:val="28"/>
          <w:lang w:val="en-US" w:eastAsia="zh-CN"/>
        </w:rPr>
        <w:t>07</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20</w:t>
      </w:r>
      <w:r>
        <w:rPr>
          <w:rFonts w:hint="default" w:ascii="Times New Roman" w:hAnsi="Times New Roman" w:eastAsia="仿宋" w:cs="Times New Roman"/>
          <w:sz w:val="28"/>
          <w:szCs w:val="28"/>
        </w:rPr>
        <w:t>日至</w:t>
      </w:r>
      <w:r>
        <w:rPr>
          <w:rFonts w:hint="eastAsia" w:eastAsia="仿宋" w:cs="Times New Roman"/>
          <w:sz w:val="28"/>
          <w:szCs w:val="28"/>
          <w:lang w:eastAsia="zh-CN"/>
        </w:rPr>
        <w:t>2023年07月27日</w:t>
      </w:r>
      <w:r>
        <w:rPr>
          <w:rFonts w:hint="default" w:ascii="Times New Roman" w:hAnsi="Times New Roman" w:eastAsia="仿宋" w:cs="Times New Roman"/>
          <w:sz w:val="28"/>
          <w:szCs w:val="28"/>
        </w:rPr>
        <w:t>，每天上午10:00至14:00，下午1</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0至</w:t>
      </w:r>
      <w:r>
        <w:rPr>
          <w:rFonts w:hint="eastAsia"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0（北京时间，法定节假</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日除外）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地点：政采云平台线上获取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方式：供应商登录政采云平台https://www.zcygov.cn/在线申请获取采购文件（进入“项目采购”应用，在获取采购文件菜单中选择项目，申请获取采购文件） </w:t>
      </w:r>
    </w:p>
    <w:p>
      <w:pPr>
        <w:pageBreakBefore w:val="0"/>
        <w:tabs>
          <w:tab w:val="left" w:pos="467"/>
        </w:tabs>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lang w:eastAsia="zh-CN"/>
        </w:rPr>
      </w:pPr>
      <w:bookmarkStart w:id="12" w:name="_Toc35393632"/>
      <w:bookmarkStart w:id="13" w:name="_Toc28359015"/>
      <w:bookmarkStart w:id="14" w:name="_Toc35393801"/>
      <w:bookmarkStart w:id="15" w:name="_Toc28359092"/>
      <w:r>
        <w:rPr>
          <w:rFonts w:hint="default" w:ascii="Times New Roman" w:hAnsi="Times New Roman" w:eastAsia="仿宋" w:cs="Times New Roman"/>
          <w:b/>
          <w:sz w:val="28"/>
          <w:szCs w:val="28"/>
        </w:rPr>
        <w:t>四、提交</w:t>
      </w:r>
      <w:bookmarkEnd w:id="12"/>
      <w:bookmarkEnd w:id="13"/>
      <w:bookmarkEnd w:id="14"/>
      <w:bookmarkEnd w:id="15"/>
      <w:r>
        <w:rPr>
          <w:rFonts w:hint="default" w:ascii="Times New Roman" w:hAnsi="Times New Roman" w:eastAsia="仿宋" w:cs="Times New Roman"/>
          <w:b/>
          <w:sz w:val="28"/>
          <w:szCs w:val="28"/>
          <w:lang w:eastAsia="zh-CN"/>
        </w:rPr>
        <w:t>投标文件截止时间、开标时间和地点</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提交投标文件</w:t>
      </w:r>
      <w:r>
        <w:rPr>
          <w:rFonts w:hint="default" w:ascii="Times New Roman" w:hAnsi="Times New Roman" w:eastAsia="仿宋" w:cs="Times New Roman"/>
          <w:sz w:val="28"/>
          <w:szCs w:val="28"/>
        </w:rPr>
        <w:t>截止时间：</w:t>
      </w:r>
      <w:r>
        <w:rPr>
          <w:rFonts w:hint="eastAsia" w:ascii="Times New Roman" w:hAnsi="Times New Roman" w:eastAsia="仿宋" w:cs="Times New Roman"/>
          <w:sz w:val="28"/>
          <w:szCs w:val="28"/>
          <w:lang w:eastAsia="zh-CN"/>
        </w:rPr>
        <w:t>202</w:t>
      </w:r>
      <w:r>
        <w:rPr>
          <w:rFonts w:hint="eastAsia" w:eastAsia="仿宋" w:cs="Times New Roman"/>
          <w:sz w:val="28"/>
          <w:szCs w:val="28"/>
          <w:lang w:val="en-US" w:eastAsia="zh-CN"/>
        </w:rPr>
        <w:t>3</w:t>
      </w:r>
      <w:r>
        <w:rPr>
          <w:rFonts w:hint="eastAsia" w:ascii="Times New Roman" w:hAnsi="Times New Roman" w:eastAsia="仿宋" w:cs="Times New Roman"/>
          <w:sz w:val="28"/>
          <w:szCs w:val="28"/>
          <w:lang w:eastAsia="zh-CN"/>
        </w:rPr>
        <w:t>年</w:t>
      </w:r>
      <w:r>
        <w:rPr>
          <w:rFonts w:hint="eastAsia" w:eastAsia="仿宋" w:cs="Times New Roman"/>
          <w:sz w:val="28"/>
          <w:szCs w:val="28"/>
          <w:lang w:val="en-US" w:eastAsia="zh-CN"/>
        </w:rPr>
        <w:t>08</w:t>
      </w:r>
      <w:r>
        <w:rPr>
          <w:rFonts w:hint="eastAsia" w:ascii="Times New Roman" w:hAnsi="Times New Roman" w:eastAsia="仿宋" w:cs="Times New Roman"/>
          <w:sz w:val="28"/>
          <w:szCs w:val="28"/>
          <w:lang w:eastAsia="zh-CN"/>
        </w:rPr>
        <w:t>月</w:t>
      </w:r>
      <w:r>
        <w:rPr>
          <w:rFonts w:hint="eastAsia" w:eastAsia="仿宋" w:cs="Times New Roman"/>
          <w:sz w:val="28"/>
          <w:szCs w:val="28"/>
          <w:lang w:val="en-US" w:eastAsia="zh-CN"/>
        </w:rPr>
        <w:t>11</w:t>
      </w:r>
      <w:r>
        <w:rPr>
          <w:rFonts w:hint="eastAsia" w:ascii="Times New Roman" w:hAnsi="Times New Roman" w:eastAsia="仿宋" w:cs="Times New Roman"/>
          <w:sz w:val="28"/>
          <w:szCs w:val="28"/>
          <w:lang w:eastAsia="zh-CN"/>
        </w:rPr>
        <w:t>日 1</w:t>
      </w:r>
      <w:r>
        <w:rPr>
          <w:rFonts w:hint="eastAsia" w:eastAsia="仿宋" w:cs="Times New Roman"/>
          <w:sz w:val="28"/>
          <w:szCs w:val="28"/>
          <w:lang w:val="en-US" w:eastAsia="zh-CN"/>
        </w:rPr>
        <w:t>6</w:t>
      </w:r>
      <w:r>
        <w:rPr>
          <w:rFonts w:hint="eastAsia" w:ascii="Times New Roman" w:hAnsi="Times New Roman" w:eastAsia="仿宋" w:cs="Times New Roman"/>
          <w:sz w:val="28"/>
          <w:szCs w:val="28"/>
          <w:lang w:eastAsia="zh-CN"/>
        </w:rPr>
        <w:t>:30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lang w:eastAsia="zh-CN"/>
        </w:rPr>
        <w:t>投标</w:t>
      </w:r>
      <w:r>
        <w:rPr>
          <w:rFonts w:hint="default" w:ascii="Times New Roman" w:hAnsi="Times New Roman" w:eastAsia="仿宋" w:cs="Times New Roman"/>
          <w:b w:val="0"/>
          <w:sz w:val="28"/>
          <w:szCs w:val="28"/>
        </w:rPr>
        <w:t>地点：</w:t>
      </w:r>
      <w:bookmarkStart w:id="16" w:name="_Toc28359093"/>
      <w:bookmarkStart w:id="17" w:name="_Toc35393802"/>
      <w:bookmarkStart w:id="18" w:name="_Toc28359016"/>
      <w:bookmarkStart w:id="19" w:name="_Toc35393633"/>
      <w:r>
        <w:rPr>
          <w:rFonts w:hint="default" w:ascii="Times New Roman" w:hAnsi="Times New Roman" w:eastAsia="仿宋" w:cs="Times New Roman"/>
          <w:b w:val="0"/>
          <w:sz w:val="28"/>
          <w:szCs w:val="28"/>
        </w:rPr>
        <w:t>政采云一站式政府采购云平台</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val="0"/>
          <w:bCs/>
          <w:sz w:val="28"/>
          <w:szCs w:val="28"/>
          <w:lang w:val="en-US" w:eastAsia="zh-CN"/>
        </w:rPr>
        <w:t>开标时间：</w:t>
      </w:r>
      <w:r>
        <w:rPr>
          <w:rFonts w:hint="eastAsia" w:ascii="Times New Roman" w:hAnsi="Times New Roman" w:eastAsia="仿宋" w:cs="Times New Roman"/>
          <w:b w:val="0"/>
          <w:bCs/>
          <w:sz w:val="28"/>
          <w:szCs w:val="28"/>
          <w:lang w:val="en-US" w:eastAsia="zh-CN"/>
        </w:rPr>
        <w:t>2022年</w:t>
      </w:r>
      <w:r>
        <w:rPr>
          <w:rFonts w:hint="eastAsia" w:eastAsia="仿宋" w:cs="Times New Roman"/>
          <w:b w:val="0"/>
          <w:bCs/>
          <w:sz w:val="28"/>
          <w:szCs w:val="28"/>
          <w:lang w:val="en-US" w:eastAsia="zh-CN"/>
        </w:rPr>
        <w:t>08月11日 16:30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 w:cs="Times New Roman"/>
          <w:b w:val="0"/>
          <w:bCs w:val="0"/>
          <w:sz w:val="28"/>
          <w:szCs w:val="28"/>
          <w:lang w:val="en-US" w:eastAsia="zh-CN"/>
        </w:rPr>
        <w:t>开标地点：</w:t>
      </w:r>
      <w:bookmarkEnd w:id="16"/>
      <w:bookmarkEnd w:id="17"/>
      <w:bookmarkEnd w:id="18"/>
      <w:bookmarkEnd w:id="19"/>
      <w:bookmarkStart w:id="20" w:name="_Toc28359094"/>
      <w:bookmarkStart w:id="21" w:name="_Toc28359017"/>
      <w:bookmarkStart w:id="22" w:name="_Toc35393634"/>
      <w:bookmarkStart w:id="23" w:name="_Toc35393803"/>
      <w:r>
        <w:rPr>
          <w:rFonts w:hint="default" w:ascii="Times New Roman" w:hAnsi="Times New Roman" w:eastAsia="仿宋" w:cs="Times New Roman"/>
          <w:b w:val="0"/>
          <w:sz w:val="28"/>
          <w:szCs w:val="28"/>
        </w:rPr>
        <w:t>政采云一站式政府采购云平台</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五</w:t>
      </w:r>
      <w:r>
        <w:rPr>
          <w:rFonts w:hint="default" w:ascii="Times New Roman" w:hAnsi="Times New Roman" w:eastAsia="仿宋" w:cs="Times New Roman"/>
          <w:sz w:val="28"/>
          <w:szCs w:val="28"/>
        </w:rPr>
        <w:t>、公告期限</w:t>
      </w:r>
      <w:bookmarkEnd w:id="20"/>
      <w:bookmarkEnd w:id="21"/>
      <w:bookmarkEnd w:id="22"/>
      <w:bookmarkEnd w:id="2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rPr>
        <w:t>自本公告发布之日起</w:t>
      </w:r>
      <w:r>
        <w:rPr>
          <w:rFonts w:hint="default" w:ascii="Times New Roman" w:hAnsi="Times New Roman" w:eastAsia="仿宋" w:cs="Times New Roman"/>
          <w:b w:val="0"/>
          <w:sz w:val="28"/>
          <w:szCs w:val="28"/>
          <w:lang w:val="en-US" w:eastAsia="zh-CN"/>
        </w:rPr>
        <w:t>5</w:t>
      </w:r>
      <w:r>
        <w:rPr>
          <w:rFonts w:hint="default" w:ascii="Times New Roman" w:hAnsi="Times New Roman" w:eastAsia="仿宋" w:cs="Times New Roman"/>
          <w:b w:val="0"/>
          <w:sz w:val="28"/>
          <w:szCs w:val="28"/>
        </w:rPr>
        <w:t>个工作日。</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bookmarkStart w:id="24" w:name="_Toc35393635"/>
      <w:bookmarkStart w:id="25" w:name="_Toc35393804"/>
      <w:r>
        <w:rPr>
          <w:rFonts w:hint="default" w:ascii="Times New Roman" w:hAnsi="Times New Roman" w:eastAsia="仿宋" w:cs="Times New Roman"/>
          <w:sz w:val="28"/>
          <w:szCs w:val="28"/>
          <w:lang w:eastAsia="zh-CN"/>
        </w:rPr>
        <w:t>六</w:t>
      </w:r>
      <w:r>
        <w:rPr>
          <w:rFonts w:hint="default" w:ascii="Times New Roman" w:hAnsi="Times New Roman" w:eastAsia="仿宋" w:cs="Times New Roman"/>
          <w:sz w:val="28"/>
          <w:szCs w:val="28"/>
        </w:rPr>
        <w:t>、其他补充事宜</w:t>
      </w:r>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bookmarkStart w:id="26" w:name="_Toc28359019"/>
      <w:bookmarkStart w:id="27" w:name="_Toc35393637"/>
      <w:bookmarkStart w:id="28" w:name="_Toc28359096"/>
      <w:bookmarkStart w:id="29" w:name="_Toc35393806"/>
      <w:r>
        <w:rPr>
          <w:rFonts w:hint="eastAsia" w:eastAsia="仿宋" w:cs="Times New Roman"/>
          <w:color w:val="333333"/>
          <w:sz w:val="28"/>
          <w:szCs w:val="28"/>
          <w:lang w:val="en-US" w:eastAsia="zh-CN"/>
        </w:rPr>
        <w:t>1</w:t>
      </w:r>
      <w:r>
        <w:rPr>
          <w:rFonts w:hint="default" w:ascii="Times New Roman" w:hAnsi="Times New Roman" w:eastAsia="仿宋" w:cs="Times New Roman"/>
          <w:color w:val="333333"/>
          <w:sz w:val="28"/>
          <w:szCs w:val="28"/>
        </w:rPr>
        <w:t>、本项目实行不见面开标（网上投标，网上开标、评标），供应商须登录政采云平台申请获取采购文件，并需要使用CA锁，登录政采云电子投标客户端制作响应文件，若供应商参与投标,自行承担与投标有关的一切费用。</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2</w:t>
      </w:r>
      <w:r>
        <w:rPr>
          <w:rFonts w:hint="default" w:ascii="Times New Roman" w:hAnsi="Times New Roman" w:eastAsia="仿宋" w:cs="Times New Roman"/>
          <w:color w:val="333333"/>
          <w:sz w:val="28"/>
          <w:szCs w:val="28"/>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3</w:t>
      </w:r>
      <w:r>
        <w:rPr>
          <w:rFonts w:hint="default" w:ascii="Times New Roman" w:hAnsi="Times New Roman" w:eastAsia="仿宋" w:cs="Times New Roman"/>
          <w:color w:val="333333"/>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4</w:t>
      </w:r>
      <w:r>
        <w:rPr>
          <w:rFonts w:hint="default" w:ascii="Times New Roman" w:hAnsi="Times New Roman" w:eastAsia="仿宋" w:cs="Times New Roman"/>
          <w:color w:val="333333"/>
          <w:sz w:val="28"/>
          <w:szCs w:val="28"/>
        </w:rPr>
        <w:t>、供应商在开标时须携带制作加密电子响应文件所使用的CA锁，电脑须提前配置好浏览器（建议使用360浏览器或谷歌浏览器），以便开标时在线解密。</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5</w:t>
      </w:r>
      <w:r>
        <w:rPr>
          <w:rFonts w:hint="default" w:ascii="Times New Roman" w:hAnsi="Times New Roman" w:eastAsia="仿宋" w:cs="Times New Roman"/>
          <w:color w:val="333333"/>
          <w:sz w:val="28"/>
          <w:szCs w:val="28"/>
        </w:rPr>
        <w:t>、投标供应商应当在投标截止时间前，将生成的“电子加密响应文件”上传递交至“政府采购云平台”，投标截止时间以后上传递交的响应文件将被“政府采购云平台”拒收。 </w:t>
      </w:r>
      <w:r>
        <w:rPr>
          <w:rFonts w:hint="default" w:ascii="Times New Roman" w:hAnsi="Times New Roman" w:eastAsia="仿宋" w:cs="Times New Roman"/>
          <w:color w:val="333333"/>
          <w:sz w:val="28"/>
          <w:szCs w:val="28"/>
        </w:rPr>
        <w:br w:type="textWrapping"/>
      </w:r>
      <w:r>
        <w:rPr>
          <w:rFonts w:hint="default" w:ascii="Times New Roman" w:hAnsi="Times New Roman" w:eastAsia="仿宋" w:cs="Times New Roman"/>
          <w:color w:val="333333"/>
          <w:sz w:val="28"/>
          <w:szCs w:val="28"/>
        </w:rPr>
        <w:t> </w:t>
      </w:r>
      <w:r>
        <w:rPr>
          <w:rFonts w:hint="eastAsia" w:ascii="Times New Roman" w:hAnsi="Times New Roman" w:eastAsia="仿宋" w:cs="Times New Roman"/>
          <w:color w:val="333333"/>
          <w:sz w:val="28"/>
          <w:szCs w:val="28"/>
          <w:lang w:val="en-US" w:eastAsia="zh-CN"/>
        </w:rPr>
        <w:t xml:space="preserve">  </w:t>
      </w:r>
      <w:r>
        <w:rPr>
          <w:rFonts w:hint="default" w:ascii="Times New Roman" w:hAnsi="Times New Roman" w:eastAsia="仿宋" w:cs="Times New Roman"/>
          <w:color w:val="333333"/>
          <w:sz w:val="28"/>
          <w:szCs w:val="28"/>
        </w:rPr>
        <w:t xml:space="preserve">  </w:t>
      </w:r>
      <w:r>
        <w:rPr>
          <w:rFonts w:hint="eastAsia" w:eastAsia="仿宋" w:cs="Times New Roman"/>
          <w:color w:val="333333"/>
          <w:sz w:val="28"/>
          <w:szCs w:val="28"/>
          <w:lang w:val="en-US" w:eastAsia="zh-CN"/>
        </w:rPr>
        <w:t>6</w:t>
      </w:r>
      <w:r>
        <w:rPr>
          <w:rFonts w:hint="default" w:ascii="Times New Roman" w:hAnsi="Times New Roman" w:eastAsia="仿宋" w:cs="Times New Roman"/>
          <w:color w:val="333333"/>
          <w:sz w:val="28"/>
          <w:szCs w:val="28"/>
        </w:rPr>
        <w:t>、本次公告在</w:t>
      </w:r>
      <w:r>
        <w:rPr>
          <w:rFonts w:hint="eastAsia" w:eastAsia="仿宋" w:cs="Times New Roman"/>
          <w:color w:val="333333"/>
          <w:sz w:val="28"/>
          <w:szCs w:val="28"/>
          <w:lang w:eastAsia="zh-CN"/>
        </w:rPr>
        <w:t>新疆政府采购网</w:t>
      </w:r>
      <w:r>
        <w:rPr>
          <w:rFonts w:hint="eastAsia" w:ascii="Times New Roman" w:hAnsi="Times New Roman" w:eastAsia="仿宋" w:cs="Times New Roman"/>
          <w:color w:val="333333"/>
          <w:sz w:val="28"/>
          <w:szCs w:val="28"/>
          <w:lang w:eastAsia="zh-CN"/>
        </w:rPr>
        <w:t>上</w:t>
      </w:r>
      <w:r>
        <w:rPr>
          <w:rFonts w:hint="default" w:ascii="Times New Roman" w:hAnsi="Times New Roman" w:eastAsia="仿宋" w:cs="Times New Roman"/>
          <w:color w:val="333333"/>
          <w:sz w:val="28"/>
          <w:szCs w:val="28"/>
        </w:rPr>
        <w:t>发布。</w:t>
      </w:r>
    </w:p>
    <w:p>
      <w:pPr>
        <w:pStyle w:val="39"/>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特别提示：</w:t>
      </w:r>
    </w:p>
    <w:p>
      <w:pPr>
        <w:pStyle w:val="39"/>
        <w:keepNext w:val="0"/>
        <w:keepLines w:val="0"/>
        <w:widowControl/>
        <w:suppressLineNumbers w:val="0"/>
        <w:spacing w:before="75" w:beforeAutospacing="0" w:after="75" w:afterAutospacing="0"/>
        <w:ind w:left="0" w:right="0" w:firstLine="0"/>
        <w:rPr>
          <w:rFonts w:hint="default"/>
        </w:rPr>
      </w:pPr>
      <w:r>
        <w:rPr>
          <w:rFonts w:hint="eastAsia" w:ascii="黑体" w:hAnsi="黑体" w:eastAsia="黑体" w:cs="黑体"/>
          <w:i w:val="0"/>
          <w:caps w:val="0"/>
          <w:color w:val="000000"/>
          <w:spacing w:val="0"/>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color w:val="333333"/>
          <w:sz w:val="28"/>
          <w:szCs w:val="28"/>
          <w:shd w:val="clear" w:color="auto" w:fill="FFFFFF"/>
        </w:rPr>
      </w:pPr>
      <w:r>
        <w:rPr>
          <w:rFonts w:hint="default" w:ascii="Times New Roman" w:hAnsi="Times New Roman" w:eastAsia="仿宋" w:cs="Times New Roman"/>
          <w:b/>
          <w:color w:val="333333"/>
          <w:sz w:val="28"/>
          <w:szCs w:val="28"/>
          <w:shd w:val="clear" w:color="auto" w:fill="FFFFFF"/>
          <w:lang w:eastAsia="zh-CN"/>
        </w:rPr>
        <w:t>七</w:t>
      </w:r>
      <w:r>
        <w:rPr>
          <w:rFonts w:hint="default" w:ascii="Times New Roman" w:hAnsi="Times New Roman" w:eastAsia="仿宋" w:cs="Times New Roman"/>
          <w:b/>
          <w:color w:val="333333"/>
          <w:sz w:val="28"/>
          <w:szCs w:val="28"/>
          <w:shd w:val="clear" w:color="auto" w:fill="FFFFFF"/>
        </w:rPr>
        <w:t>、对本次采购提出询问，请按以下方式联系</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r>
        <w:rPr>
          <w:rFonts w:hint="default" w:ascii="Times New Roman" w:hAnsi="Times New Roman" w:eastAsia="仿宋" w:cs="Times New Roman"/>
          <w:bCs/>
          <w:color w:val="333333"/>
          <w:kern w:val="0"/>
          <w:sz w:val="28"/>
          <w:szCs w:val="28"/>
          <w:shd w:val="clear" w:color="auto" w:fill="FFFFFF"/>
          <w:lang w:bidi="ar"/>
        </w:rPr>
        <w:t>1.采购人信息</w:t>
      </w:r>
      <w:bookmarkEnd w:id="26"/>
      <w:bookmarkEnd w:id="27"/>
      <w:bookmarkEnd w:id="28"/>
      <w:bookmarkEnd w:id="29"/>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eastAsia"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名称：</w:t>
      </w:r>
      <w:r>
        <w:rPr>
          <w:rFonts w:hint="eastAsia" w:ascii="Times New Roman" w:hAnsi="Times New Roman" w:eastAsia="仿宋" w:cs="Times New Roman"/>
          <w:b w:val="0"/>
          <w:bCs w:val="0"/>
          <w:color w:val="333333"/>
          <w:kern w:val="0"/>
          <w:sz w:val="28"/>
          <w:szCs w:val="28"/>
          <w:shd w:val="clear" w:color="auto" w:fill="FFFFFF"/>
          <w:lang w:eastAsia="zh-CN" w:bidi="ar"/>
        </w:rPr>
        <w:t>拜城县教育和科学技术局</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地址：拜城县胜利路28号</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联系方式：</w:t>
      </w:r>
      <w:bookmarkStart w:id="30" w:name="_Toc35393638"/>
      <w:bookmarkStart w:id="31" w:name="_Toc28359097"/>
      <w:bookmarkStart w:id="32" w:name="_Toc28359020"/>
      <w:bookmarkStart w:id="33" w:name="_Toc35393807"/>
      <w:r>
        <w:rPr>
          <w:rFonts w:hint="default" w:ascii="Times New Roman" w:hAnsi="Times New Roman" w:eastAsia="仿宋" w:cs="Times New Roman"/>
          <w:b w:val="0"/>
          <w:bCs w:val="0"/>
          <w:color w:val="333333"/>
          <w:kern w:val="0"/>
          <w:sz w:val="28"/>
          <w:szCs w:val="28"/>
          <w:shd w:val="clear" w:color="auto" w:fill="FFFFFF"/>
          <w:lang w:bidi="ar"/>
        </w:rPr>
        <w:t> 18094958837</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bidi="ar"/>
        </w:rPr>
      </w:pPr>
      <w:r>
        <w:rPr>
          <w:rFonts w:hint="default" w:ascii="Times New Roman" w:hAnsi="Times New Roman" w:eastAsia="仿宋" w:cs="Times New Roman"/>
          <w:b w:val="0"/>
          <w:bCs w:val="0"/>
          <w:color w:val="333333"/>
          <w:kern w:val="0"/>
          <w:sz w:val="28"/>
          <w:szCs w:val="28"/>
          <w:shd w:val="clear" w:color="auto" w:fill="FFFFFF"/>
          <w:lang w:bidi="ar"/>
        </w:rPr>
        <w:t>2.采购代理机构信息</w:t>
      </w:r>
      <w:bookmarkEnd w:id="30"/>
      <w:bookmarkEnd w:id="31"/>
      <w:bookmarkEnd w:id="32"/>
      <w:bookmarkEnd w:id="3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sz w:val="28"/>
          <w:szCs w:val="28"/>
        </w:rPr>
        <w:t>名称：</w:t>
      </w:r>
      <w:r>
        <w:rPr>
          <w:rFonts w:hint="default" w:ascii="Times New Roman" w:hAnsi="Times New Roman" w:eastAsia="仿宋" w:cs="Times New Roman"/>
          <w:b w:val="0"/>
          <w:i w:val="0"/>
          <w:iCs w:val="0"/>
          <w:sz w:val="28"/>
          <w:szCs w:val="28"/>
          <w:u w:val="none"/>
        </w:rPr>
        <w:t>新疆久隆昌泰建设项目管理有限公司 </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i w:val="0"/>
          <w:iCs w:val="0"/>
          <w:sz w:val="28"/>
          <w:szCs w:val="28"/>
          <w:u w:val="none"/>
        </w:rPr>
        <w:t>地址：阿克苏市天山路1号华富锦城小区2幢2单元709室</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rPr>
        <w:t>联系方式：</w:t>
      </w:r>
      <w:r>
        <w:rPr>
          <w:rFonts w:hint="default" w:ascii="Times New Roman" w:hAnsi="Times New Roman" w:eastAsia="仿宋" w:cs="Times New Roman"/>
          <w:b w:val="0"/>
          <w:sz w:val="28"/>
          <w:szCs w:val="28"/>
          <w:u w:val="none"/>
        </w:rPr>
        <w:t>0997-2558678</w:t>
      </w:r>
      <w:r>
        <w:rPr>
          <w:rFonts w:hint="eastAsia" w:ascii="Times New Roman" w:hAnsi="Times New Roman" w:eastAsia="仿宋" w:cs="Times New Roman"/>
          <w:b w:val="0"/>
          <w:sz w:val="28"/>
          <w:szCs w:val="28"/>
          <w:u w:val="none"/>
          <w:lang w:eastAsia="zh-CN"/>
        </w:rPr>
        <w:t>、</w:t>
      </w:r>
      <w:r>
        <w:rPr>
          <w:rFonts w:hint="eastAsia" w:ascii="Times New Roman" w:hAnsi="Times New Roman" w:eastAsia="仿宋" w:cs="Times New Roman"/>
          <w:b w:val="0"/>
          <w:sz w:val="28"/>
          <w:szCs w:val="28"/>
          <w:u w:val="none"/>
          <w:lang w:val="en-US" w:eastAsia="zh-CN"/>
        </w:rPr>
        <w:t>18799952512</w:t>
      </w:r>
      <w:r>
        <w:rPr>
          <w:rFonts w:hint="default" w:ascii="Times New Roman" w:hAnsi="Times New Roman" w:eastAsia="仿宋" w:cs="Times New Roman"/>
          <w:b w:val="0"/>
          <w:sz w:val="28"/>
          <w:szCs w:val="28"/>
          <w:u w:val="none"/>
        </w:rPr>
        <w:t xml:space="preserve"> </w:t>
      </w:r>
      <w:bookmarkStart w:id="34" w:name="_Toc35393639"/>
      <w:bookmarkStart w:id="35" w:name="_Toc28359098"/>
      <w:bookmarkStart w:id="36" w:name="_Toc28359021"/>
      <w:bookmarkStart w:id="37" w:name="_Toc35393808"/>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u w:val="none"/>
        </w:rPr>
        <w:t>3.项目联系方式</w:t>
      </w:r>
      <w:bookmarkEnd w:id="34"/>
      <w:bookmarkEnd w:id="35"/>
      <w:bookmarkEnd w:id="36"/>
      <w:bookmarkEnd w:id="37"/>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eastAsia="zh-CN"/>
        </w:rPr>
      </w:pPr>
      <w:r>
        <w:rPr>
          <w:rFonts w:hint="default" w:ascii="Times New Roman" w:hAnsi="Times New Roman" w:eastAsia="仿宋" w:cs="Times New Roman"/>
          <w:b w:val="0"/>
          <w:sz w:val="28"/>
          <w:szCs w:val="28"/>
          <w:u w:val="none"/>
        </w:rPr>
        <w:t>项目联系人：</w:t>
      </w:r>
      <w:r>
        <w:rPr>
          <w:rFonts w:hint="eastAsia" w:ascii="Times New Roman" w:hAnsi="Times New Roman" w:eastAsia="仿宋" w:cs="Times New Roman"/>
          <w:b w:val="0"/>
          <w:sz w:val="28"/>
          <w:szCs w:val="28"/>
          <w:u w:val="none"/>
          <w:lang w:val="en-US" w:eastAsia="zh-CN"/>
        </w:rPr>
        <w:t>刘荣英</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val="en-US" w:eastAsia="zh-CN"/>
        </w:rPr>
      </w:pPr>
      <w:r>
        <w:rPr>
          <w:rFonts w:hint="default" w:ascii="Times New Roman" w:hAnsi="Times New Roman" w:eastAsia="仿宋" w:cs="Times New Roman"/>
          <w:b w:val="0"/>
          <w:sz w:val="28"/>
          <w:szCs w:val="28"/>
          <w:u w:val="none"/>
        </w:rPr>
        <w:t>电话：0997-2558678</w:t>
      </w:r>
      <w:r>
        <w:rPr>
          <w:rFonts w:hint="eastAsia" w:ascii="Times New Roman" w:hAnsi="Times New Roman" w:eastAsia="仿宋" w:cs="Times New Roman"/>
          <w:b w:val="0"/>
          <w:sz w:val="28"/>
          <w:szCs w:val="28"/>
          <w:u w:val="none"/>
          <w:lang w:eastAsia="zh-CN"/>
        </w:rPr>
        <w:t>、</w:t>
      </w:r>
      <w:r>
        <w:rPr>
          <w:rFonts w:hint="eastAsia" w:ascii="Times New Roman" w:hAnsi="Times New Roman" w:eastAsia="仿宋" w:cs="Times New Roman"/>
          <w:b w:val="0"/>
          <w:sz w:val="28"/>
          <w:szCs w:val="28"/>
          <w:u w:val="none"/>
          <w:lang w:val="en-US" w:eastAsia="zh-CN"/>
        </w:rPr>
        <w:t>18799952512</w:t>
      </w:r>
      <w:r>
        <w:rPr>
          <w:rFonts w:hint="default" w:ascii="Times New Roman" w:hAnsi="Times New Roman" w:eastAsia="仿宋" w:cs="Times New Roman"/>
          <w:b w:val="0"/>
          <w:sz w:val="28"/>
          <w:szCs w:val="28"/>
          <w:u w:val="none"/>
        </w:rPr>
        <w:t xml:space="preserve"> </w:t>
      </w: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20"/>
        <w:rPr>
          <w:rFonts w:hint="eastAsia"/>
        </w:rPr>
      </w:pPr>
    </w:p>
    <w:p>
      <w:pPr>
        <w:spacing w:line="360" w:lineRule="auto"/>
        <w:jc w:val="center"/>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w:t>
      </w:r>
      <w:r>
        <w:rPr>
          <w:rFonts w:hint="eastAsia" w:ascii="仿宋_GB2312" w:hAnsi="仿宋" w:eastAsia="仿宋_GB2312" w:cs="Arial"/>
          <w:color w:val="auto"/>
          <w:sz w:val="28"/>
          <w:szCs w:val="28"/>
          <w:lang w:eastAsia="zh-CN"/>
        </w:rPr>
        <w:t>采购文件</w:t>
      </w:r>
      <w:r>
        <w:rPr>
          <w:rFonts w:hint="eastAsia" w:ascii="仿宋_GB2312" w:hAnsi="仿宋" w:eastAsia="仿宋_GB2312" w:cs="Arial"/>
          <w:color w:val="auto"/>
          <w:sz w:val="28"/>
          <w:szCs w:val="28"/>
        </w:rPr>
        <w:t>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38" w:name="_Toc518923113"/>
      <w:r>
        <w:rPr>
          <w:rFonts w:hint="eastAsia" w:ascii="仿宋_GB2312" w:hAnsi="仿宋" w:eastAsia="仿宋_GB2312"/>
          <w:bCs/>
          <w:color w:val="auto"/>
          <w:sz w:val="28"/>
          <w:szCs w:val="28"/>
        </w:rPr>
        <w:t>在经营活动中无重大违法记录的书面声明</w:t>
      </w:r>
      <w:bookmarkEnd w:id="38"/>
      <w:r>
        <w:rPr>
          <w:rFonts w:hint="eastAsia" w:ascii="仿宋_GB2312" w:hAnsi="仿宋" w:eastAsia="仿宋_GB2312"/>
          <w:bCs/>
          <w:color w:val="auto"/>
          <w:sz w:val="28"/>
          <w:szCs w:val="28"/>
        </w:rPr>
        <w:t>；</w:t>
      </w:r>
    </w:p>
    <w:p>
      <w:pPr>
        <w:tabs>
          <w:tab w:val="left" w:pos="0"/>
        </w:tabs>
        <w:spacing w:line="360" w:lineRule="auto"/>
        <w:ind w:firstLine="413" w:firstLineChars="147"/>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(二)</w:t>
      </w:r>
      <w:r>
        <w:rPr>
          <w:rFonts w:hint="eastAsia" w:ascii="仿宋_GB2312" w:hAnsi="仿宋" w:eastAsia="仿宋_GB2312"/>
          <w:b/>
          <w:color w:val="auto"/>
          <w:sz w:val="28"/>
          <w:szCs w:val="28"/>
          <w:lang w:eastAsia="zh-CN"/>
        </w:rPr>
        <w:t>采购文件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18"/>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的澄清和质疑</w:t>
      </w:r>
      <w:bookmarkStart w:id="39" w:name="_Toc239047318"/>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39"/>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ascii="仿宋_GB2312" w:hAnsi="仿宋" w:eastAsia="仿宋_GB2312"/>
          <w:b w:val="0"/>
          <w:bCs w:val="0"/>
          <w:color w:val="auto"/>
          <w:sz w:val="28"/>
          <w:szCs w:val="28"/>
        </w:rPr>
      </w:pPr>
      <w:bookmarkStart w:id="40" w:name="_Toc239047319"/>
      <w:r>
        <w:rPr>
          <w:rFonts w:hint="eastAsia" w:ascii="仿宋_GB2312" w:hAnsi="仿宋" w:eastAsia="仿宋_GB2312"/>
          <w:b w:val="0"/>
          <w:bCs w:val="0"/>
          <w:color w:val="auto"/>
          <w:sz w:val="28"/>
          <w:szCs w:val="28"/>
        </w:rPr>
        <w:t>6.2对</w:t>
      </w:r>
      <w:r>
        <w:rPr>
          <w:rFonts w:hint="eastAsia" w:ascii="仿宋_GB2312" w:hAnsi="仿宋" w:eastAsia="仿宋_GB2312"/>
          <w:b w:val="0"/>
          <w:bCs w:val="0"/>
          <w:color w:val="auto"/>
          <w:sz w:val="28"/>
          <w:szCs w:val="28"/>
          <w:lang w:eastAsia="zh-CN"/>
        </w:rPr>
        <w:t>采购文件</w:t>
      </w:r>
      <w:r>
        <w:rPr>
          <w:rFonts w:hint="eastAsia" w:ascii="仿宋_GB2312" w:hAnsi="仿宋" w:eastAsia="仿宋_GB2312"/>
          <w:b w:val="0"/>
          <w:bCs w:val="0"/>
          <w:color w:val="auto"/>
          <w:sz w:val="28"/>
          <w:szCs w:val="28"/>
        </w:rPr>
        <w:t>的澄清和质疑</w:t>
      </w:r>
      <w:bookmarkEnd w:id="40"/>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，若对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拜城县康其乡中学信息化设施设备采购</w:t>
      </w:r>
      <w:r>
        <w:rPr>
          <w:rFonts w:hint="eastAsia" w:ascii="仿宋_GB2312" w:hAnsi="仿宋" w:eastAsia="仿宋_GB2312"/>
          <w:b/>
          <w:bCs/>
          <w:color w:val="auto"/>
          <w:sz w:val="28"/>
          <w:szCs w:val="28"/>
        </w:rPr>
        <w:t>澄清或质疑使用</w:t>
      </w:r>
      <w:r>
        <w:rPr>
          <w:rFonts w:hint="eastAsia" w:ascii="仿宋_GB2312" w:hAnsi="仿宋" w:eastAsia="仿宋_GB2312"/>
          <w:color w:val="auto"/>
          <w:sz w:val="28"/>
          <w:szCs w:val="28"/>
        </w:rPr>
        <w:t>”字样，并由身份证持有人签字确认。上述资料均须加盖公章。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仿宋_GB2312" w:hAnsi="仿宋" w:eastAsia="仿宋_GB2312"/>
          <w:color w:val="auto"/>
          <w:sz w:val="28"/>
          <w:szCs w:val="28"/>
          <w:lang w:eastAsia="zh-CN"/>
        </w:rPr>
        <w:t>新疆政府采购网</w:t>
      </w:r>
      <w:r>
        <w:rPr>
          <w:rFonts w:hint="eastAsia" w:ascii="仿宋_GB2312" w:hAnsi="仿宋" w:eastAsia="仿宋_GB2312"/>
          <w:color w:val="auto"/>
          <w:sz w:val="28"/>
          <w:szCs w:val="28"/>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4"/>
        <w:spacing w:before="0" w:after="0" w:line="360" w:lineRule="auto"/>
        <w:ind w:firstLine="588" w:firstLineChars="210"/>
        <w:rPr>
          <w:rFonts w:ascii="仿宋_GB2312" w:hAnsi="仿宋" w:eastAsia="仿宋_GB2312"/>
          <w:b w:val="0"/>
          <w:bCs w:val="0"/>
          <w:color w:val="auto"/>
          <w:sz w:val="28"/>
          <w:szCs w:val="28"/>
        </w:rPr>
      </w:pPr>
      <w:bookmarkStart w:id="41" w:name="_Toc239047320"/>
      <w:r>
        <w:rPr>
          <w:rFonts w:hint="eastAsia" w:ascii="仿宋_GB2312" w:hAnsi="仿宋" w:eastAsia="仿宋_GB2312"/>
          <w:b w:val="0"/>
          <w:bCs w:val="0"/>
          <w:color w:val="auto"/>
          <w:sz w:val="28"/>
          <w:szCs w:val="28"/>
        </w:rPr>
        <w:t>6.3对招标过程和拟中标结果的质疑</w:t>
      </w:r>
      <w:bookmarkEnd w:id="4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拜城县康其乡中学信息化设施设备采购</w:t>
      </w:r>
      <w:r>
        <w:rPr>
          <w:rFonts w:hint="eastAsia" w:ascii="仿宋_GB2312" w:hAnsi="仿宋" w:eastAsia="仿宋_GB2312"/>
          <w:b/>
          <w:bCs/>
          <w:color w:val="auto"/>
          <w:sz w:val="28"/>
          <w:szCs w:val="28"/>
        </w:rPr>
        <w:t>质疑使用</w:t>
      </w:r>
      <w:r>
        <w:rPr>
          <w:rFonts w:hint="eastAsia" w:ascii="仿宋_GB2312" w:hAnsi="仿宋" w:eastAsia="仿宋_GB2312"/>
          <w:color w:val="auto"/>
          <w:sz w:val="28"/>
          <w:szCs w:val="28"/>
        </w:rPr>
        <w:t>”字样，并由身份证持有人签字确认。上述资料均须加盖公章。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2"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2"/>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43"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43"/>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进行修改，</w:t>
      </w:r>
      <w:r>
        <w:rPr>
          <w:rFonts w:hint="eastAsia" w:ascii="仿宋_GB2312" w:hAnsi="仿宋" w:eastAsia="仿宋_GB2312"/>
          <w:color w:val="auto"/>
          <w:sz w:val="28"/>
          <w:szCs w:val="28"/>
        </w:rPr>
        <w:t>据此发出的补疑书将构成</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lang w:eastAsia="zh-CN"/>
        </w:rPr>
        <w:t>采购文件</w:t>
      </w:r>
      <w:r>
        <w:rPr>
          <w:rFonts w:hint="eastAsia" w:ascii="仿宋_GB2312" w:hAnsi="仿宋" w:eastAsia="仿宋_GB2312"/>
          <w:bCs/>
          <w:color w:val="auto"/>
          <w:spacing w:val="-4"/>
          <w:sz w:val="28"/>
          <w:szCs w:val="28"/>
        </w:rPr>
        <w:t>的修改在</w:t>
      </w:r>
      <w:r>
        <w:rPr>
          <w:rFonts w:hint="eastAsia" w:ascii="仿宋_GB2312" w:hAnsi="仿宋" w:eastAsia="仿宋_GB2312"/>
          <w:bCs/>
          <w:color w:val="auto"/>
          <w:spacing w:val="-4"/>
          <w:sz w:val="28"/>
          <w:szCs w:val="28"/>
          <w:lang w:eastAsia="zh-CN"/>
        </w:rPr>
        <w:t>新疆政府采购网</w:t>
      </w:r>
      <w:r>
        <w:rPr>
          <w:rFonts w:hint="eastAsia" w:ascii="仿宋_GB2312" w:hAnsi="仿宋" w:eastAsia="仿宋_GB2312"/>
          <w:bCs/>
          <w:color w:val="auto"/>
          <w:sz w:val="28"/>
          <w:szCs w:val="28"/>
        </w:rPr>
        <w:t>变更通知的形式予以公布或以书面形式通知所有获取</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的全部内容，按照</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的要求认真编制投标文件，保证所提供的全部资料合法、真实、完整、有效，以使其投标文件对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w:t>
      </w:r>
    </w:p>
    <w:p>
      <w:pPr>
        <w:pStyle w:val="18"/>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8.5营业执照、授权委托书、法定代表人资格证明、法人及授权委托人身份证复印件均需按要求加盖公章。</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w:t>
      </w:r>
      <w:r>
        <w:rPr>
          <w:rFonts w:hint="eastAsia" w:ascii="仿宋_GB2312" w:hAnsi="仿宋" w:eastAsia="仿宋_GB2312"/>
          <w:color w:val="auto"/>
          <w:sz w:val="28"/>
          <w:szCs w:val="28"/>
          <w:lang w:eastAsia="zh-CN"/>
        </w:rPr>
        <w:t>采购项文件</w:t>
      </w:r>
      <w:r>
        <w:rPr>
          <w:rFonts w:hint="eastAsia" w:ascii="仿宋_GB2312" w:hAnsi="仿宋" w:eastAsia="仿宋_GB2312"/>
          <w:color w:val="auto"/>
          <w:sz w:val="28"/>
          <w:szCs w:val="28"/>
        </w:rPr>
        <w:t>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10.1投标文件的组成：分为商务标和技术标两部分，必须分别、分开制作，否则视为无效标书。</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w:t>
      </w:r>
      <w:r>
        <w:rPr>
          <w:rFonts w:hint="eastAsia" w:ascii="仿宋_GB2312" w:hAnsi="仿宋" w:eastAsia="仿宋_GB2312"/>
          <w:b/>
          <w:color w:val="auto"/>
          <w:sz w:val="28"/>
          <w:szCs w:val="28"/>
          <w:lang w:eastAsia="zh-CN"/>
        </w:rPr>
        <w:t>报价文件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3、</w:t>
      </w:r>
      <w:r>
        <w:rPr>
          <w:rFonts w:hint="eastAsia" w:ascii="仿宋_GB2312" w:hAnsi="仿宋" w:eastAsia="仿宋_GB2312"/>
          <w:color w:val="auto"/>
          <w:sz w:val="28"/>
          <w:szCs w:val="28"/>
          <w:lang w:eastAsia="zh-CN"/>
        </w:rPr>
        <w:t>开标一览表、投标报价明细表</w:t>
      </w:r>
      <w:r>
        <w:rPr>
          <w:rFonts w:hint="eastAsia" w:ascii="仿宋_GB2312" w:hAnsi="仿宋" w:eastAsia="仿宋_GB2312"/>
          <w:color w:val="auto"/>
          <w:sz w:val="28"/>
          <w:szCs w:val="28"/>
        </w:rPr>
        <w:t>；</w:t>
      </w:r>
    </w:p>
    <w:p>
      <w:pPr>
        <w:pStyle w:val="18"/>
        <w:rPr>
          <w:rFonts w:hint="eastAsia" w:eastAsia="仿宋_GB2312"/>
          <w:lang w:val="en-US" w:eastAsia="zh-CN"/>
        </w:rPr>
      </w:pPr>
      <w:r>
        <w:rPr>
          <w:rFonts w:hint="eastAsia" w:eastAsia="仿宋_GB2312"/>
          <w:lang w:val="en-US" w:eastAsia="zh-CN"/>
        </w:rPr>
        <w:t xml:space="preserve">  </w:t>
      </w:r>
      <w:r>
        <w:rPr>
          <w:rFonts w:hint="eastAsia" w:eastAsia="仿宋_GB2312"/>
          <w:color w:val="auto"/>
          <w:lang w:val="en-US" w:eastAsia="zh-CN"/>
        </w:rPr>
        <w:t xml:space="preserve">  </w:t>
      </w:r>
      <w:r>
        <w:rPr>
          <w:rFonts w:hint="eastAsia" w:ascii="仿宋_GB2312" w:hAnsi="仿宋" w:eastAsia="仿宋_GB2312" w:cs="Times New Roman"/>
          <w:color w:val="auto"/>
          <w:kern w:val="2"/>
          <w:sz w:val="28"/>
          <w:szCs w:val="28"/>
          <w:lang w:val="en-US" w:eastAsia="zh-CN" w:bidi="ar-SA"/>
        </w:rPr>
        <w:t xml:space="preserve"> 4、保证金缴纳凭证。</w:t>
      </w:r>
    </w:p>
    <w:p>
      <w:pPr>
        <w:tabs>
          <w:tab w:val="left" w:pos="0"/>
        </w:tabs>
        <w:spacing w:line="360" w:lineRule="auto"/>
        <w:ind w:firstLine="281" w:firstLineChars="100"/>
        <w:rPr>
          <w:rFonts w:ascii="仿宋_GB2312" w:hAnsi="仿宋" w:eastAsia="仿宋_GB2312"/>
          <w:b/>
          <w:color w:val="auto"/>
          <w:sz w:val="28"/>
          <w:szCs w:val="28"/>
        </w:rPr>
      </w:pPr>
      <w:r>
        <w:rPr>
          <w:rFonts w:hint="eastAsia" w:ascii="仿宋_GB2312" w:hAnsi="仿宋" w:eastAsia="仿宋_GB2312"/>
          <w:b/>
          <w:color w:val="auto"/>
          <w:sz w:val="28"/>
          <w:szCs w:val="28"/>
        </w:rPr>
        <w:t>技术</w:t>
      </w:r>
      <w:r>
        <w:rPr>
          <w:rFonts w:hint="eastAsia" w:ascii="仿宋_GB2312" w:hAnsi="仿宋" w:eastAsia="仿宋_GB2312"/>
          <w:b/>
          <w:color w:val="auto"/>
          <w:sz w:val="28"/>
          <w:szCs w:val="28"/>
          <w:lang w:eastAsia="zh-CN"/>
        </w:rPr>
        <w:t>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营业执照副本</w:t>
      </w:r>
      <w:r>
        <w:rPr>
          <w:rFonts w:hint="eastAsia" w:ascii="仿宋_GB2312" w:hAnsi="仿宋" w:eastAsia="仿宋_GB2312"/>
          <w:color w:val="auto"/>
          <w:sz w:val="28"/>
          <w:szCs w:val="28"/>
          <w:lang w:eastAsia="zh-CN"/>
        </w:rPr>
        <w:t>、法人或授权委托人近三个月社保、近半年任意三个月的完税证明</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w:t>
      </w:r>
      <w:r>
        <w:rPr>
          <w:rFonts w:hint="eastAsia" w:ascii="仿宋_GB2312" w:hAnsi="仿宋" w:eastAsia="仿宋_GB2312"/>
          <w:color w:val="auto"/>
          <w:sz w:val="28"/>
          <w:szCs w:val="28"/>
          <w:highlight w:val="none"/>
          <w:lang w:eastAsia="zh-CN"/>
        </w:rPr>
        <w:t>供货及服务方案</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参数偏离表；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安装组织方案；</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培训服务方案；</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7、质量保证措施；</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8、2022年的财务审计报告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10、采购文件</w:t>
      </w:r>
      <w:r>
        <w:rPr>
          <w:rFonts w:hint="eastAsia" w:ascii="仿宋_GB2312" w:hAnsi="仿宋" w:eastAsia="仿宋_GB2312"/>
          <w:color w:val="auto"/>
          <w:sz w:val="28"/>
          <w:szCs w:val="28"/>
        </w:rPr>
        <w:t>要求的其它资格证明文件。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证明投标货物或服务符合</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规定的文件：</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（1）提交所有投标货物或服务和相应服务的合格性、符合性证明文件，该文件可以是文字资料、图表和数据等。</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未列明，而投标人认为必需的费用也需列入报价。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13.1投标文件应由法人或</w:t>
      </w:r>
      <w:r>
        <w:rPr>
          <w:rFonts w:hint="eastAsia" w:ascii="仿宋_GB2312" w:hAnsi="仿宋" w:eastAsia="仿宋_GB2312"/>
          <w:color w:val="auto"/>
          <w:sz w:val="28"/>
          <w:szCs w:val="28"/>
          <w:lang w:eastAsia="zh-CN"/>
        </w:rPr>
        <w:t>委托</w:t>
      </w:r>
      <w:r>
        <w:rPr>
          <w:rFonts w:hint="eastAsia" w:ascii="仿宋_GB2312" w:hAnsi="仿宋" w:eastAsia="仿宋_GB2312"/>
          <w:color w:val="auto"/>
          <w:sz w:val="28"/>
          <w:szCs w:val="28"/>
        </w:rPr>
        <w:t>代理人按规定签署</w:t>
      </w:r>
      <w:r>
        <w:rPr>
          <w:rFonts w:hint="eastAsia" w:ascii="仿宋_GB2312" w:hAnsi="仿宋" w:eastAsia="仿宋_GB2312"/>
          <w:color w:val="auto"/>
          <w:sz w:val="28"/>
          <w:szCs w:val="28"/>
          <w:lang w:val="en-US" w:eastAsia="zh-CN"/>
        </w:rPr>
        <w:t>或</w:t>
      </w:r>
      <w:r>
        <w:rPr>
          <w:rFonts w:hint="eastAsia" w:ascii="仿宋_GB2312" w:hAnsi="仿宋" w:eastAsia="仿宋_GB2312"/>
          <w:color w:val="auto"/>
          <w:sz w:val="28"/>
          <w:szCs w:val="28"/>
        </w:rPr>
        <w:t xml:space="preserve">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15　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w:t>
      </w:r>
      <w:r>
        <w:rPr>
          <w:rFonts w:hint="eastAsia" w:ascii="仿宋_GB2312" w:hAnsi="仿宋" w:eastAsia="仿宋_GB2312"/>
          <w:color w:val="auto"/>
          <w:sz w:val="28"/>
          <w:szCs w:val="28"/>
          <w:lang w:eastAsia="zh-CN"/>
        </w:rPr>
        <w:t>根据采购文件要求</w:t>
      </w:r>
      <w:r>
        <w:rPr>
          <w:rFonts w:hint="eastAsia" w:ascii="仿宋_GB2312" w:hAnsi="仿宋" w:eastAsia="仿宋_GB2312"/>
          <w:color w:val="auto"/>
          <w:sz w:val="28"/>
          <w:szCs w:val="28"/>
        </w:rPr>
        <w:t>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个工作日（通常情况下）内予以无息退还（后附保证金退还程序）；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rPr>
        <w:t>18</w:t>
      </w:r>
      <w:r>
        <w:rPr>
          <w:rFonts w:hint="eastAsia" w:ascii="仿宋_GB2312" w:hAnsi="仿宋" w:eastAsia="仿宋_GB2312"/>
          <w:b/>
          <w:bCs w:val="0"/>
          <w:color w:val="auto"/>
          <w:sz w:val="28"/>
          <w:szCs w:val="28"/>
          <w:shd w:val="clear" w:color="auto" w:fill="FFFFFF"/>
          <w:lang w:val="en-US" w:eastAsia="zh-CN"/>
        </w:rPr>
        <w:t>.1 投标人存在下列情况之一的，投标无效: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（一）未按照采购文件的规定提交投标保证金的；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（二）投标文件未按采购文件要求签署、盖章的；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（三）不具备采购文件中规定的资格要求的；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（四）报价超过采购文件中规定的预算金额或者最高限价的；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（五）投标文件含有采购人不能接受的附加条件的;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（六）法律、法规和采购文件规定的其他无效情形。</w:t>
      </w:r>
    </w:p>
    <w:p>
      <w:pPr>
        <w:spacing w:line="360" w:lineRule="auto"/>
        <w:ind w:firstLine="562" w:firstLineChars="200"/>
        <w:rPr>
          <w:rFonts w:hint="eastAsia" w:ascii="仿宋_GB2312" w:hAnsi="仿宋" w:eastAsia="仿宋_GB2312"/>
          <w:b/>
          <w:bCs w:val="0"/>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lang w:val="en-US" w:eastAsia="zh-CN"/>
        </w:rPr>
        <w:t>18.2有下列情形之一的，视为投标人串通投标，其投标无效：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（一）不同投标人的投标文件由同一单位或者个人编制；</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（二）不同投标人委托同一单位或者个人办理投标事宜；</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（四）不同投标人的投标文件异常一致或者投标报价呈规律性差异；</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（五）不同投标人的投标文件相互混装；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lang w:val="en-US" w:eastAsia="zh-CN"/>
        </w:rPr>
        <w:t>（六）不同投标人的投标保证金从同一单位或者个人的账户转出。</w:t>
      </w:r>
    </w:p>
    <w:p>
      <w:pPr>
        <w:spacing w:line="360" w:lineRule="auto"/>
        <w:ind w:firstLine="560" w:firstLineChars="200"/>
        <w:rPr>
          <w:rFonts w:ascii="仿宋_GB2312" w:hAnsi="仿宋" w:eastAsia="仿宋_GB2312"/>
          <w:color w:val="auto"/>
          <w:sz w:val="28"/>
          <w:szCs w:val="28"/>
          <w:shd w:val="clear" w:color="auto" w:fill="FFFFFF"/>
        </w:rPr>
      </w:pP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19.1采购代理机构将按照</w:t>
      </w:r>
      <w:r>
        <w:rPr>
          <w:rFonts w:hint="eastAsia" w:ascii="仿宋_GB2312" w:hAnsi="仿宋" w:eastAsia="仿宋_GB2312"/>
          <w:color w:val="auto"/>
          <w:sz w:val="28"/>
          <w:szCs w:val="28"/>
          <w:shd w:val="clear" w:color="auto" w:fill="FFFFFF"/>
          <w:lang w:val="en-US" w:eastAsia="zh-CN"/>
        </w:rPr>
        <w:t>采购文件</w:t>
      </w:r>
      <w:r>
        <w:rPr>
          <w:rFonts w:hint="eastAsia" w:ascii="仿宋_GB2312" w:hAnsi="仿宋" w:eastAsia="仿宋_GB2312"/>
          <w:color w:val="auto"/>
          <w:sz w:val="28"/>
          <w:szCs w:val="28"/>
          <w:shd w:val="clear" w:color="auto" w:fill="FFFFFF"/>
        </w:rPr>
        <w:t>规定的时间通过“政府采购云平台”组织开标、开启</w:t>
      </w:r>
      <w:r>
        <w:rPr>
          <w:rFonts w:hint="eastAsia" w:ascii="仿宋_GB2312" w:hAnsi="仿宋" w:eastAsia="仿宋_GB2312"/>
          <w:color w:val="auto"/>
          <w:sz w:val="28"/>
          <w:szCs w:val="28"/>
          <w:shd w:val="clear" w:color="auto" w:fill="FFFFFF"/>
          <w:lang w:val="en-US" w:eastAsia="zh-CN"/>
        </w:rPr>
        <w:t>投标</w:t>
      </w:r>
      <w:r>
        <w:rPr>
          <w:rFonts w:hint="eastAsia" w:ascii="仿宋_GB2312" w:hAnsi="仿宋" w:eastAsia="仿宋_GB2312"/>
          <w:color w:val="auto"/>
          <w:sz w:val="28"/>
          <w:szCs w:val="28"/>
          <w:shd w:val="clear" w:color="auto" w:fill="FFFFFF"/>
        </w:rPr>
        <w:t>文件，所有</w:t>
      </w:r>
      <w:r>
        <w:rPr>
          <w:rFonts w:hint="eastAsia" w:ascii="仿宋_GB2312" w:hAnsi="仿宋" w:eastAsia="仿宋_GB2312"/>
          <w:color w:val="auto"/>
          <w:sz w:val="28"/>
          <w:szCs w:val="28"/>
          <w:shd w:val="clear" w:color="auto" w:fill="FFFFFF"/>
          <w:lang w:val="en-US" w:eastAsia="zh-CN"/>
        </w:rPr>
        <w:t>投标单位</w:t>
      </w:r>
      <w:r>
        <w:rPr>
          <w:rFonts w:hint="eastAsia" w:ascii="仿宋_GB2312" w:hAnsi="仿宋" w:eastAsia="仿宋_GB2312"/>
          <w:color w:val="auto"/>
          <w:sz w:val="28"/>
          <w:szCs w:val="28"/>
          <w:shd w:val="clear" w:color="auto" w:fill="FFFFFF"/>
        </w:rPr>
        <w:t>均应当准时在线参加。</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2</w:t>
      </w:r>
      <w:r>
        <w:rPr>
          <w:rFonts w:hint="eastAsia" w:ascii="仿宋_GB2312" w:hAnsi="仿宋" w:eastAsia="仿宋_GB2312" w:cs="Times New Roman"/>
          <w:color w:val="auto"/>
          <w:sz w:val="28"/>
          <w:szCs w:val="28"/>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3</w:t>
      </w:r>
      <w:r>
        <w:rPr>
          <w:rFonts w:hint="eastAsia" w:ascii="仿宋_GB2312" w:hAnsi="仿宋" w:eastAsia="仿宋_GB2312" w:cs="Times New Roman"/>
          <w:color w:val="auto"/>
          <w:sz w:val="28"/>
          <w:szCs w:val="28"/>
          <w:shd w:val="clear" w:color="auto" w:fill="FFFFFF"/>
        </w:rPr>
        <w:t xml:space="preserve"> 采购代理机构将按照</w:t>
      </w:r>
      <w:r>
        <w:rPr>
          <w:rFonts w:hint="eastAsia" w:ascii="仿宋_GB2312" w:hAnsi="仿宋" w:eastAsia="仿宋_GB2312" w:cs="Times New Roman"/>
          <w:color w:val="auto"/>
          <w:sz w:val="28"/>
          <w:szCs w:val="28"/>
          <w:shd w:val="clear" w:color="auto" w:fill="FFFFFF"/>
          <w:lang w:val="en-US" w:eastAsia="zh-CN"/>
        </w:rPr>
        <w:t>采购文件</w:t>
      </w:r>
      <w:r>
        <w:rPr>
          <w:rFonts w:hint="eastAsia" w:ascii="仿宋_GB2312" w:hAnsi="仿宋" w:eastAsia="仿宋_GB2312" w:cs="Times New Roman"/>
          <w:color w:val="auto"/>
          <w:sz w:val="28"/>
          <w:szCs w:val="28"/>
          <w:shd w:val="clear" w:color="auto" w:fill="FFFFFF"/>
        </w:rPr>
        <w:t>规定的时间通过“政府采购云平台”组织开标、开启</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文件，所有</w:t>
      </w:r>
      <w:r>
        <w:rPr>
          <w:rFonts w:hint="eastAsia" w:ascii="仿宋_GB2312" w:hAnsi="仿宋" w:eastAsia="仿宋_GB2312" w:cs="Times New Roman"/>
          <w:color w:val="auto"/>
          <w:sz w:val="28"/>
          <w:szCs w:val="28"/>
          <w:shd w:val="clear" w:color="auto" w:fill="FFFFFF"/>
          <w:lang w:val="en-US" w:eastAsia="zh-CN"/>
        </w:rPr>
        <w:t>投标单位</w:t>
      </w:r>
      <w:r>
        <w:rPr>
          <w:rFonts w:hint="eastAsia" w:ascii="仿宋_GB2312" w:hAnsi="仿宋" w:eastAsia="仿宋_GB2312" w:cs="Times New Roman"/>
          <w:color w:val="auto"/>
          <w:sz w:val="28"/>
          <w:szCs w:val="28"/>
          <w:shd w:val="clear" w:color="auto" w:fill="FFFFFF"/>
        </w:rPr>
        <w:t>均应当准时在线参加。</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因未在线参加开标而导致</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文件无法按时解密等一切后果由</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19.4</w:t>
      </w:r>
      <w:r>
        <w:rPr>
          <w:rFonts w:hint="eastAsia" w:ascii="仿宋_GB2312" w:hAnsi="仿宋" w:eastAsia="仿宋_GB2312" w:cs="Times New Roman"/>
          <w:color w:val="auto"/>
          <w:sz w:val="28"/>
          <w:szCs w:val="28"/>
          <w:shd w:val="clear" w:color="auto" w:fill="FFFFFF"/>
        </w:rPr>
        <w:t>向各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发出电子加密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【开始解密】通知，</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应在开标后30分钟内完成在线解密工作。</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在规定的时间内无法完成已递交的“电子加密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”解密的，如已按规定递交了备份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的，将由采购代理机构按“政府采购云平台”操作规范将备份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上传至“政府采购云平台”，上传成功后，“电子加密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19.5</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解密结束，签署《政府采购活动现场确认声明书》；</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19.6</w:t>
      </w:r>
      <w:r>
        <w:rPr>
          <w:rFonts w:hint="eastAsia" w:ascii="仿宋_GB2312" w:hAnsi="仿宋" w:eastAsia="仿宋_GB2312" w:cs="Times New Roman"/>
          <w:color w:val="auto"/>
          <w:sz w:val="28"/>
          <w:szCs w:val="28"/>
          <w:shd w:val="clear" w:color="auto" w:fill="FFFFFF"/>
        </w:rPr>
        <w:t>开启</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shd w:val="clear" w:color="auto" w:fill="FFFFFF"/>
          <w:lang w:eastAsia="zh-CN"/>
        </w:rPr>
      </w:pPr>
      <w:r>
        <w:rPr>
          <w:rFonts w:hint="eastAsia" w:ascii="仿宋_GB2312" w:hAnsi="仿宋" w:eastAsia="仿宋_GB2312" w:cs="Times New Roman"/>
          <w:color w:val="auto"/>
          <w:sz w:val="28"/>
          <w:szCs w:val="28"/>
          <w:shd w:val="clear" w:color="auto" w:fill="FFFFFF"/>
          <w:lang w:val="en-US" w:eastAsia="zh-CN"/>
        </w:rPr>
        <w:t>19.7</w:t>
      </w:r>
      <w:r>
        <w:rPr>
          <w:rFonts w:hint="eastAsia" w:ascii="仿宋_GB2312" w:hAnsi="仿宋" w:eastAsia="仿宋_GB2312" w:cs="Times New Roman"/>
          <w:color w:val="auto"/>
          <w:sz w:val="28"/>
          <w:szCs w:val="28"/>
          <w:shd w:val="clear" w:color="auto" w:fill="FFFFFF"/>
        </w:rPr>
        <w:t>开启资格审查通过的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的商务技术文件进入符合性审查、商务技术评审</w:t>
      </w:r>
      <w:r>
        <w:rPr>
          <w:rFonts w:hint="eastAsia" w:ascii="仿宋_GB2312" w:hAnsi="仿宋" w:eastAsia="仿宋_GB2312" w:cs="Times New Roman"/>
          <w:color w:val="auto"/>
          <w:sz w:val="28"/>
          <w:szCs w:val="28"/>
          <w:shd w:val="clear" w:color="auto" w:fill="FFFFFF"/>
          <w:lang w:eastAsia="zh-CN"/>
        </w:rPr>
        <w:t>。</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w:t>
      </w:r>
      <w:r>
        <w:rPr>
          <w:rFonts w:hint="eastAsia" w:ascii="仿宋_GB2312" w:hAnsi="仿宋" w:eastAsia="仿宋_GB2312"/>
          <w:bCs/>
          <w:color w:val="auto"/>
          <w:sz w:val="28"/>
          <w:szCs w:val="28"/>
          <w:shd w:val="clear" w:color="auto" w:fill="FFFFFF"/>
          <w:lang w:eastAsia="zh-CN"/>
        </w:rPr>
        <w:t>采购文件</w:t>
      </w:r>
      <w:r>
        <w:rPr>
          <w:rFonts w:hint="eastAsia" w:ascii="仿宋_GB2312" w:hAnsi="仿宋" w:eastAsia="仿宋_GB2312"/>
          <w:bCs/>
          <w:color w:val="auto"/>
          <w:sz w:val="28"/>
          <w:szCs w:val="28"/>
          <w:shd w:val="clear" w:color="auto" w:fill="FFFFFF"/>
        </w:rPr>
        <w:t>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w:t>
      </w:r>
      <w:r>
        <w:rPr>
          <w:rFonts w:hint="eastAsia" w:ascii="仿宋_GB2312" w:hAnsi="仿宋" w:eastAsia="仿宋_GB2312" w:cs="宋体"/>
          <w:b w:val="0"/>
          <w:bCs w:val="0"/>
          <w:color w:val="auto"/>
          <w:kern w:val="0"/>
          <w:sz w:val="28"/>
          <w:szCs w:val="28"/>
        </w:rPr>
        <w:t>法</w:t>
      </w:r>
      <w:r>
        <w:rPr>
          <w:rFonts w:hint="eastAsia" w:ascii="仿宋_GB2312" w:hAnsi="仿宋" w:eastAsia="仿宋_GB2312"/>
          <w:b w:val="0"/>
          <w:bCs w:val="0"/>
          <w:color w:val="auto"/>
          <w:sz w:val="28"/>
          <w:szCs w:val="28"/>
          <w:shd w:val="clear" w:color="auto" w:fill="FFFFFF"/>
          <w:lang w:eastAsia="zh-CN"/>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2" w:firstLineChars="200"/>
        <w:rPr>
          <w:rFonts w:hint="eastAsia" w:ascii="仿宋_GB2312" w:hAnsi="仿宋" w:eastAsia="仿宋_GB2312"/>
          <w:b/>
          <w:bCs/>
          <w:color w:val="auto"/>
          <w:sz w:val="28"/>
          <w:szCs w:val="28"/>
          <w:shd w:val="clear" w:color="auto" w:fill="FFFFFF"/>
          <w:lang w:val="en-US" w:eastAsia="zh-CN"/>
        </w:rPr>
      </w:pPr>
      <w:r>
        <w:rPr>
          <w:rFonts w:hint="eastAsia" w:ascii="仿宋_GB2312" w:hAnsi="仿宋" w:eastAsia="仿宋_GB2312"/>
          <w:b/>
          <w:bCs/>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文件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pStyle w:val="20"/>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0"/>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0"/>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0"/>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0"/>
        <w:rPr>
          <w:rFonts w:hint="eastAsia" w:ascii="仿宋_GB2312" w:hAnsi="仿宋" w:eastAsia="仿宋_GB2312"/>
          <w:b/>
          <w:color w:val="auto"/>
          <w:sz w:val="28"/>
          <w:szCs w:val="28"/>
          <w:shd w:val="clear" w:color="auto" w:fill="FFFFFF"/>
        </w:rPr>
      </w:pPr>
    </w:p>
    <w:p>
      <w:pPr>
        <w:rPr>
          <w:rFonts w:hint="eastAsia"/>
        </w:rPr>
      </w:pPr>
    </w:p>
    <w:p>
      <w:pPr>
        <w:pStyle w:val="18"/>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0"/>
        <w:rPr>
          <w:rFonts w:hint="eastAsia"/>
        </w:rPr>
      </w:pPr>
    </w:p>
    <w:p>
      <w:pPr>
        <w:snapToGrid w:val="0"/>
        <w:spacing w:line="360" w:lineRule="auto"/>
        <w:ind w:firstLine="551" w:firstLineChars="196"/>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 xml:space="preserve">22.1 </w:t>
      </w:r>
      <w:r>
        <w:rPr>
          <w:rFonts w:hint="eastAsia" w:ascii="仿宋_GB2312" w:hAnsi="仿宋" w:eastAsia="仿宋_GB2312"/>
          <w:b/>
          <w:color w:val="auto"/>
          <w:sz w:val="28"/>
          <w:szCs w:val="28"/>
          <w:shd w:val="clear" w:color="auto" w:fill="FFFFFF"/>
          <w:lang w:eastAsia="zh-CN"/>
        </w:rPr>
        <w:t>报价</w:t>
      </w:r>
      <w:r>
        <w:rPr>
          <w:rFonts w:hint="eastAsia" w:ascii="仿宋_GB2312" w:hAnsi="仿宋" w:eastAsia="仿宋_GB2312"/>
          <w:b/>
          <w:color w:val="auto"/>
          <w:sz w:val="28"/>
          <w:szCs w:val="28"/>
          <w:shd w:val="clear" w:color="auto" w:fill="FFFFFF"/>
        </w:rPr>
        <w:t>部分30分</w:t>
      </w:r>
    </w:p>
    <w:p>
      <w:pPr>
        <w:ind w:firstLine="562" w:firstLineChars="200"/>
        <w:jc w:val="left"/>
        <w:rPr>
          <w:rFonts w:ascii="宋体" w:hAnsi="宋体"/>
          <w:bCs/>
          <w:color w:val="auto"/>
          <w:szCs w:val="21"/>
        </w:rPr>
      </w:pPr>
      <w:r>
        <w:rPr>
          <w:rFonts w:hint="eastAsia" w:ascii="仿宋_GB2312" w:hAnsi="仿宋" w:eastAsia="仿宋_GB2312"/>
          <w:b/>
          <w:color w:val="auto"/>
          <w:sz w:val="28"/>
          <w:szCs w:val="28"/>
          <w:shd w:val="clear" w:color="auto" w:fill="FFFFFF"/>
        </w:rPr>
        <w:t>22.2 技术部分 70分</w:t>
      </w:r>
    </w:p>
    <w:tbl>
      <w:tblPr>
        <w:tblStyle w:val="42"/>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序号</w:t>
            </w:r>
          </w:p>
        </w:tc>
        <w:tc>
          <w:tcPr>
            <w:tcW w:w="1413"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考核项目</w:t>
            </w:r>
          </w:p>
        </w:tc>
        <w:tc>
          <w:tcPr>
            <w:tcW w:w="960"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分数</w:t>
            </w:r>
          </w:p>
        </w:tc>
        <w:tc>
          <w:tcPr>
            <w:tcW w:w="6934" w:type="dxa"/>
            <w:noWrap w:val="0"/>
            <w:vAlign w:val="center"/>
          </w:tcPr>
          <w:p>
            <w:pPr>
              <w:pStyle w:val="106"/>
              <w:spacing w:before="0" w:after="0" w:line="240" w:lineRule="auto"/>
              <w:ind w:firstLine="2486" w:firstLineChars="1032"/>
              <w:rPr>
                <w:rFonts w:hint="eastAsia" w:ascii="仿宋" w:hAnsi="仿宋" w:eastAsia="仿宋" w:cs="仿宋"/>
                <w:b/>
                <w:color w:val="auto"/>
                <w:szCs w:val="24"/>
              </w:rPr>
            </w:pPr>
            <w:r>
              <w:rPr>
                <w:rFonts w:hint="eastAsia" w:ascii="仿宋" w:hAnsi="仿宋" w:eastAsia="仿宋" w:cs="仿宋"/>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106"/>
              <w:spacing w:line="0" w:lineRule="atLeast"/>
              <w:ind w:firstLineChars="200"/>
              <w:jc w:val="center"/>
              <w:rPr>
                <w:rFonts w:hint="eastAsia" w:ascii="仿宋" w:hAnsi="仿宋" w:eastAsia="仿宋" w:cs="仿宋"/>
                <w:color w:val="auto"/>
                <w:sz w:val="23"/>
                <w:szCs w:val="23"/>
              </w:rPr>
            </w:pPr>
            <w:r>
              <w:rPr>
                <w:rFonts w:hint="eastAsia" w:ascii="仿宋" w:hAnsi="仿宋" w:eastAsia="仿宋" w:cs="仿宋"/>
                <w:color w:val="auto"/>
                <w:sz w:val="23"/>
                <w:szCs w:val="23"/>
              </w:rPr>
              <w:t>报价部分</w:t>
            </w:r>
            <w:r>
              <w:rPr>
                <w:rFonts w:hint="eastAsia" w:ascii="仿宋" w:hAnsi="仿宋" w:eastAsia="仿宋" w:cs="仿宋"/>
                <w:color w:val="auto"/>
                <w:sz w:val="23"/>
                <w:szCs w:val="23"/>
                <w:lang w:val="en-US" w:eastAsia="zh-CN"/>
              </w:rPr>
              <w:t>30</w:t>
            </w:r>
            <w:r>
              <w:rPr>
                <w:rFonts w:hint="eastAsia" w:ascii="仿宋" w:hAnsi="仿宋" w:eastAsia="仿宋" w:cs="仿宋"/>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lang w:val="en-US" w:eastAsia="zh-CN"/>
              </w:rPr>
              <w:t>30</w:t>
            </w:r>
            <w:r>
              <w:rPr>
                <w:rFonts w:hint="eastAsia" w:ascii="仿宋" w:hAnsi="仿宋" w:eastAsia="仿宋" w:cs="仿宋"/>
                <w:color w:val="auto"/>
                <w:spacing w:val="-16"/>
                <w:sz w:val="23"/>
                <w:szCs w:val="23"/>
              </w:rPr>
              <w:t>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pPr>
              <w:pStyle w:val="106"/>
              <w:spacing w:line="320" w:lineRule="exact"/>
              <w:ind w:firstLine="0" w:firstLineChars="0"/>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根据财政部发布的《政府采购促进中小企业发展管理办法》规定，对于非专门面向中小企业的项目，对中型小型和微型企业产品的投标价格给予 10%-20% 的扣除，用扣除后的价格参与评审（成交价及合同价仍以其投标报价为准）。本项目为非专门面向中小企业的项目，给予10%扣除。</w:t>
            </w:r>
          </w:p>
          <w:p>
            <w:pPr>
              <w:pStyle w:val="106"/>
              <w:spacing w:line="320" w:lineRule="exact"/>
              <w:ind w:firstLine="0" w:firstLineChars="0"/>
              <w:rPr>
                <w:rFonts w:hint="default"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同时符合以下所有要求的供应商被认定为中型小型、微型企业：供应商按照《关于印发中小企业划型标准规定的通知》（工信部联企业〔2011〕300号）的所属行业规定为中型小型、微型企业【按《关于印发中小企业划型标准规定的通知》规定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lang w:val="en-US" w:eastAsia="zh-CN"/>
              </w:rPr>
            </w:pPr>
            <w:r>
              <w:rPr>
                <w:rFonts w:hint="eastAsia" w:ascii="仿宋" w:hAnsi="仿宋" w:eastAsia="仿宋" w:cs="仿宋"/>
                <w:bCs/>
                <w:color w:val="auto"/>
                <w:sz w:val="24"/>
                <w:szCs w:val="24"/>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lang w:val="en-US" w:eastAsia="zh-CN"/>
              </w:rPr>
              <w:t>15</w:t>
            </w:r>
            <w:r>
              <w:rPr>
                <w:rFonts w:hint="eastAsia" w:ascii="仿宋" w:hAnsi="仿宋" w:eastAsia="仿宋" w:cs="仿宋"/>
                <w:color w:val="auto"/>
                <w:spacing w:val="-16"/>
                <w:sz w:val="24"/>
                <w:szCs w:val="24"/>
              </w:rPr>
              <w:t>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技术指标和配置：所有产品完全符合采购文件要求得10分，产品参数每优于采购文件一项加1分，最多加5分。</w:t>
            </w:r>
            <w:r>
              <w:rPr>
                <w:rFonts w:hint="eastAsia" w:ascii="仿宋" w:hAnsi="仿宋" w:eastAsia="仿宋" w:cs="仿宋"/>
                <w:bCs/>
                <w:color w:val="auto"/>
                <w:kern w:val="2"/>
                <w:sz w:val="24"/>
                <w:szCs w:val="24"/>
                <w:highlight w:val="none"/>
                <w:lang w:val="en-US" w:eastAsia="zh-CN" w:bidi="ar-SA"/>
              </w:rPr>
              <w:t>本项最高得15分。（应提供产品图片及相关参数描述）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w:t>
            </w:r>
          </w:p>
        </w:tc>
        <w:tc>
          <w:tcPr>
            <w:tcW w:w="1413" w:type="dxa"/>
            <w:tcBorders>
              <w:top w:val="single" w:color="auto" w:sz="4" w:space="0"/>
              <w:bottom w:val="single" w:color="auto" w:sz="4" w:space="0"/>
            </w:tcBorders>
            <w:noWrap w:val="0"/>
            <w:vAlign w:val="center"/>
          </w:tcPr>
          <w:p>
            <w:pPr>
              <w:spacing w:line="32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供货及服务方案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6934" w:type="dxa"/>
            <w:tcBorders>
              <w:top w:val="single" w:color="auto" w:sz="4" w:space="0"/>
              <w:bottom w:val="single" w:color="auto" w:sz="4" w:space="0"/>
            </w:tcBorders>
            <w:noWrap w:val="0"/>
            <w:vAlign w:val="top"/>
          </w:tcPr>
          <w:p>
            <w:pPr>
              <w:pStyle w:val="211"/>
              <w:keepNext w:val="0"/>
              <w:keepLines w:val="0"/>
              <w:widowControl w:val="0"/>
              <w:numPr>
                <w:ilvl w:val="0"/>
                <w:numId w:val="0"/>
              </w:numPr>
              <w:shd w:val="clear" w:color="auto" w:fill="auto"/>
              <w:tabs>
                <w:tab w:val="left" w:pos="240"/>
              </w:tabs>
              <w:bidi w:val="0"/>
              <w:spacing w:before="0" w:after="0" w:line="465" w:lineRule="exact"/>
              <w:ind w:leftChars="0" w:right="0" w:right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供应商提供的1.采购方案：投标人拟定采购供货方案，供货时效满足采购人要求；2.运输计划：从产品出厂到采购人指定地点的运输计划、时效等；3.应急方案：在运输过程中各种突发情况的应对方案（突发事件）的应急预案及相应的措施和应急方案、产品退换（缺陷产品更换）等；4.产品运输：运输过程中保证货物不受损的安全措施和货物保险等；5.保障措施：为精准实现供货计划的保障措施；根据以上5点进行综合评审，本项最高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w:t>
            </w:r>
          </w:p>
        </w:tc>
        <w:tc>
          <w:tcPr>
            <w:tcW w:w="1413" w:type="dxa"/>
            <w:tcBorders>
              <w:top w:val="single" w:color="auto" w:sz="4" w:space="0"/>
              <w:bottom w:val="single" w:color="auto" w:sz="4" w:space="0"/>
            </w:tcBorders>
            <w:noWrap w:val="0"/>
            <w:vAlign w:val="center"/>
          </w:tcPr>
          <w:p>
            <w:pPr>
              <w:pStyle w:val="211"/>
              <w:keepNext w:val="0"/>
              <w:keepLines w:val="0"/>
              <w:widowControl w:val="0"/>
              <w:shd w:val="clear" w:color="auto" w:fill="auto"/>
              <w:bidi w:val="0"/>
              <w:spacing w:before="0" w:after="0" w:line="465" w:lineRule="exact"/>
              <w:ind w:right="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安装组织方案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有详尽、合理的安装、运送组织方案；有确保产品安装质量的技术措施以及投标人的人员设备力量。本项最高得10分。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1413"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应急维修响应时间</w:t>
            </w:r>
          </w:p>
        </w:tc>
        <w:tc>
          <w:tcPr>
            <w:tcW w:w="960"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5分</w:t>
            </w:r>
          </w:p>
        </w:tc>
        <w:tc>
          <w:tcPr>
            <w:tcW w:w="6934" w:type="dxa"/>
            <w:tcBorders>
              <w:top w:val="single" w:color="auto" w:sz="4" w:space="0"/>
              <w:bottom w:val="single" w:color="auto" w:sz="4" w:space="0"/>
            </w:tcBorders>
            <w:noWrap w:val="0"/>
            <w:vAlign w:val="center"/>
          </w:tcPr>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1、2小时之内响应，24小时之内安排相关设备、人员到场解决处理问题得5分；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2、4小时之内响应，36小时之内安排相关设备、人员到场解决处理问题得3分；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3、8小时之内响应，18小时之内安排相关设备、人员到场解决处理问题得1分；</w:t>
            </w:r>
          </w:p>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4、8小时以上不得分。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培训服务方案</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投标单位</w:t>
            </w:r>
            <w:r>
              <w:rPr>
                <w:rFonts w:hint="eastAsia" w:ascii="仿宋" w:hAnsi="仿宋" w:eastAsia="仿宋" w:cs="仿宋"/>
                <w:bCs/>
                <w:color w:val="auto"/>
                <w:kern w:val="2"/>
                <w:sz w:val="24"/>
                <w:szCs w:val="24"/>
                <w:highlight w:val="none"/>
                <w:lang w:val="zh-CN" w:eastAsia="zh-CN" w:bidi="ar-SA"/>
              </w:rPr>
              <w:t>负责系统安装和调试以及操作人员培训，并制定详细的培训计划，使操作人员能独立进行管理、操作、维护和故障处理等工作，做好相关记录及技术文档收集整理。</w:t>
            </w:r>
            <w:r>
              <w:rPr>
                <w:rFonts w:hint="eastAsia" w:ascii="仿宋" w:hAnsi="仿宋" w:eastAsia="仿宋" w:cs="仿宋"/>
                <w:bCs/>
                <w:color w:val="auto"/>
                <w:kern w:val="2"/>
                <w:sz w:val="24"/>
                <w:szCs w:val="24"/>
                <w:highlight w:val="none"/>
                <w:lang w:val="en-US" w:eastAsia="zh-CN" w:bidi="ar-SA"/>
              </w:rPr>
              <w:t>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质量保证措施</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针对本项目制定质量保证措施、质量管理体系及保密管理措施、质量保证措施等进行综合评分。本项最高得8分。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合理化建议</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对本项目提出建议，建议内容合理完整、方法科学可行。本项最高得3分。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9</w:t>
            </w:r>
          </w:p>
        </w:tc>
        <w:tc>
          <w:tcPr>
            <w:tcW w:w="1413"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同类业务合同</w:t>
            </w:r>
          </w:p>
        </w:tc>
        <w:tc>
          <w:tcPr>
            <w:tcW w:w="960"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6分</w:t>
            </w:r>
          </w:p>
        </w:tc>
        <w:tc>
          <w:tcPr>
            <w:tcW w:w="6934" w:type="dxa"/>
            <w:tcBorders>
              <w:top w:val="single" w:color="auto" w:sz="4" w:space="0"/>
              <w:bottom w:val="single" w:color="auto" w:sz="4" w:space="0"/>
            </w:tcBorders>
            <w:noWrap w:val="0"/>
            <w:vAlign w:val="center"/>
          </w:tcPr>
          <w:p>
            <w:pPr>
              <w:pStyle w:val="106"/>
              <w:ind w:left="0" w:leftChars="0" w:firstLine="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需提供近三年（2020年01月01日至今）的同类项目业绩，每提供一项得2分，最多得6分。（合同或中标通知书原件扫描件加盖公章），未提供证明资料或无法辨识的，视为业绩不计分。</w:t>
            </w:r>
          </w:p>
        </w:tc>
      </w:tr>
    </w:tbl>
    <w:p>
      <w:pPr>
        <w:spacing w:line="360" w:lineRule="auto"/>
        <w:rPr>
          <w:rFonts w:ascii="仿宋_GB2312" w:hAnsi="仿宋" w:eastAsia="仿宋_GB2312"/>
          <w:b/>
          <w:color w:val="auto"/>
          <w:sz w:val="28"/>
          <w:szCs w:val="28"/>
          <w:shd w:val="clear" w:color="auto" w:fill="FFFFFF"/>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的要求。实质上响应是指投标文件与</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要求的投标书将作为</w:t>
      </w:r>
      <w:r>
        <w:rPr>
          <w:rFonts w:hint="eastAsia" w:ascii="仿宋_GB2312" w:hAnsi="仿宋" w:eastAsia="仿宋_GB2312"/>
          <w:color w:val="auto"/>
          <w:sz w:val="28"/>
          <w:szCs w:val="28"/>
          <w:shd w:val="clear" w:color="auto" w:fill="FFFFFF"/>
          <w:lang w:val="en-US" w:eastAsia="zh-CN"/>
        </w:rPr>
        <w:t>无效标</w:t>
      </w:r>
      <w:r>
        <w:rPr>
          <w:rFonts w:hint="eastAsia" w:ascii="仿宋_GB2312" w:hAnsi="仿宋" w:eastAsia="仿宋_GB2312"/>
          <w:color w:val="auto"/>
          <w:sz w:val="28"/>
          <w:szCs w:val="28"/>
          <w:shd w:val="clear" w:color="auto" w:fill="FFFFFF"/>
        </w:rPr>
        <w:t>，投标人不得通过修正或撤销不符合要求的偏离或保留从而使其投标文件成为实质上响应的投标。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w:t>
      </w:r>
      <w:r>
        <w:rPr>
          <w:rFonts w:hint="eastAsia" w:ascii="仿宋_GB2312" w:hAnsi="仿宋" w:eastAsia="仿宋_GB2312"/>
          <w:bCs/>
          <w:color w:val="auto"/>
          <w:sz w:val="28"/>
          <w:szCs w:val="28"/>
          <w:u w:val="single"/>
          <w:shd w:val="clear" w:color="auto" w:fill="FFFFFF"/>
          <w:lang w:val="en-US" w:eastAsia="zh-CN"/>
        </w:rPr>
        <w:t>无效标</w:t>
      </w:r>
      <w:r>
        <w:rPr>
          <w:rFonts w:hint="eastAsia" w:ascii="仿宋_GB2312" w:hAnsi="仿宋" w:eastAsia="仿宋_GB2312"/>
          <w:bCs/>
          <w:color w:val="auto"/>
          <w:sz w:val="28"/>
          <w:szCs w:val="28"/>
          <w:u w:val="single"/>
          <w:shd w:val="clear" w:color="auto" w:fill="FFFFFF"/>
        </w:rPr>
        <w:t>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24.3投标文件的内容模糊、不详实、</w:t>
      </w:r>
      <w:r>
        <w:rPr>
          <w:rFonts w:hint="eastAsia" w:ascii="仿宋_GB2312" w:hAnsi="仿宋" w:eastAsia="仿宋_GB2312"/>
          <w:bCs/>
          <w:color w:val="auto"/>
          <w:sz w:val="28"/>
          <w:szCs w:val="28"/>
          <w:u w:val="single"/>
          <w:shd w:val="clear" w:color="auto" w:fill="FFFFFF"/>
          <w:lang w:eastAsia="zh-CN"/>
        </w:rPr>
        <w:t>有</w:t>
      </w:r>
      <w:r>
        <w:rPr>
          <w:rFonts w:hint="eastAsia" w:ascii="仿宋_GB2312" w:hAnsi="仿宋" w:eastAsia="仿宋_GB2312"/>
          <w:bCs/>
          <w:color w:val="auto"/>
          <w:sz w:val="28"/>
          <w:szCs w:val="28"/>
          <w:u w:val="single"/>
          <w:shd w:val="clear" w:color="auto" w:fill="FFFFFF"/>
        </w:rPr>
        <w:t xml:space="preserve">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中明确要求的事项，产品未标明品牌</w:t>
      </w:r>
      <w:r>
        <w:rPr>
          <w:rFonts w:hint="eastAsia" w:ascii="仿宋_GB2312" w:hAnsi="仿宋" w:eastAsia="仿宋_GB2312"/>
          <w:bCs/>
          <w:color w:val="auto"/>
          <w:sz w:val="28"/>
          <w:szCs w:val="28"/>
          <w:u w:val="single"/>
          <w:shd w:val="clear" w:color="auto" w:fill="FFFFFF"/>
          <w:lang w:eastAsia="zh-CN"/>
        </w:rPr>
        <w:t>（仅限核心设备）</w:t>
      </w:r>
      <w:r>
        <w:rPr>
          <w:rFonts w:hint="eastAsia" w:ascii="仿宋_GB2312" w:hAnsi="仿宋" w:eastAsia="仿宋_GB2312"/>
          <w:bCs/>
          <w:color w:val="auto"/>
          <w:sz w:val="28"/>
          <w:szCs w:val="28"/>
          <w:u w:val="single"/>
          <w:shd w:val="clear" w:color="auto" w:fill="FFFFFF"/>
        </w:rPr>
        <w:t>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5</w:t>
      </w:r>
      <w:r>
        <w:rPr>
          <w:rFonts w:hint="eastAsia" w:ascii="仿宋_GB2312" w:hAnsi="仿宋" w:eastAsia="仿宋_GB2312"/>
          <w:bCs/>
          <w:color w:val="auto"/>
          <w:sz w:val="28"/>
          <w:szCs w:val="28"/>
          <w:u w:val="single"/>
          <w:shd w:val="clear" w:color="auto" w:fill="FFFFFF"/>
        </w:rPr>
        <w:t>所供货物功能、技术性能与</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6</w:t>
      </w:r>
      <w:r>
        <w:rPr>
          <w:rFonts w:hint="eastAsia" w:ascii="仿宋_GB2312" w:hAnsi="仿宋" w:eastAsia="仿宋_GB2312"/>
          <w:bCs/>
          <w:color w:val="auto"/>
          <w:sz w:val="28"/>
          <w:szCs w:val="28"/>
          <w:u w:val="single"/>
          <w:shd w:val="clear" w:color="auto" w:fill="FFFFFF"/>
        </w:rPr>
        <w:t>超出</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7</w:t>
      </w:r>
      <w:r>
        <w:rPr>
          <w:rFonts w:hint="eastAsia" w:ascii="仿宋_GB2312" w:hAnsi="仿宋" w:eastAsia="仿宋_GB2312"/>
          <w:bCs/>
          <w:color w:val="auto"/>
          <w:sz w:val="28"/>
          <w:szCs w:val="28"/>
          <w:u w:val="single"/>
          <w:shd w:val="clear" w:color="auto" w:fill="FFFFFF"/>
        </w:rPr>
        <w:t>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8</w:t>
      </w:r>
      <w:r>
        <w:rPr>
          <w:rFonts w:hint="eastAsia" w:ascii="仿宋_GB2312" w:hAnsi="仿宋" w:eastAsia="仿宋_GB2312"/>
          <w:bCs/>
          <w:color w:val="auto"/>
          <w:sz w:val="28"/>
          <w:szCs w:val="28"/>
          <w:u w:val="single"/>
          <w:shd w:val="clear" w:color="auto" w:fill="FFFFFF"/>
        </w:rPr>
        <w:t>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9</w:t>
      </w:r>
      <w:r>
        <w:rPr>
          <w:rFonts w:hint="eastAsia" w:ascii="仿宋_GB2312" w:hAnsi="仿宋" w:eastAsia="仿宋_GB2312"/>
          <w:bCs/>
          <w:color w:val="auto"/>
          <w:sz w:val="28"/>
          <w:szCs w:val="28"/>
          <w:u w:val="single"/>
          <w:shd w:val="clear" w:color="auto" w:fill="FFFFFF"/>
        </w:rPr>
        <w:t>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0</w:t>
      </w:r>
      <w:r>
        <w:rPr>
          <w:rFonts w:hint="eastAsia" w:ascii="仿宋_GB2312" w:hAnsi="仿宋" w:eastAsia="仿宋_GB2312"/>
          <w:bCs/>
          <w:color w:val="auto"/>
          <w:sz w:val="28"/>
          <w:szCs w:val="28"/>
          <w:u w:val="single"/>
          <w:shd w:val="clear" w:color="auto" w:fill="FFFFFF"/>
        </w:rPr>
        <w:t xml:space="preserve">投标价格超过预算采购单位无力支付的； </w:t>
      </w:r>
    </w:p>
    <w:p>
      <w:pPr>
        <w:snapToGrid w:val="0"/>
        <w:spacing w:line="360" w:lineRule="auto"/>
        <w:ind w:firstLine="548" w:firstLineChars="196"/>
        <w:rPr>
          <w:rFonts w:hint="eastAsia" w:ascii="仿宋_GB2312" w:hAnsi="仿宋" w:eastAsia="仿宋"/>
          <w:bCs/>
          <w:color w:val="auto"/>
          <w:sz w:val="28"/>
          <w:szCs w:val="28"/>
          <w:u w:val="single"/>
          <w:shd w:val="clear" w:color="auto" w:fill="FFFFFF"/>
          <w:lang w:eastAsia="zh-CN"/>
        </w:rPr>
      </w:pPr>
      <w:r>
        <w:rPr>
          <w:rFonts w:hint="eastAsia" w:ascii="仿宋" w:hAnsi="仿宋" w:eastAsia="仿宋"/>
          <w:bCs/>
          <w:color w:val="auto"/>
          <w:sz w:val="28"/>
          <w:szCs w:val="28"/>
          <w:u w:val="single"/>
          <w:shd w:val="clear" w:color="auto" w:fill="FFFFFF"/>
        </w:rPr>
        <w:t>24.1</w:t>
      </w:r>
      <w:r>
        <w:rPr>
          <w:rFonts w:hint="eastAsia" w:ascii="仿宋" w:hAnsi="仿宋" w:eastAsia="仿宋"/>
          <w:bCs/>
          <w:color w:val="auto"/>
          <w:sz w:val="28"/>
          <w:szCs w:val="28"/>
          <w:u w:val="single"/>
          <w:shd w:val="clear" w:color="auto" w:fill="FFFFFF"/>
          <w:lang w:val="en-US" w:eastAsia="zh-CN"/>
        </w:rPr>
        <w:t>1</w:t>
      </w:r>
      <w:r>
        <w:rPr>
          <w:rFonts w:hint="eastAsia" w:ascii="仿宋" w:hAnsi="仿宋" w:eastAsia="仿宋"/>
          <w:bCs/>
          <w:color w:val="auto"/>
          <w:sz w:val="28"/>
          <w:szCs w:val="28"/>
          <w:u w:val="single"/>
          <w:shd w:val="clear" w:color="auto" w:fill="FFFFFF"/>
        </w:rPr>
        <w:t>改变采购需求清单中设备名称、性能参数、单位及数量的</w:t>
      </w:r>
      <w:r>
        <w:rPr>
          <w:rFonts w:hint="eastAsia" w:ascii="仿宋" w:hAnsi="仿宋" w:eastAsia="仿宋"/>
          <w:bCs/>
          <w:color w:val="auto"/>
          <w:sz w:val="28"/>
          <w:szCs w:val="28"/>
          <w:u w:val="single"/>
          <w:shd w:val="clear" w:color="auto" w:fill="FFFFFF"/>
          <w:lang w:eastAsia="zh-CN"/>
        </w:rPr>
        <w:t>；</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2</w:t>
      </w:r>
      <w:r>
        <w:rPr>
          <w:rFonts w:hint="eastAsia" w:ascii="仿宋_GB2312" w:hAnsi="仿宋" w:eastAsia="仿宋_GB2312"/>
          <w:bCs/>
          <w:color w:val="auto"/>
          <w:sz w:val="28"/>
          <w:szCs w:val="28"/>
          <w:u w:val="single"/>
          <w:shd w:val="clear" w:color="auto" w:fill="FFFFFF"/>
        </w:rPr>
        <w:t>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3</w:t>
      </w:r>
      <w:r>
        <w:rPr>
          <w:rFonts w:hint="eastAsia" w:ascii="仿宋_GB2312" w:hAnsi="仿宋" w:eastAsia="仿宋_GB2312"/>
          <w:bCs/>
          <w:color w:val="auto"/>
          <w:sz w:val="28"/>
          <w:szCs w:val="28"/>
          <w:u w:val="single"/>
          <w:shd w:val="clear" w:color="auto" w:fill="FFFFFF"/>
        </w:rPr>
        <w:t>不符合法律、法规和</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w:t>
      </w:r>
      <w:r>
        <w:rPr>
          <w:rFonts w:hint="eastAsia" w:ascii="仿宋_GB2312" w:hAnsi="仿宋" w:eastAsia="仿宋_GB2312"/>
          <w:color w:val="auto"/>
          <w:sz w:val="28"/>
          <w:szCs w:val="28"/>
          <w:lang w:val="en-US" w:eastAsia="zh-CN"/>
        </w:rPr>
        <w:t>招标人</w:t>
      </w:r>
      <w:r>
        <w:rPr>
          <w:rFonts w:hint="eastAsia" w:ascii="仿宋_GB2312" w:hAnsi="仿宋" w:eastAsia="仿宋_GB2312"/>
          <w:color w:val="auto"/>
          <w:sz w:val="28"/>
          <w:szCs w:val="28"/>
        </w:rPr>
        <w:t>根据评标委员会提出的书面报告和推荐的中标候选人确定中标单位。原则上第一名为中标人，除非中标人放弃中标、因不可抗力提出不能履行合同，或者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规定应提交履约保证金而在规定的期限内未能提交的，招标人可以依序确定其他中标候选人为中标人</w:t>
      </w:r>
      <w:r>
        <w:rPr>
          <w:rFonts w:hint="eastAsia" w:ascii="仿宋_GB2312" w:hAnsi="仿宋" w:eastAsia="仿宋_GB2312"/>
          <w:color w:val="auto"/>
          <w:sz w:val="28"/>
          <w:szCs w:val="28"/>
          <w:lang w:val="en-US" w:eastAsia="zh-CN"/>
        </w:rPr>
        <w:t>或重新招标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71"/>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w:t>
      </w:r>
      <w:r>
        <w:rPr>
          <w:rFonts w:hint="eastAsia" w:ascii="仿宋_GB2312" w:hAnsi="仿宋" w:eastAsia="仿宋_GB2312"/>
          <w:color w:val="auto"/>
          <w:sz w:val="28"/>
          <w:szCs w:val="28"/>
          <w:shd w:val="clear" w:color="auto" w:fill="FFFFFF"/>
          <w:lang w:val="en-US" w:eastAsia="zh-CN"/>
        </w:rPr>
        <w:t>废标</w:t>
      </w:r>
      <w:r>
        <w:rPr>
          <w:rFonts w:hint="eastAsia" w:ascii="仿宋_GB2312" w:hAnsi="仿宋" w:eastAsia="仿宋_GB2312"/>
          <w:color w:val="auto"/>
          <w:sz w:val="28"/>
          <w:szCs w:val="28"/>
          <w:shd w:val="clear" w:color="auto" w:fill="FFFFFF"/>
        </w:rPr>
        <w:t>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的最终解释权属</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b/>
          <w:color w:val="auto"/>
          <w:sz w:val="36"/>
          <w:szCs w:val="36"/>
          <w:highlight w:val="yellow"/>
        </w:rPr>
        <w:sectPr>
          <w:footerReference r:id="rId5" w:type="default"/>
          <w:pgSz w:w="11906" w:h="16838"/>
          <w:pgMar w:top="2098" w:right="1440" w:bottom="1440" w:left="1440" w:header="851" w:footer="992" w:gutter="0"/>
          <w:pgNumType w:fmt="decimal" w:start="1"/>
          <w:cols w:space="720" w:num="1"/>
          <w:docGrid w:linePitch="312" w:charSpace="0"/>
        </w:sectPr>
      </w:pPr>
    </w:p>
    <w:p>
      <w:pPr>
        <w:numPr>
          <w:ilvl w:val="0"/>
          <w:numId w:val="0"/>
        </w:numPr>
        <w:adjustRightInd w:val="0"/>
        <w:snapToGrid w:val="0"/>
        <w:spacing w:line="360" w:lineRule="auto"/>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t>第</w:t>
      </w:r>
      <w:r>
        <w:rPr>
          <w:rFonts w:hint="eastAsia" w:ascii="仿宋_GB2312" w:hAnsi="仿宋" w:eastAsia="仿宋_GB2312"/>
          <w:b/>
          <w:color w:val="auto"/>
          <w:sz w:val="36"/>
          <w:szCs w:val="36"/>
          <w:lang w:val="en-US" w:eastAsia="zh-CN"/>
        </w:rPr>
        <w:t>三</w:t>
      </w:r>
      <w:r>
        <w:rPr>
          <w:rFonts w:hint="eastAsia" w:ascii="仿宋_GB2312" w:hAnsi="仿宋" w:eastAsia="仿宋_GB2312"/>
          <w:b/>
          <w:color w:val="auto"/>
          <w:sz w:val="36"/>
          <w:szCs w:val="36"/>
        </w:rPr>
        <w:t>部分</w:t>
      </w:r>
      <w:r>
        <w:rPr>
          <w:rFonts w:hint="eastAsia" w:ascii="仿宋_GB2312" w:hAnsi="仿宋" w:eastAsia="仿宋_GB2312"/>
          <w:b/>
          <w:color w:val="auto"/>
          <w:sz w:val="36"/>
          <w:szCs w:val="36"/>
          <w:lang w:val="en-US" w:eastAsia="zh-CN"/>
        </w:rPr>
        <w:t xml:space="preserve"> </w:t>
      </w:r>
      <w:r>
        <w:rPr>
          <w:rFonts w:hint="eastAsia" w:ascii="仿宋_GB2312" w:hAnsi="仿宋" w:eastAsia="仿宋_GB2312"/>
          <w:b/>
          <w:color w:val="auto"/>
          <w:sz w:val="36"/>
          <w:szCs w:val="36"/>
        </w:rPr>
        <w:t>采购需求说明</w:t>
      </w:r>
    </w:p>
    <w:p>
      <w:pPr>
        <w:pStyle w:val="2"/>
        <w:jc w:val="center"/>
        <w:rPr>
          <w:rFonts w:hint="eastAsia" w:ascii="仿宋" w:hAnsi="仿宋" w:eastAsia="仿宋" w:cs="仿宋"/>
          <w:sz w:val="28"/>
          <w:szCs w:val="32"/>
          <w:lang w:eastAsia="zh-CN"/>
        </w:rPr>
      </w:pPr>
      <w:r>
        <w:rPr>
          <w:rFonts w:hint="eastAsia" w:ascii="仿宋" w:hAnsi="仿宋" w:eastAsia="仿宋" w:cs="仿宋"/>
          <w:sz w:val="28"/>
          <w:szCs w:val="32"/>
          <w:lang w:eastAsia="zh-CN"/>
        </w:rPr>
        <w:t>拜城县康其乡中学信息化设施设备采购清单</w:t>
      </w:r>
    </w:p>
    <w:tbl>
      <w:tblPr>
        <w:tblStyle w:val="42"/>
        <w:tblW w:w="886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
        <w:gridCol w:w="680"/>
        <w:gridCol w:w="5380"/>
        <w:gridCol w:w="510"/>
        <w:gridCol w:w="570"/>
        <w:gridCol w:w="73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单价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86寸纳米黑板</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整机要求（含展示台）：（带无线鼠标键盘套装）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中间主屏幕整机采用≧86英寸液晶显示器，整机采用UHD超高清LED液晶屏，显示比例16:9，分辨率≧3840×2160。屏幕边缘采用金属圆角包边防护，整机背板采用金属材质。无推拉式结构，外部无任何可见内部功能模块连接线。主副屏过渡平滑并在同一平面，中间无单独边框阻隔。（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2.主屏支持普通粉笔直接书写。整机两侧副屏可支持普通粉笔、液体粉笔、成膜笔进行板书书写。（提供第三方权威机构功能检测报告）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3.整机设备副屏支持磁吸附功能，可以满足带有磁吸的板擦等教具进行吸附在副屏上。（提供第三方权威机构功能检测报告）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4.嵌入式系统版本不低于Android 11，内存≥2GB，存储空间≥16GB。（提供第三方权威机构功能检测报告）；pc模块计算机的处理器：十二代 Intel Core i7及以上,主频为双核四线程，内存：16G DDR4或以上配置，硬盘≥256G SSD 固态硬盘，采用抽拉内置式模块化电脑，抽拉内置式，PC模块可插入整机，可实现无单独接线的插拔。采用按压式卡扣方式设计无需工具即可快速拆卸电脑模块。具有独立非外扩展的电脑USB接口：电脑上具备4个USB3.0 接口，1个USB TypeC接口，≥1 路 HDMI ；≥1 路 DP。具有标准PC防盗锁孔，确保电脑模块安全防盗。预装正版Windows 10 64位中文专业版。整机可通过蓝牙模块与蓝牙音箱连接，通过蓝牙音箱播放整机音频。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5.采用红外触控方式，支持Windows系统中进行20点或以上触控，支持Android系统中进行10点或以上触控。（提供第三方权威机构功能检测报告）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6.输入接口要求：具备≥2路HDMI、≥1路RS232、≥1路USB接口；输出接口要求：具备≥1路音频输出、≥1路触控USB输出；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前置全功能Type-C接口，外接电脑设备经双头Type-C线连接至整机，可调用整机内置的摄像头（像素1080P及以上）、麦克风、扬声器，在外接电脑即可控制整机拍摄教室画面。（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8.整机支持色彩空间可选，包含标准模式和sRGB模式，在sRGB模式下可做到高色准△E≤1.5（提供国家级检测机构所出具的权威检测报告复印件）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9.支持标准、多媒体和节能三种图像模式调节。支持可自定义图像设置，可对对比度、屏幕色温、图像亮度、亮度范围、色彩空间等进行更进一步调节设置。（提供第三方权威机构功能检测报告）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10.设备支持自定义前置“设置"按键，可通过自定义设置实现前置面板功能按键一键启用任一全局小工具或某功能快捷开关。（提供第三方权威机构功能检测报告）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11.当整机处于黑暗环境中并无人操作，一分钟后整机将可以自动进入熄屏模式。（提供第三方权威机构功能检测报告）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12.支持将自定义图片设置为开机画面。（提供第三方权威机构功能检测报告）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13.支持云端在线系统固件升级。（提供第三方权威机构功能检测报告）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14.含一套无线鼠标键盘套装。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扬声器与摄像头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1.整机内置不低于2.1声道扬声器，具备多方向扬声器，额定总功率不低于60W。（提供第三方权威机构功能检测报告）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2.整机支持高级音效设置，可以调节左右声道平衡；在中低频段、高频段分别有不小于-10dB～10dB范围的调节功能。（提供国家级检测机构所出具的权威检测报告复印件）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3.整机内置非独立外扩展的4阵列麦克风，可用于对教室环境音频进行采集，拾音距离≥8m。（提供第三方权威机构功能检测报告）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4.整机扬声器在100%音量下，可做到1米处声压级≥88db，10米处声压级≥73dB（提供第三方权威机构功能检测报告）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5.内置摄像头、麦克风无需外接线材连接，无任何可见外接线材及模块化拼接痕迹，未占用整机设备端口。（提供第三方权威机构功能检测报告）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内置非独立摄像头，拍摄照片像素数≥1300万。摄像头视场角≥120度。可用于远程巡课，整机摄像头支持大于等于10米距离时实现AI识别人像。具备人脸识别、快速点人数、随机抽人；识别所有学生，显示标记功能。（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1.嵌入式Android操作系统下，白板支持对已经书写的笔迹和形状的颜色进行更换。在嵌入式系统下使用白板软件时，整机可根据用户书写操作智能调节屏幕亮度。（提供第三方权威机构功能检测报告）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2.嵌入式Android操作系统下，互动白板支持不同背景颜色，同时提供学科背景，如：五线谱、信纸、田字格、英文格、篮球和足球场地平面图。（提供第三方权威机构功能检测报告）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4.无PC状态下，嵌入式Android操作系统下可实现windows系统中常用的教学应用功能，如白板书写、WPS软件使用和网页浏览。（提供第三方权威机构功能检测报告）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5.整机全通道具备多种工具至少具备批注、截屏、计时、降半屏、放大镜、日历功能。（提供第三方权威机构功能检测报告）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安卓和全部外接通道支持通过扫描二维码等方式加入班级，老师设置题型，学生回答后提交，教师查看正确率比例及详细讲解；支持随机抽选、实时弹幕；支持管理当前班级成员；支持导出学生报告。（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教学界面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1.整机支持通过人脸识别进行解锁设备以及人脸识别进行登录账号。（提供国家级检测机构所出具的权威检测报告复印件）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2.整机设备开机启动后，自动进入教学桌面，支持账号登录、退出，自动获取个人云端教学课件列表、并可进入校本资源库。（提供第三方权威机构功能检测报告）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学桌面支持教学常用的教学白板软件、文件管理软件、学生行为评价软件、随机抽选软件，以便于快速开启授课；并提供快速进入本机所有应用的入口，满足不同教师授课需要。（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4.整机设备教学桌面的教师登录账号后，可自动获取并在桌面显示最近使用的教学课件，点击任意课件可直接进入授课模式；并支持查看所有个人教学课件资源。（提供第三方权威机构功能检测报告）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5.整机设备教学桌面中的文件管理，支持同时显示本地磁盘、移动类存储设备、学校资源库、教师个人云空间的文件资源。（提供第三方权威机构功能检测报告）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物联功能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1.整机支持蓝牙Bluetooth 5.2标准，整机支持主动发现蓝牙外设从而连接（无需整机进入发现模式），支持连接外部蓝牙音箱播放音频。（提供第三方权威机构功能检测报告）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2.Wi-Fi及AP热点支持频段2.4GHz/5GHz ，Wi-Fi制式支持IEEE 802.11 a/b/g/n/ac/ax；支持版本Wi-Fi6。（提供国家级检测机构所出具的权威检测报告复印件）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支持音箱音量的智能调节，当麦克风接入时，自动调整合适的音箱音量且带有麦克风电量智能提醒，当麦克风电量过低时，提供低电量反馈提示，支持麦克风自动判断同一房间内的整机和音箱，自动匹配连接。（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5.整机支持智能笔，通过BLE（蓝牙低能耗技术）、USB Dongle（通用串口总线接收器）等方式连接，当整机和智能笔均支持BLE功能时，支持指定区域内智能笔自动发现、自动连接，并支持读取智能笔型号， 对应显示设备实物图片。（提供国家级检测机构所出具的权威检测报告复印件）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6.整机支持传屏器，通过BLE（蓝牙低能耗技术）、Type-C、USB 等方式连接，当整机和传屏器均支持BLE功能时，在指定区域内传屏器可自动发现、自动连接。（提供国家级检测机构所出具的权威检测报告复印件）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副板要求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1.整机设备副屏光泽度符合GB 28231-2011《书写板安全卫生要求》，粉笔板书写面的光泽度应在6光泽单位以下，不应有因粉笔板本身的原因产生眩光。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2.整机设备副屏耐光性符合GB 28231-2011《书写板安全卫生要求》，暴晒后对比度应大于GB/T 250的四级。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3.整机设备副屏耐腐蚀性符合GB 28231-2011《书写板安全卫生要求》，使用含有日常家用洗涤剂或消毒剂的温水(40℃ )，擦拭书写板的书写面后，书写面应不变色，无表皮脱落。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4.整机设备副屏甲醛释放限量符合GB 28231-2011《书写板安全卫生要求》，甲醛释放限量应不大于1.5mg/L。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5.整机设备副屏涂层的附着力符合GB/T 9286-1998 测试方法，支持色漆和清漆 漆膜的划格试验，脱漆面积不明显大于5%，达到0级标准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6.整机设备副屏涂层的硬度符合GB/T 6739-1996测试方法，支持涂膜硬度铅笔测定法，无塑性变形也无内聚破坏，铅笔硬度≧6H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7.整机设备副屏涂层的抗冲击性符合GB/T 1732-2020测试方法，支持漆膜耐冲击测定法，无裂纹现象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整机设备副屏支持磁吸附功能，可以满足带有磁吸的板擦等教具进行吸附在副屏上。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1.采用抽拉内置式模块化电脑，抽拉内置式，PC模块可插入整机，可实现无单独接线的插拔。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2.具有独立非外扩展的电脑USB接口：≥3路USB。≥1 路 HDMI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3.PC模块的USB接口须为冗余备份接口，在正常使用整机的内置摄像头、内置麦克风功能时，USB接口不被占用，确保教师有足够的接口外接存储设备及显示设备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4.整机具备供电保护模块，能够检测内置电脑是否插好在位，在内置电脑未在位的情况下，内置电脑无法上电工作。（提供第三方权威机构功能检测报告）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白板软件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17.为方便老师讲解古诗词，需支持添加古诗词原文，更改翻译、更改背景介绍、更改作者介绍。便于输出特色性教学文案。（提供国家权威检测报告复印件）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21.提供软件著作权及软件厂家授权书。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教师空间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教师个人空间：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1.空间管理：教师可对个人云空间进行管理，支持课件搜索及图片、音视频、文档等的上传，并支持将任意资源分享至校本资源库。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2.资源分享：可对空间中课件等资源进行分享至校本资料夹，也可以加入资源包进行备授课调用。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3.资源调用：可在空间中直接访问校本库，对校本库的资源进行保存至个人空间进行调用。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时间胶囊播放：支持在胶囊中直接对胶囊中的课件进行控制，包括翻页、跳转至任意指定页、支持画笔、橡皮擦、撤销等工具的调用，方便对课件进行预览学习。支持一键对音频内容进行语音识别，转化为文字，方便对讲解内容深入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5.资源情况：资源中心支持教师调用资源，资源类型包括课件资源、题库资源、多媒体图片视频素材资源等。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6.互动课件资源：资源中心课件支持使用配套备授课工具打开并二次编辑，包含各类特色互动内容。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7.多媒体资源：资源中心多媒体资源包含Word、PPT、视频、音频、图片各类型资源。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8.教材管理：教师可进行教材管理，自由添加、删除教材，教学时可在不同教材间切换，以满足不同学段的教学资源需求。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9.资源下发：教师可将课件、题库资源加入资源包，进行备课授课或布置学生作业，方便教师在不同教学场景下进行资源调用。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10.课件预览：支持教师在资源中心课件库中点击所需课件进行预览，并可直接在预览时体验课件交互，包括体验课件动画、学科工具、思维导图、课堂活动等功能。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11.课件使用：教师选择多份课件并下发到配套备授课工具使用时，可选择新建课件或关联现有课件，关联课件可选择在配套备授课工具的个人云空间中关联调用已有课件。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12.多媒体素材使用：支持教师选择媒体图片视频资源插入课件进行使用。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教学设计系统：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13.支持老师阅览学校计划、本学科组计划，并根据上级计划制定个人教学计划，同时支持实时查看、对比教研组计划及个人计划的进展，掌握教学进度。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14.电子教案：教师可以在个人空间直接编写教案，编写教案时可以关联课件，支持教师在个人空间、配套备授课工具查看课件以及教案，方便教师进行教学设计。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15.教师个人教案数据实时统计，包含教师累计课件数、本周制作课件数。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1.提供软件著作权及软件厂家授权书。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安全软件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1、采用一校一码的认证机制，为学校提供专属识别码，通过学校代码进行设备与管理平台之间的关联，保证管理的私密和安全。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2、设备信息：支持查看设备的系统名称、CPU、内存、硬盘、MCU、TV、触摸框、显卡、屏幕、摄像头、网卡、软件版本号、设备ID、联网状态信息，便于排查设备问题。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3、冰点还原：支持创设系统还原点，实现磁盘级的系统还原保护，可根据教学需要自由选择磁盘分区设立还原点、取消还原点。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4、病毒查杀：支持对外接移动存储设备进行即时病毒检查，确保教学安全。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5、优化加速：支持对清理占用设备资源过高的应用进程，释放设备资源，保证设备正常运行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6、弹窗拦截：支持对软件应用弹窗进行无差别拦截，可自定义自动拦截、手动点选拦截、超级拦截，保证教学过程中无干扰。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自我保护：用户无法通过传统方法（卸载或者关闭程序）来终止设备辅助管理软件的运行，从而保护管理员可有效的管控设备。信息化赋能培训，1.培训目标：通过培训，切实提高全体教师的信息化教学应用能力，了解交互式教学的基本特征，掌握交互式课件制作的基本方法，掌握信息时代的学生评价与管理方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2.培训方式：录播视频+音频视频+学习服务，以慕课、互动交流、案例剖析为主要方式的网络研修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3.培训涵盖包含13个单元，69节线上课程，按天进行课程计划拆分；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4.培训涵盖包含12次在线考试，按天进行考试计划拆分；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5.课程以交互式课件制作为核心，通过专家引领，针对全国优秀课件案例进行深度解读及学习，围绕“交互式课件制作进阶技巧及课件美化，资源搜索力提升”等主题开展全区教师信息化教学应用融合专题研修；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6.培训课程需落地务实，实践性课程比例60%；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7.培训过程中需有专人全程在群内进行答疑，保证培训过程的顺利进行；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8.培训工具账号须与培训平台账号及管理平台账号实现统一身份认证。</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参数要求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三个课堂应用管理平台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1.系统采用模块化的架构设计B/S架构，用户可通过浏览器实现数据看板查看、名师示范课点播、用户管理等功能。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区域角色管理：系统至少提供超级管理员、内容管理员、权限管理员、专递课堂管理员四种默认角色，分别具备不同模块的管理权限；在添加区域管理员时，可根据所属的行政地区，为不同层级的管理者设置所管辖的区域权限。（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3.角色自定义：支持管理员根据不同教师的工作需求创建角色，自定义该角色的名称和可使用的功能权限；并可查看各角色的人数，方便管理。（提供权威检测报告）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4.教师可以通过自主账号登录平台，根据教师个人学习需求对全区域的名师示范课等视频课程进行筛选、点播观看、在线学习。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5.视频管理：录播主机录制的视频自动上传至平台，支持本校教师或管理员对视频进行名称编辑、学科学段编辑、下载、删除、发布课程等操作。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6.课程发布：课程发布时，可选择对应的学段、学科、发布模块、示范课分类等，方便用户按不同维度查找课程。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7.上传附件：平台支持支持用户在发布课程时上传相关资料；所上传资料可支持不少于5种文件格式；课程发布后，观众观看课程时下载相关资料，进行深入学习。（提供权威检测报告）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课程审核：支持区域管理员和学校管理员分别对所管辖区域范围内，教师申请发布的课程进行审核，监控公开课程资源的质量；拒绝课程发布时，需填写拒绝原因；若课程未通过时，系统将在消息中心自动通知该课程归属的教师。（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课程评论：支持用户对已发布视频进行视频打点并插入课堂评价，所评论内容需关联视频对应时间点。平台支持用户在线发表视频评论，所评论内容支持以新消息提示方式自动提醒授课教师。支持管理员对用户评论进行信息管理，可选择性删除评论内容，管控评论秩序。（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10.账号管理：支持用户修改昵称、密码及头像设置等，并可重新绑定用户手机号，同时关联绑定/解绑个人微信号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通过认证的名师、教研组、名校，可实时在认证列表中查看认证名师的示范课数、课程播放量、参加的教研活动数，名师教研组的参加人数、参加的教研活动数，及认证名校的教师人数、示范课数、课程播放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12.平台支持本地视频上传：可对上传视频进行标题描述、课程介绍等设置，可选择默认的视频缩略图封面，也可选择本地图片上传成为封面。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13.消息中心：在页面实时提醒新增课程计划、课程审核通过/被拒绝、认证成功、成功加入教研组等消息。（提供权威检测报告）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14.首页轮播图片：平台首页支持用户自定义不少于6张轮播图画面并支持图片的对应链接跳转；支持用户点击对应轮播图，跳转相应网页进行内容浏览。（提供权威检测报告）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15.设备管理：. 显示管理员下辖的教室总数、在线教室总数、活跃教室数，实时呈现整体情况；管理员可实时查看教室信息和状态，包括：教室名称、设备IP、状态、信号源及教室详情，方便远程运维；支持学校管理员对录播主机进行远程关机、重启、密码设置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16.公网直播：学校管理员可设置录播设备的直播模式为公网直播，自由发起公网直播活动，方便举办公开课、校园培训等活动。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17.直播活动：支持用户创建直播，提前设置预约直播信息，并获取直播地址及二维码海报，方便提前发布直播信息。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18.直播状态：根据直播开始时间和结束时间，分类显示所有直播的当前状态，包括未开始、进行中、已结束；用户可通过状态筛选不同的直播进行编辑管理。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19.直播搜索：支持输入与直播名称相关的关键字，搜索直播活动。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直播管理：在直播结束前，支持教师修改直播的结束时间、名称、封面、课件、直播简介、聊天互动权限等设置，并保持原分享链接和二维码不变，避免因活动调整导致原分享链接和二维码失效。（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21.直播工作台：创建直播时支持添加直播助教；助教进入工作台可进行直播间秩序维护，具体功能包括：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22.直播分享：用户可一键生成直播海报或链接并进行分享，其他用户通过扫描海报上的二维码或打开链接的方式，观看直播视频。（提供权威检测报告）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23.复制直播海报：生成直播海报后，用户可直接在网页中一键复制图片，并粘贴至微信中发送，无需下载图片保存本地，提高分享效率。（提供权威检测报告）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活动课件：教师可选择云课件与直播关联，无需耗时上传本地文件；课件与直播关联后，支持用户在活动开始时间前查看云课件；活动开始后，用户可在观看直播视频的同时，在线查看已关联的课件。（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26.直播互动：直播过程中，支持用户在直播课程中发布评论、点赞、分享观看链接或二维码，同时可查看直播简介、活动课件和实时观看人数。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27.直播暖场素材：平台支持用户自主选择上传图片或视频，作为暖场素材在直播间隙循环播放。（提供权威检测报告）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28.禁言要求：直播开始前和直播过程中，支持用户修改观众聊天互动的权限；可设置为观众禁言，仅允许管理员进行发言，把控直播活动的纪律。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29.签到设置：支持在直播活动开始前，设置签到规则；可选择观众首次进入直播进行签到，或直播开始后15分钟开始签到，适应不同的直播场景。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30.签到信息：支持设置观众签到的输入信息，可选择仅输入“姓名”或“姓名、班级/学校/单位”。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31.临时发起签到：直播开始后，可对所有正在观看直播的用户发起签到；观众会在直播界面收到实时的签到提醒，帮助教师及时收集观众在线情况。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32.导出签到数据：支持教师以Excel格式导出签到结果，签到结果包括每次签到用户的姓名、账号等信息。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33.直播数据：直播开始后，支持查看直播的人气峰值、观看人次、累计点赞、观众发言次数、签到人数等数据，随时掌握直播情况。（提供权威检测报告）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34.直播回放：支持开启直播回放功能；开启后用户可在原有直播的分享链接中查看已结束的直播内容，回顾直播精彩环节。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35.管理直播回放：教师可选择直播中各时段生成的回放视频，删除不必要的回放片段，或选择发布至专递示范课/名校网络课堂/名师示范课，方便其他师生观看。（提供权威检测报告）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36.直播分组：教师可将多场已创建的直播，添加至同一直播分组，或在分组中直接新建直播；每个直播分组自动生成分享二维码和链接，方便观众在一个分组链接中选择不同直播进行观看。（提供权威检测报告）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37.直播分组命名：支持教师对直播分组自定义名称，让直播分组更具辨识度。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38.删除直播：支持教师删除过期或无效的直播，删除后原有的直播分享链接将自动失效。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39.支持直播集群技术，以支持系统的横向拓展，随系统应用规模的拓展逐渐增加转发服务器以支持更大规模直播。平台支持不少于200点以上高清直播功能。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40.课程搜索：支持用户通过课程、教师、学校名称等关键词快速搜索已发布的课程资源，支持用户查看最近搜索关键词记录，方便用户再次快速查找相关课程。（提供权威检测报告）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数据统计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用户可浏览所管辖的区域数据，包括开通学校总数、加入教师总数、录播教室总数、专递课程总数、课程资源总数、课程观看人次，并可在看板中呈现以上6个数据近一个月的新增数量。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看板呈现区域内已加入平台的教师的学段学科分布情况，并支持显示学段教师的占比数据，点击具体学段即可显示对应的学科分布情况。（提供权威检测报告）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支持区域地图看板呈现：通过选定地图看板的任意区域，可直观展示各下辖区域的开通学校数量、加入教师数量、专递课堂数量等数据。点击任意区域可进入并查看该区域的详细数据情况。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专递课堂数据：用户可查看参与专递课堂的学校总数、区域内已完成的专递课程总数以及参与教师等；同时还支持下级区域根据参与专递课堂的学校数量进行排名，支持查看区域内完成专递课程最多的前十名学校，并可显示上榜学校的各自归属区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名师课堂数据：用户可查看参与网络研修共同体的活跃教研组总数、区域内上传名师示范课的教师总数、名师示范课的播放总数等；同时支持下级区域根据各自的教研组数量进行排名，支持查看区域内名师示范课播放数最高的前十名教师，并可显示上榜名师的各自归属学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名校网络课堂数据：用户可查看参与名校网络课堂的学校总数、区域内的名校网络课程总数及课程播放数；同时支持下级区域根据课程数量进行排名，支持查看区域内名校网络课堂课程播放量最高的前十所学校，并可显示上榜学校的各自所在区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专递课堂、名师课堂、名校网络课堂等数据均支持用户选择不同区域，包含地市、区县等维度进行数据查询，同时也支持时间段包含本学期、本月、本周等维度进行数据查询。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专递课堂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用户可对区域内正在互动的授课教室进行实时巡课，支持按照区域、学校、学段、学科等信息进行精准筛选，快速定位。（提供权威检测报告）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专递示范课：自动统计老师发布到“专递示范课”的课程总数，并按学科统计发布课程的老师人数与课程数。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正在互动的课程中，可实时显示已开课时间，方便管理者进行督查。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课程播放页面支持显示课程名称、授课教师、授课教室及听课教室等详细信息。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支持用户在平台中预约专递课程，采用课表形式实时显示课程计划。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课表支持逐级汇总，教师个人课程计划、学校全体课程计划、区域全体课程计划等均支持在一张课表中展示，利于用户便捷查看。（提供权威检测报告）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在课程计划中，支持登录用户进行个人课程的快速定位查看。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名师课堂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用户可在名师示范课页面中，点播区域名师上传的优质示范课程。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平台根据课程播放数量提供最热门课程推荐，便于用户快速查看学习。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平台提供课程播放总数最高的名师展示，支持用户点击名师头像进入教师空间，查看该名师上传的全部课程。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支持通过学段、学科、课程分类快速筛选课程视频；课程至少支持微课、培训讲座、课堂实录等分类，方便用户快速定位，查看所需课程。（提供权威检测报告）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用户可在教师空间中，查看该教师上传的全部课程、个人简介、所属学校以及个人成就，个人成就包含上传课程的总数、课程播放总次数等。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支持用户在平台中创建教研组，并管理教研组中的教师。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用户可以在平台将自己教研组中的教研活动公开给其他教师进行观摩学习，其他教师可以观看教研记录，且可在同一浏览器界面上，对教研过程中使用的课件进行自由翻页、批注、擦除等操作。（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教研活动可显示活动名称、发起人名称、活动回放观看量。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教研组可显示教研组名称、累计教研场次、所归属的学科学段，支持登录用户进行个人参与的教研组的快速定位查看。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手机客户端支持创建教研组和发起“空中教研”活动；（提供权威检测报告）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全国案例精选：平台厂家提供课例视频，帮助老师快速获取更多校外资源；为保证资源的有效性和平台的对接稳定性，所提供的全国精品课资源网站需与所投平台为同一厂家。（提供全国精品课资源网站著作权证书附件印件加盖厂家公章予以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名校网络课堂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提供以学校为单位展示的网络课程，支持用户在名校网络课堂页面上直观地查看学校课程数、观看人次等数据。平台支持在首页推荐该学校的热门课程，方便用户进行预览观看。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用户可进入学校专区页面，详细了解该校情况，包括该校简介、活跃教师、学校上传的全部课程、课程观看总人次等数据。在活跃教师排行榜中，可看到各位名师发起的课程总数及总观看人次。（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用户访问平台网页观看线上课程时，可直接在平台网页中参与知识配对、选词填空、趣味分类等在线互动答题，加深对知识点的理解；完成后，可直接查看答题用时与答题排行榜，并可选择继续观看视频或再玩一次。（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名校管理员可进行学校校徽、学校简介等信息的设置管理。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移动端观看课程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在专递示范课/名校网络课堂/名师示范课的课程页面中，支持一键生成分享海报，也可一键复制观看链接，方便分享给其他观众，通过移动端打开观看。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分享海报中包括课程名称、主讲人、学校名称及二维码等信息。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视频在线剪辑（提供权威检测报告）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支持用户对本地上传的视频，通过浏览器完成在线剪辑，将视频的无效内容删除，保留课堂中的重难点和精彩部分。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效果预览：进行剪辑操作后，支持用户通过在线预览窗口，实时查看剪辑后的内容，确保视频效果。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视频截取：支持用户通过拖拽视频起点与终点，快速去除头部或尾部的无效内容，截取保留视频中的重点部分。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视频分割与删除：支持基于时间刻度，将视频分割成若干个片段，并把无效片段删除。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产品应用教程：同一品牌厂家提供有关产品应用的教程视频，方便老师自主学习观摩，熟悉掌握相关的信息化工具应用技术。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平台资质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1）为保证系统安全性，要求平台的信息系统等级安全保护达到三级以上。（提供检测报告复印件并加盖厂家公章）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2）提供计算机软件著作权证书复印件并加盖厂家公章。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互动网络终端主机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出于使用安全及方便安装部署考虑，录播所有设备采用壁挂式安装设计，录播主机与高清电容液晶触控屏一体化设计，无外任何外接连线触控屏。采用嵌入式硬件架构设计，整机配置ARM双核处理器、Linux系统、不小于1TB存储硬盘。（提供国家级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2)为便于老师操作，要求录播主机液晶触控屏不小于13英寸，无外任何外接连线触控屏。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3)整机具备内置扬声器，用户可通过主机内置扬声器播放的提示音判断声音是否正常，通过主机一体化屏幕直接进行文件预览，可同步播放声音。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4)为保证整机一体性与稳定性，设备需高度一体化。支持音视频采集、音视频编码、视频处理、音频处理、直播、录制、互动、参数设置等功能。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5)为保障安全性，整机一体化触控屏幕加装不小于3mm厚的钢化玻璃。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6)屏幕表面硬度钢化玻璃≥7H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7)为方便各校信息老师后期维护便捷，录播主机与摄像机之间通过一条标准网线连接高清摄像机，即可实现视频传输、供电和控制功能。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8)整机HDMI多输出接口数量不少于3个，支持3840*2160输出，且支持音视频同步输出（提供国家级检测报告）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9)为保护师生视力，录播主机高清电容液晶触控屏需满足无蓝光危害，符合国家检测标准。（提供国家级检测报告）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10)考虑不同教室原有麦克风类型的利用考虑，主机需内置无线音频接收模块，整机无需外接音频接收模块，即可支持无线麦克风连接，至少支持2种不同类型的无线麦克风接入。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11)考虑校园网络环境因素，录播主机需采用至少双网卡，摄像机接入网络和外网网络彼此隔离，网卡能够独立工作，互不影响。（提供国家级检测报告）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12)支持在录播主机上随时查看已录制视频总容量，并采用百分比的形式便于教师清楚了解主机硬盘使用情况。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13)为方便老师使用支持文件重命名，无需外接盘鼠等设备，教师可在一体化触控屏上直接编辑录课视频文件名称。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14)支持单个文件删除，批量文件删除，支持清空视频功能，可一键清空主机视频。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15)为较少老师工作量，主机支持远程自动上传录像，录制停止后自动上传视频文件到平台，支持断点续传。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16)为便于设备管理，设备需支持上电自启动，设备通电后系统可自动启动，可通过软件设置开启或关闭上电自启动功能，支持定时开关机，可设定定时开关机时间。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18）为便于设备管理，需支持注册IOT物联平台，可通过IOT物联平台实现对设备的远程管控。（提供国家级检测报告）</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导播控制系统</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1)支持在触控录播主机上进行一键开启、停止录制操作，录播工作状态实时可以看到。（提供国家级检测报告复印件加盖厂商公章）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2)支持视频H.264/ H.265编码，支持音频AAC和PCM音频编码；支持音视频同步录制，录制格式为标准MP4格式。（提供国家级检测报告复印件加盖厂商公章）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3)在导播界面的预览窗口可实时观看教师全景/特写、学生全景/特写、多媒体电脑共五路画面，点击可进行手动画面切换。预监画面可实时推流给资源平台，实现平台直播。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4)支持导入导出录播主机配置文件，方便配置新的录播设备。（提供国家级检测报告复印件加盖厂商公章）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5)导播主画面实时显示拾音麦克风音量大小，并以音频进度条的形式呈现，方便老师实时了解录音状态。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6)支持设置视频录制清晰度，方便用户调整视频文件大小。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7)支持用户设置自动息屏时间，避免屏幕常亮干扰学生听课。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8)支持用户设置录制自动停止时间，减少因操作不当导致录播长时间录制，占用主机不必要的存储空间。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支持自动导播切换延时设置，可根据用户习惯设置导播切换时长，避免过快切换导致的视频观看体验不佳。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分析定位探测系统</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高清摄像机内嵌智能跟踪算法，即可实现跟踪定位控制功能。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当教师在讲台区域站立授课时，自动切换为教师特写，当教师在讲台区域进行走动时，自动切换到教师全景；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3）学生起立发言时，首先切换为学生全景，再过渡为发言学生的特写画面；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4）当教师切换多媒体授课时，自动切换为多媒体特写画面；</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在线课堂互动系统</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1)扫码登录：主机一体化触摸屏可显示登陆二维码，支持手机微信直接扫码登录互动系统。（提供国家级检测报告复印件加盖厂商公章）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2)预约互动：支持课程预约功能，用户可通过点击已预约课程进入互动课堂。（提供国家级检测报告复印件加盖厂商公章）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3)互动拨号：支持在录播主机一体化触控屏上可直接拨打远端登录用户的手机号，实现课堂连接。（提供国家级检测报告复印件加盖厂商公章）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4)支持授课预监功能，授课过程中录播主机屏幕可实时显示授课教室和参与互动的听课教室画面，用户可实时查看授课教室的拍摄效果及互动教室的听课场景画面。（提供国家级检测报告复印件加盖厂商公章）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5)支持课堂互动功能，授课过程中老师可通过在录播主机一体化屏幕上单击听课教室画面将其切换为主画面，并与该教室实时连麦对讲，异地互动。（提供国家级检测报告复印件加盖厂商公章）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6)用户可在各自录播主机上查看参与互动的教室的网络连接情况。（提供国家级检测报告复印件加盖厂商公章）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7)互动系统具备噪声抑制功能，结合心理声学模型设计，提高信噪比同时不损伤语音音质。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8)自动增益控制：自动调节麦克风音量，适应远近拾音，提升在嘈杂环境下的拾音体验。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9)支持多种视频分辨率：360p、480p、720p、1080p等。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10)根据应用场景实现码率和帧率的智能调节，保障画质和流畅性的平衡效果。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11)抗网络丢包率：录播主机双向互动过程中，在系统总丢包率50%的网络环境下，视频清晰，语音连贯。（提供国家级检测报告复印件加盖厂商公章）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12)支持互动导播控制，互动过程中可切换远端接受到的视频画面。（提供国家级检测报告复印件加盖厂商公章）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在线课堂巡课系统</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1)通过巡课客户端，老师即可在线巡课查看各个教室的巡课视频画面，掌握教室实时状况；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2)下载配置模板：在客户端中可下载巡课场地配置模板，按照模板录入场地信息即可导入场地参数；模板为表格形式，方便编辑；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3)导出配置参数：客户端可导出已保存的场地配置信息，方便老师修改，或复制至其他老师电脑，安装客户端时直接导入；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4)场地配置：老师可自定义各个教室的巡课画面，可设置各个课室的名称、画面名称；可自由选择课室的预览画面及作为巡课音频源的视频信号；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5)教室预览：客户端显示教室预览画面，老师可快速查看课室当前情况；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6)教室详情：同一教室可查看不少于6路巡课画面；老师可选择任一画面全屏观看，查看教室具体情况；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7)自动巡课：支持以教室为单位，全屏轮流播放所有教室的预览画面，便于用户随时查看全校班级上课情况。</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4K超高清教师全景摄像机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1)4K教师摄像机镜头水平视场角≥ 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2)一体化集成设计，支持4K超高清，最大可提供4K@30fps图像编码输出，同时向下兼容1080p，720p等分辨率。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3)全景画面支持畸变矫正功能。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4)全景画面与特写画面必须采用相同图像传感器和图像处理器，确保两者图像输出亮度、颜色、风格等保持一致。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5)内置图像识别跟踪算法，无需物理转动，即可实现平滑自然的跟踪效果，避免干扰课堂教学。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6)整机接口:≥1路RJ45。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7)支持POE有线网络供电，只需要1路网线，即可实现供电及信号传输，支持同时输出特写和全景等多路画面。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8)传感器尺寸：≥CMOS 1/2.5英寸。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9)传感器有效像素≥850万。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10)扫描方式：逐行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11)最低照度：0.5 Lux @（F2.8, AGC ON）。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12)电子快门：1/30s ~ 1/10000s。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13)支持自动白平衡。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14)支持2D&amp;3D数字降噪，信噪比≥55dB。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15)支持H.264、H.265视频编码格式。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16)主码流分辨率：3840x2160, 1920x1080, 1280x720, 720x480，360x240。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17)辅码流分辨率：1920x1080, 1280x720, 720x480，360x240。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18)视频码率：128Kbps ~ 16384Kbps。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19)帧率：50Hz: 最大25fps； 60Hz: 最大30fps。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20)网络流传输协议：TCP, HTTP, UDP，RTSP, RTMP, ONVIF。</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4K超高清学生全景摄像机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1)4K学生摄像机镜头水平视场角≥ 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2)一体化集成设计，支持4K超高清，最大可提供4K@30fps图像编码输出，同时向下兼容1080p，720p等分辨率。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3)内置图像识别跟踪算法，无需物理转动，即可实现平滑自然的跟踪效果，避免干扰课堂教学。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4)全景画面支持畸变矫正功能。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5)全景画面与特写画面必须采用相同图像传感器和图像处理器，确保两者图像输出亮度、颜色、风格等保持一致。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6)整机接口:≥1路RJ45。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7)支持POE有线网络供电，只需要1路网线，即可实现供电及信号传输，支持同时输出特写和全景等多路画面。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8)传感器尺寸：≥CMOS 1/2.5英寸。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9)传感器有效像素≥850万。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10)扫描方式：逐行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11)最低照度：0.5 Lux @（F2.8, AGC ON）。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12)电子快门：1/30s ~ 1/10000s。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13)支持自动白平衡。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14)支持2D&amp;3D数字降噪，信噪比≥55dB。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15)支持H.264、H.265 视频编码格式;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16)主码流分辨率：3840x2160, 1920x1080, 1280x720, 720x480，360x240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17)辅码流分辨率：1920x1080, 1280x720, 720x480，360x240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18)视频码率：128Kbps ~ 16384Kbps。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19)帧率：50Hz: 最大25fps； 60Hz: 最大30fps。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20)网络流传输协议：TCP, HTTP, UDP，RTSP, RTMP, ONVIF。</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4K超高清教师特写机械云台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1)设备采用ARM硬件架构，linux操作系统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2)采用1/2.8英寸、250万全高清 CMOS传感器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3)摄像机同时支持SDI、HDMI、网络、CVBS四种视频输出接口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4)支持不少于3路1080P画面同时输出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5)支持不少于20倍光学变焦，16倍数字变焦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6)云台水平转动范围不小于±170°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7)云台垂直转动范围不小于±30°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8)支持至少1个音频输入接口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9)支持不少于2个RS232接口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10)至少支持1个RS485接口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11)至少支持AAC、G711A两种音频编码格式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12）支持TCP/IP, HTTP, RTSP, RTMP, Onvif, DHCP, 组播等网络协议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4K超高清学生特写机械云台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1)设备采用ARM硬件架构，linux操作系统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2)采用1/2.8英寸、250万全高清 CMOS传感器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3)摄像机同时支持SDI、HDMI、网络、CVBS四种视频输出接口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4)支持不少于3路1080P画面同时输出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5)支持不少于20倍光学变焦，16倍数字变焦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6)云台水平转动范围不小于±170°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7)云台垂直转动范围不小于±30°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8)支持至少1个音频输入接口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9)支持不少于2个RS232接口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10)至少支持1个RS485接口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11)至少支持AAC、G711A两种音频编码格式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12）支持TCP/IP, HTTP, RTSP, RTMP, Onvif, DHCP, 组播等网络协议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指向麦克风</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1)所投套件采用多核DSP专用音频芯片；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2)所投套件支持6路差分输入，且6路均支持幻象供电；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3)所投套件支持幻象供电开关，可开启和关闭幻象供电功能；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4)所投套件支持2路线路信号输入，且两路均支持立体声；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5)所投套件支持2路线路信号输出，且两路均支持立体声；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6)所投套件支持2个USB接口，且两个USB接口均可以双向传输音频；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7)所投套件采用多合一传输技术，USB可同时支持音频输入、音频输出、参数调试、设备升级；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8)所投套件支持1个监听口，监听口可输出系统所有声音；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9)所投套件支持全频带全双工自适应回声消除算法；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10)所投套件支持全频带动态自适应降噪技术，降噪电平最高为18dB；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11)所投套件支持自动增益控制；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12)所投套件支持啸叫抑制；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13)所投套件支持ducker算法，可设置ducker深度；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14)所投套件支持智能混音，可智能选择最佳麦克风采集音频；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15)所投套件支持多通道音频矩阵，可根据场景需求进行相应设置；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16)所投套件支持音频参数调节，可通过软件进行20项音频参数调整；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17)所投套件标配6支麦克风和6套安装支架；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18)所投套件麦克风应采用9.7mm大直径电容拾音单元；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19)所投套件麦克风频率响应50Hz~16KHz；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20)所投套件麦克风采用心型指向；</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音频处理器</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1)采用多核DSP专用音频芯片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2)支持不少于6路差分输入，且6路均支持幻象供电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3)支持幻象供电开关，可开启和关闭幻象供电功能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4)支持不少于2路线路信号输入，且两路均支持立体声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5)支持不少于2路线路信号输出，且两路均支持立体声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6)支持不少于2个USB接口，且两个USB接口均可以双向传输音频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7)采用多合一传输技术，USB可同时支持音频输入、音频输出、参数调试、设备升级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8)支持不少于1个监听口，监听口可输出系统所有声音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9)支持全频带全双工自适应回声消除算法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10)支持全频带动态自适应降噪技术，降噪电平最高达18dB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11)支持自动增益控制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12)支持啸叫抑制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13)支持ducker算法，可设置ducker深度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14)支持智能混音，可智能选择最佳麦克风采集音频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15)支持多通道音频矩阵，可根据场景需求进行相应设置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16)支持音频参数调节，可通过软件进行不少于20项音频参数调整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多媒体音箱</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1.采用功放与有源音箱一体化设计，内置麦克风无线接收模块，帮助教师实现多媒体扩音以及本地扩声功能。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2.双音箱有线连接，机箱采用塑胶材质，保护设备免受环境影响。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3.输出额定功率: 2*15W，喇叭单元尺寸≥5寸。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4.端口：220V电源接口*1、Line in*1、USB*1。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5.专门为教室声学环境设计的合适扩声效果，距离音箱10米处声压级达到75dB。（提供国家权威质量监督检验中心所出具的权威检测报告）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6.麦克风和功放音箱之间采用数字U段传输技术，有效避免环境中2.4G信号干扰，例如蓝牙及WIFI设备。（提供国家权威质量监督检验中心所出具的权威检测报告）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7.配置独立音频数字信号处理芯片，支持啸叫抑制功能。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8.支持教师扩声和输入音源叠加输出，可对接录播系统实现教师扩声音频的纯净采集，避免环境杂音干扰采集效果。（提供国家权威质量监督检验中心所出具的权威检测报告）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9.为保证兼容性及稳定性，有源音箱需与交互智能平板、无线麦克风为同一品牌厂家。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音箱具有CCC资格认证，符合中国电子设备管理规定和技术标准。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教师麦克风</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1.耳戴式麦克风集音频发射处理器、天线、电池、拾音麦克风于一体，配合一体化有源音箱，无需任何外接辅助设备即可实现本地扩声功能。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麦克风采用极简设计，全机身仅一个实体按键，涵盖开关机、配对和音量功能。（提供国家权威质量监督检验中心所出具的权威检测报告）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麦克风提供电容触摸按键，可显示电量，保持长按进入静音模式。（提供国家权威质量监督检验中心所出具的权威检测报告）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麦克风和功放音箱之间采用数字U段传输技术（提供国家权威质量监督检验中心所出具的权威检测报告），有效避免环境中2.4G信号干扰，例如蓝牙及WIFI设备。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支持智能红外对码及UHF对码，开机即可在2s内快速完成与教学扩声音箱对码，无需繁琐操作。可与移动音箱或录播主机对码连接。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麦克风音频采集单元距离讲话人嘴边距离不超过3cm，保证拾音效果。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采用轻量化设计，整机重量不超过15g（提供国家权威质量监督检验中心所出具的权威检测报告），长时间佩戴无疲劳感。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采用超低功耗设计，正常工作状态下，电流不超过25mA。（提供国家权威质量监督检验中心所出具的权威检测报告）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佩戴部位采用耳戴式设计，无需老师长时间手持（提供国家权威质量监督检验中心所出具的权威检测报告），也不需绕耳固定引起长头发老师的不适。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配件中附带两种大小的耳塞（提供国家权威质量监督检验中心所出具的权威检测报告），耳塞采用透气结构设计，不影响佩戴者听力。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采用触点磁吸式充电方式，支持快速充电与超低功耗工作模式，课间充电10分钟，实现80分钟续航。（提供国家权威质量监督检验中心所出具的权威检测报告）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麦克风距离音箱最大有效工作距离≥10米，保证全教室覆盖。（提供国家权威质量监督检验中心所出具的权威检测报告）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需配合同一品牌一体化有源音箱使用。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远程互动助手</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1.软件支持微信扫码登录，无需输入帐号密码即可实现登录，用户可便捷、快速进入互动课堂。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2.互动课堂连接支持按键拨号形式，可直接拨号呼叫，账号为11位手机号码，充分考虑用户的日常使用习惯，无需额外学习即可快速掌握使用方法。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3.互动课堂视频界面支持至少两种画面布局设置，适应不同场景下的画面布局需求。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4.授课过程中，可实时显示授课教室及参与互动的听课教室画面，用户可实时查看授课教室的拍摄效果，及互动教室的听课状态。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5.授课过程中提供工具窗口，支持用户切换画面，调出互动工具；工具窗口可切换为迷你模式，以悬浮工具条形式显示，可置于授课课件上方。（提供国家级检测报告复印件加盖厂商公章）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6.可查看参与互动的教室的网络连接情况，了解彼此的设备网络环境。（提供国家级检测报告复印件加盖厂商公章）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板书同步：授课过程中支持用户调起白板工具，在大屏上进行板书，板书内容将在听课端实时同步；且支持听课端在大屏上板书，反向实时同步至授课端及其他听课端。（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8.书写笔迹支持至少3种不同粗细选择，12种不同颜色选择。（提供国家级检测报告复印件加盖厂商公章）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9.默认颜色：系统智能分配授课端及不同听课端的默认笔迹颜色，学生可区分不同教室板书内容。（提供国家级检测报告复印件加盖厂商公章）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10.云课件：支持用户在线打开云课件列表，无需下载至本地，即可在线打开云课件进行展示及讲授。（提供国家级检测报告复印件加盖厂商公章）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11.课堂活动：支持用户在云课件中进行远程同步课堂游戏，异地教室的学生可同时在大屏上进行知识竞赛，以左右分屏形式实现两个教室的学生同台竞争。（提供国家级检测报告复印件加盖厂商公章）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拍照上传：支持在授课端及听课端生成拍照上传二维码，使用手机微信扫码后，可实时上传学生作业、试卷内容至大屏，授课端及听课端同步显示照片内容，且分别支持授课端与听课端的师生对照片进行拖动、放大、批注操作，实现远程讲评。（提供国家级检测报告复印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网络自适应：提供端到端的全链条优化算法，能根据当前网络情况预测网速并自动进行流控，支持弱网自适应推流和拉流。在网络转差的情况下，使用大丢包调高延迟策略，保障延迟和流畅的动态平衡效果，优先保障可用性和声音流畅。在网络转好的情况下，提升画质和降低延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互动显示屏（两个带移动支架，两个带挂墙架）</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屏幕物理尺寸≥65英吋；分辨率≥3840*2160；屏幕刷新率≥60Hz；可视角度≥±176度；能效等级不高于2级能效；整机功耗≤120W；待机功耗≤0.5W；内置喇叭个数≥2；喇叭总功率≥16W；USB通道支持不少于12种音视频文件格式；USB接口数量≥2；HDMI输入通道数量≥3；模拟RF接口≥1；AV接口≥1；标配遥控器和配套电池；支持HDMI接入检测开机，HDMI有输入信号后，可自动开机，至少有3个HDMI接口支持该功能；支持HDMI接入检测关机，HDMI输入信号消失后2分钟，可自动进入关机状态，至少有3个HDMI接口支持该功能。配备支架背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无线视频展台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1.可移动无线展台，可灵活的放置在讲台、课桌上，也可固定在三脚架上。无需布线，方便老师、学生展台作业、实验过程、演示。（提供国家广播电视产品质量监督检验中心所出具的权威检测报告）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摄像头臂上下可在0-90°任意位置弯折悬停、前后可180°旋转、主机和支架可分离机构设计，能俯拍作业，水平拍摄，手持拍摄，适应各种教学场景。（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3.俯拍情况下，拍摄角度可覆盖A3画幅，方便一次性展示更多的内容。（提供国家广播电视产品质量监督检验中心所出具的权威检测报告）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4.自带屏幕，可将拍摄的范围和画面清晰实时的呈现，方便老师或者学生调整拍摄角度和预览。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5.支持5G wifi无线传输，保证传输的稳定性。（提供国家广播电视产品质量监督检验中心所出具的权威检测报告）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6.支持最多四台无线展台画面实时对比，方便进行演示、对比教学。（提供国家广播电视产品质量监督检验中心所出具的权威检测报告）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7.采用≧1300W像素自动对焦摄像头，支持4K超高清实时视频流传输。（提供国家广播电视产品质量监督检验中心所出具的权威检测报告）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8.采用PDAF相位对焦技术，自动对焦速度低于300ms，减少对焦过程时间，提高教学效率。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9.支持通过双击大屏画面任意位置，即时改变对焦位置，可对立体物体的局部进行精确对焦。（提供国家广播电视产品质量监督检验中心所出具的权威检测报告）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10.自带电池，支持4小时不间断工作使用，采用type C充电接口，支持5V2A快速充电。（提供国家广播电视产品质量监督检验中心所出具的权威检测报告）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11.支持二维码扫描快速加入网络、绑定无线网络，保证多台使用时实施的便利性。（提供国家广播电视产品质量监督检验中心所出具的权威检测报告）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12.展台机身上有四个按键，实现开关机、模式切换、画面旋转、启动功能，可实现一键启动展台画面、画面旋转、拍照、录像等功能，同时也支持在展台软件上进行同样的操作。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13.为保证兼容性及稳定性，视频展台需与交互智能平板为同一品牌厂家，提供视频展台的3C证书复印件。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智慧讲台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1.讲台尺寸设计为长×宽×高：1282mm*1034mm*595mm（提供国家权威检测报告），环抱老师式设计，根据人体力学设计，讲台桌面高度合适老师放置教学用品。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钢木结合设计，1.2mm-1.5mm厚的冷轧钢板桌体（提供国家权威检测报告）老师接触位置为木质桌面，桌面防静电。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3.覆盖3mm钢化玻璃，保护屏幕安全。屏幕融合在讲台中，无突出边角撞伤学生，无法在没有工具的情况下拆除。（提供国家权威检测报告）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4.讲台设置有收纳柜，可收纳高度在8.9厘米（2U）以内的主机设备。（提供国家权威检测报告）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讲台设置三个USB快速充电口（5V/2A），对接入设备进行充电，方便学校对教学用品的管理及维护。即使讲台待机后，依然可持续提供4小时充电。USB口也可接入键盘、鼠标以及U盘设备，可被一体机识别通讯。（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讲台桌面平整，全封闭设计，整体外观流线型设计，无菱角处理，正面中部受到170N的冲击力时不会倾倒，保护师生安全。（提供国家权威检测报告）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讲台设置至少21.5寸电容触摸屏幕，屏幕支持至少10点同时触摸。（提供国家权威检测报告）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覆盖3mm钢化玻璃，保护屏幕安全。屏幕融合在讲台中，无突出边角撞伤学生，无法在没有工具的情况下拆除。（提供国家权威检测报告）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讲台支持通过讲台屏幕对一体机的画面进行控制。同时支持同步显示一体机画面（提供国家权威检测报告），老师讲课无需转身背对学生，提高授课效率。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讲台设置快捷按键，两侧按键共大于等于8个，按键功能包括对一体机进行一键关机、关闭屏幕、开启屏幕、音量加减、显示多任务窗、返回桌面，以及关闭讲台屏幕等快捷控制。（提供国家权威检测报告）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讲台具备1个可自定义功能按键，可通过软件设置选择按键功能。包括一键启动白板、一键启动视频展台，一键关闭当前应用程序等选项。（提供国家权威检测报告）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讲台侧面设置有220V三相电源接口。（提供国家权威检测报告）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为保证兼容性及稳定性，智能讲台需与录播、音响麦克风设备为同一品牌厂家。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智能讲台一体机具有国家认可的CCC证书，符合国家安全规定。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注：为保证产品稳定性，使用流畅性，除电视机外所有软硬件设备必需为同一品牌，同一厂家生产。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86寸纳米黑板</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整机要求（含展示台）：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中间主屏幕整机采用86英寸液晶显示器，整机采用UHD超高清LED液晶屏，显示比例16:9，分辨率3840×2160。屏幕边缘采用金属圆角包边防护，整机背板采用金属材质。无推拉式结构，外部无任何可见内部功能模块连接线。主副屏过渡平滑并在同一平面，中间无单独边框阻隔。（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2.主屏支持普通粉笔直接书写。整机两侧副屏可支持普通粉笔、液体粉笔、成膜笔进行板书书写。（提供第三方权威机构功能检测报告）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3.整机设备副屏支持磁吸附功能，可以满足带有磁吸的板擦等教具进行吸附在副屏上。（提供第三方权威机构功能检测报告）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4.嵌入式系统版本不低于Android 11，内存≥2GB，存储空间≥8GB。（提供第三方权威机构功能检测报告）；pc模块计算机的处理器：十二代 Intel Core i7及以上,主频为双核四线程，内存：16G DDR4或以上配置，硬盘≥256G SSD 固态硬盘，采用抽拉内置式模块化电脑，抽拉内置式，PC模块可插入整机，可实现无单独接线的插拔。采用按压式卡扣方式设计无需工具即可快速拆卸电脑模块。具有独立非外扩展的电脑USB接口：电脑上具备4个USB3.0 接口，1个USB TypeC接口，≥1 路 HDMI ；≥1 路 DP。具有标准PC防盗锁孔，确保电脑模块安全防盗。预装正版Windows 10 64位中文专业版。整机可通过蓝牙模块与蓝牙音箱连接，通过蓝牙音箱播放整机音频。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5.采用红外触控方式，支持Windows系统中进行20点或以上触控，支持Android系统中进行10点或以上触控。（提供第三方权威机构功能检测报告）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6.输入接口要求：具备≥2路HDMI、≥1路RS232、≥1路USB接口；输出接口要求：具备≥1路音频输出、≥1路触控USB输出；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前置全功能Type-C接口，外接电脑设备经双头Type-C线连接至整机，可调用整机内置的摄像头（像素1080P及以上）、麦克风、扬声器，在外接电脑即可控制整机拍摄教室画面。（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8.整机支持色彩空间可选，包含标准模式和sRGB模式，在sRGB模式下可做到高色准△E≤1.5（提供国家级检测机构所出具的权威检测报告复印件）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9.支持标准、多媒体和节能三种图像模式调节。支持可自定义图像设置，可对对比度、屏幕色温、图像亮度、亮度范围、色彩空间等进行更进一步调节设置。（提供第三方权威机构功能检测报告）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10.设备支持自定义前置“设置"按键，可通过自定义设置实现前置面板功能按键一键启用任一全局小工具或某功能快捷开关。（提供第三方权威机构功能检测报告）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11.当整机处于黑暗环境中并无人操作，一分钟后整机将可以自动进入熄屏模式。（提供第三方权威机构功能检测报告）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12.支持将自定义图片设置为开机画面。（提供第三方权威机构功能检测报告）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13.支持云端在线系统固件升级。（提供第三方权威机构功能检测报告）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扬声器与摄像头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1.整机内置不低于2.1声道扬声器，具备多方向扬声器，额定总功率不低于60W。（提供第三方权威机构功能检测报告）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2.整机支持高级音效设置，可以调节左右声道平衡；在中低频段、高频段分别有不小于-10dB～10dB范围的调节功能。（提供国家级检测机构所出具的权威检测报告复印件）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3.整机内置非独立外扩展的4阵列麦克风，可用于对教室环境音频进行采集，拾音距离≥8m。（提供第三方权威机构功能检测报告）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4.整机扬声器在100%音量下，可做到1米处声压级≥88db，10米处声压级≥73dB（提供第三方权威机构功能检测报告）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5.内置摄像头、麦克风无需外接线材连接，无任何可见外接线材及模块化拼接痕迹，未占用整机设备端口。（提供第三方权威机构功能检测报告）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内置非独立摄像头，拍摄照片像素数≥1300万。摄像头视场角≥120度。可用于远程巡课，整机摄像头支持大于等于10米距离时实现AI识别人像。具备人脸识别、快速点人数、随机抽人；识别所有学生，显示标记功能。（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1.嵌入式Android操作系统下，白板支持对已经书写的笔迹和形状的颜色进行更换。在嵌入式系统下使用白板软件时，整机可根据用户书写操作智能调节屏幕亮度。（提供第三方权威机构功能检测报告）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2.嵌入式Android操作系统下，互动白板支持不同背景颜色，同时提供学科背景，如：五线谱、信纸、田字格、英文格、篮球和足球场地平面图。（提供第三方权威机构功能检测报告）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4.无PC状态下，嵌入式Android操作系统下可实现windows系统中常用的教学应用功能，如白板书写、WPS软件使用和网页浏览。（提供第三方权威机构功能检测报告）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5.整机全通道具备多种工具至少具备批注、截屏、计时、降半屏、放大镜、日历功能。（提供第三方权威机构功能检测报告）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安卓和全部外接通道支持通过扫描二维码等方式加入班级，老师设置题型，学生回答后提交，教师查看正确率比例及详细讲解；支持随机抽选、实时弹幕；支持管理当前班级成员；支持导出学生报告。（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教学界面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1.整机支持通过人脸识别进行解锁设备以及人脸识别进行登录账号。（提供国家级检测机构所出具的权威检测报告复印件）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2.整机设备开机启动后，自动进入教学桌面，支持账号登录、退出，自动获取个人云端教学课件列表、并可进入校本资源库。（提供第三方权威机构功能检测报告）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学桌面支持教学常用的教学白板软件、文件管理软件、学生行为评价软件、随机抽选软件，以便于快速开启授课；并提供快速进入本机所有应用的入口，满足不同教师授课需要。（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4.整机设备教学桌面的教师登录账号后，可自动获取并在桌面显示最近使用的教学课件，点击任意课件可直接进入授课模式；并支持查看所有个人教学课件资源。（提供第三方权威机构功能检测报告）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5.整机设备教学桌面中的文件管理，支持同时显示本地磁盘、移动类存储设备、学校资源库、教师个人云空间的文件资源。（提供第三方权威机构功能检测报告）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物联功能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1.整机支持蓝牙Bluetooth 5.2标准，整机支持主动发现蓝牙外设从而连接（无需整机进入发现模式），支持连接外部蓝牙音箱播放音频。（提供第三方权威机构功能检测报告）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2.Wi-Fi及AP热点支持频段2.4GHz/5GHz ，Wi-Fi制式支持IEEE 802.11 a/b/g/n/ac/ax；支持版本Wi-Fi6。（提供国家级检测机构所出具的权威检测报告复印件）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支持音箱音量的智能调节，当麦克风接入时，自动调整合适的音箱音量且带有麦克风电量智能提醒，当麦克风电量过低时，提供低电量反馈提示，支持麦克风自动判断同一房间内的整机和音箱，自动匹配连接。（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5.整机支持智能笔，通过BLE（蓝牙低能耗技术）、USB Dongle（通用串口总线接收器）等方式连接，当整机和智能笔均支持BLE功能时，支持指定区域内智能笔自动发现、自动连接，并支持读取智能笔型号， 对应显示设备实物图片。（提供国家级检测机构所出具的权威检测报告复印件）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6.整机支持传屏器，通过BLE（蓝牙低能耗技术）、Type-C、USB 等方式连接，当整机和传屏器均支持BLE功能时，在指定区域内传屏器可自动发现、自动连接。（提供国家级检测机构所出具的权威检测报告复印件）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副板要求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1.整机设备副屏光泽度符合GB 28231-2011《书写板安全卫生要求》，粉笔板书写面的光泽度应在6光泽单位以下，不应有因粉笔板本身的原因产生眩光。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2.整机设备副屏耐光性符合GB 28231-2011《书写板安全卫生要求》，暴晒后对比度应大于GB/T 250的四级。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3.整机设备副屏耐腐蚀性符合GB 28231-2011《书写板安全卫生要求》，使用含有日常家用洗涤剂或消毒剂的温水(40℃ )，擦拭书写板的书写面后，书写面应不变色，无表皮脱落。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4.整机设备副屏甲醛释放限量符合GB 28231-2011《书写板安全卫生要求》，甲醛释放限量应不大于1.5mg/L。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5.整机设备副屏涂层的附着力符合GB/T 9286-1998 测试方法，支持色漆和清漆 漆膜的划格试验，脱漆面积不明显大于5%，达到0级标准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6.整机设备副屏涂层的硬度符合GB/T 6739-1996测试方法，支持涂膜硬度铅笔测定法，无塑性变形也无内聚破坏，铅笔硬度≧6H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7.整机设备副屏涂层的抗冲击性符合GB/T 1732-2020测试方法，支持漆膜耐冲击测定法，无裂纹现象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整机设备副屏支持磁吸附功能，可以满足带有磁吸的板擦等教具进行吸附在副屏上。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1.采用抽拉内置式模块化电脑，抽拉内置式，PC模块可插入整机，可实现无单独接线的插拔。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2.具有独立非外扩展的电脑USB接口：≥3路USB。≥1 路 HDMI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3.PC模块的USB接口须为冗余备份接口，在正常使用整机的内置摄像头、内置麦克风功能时，USB接口不被占用，确保教师有足够的接口外接存储设备及显示设备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4.整机具备供电保护模块，能够检测内置电脑是否插好在位，在内置电脑未在位的情况下，内置电脑无法上电工作。（提供第三方权威机构功能检测报告）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白板软件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17.为方便老师讲解古诗词，需支持添加古诗词原文，更改翻译、更改背景介绍、更改作者介绍。便于输出特色性教学文案。（提供国家权威检测报告复印件）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21.提供软件著作权及软件厂家授权书。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教师空间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教师个人空间：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1.空间管理：教师可对个人云空间进行管理，支持课件搜索及图片、音视频、文档等的上传，并支持将任意资源分享至校本资源库。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2.资源分享：可对空间中课件等资源进行分享至校本资料夹，也可以加入资源包进行备授课调用。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3.资源调用：可在空间中直接访问校本库，对校本库的资源进行保存至个人空间进行调用。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时间胶囊播放：支持在胶囊中直接对胶囊中的课件进行控制，包括翻页、跳转至任意指定页、支持画笔、橡皮擦、撤销等工具的调用，方便对课件进行预览学习。支持一键对音频内容进行语音识别，转化为文字，方便对讲解内容深入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5.资源情况：资源中心支持教师调用资源，资源类型包括课件资源、题库资源、多媒体图片视频素材资源等。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6.互动课件资源：资源中心课件支持使用配套备授课工具打开并二次编辑，包含各类特色互动内容。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7.多媒体资源：资源中心多媒体资源包含Word、PPT、视频、音频、图片各类型资源。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8.教材管理：教师可进行教材管理，自由添加、删除教材，教学时可在不同教材间切换，以满足不同学段的教学资源需求。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9.资源下发：教师可将课件、题库资源加入资源包，进行备课授课或布置学生作业，方便教师在不同教学场景下进行资源调用。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10.课件预览：支持教师在资源中心课件库中点击所需课件进行预览，并可直接在预览时体验课件交互，包括体验课件动画、学科工具、思维导图、课堂活动等功能。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11.课件使用：教师选择多份课件并下发到配套备授课工具使用时，可选择新建课件或关联现有课件，关联课件可选择在配套备授课工具的个人云空间中关联调用已有课件。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12.多媒体素材使用：支持教师选择媒体图片视频资源插入课件进行使用。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教学设计系统：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13.支持老师阅览学校计划、本学科组计划，并根据上级计划制定个人教学计划，同时支持实时查看、对比教研组计划及个人计划的进展，掌握教学进度。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14.电子教案：教师可以在个人空间直接编写教案，编写教案时可以关联课件，支持教师在个人空间、配套备授课工具查看课件以及教案，方便教师进行教学设计。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15.教师个人教案数据实时统计，包含教师累计课件数、本周制作课件数。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1.提供软件著作权及软件厂家授权书。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安全软件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1、采用一校一码的认证机制，为学校提供专属识别码，通过学校代码进行设备与管理平台之间的关联，保证管理的私密和安全。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2、设备信息：支持查看设备的系统名称、CPU、内存、硬盘、MCU、TV、触摸框、显卡、屏幕、摄像头、网卡、软件版本号、设备ID、联网状态信息，便于排查设备问题。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3、冰点还原：支持创设系统还原点，实现磁盘级的系统还原保护，可根据教学需要自由选择磁盘分区设立还原点、取消还原点。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4、病毒查杀：支持对外接移动存储设备进行即时病毒检查，确保教学安全。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5、优化加速：支持对清理占用设备资源过高的应用进程，释放设备资源，保证设备正常运行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6、弹窗拦截：支持对软件应用弹窗进行无差别拦截，可自定义自动拦截、手动点选拦截、超级拦截，保证教学过程中无干扰。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自我保护：用户无法通过传统方法（卸载或者关闭程序）来终止设备辅助管理软件的运行，从而保护管理员可有效的管控设备。信息化赋能培训，1.培训目标：通过培训，切实提高全体教师的信息化教学应用能力，了解交互式教学的基本特征，掌握交互式课件制作的基本方法，掌握信息时代的学生评价与管理方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2.培训方式：录播视频+音频视频+学习服务，以慕课、互动交流、案例剖析为主要方式的网络研修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3.培训涵盖包含13个单元，69节线上课程，按天进行课程计划拆分；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4.培训涵盖包含12次在线考试，按天进行考试计划拆分；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5.课程以交互式课件制作为核心，通过专家引领，针对全国优秀课件案例进行深度解读及学习，围绕“交互式课件制作进阶技巧及课件美化，资源搜索力提升”等主题开展全区教师信息化教学应用融合专题研修；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6.培训课程需落地务实，实践性课程比例60%；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7.培训过程中需有专人全程在群内进行答疑，保证培训过程的顺利进行；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8.培训工具账号须与培训平台账号及管理平台账号实现统一身份认证。</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六边形拼桌（学生桌椅）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桌面尺寸及要求：六边形拼桌六角组合梯形，六边 实心2..0米*1.72米加8桌加6椅子；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录播教室配套设施（包含教室和观摩室装修）</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120㎡等教室装修，顶面吊顶，地面隔音，吸音棉，全部墙面要吸音板，窗台，地面要PVC塑胶地板革加厚耐磨防水 厚度5mm以上的实心纯色密实地板革，改造隔音墙（带半透明玻璃），灯具安装电路等（护眼灯数量&gt;40）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立式空调</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智能生态 2匹 云逸-Ⅱ 1级能效 客厅空调立式空调柜机，空调型号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KFR-50LW/NhGm1BAj</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能效等级：1级能效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冷暖方式:冷暖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空调技术:变频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建议使用面积(m2)约20~30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柜机,制冷(W),制热(W)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额定制冷功率:1300以上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额定制热功率1930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(高风档/超强风档)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循环风量m3/h1100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变频机能效比4.75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听课端</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1)★设备采用一体化设计，集成高清摄像机、无线音频接收模块，内置MCU，单台设备可兼备拍摄、录制、实时视频互动。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2)▲H.264/H.265多码流编解码，设备须采用嵌入式架构设计， ARM 双核处理器 Linux系统。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3)▲设备采用结构散热，无风扇设计，最大程度保障静音。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4)设备无需配合编码盒使用，录制、导播、互动、管理、存储、音视频的编解码等功能都集成在一台设备内。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5)视频输入：≥2路RJ45，≥1路HDMI IN，支持不小于1920*1080P/50Hz。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6)视频输出：≥2路HDMI OUT，支持不小于1920*1080P/50Hz。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7)设备≥2路USB接口。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8)音频输入：≥1路 MIC in，≥1路Line in。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 IN接口采用网络接口，直接通过网线连接实现麦克风的音频传输、信令传输及供电。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10)★设备标配遥控器，可通过遥控器进行各类操作，遥控器和设备之间支持双频通信，可同时支持红外和2.4G控制。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11)★支持二维码扫码登录：HDMI可输出操作界面，具有锁屏二维码，用户可通过手机扫码解锁并进行登录使用。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12)音频混音功能：支持网络MIC IN、LINE IN的音频混音功能。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13)★设备使用SSD存储≥128G，系统内存≥2G。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14)★支持无线Mic 接入：无需外接设备，即可支持无线麦克风连接。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15)▲设备使用安全电压供电，支持DC 12V供电。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16)设备自带状态指示灯，可实时反映设备工作状态。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17)支持上电自启动，支持定时开关机。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18)设备符合浪涌（冲击）抗扰度，静电放电抗扰度，射频电磁场辐射抗扰度，电快速瞬变脉冲群抗扰度，射频感应的传导骚扰抗扰度，电压暂降、短时中断和电压变化抗扰度等要求，确保设备使用安全。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19)设备具备抗振动、防跌落特性，保证设备运输或使用过程中不易受损。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20)设备在0℃—40℃环境下可正常工作，在-20℃—60℃的环境下可正常贮存且贮存后功能无损。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21)支持用户查看已录制视频总容量，并采用百分比的形式，便于用户清楚了解设备硬盘使用情况。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22)设备无需配置单独公网IP，即可实现互动。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23)遥控器功能：用户通过遥控器对设备进行操作，不少于11个按键，支持空气鼠标模。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24)全向拾音麦克风：单体：背极式驻极体。指向性：全指向性。拾音半径：6米。输入电压：DC 12V。输入电流：0.5A±20%。功耗：≤5W。频率响应：40Hz-24KHz。灵敏度：-34dB ± 3dB (0dB = 1V / Pa at 1KHz)。输出阻抗：100Ω ± 10% (at 1kHz)。等效噪声级：≤13dB A (IEC 581-5)。最大声压级：110dB (THD ≤ 1.0％ at 1kHz)。▲支持级联，单组最大级联级数：4。▲上行数字口和下行数字口均采用DC12V供电。支持AEC（回声抑制）、AGC（自动增益）、ANS（噪音消除）。</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网络设备及辅材安装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千兆24口POE供电交换机、线材、音频视频线、HDMI高清线、符合国际网络标准，环保、节能产品；含施工、安装调试、培训。</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产品名称</w:t>
            </w:r>
          </w:p>
        </w:tc>
        <w:tc>
          <w:tcPr>
            <w:tcW w:w="5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学生客户端</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1.为了保证运行大型软件或多任务的程序不会出现性能瓶颈，要求终端基于X86架构，CPU不低于物理四核3.2GHz运行频率。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2.为了保障优秀的桌面体验，要求终端配置不少于8G内存，终端能支持256GB的固态硬盘。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3.为了满足图像显示要求，要求显卡非动态频率≥800MHz。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4.提供不少于8个USB口，包括6个USB 2.0接口，2个USB 3.0接口，1个VGA接口1个HDMI显示接口，1个耳机，1个麦克风接口，1个千兆网口。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5.为防止雷雨季节因雷电影响而导致设备出现异常，要求所投终端设备支持浪涌抗扰度网口共模±4KV，电源共模±4KV、差模±2KV。提供经过CNAS评定的国家级权威测试机构出具的检验报告并加盖投标人公章。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冬季空气干燥，为防止接触产品产生的各类静电干扰导致终端出现损坏，要求所投终端产品满足静电放电抗扰度要求：（1）对EUT施加接触放电±8KV，设备不会出现损坏现象；（2）空气放电±15KV，设备不会出现损坏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7.为保证产品传输声音与音源一致，不失真，要求满足输入200mV正弦波信号，扫描100Hz-20000Hz谐波失真曲线,谐波失真应≤10%。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8.为保证产品输出声音在不同频率下声音均能保证稳定，要求满足输入500mV正弦波信号，扫描100Hz-20000Hz的频率响应曲线，不均匀性应≤10dB。9.具有标准的安全锁孔设计。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10.为了方便云终端日常运维管理，管理员可以在云终端上经过管理员密码验证后，支持对云终端本地重新初始化硬盘、清除缓存镜像、显示系统信息、一键还原系统镜像等操作。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11.为保证质量，须提供国家强制性CCC认证证书复印件，提供证书复印件并加盖投标人公章或投标专用章；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键盘、耳麦及鼠标配件</w:t>
            </w:r>
          </w:p>
        </w:tc>
        <w:tc>
          <w:tcPr>
            <w:tcW w:w="5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国产有线耳麦、键鼠套装，内含有线键盘、鼠标、鼠标垫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液晶显示器</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23寸以上，分辨率1920*1080,VGA接口，HDMI显示接口；标配AC电源线，具有标准的VESA壁挂接口。 屏幕具备护眼功能。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云服务器</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1、要求2U机架式物理服务器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2、CPU：每颗CPU≥24核心48线程，主频≥3.2Ghz，单服务器不低于48核物理核心。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3、内存：服务器提供≥32个内存插槽，配置≥512G内存（16G*32）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4、硬盘：具备≥12个前置硬盘盘位能力，整机配置2块 1T SSD;配置≥1*2T 3.5寸 HDD硬盘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5、网口：提供≥2个千兆网口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6、电源：提供1个≥800W电源模块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7、为了保证产品质量，所投云服务器需要具备国家强制性CCC认证并提供证书的复印件。 （提供证书复印件，可根据需求加盖厂商印章。）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8、为了保证产品质量，所投云服务器需要具备国家检测中心出具节能认证并提供证书的复印件。（提供证书复印件，可根据需求加盖厂商印章。）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9、要求云服务器、学生云终端、教师云终端、教学管理软件、网络连通设备同一品牌，保证平台联动时的兼容性和可靠性，提供厂商服务承诺函并加盖厂商印章。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软件平台：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1、管理平台采用B/S架构，中文图形化操作界面，同一管理界面中可实现对计算、存储、网络等功能的配置和操作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2、要求采用超融合架构，在同一管理平台内至少包含计算资源、存储资源、网络资源等功能管理模块。所有功能模块需要通过一个厂家的一套软件实现超融合部署，不可以使用多套软件或产品叠加实现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3、支持在集群中添加、移除服务器主机节点，提供强大的横向扩展能力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4、支持将服务器主机节点添加为计算集群，为上层业务平台提供统一的计算、存储、网络资源调度，形成基础计算平台支撑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分布式存储架构，可以将服务器集群中多个节点的本地磁盘融合为统一存储资源空间，具备在线Scale-out扩展能力，任一节点故障，都不会影响数据的正常访问，存储系统仍然保证数据100%的完整，并且不会停机中断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6、支持数据切片技术，单个文件跨多个存储节点分布存储，支持多节点并发存储读取与写入，提升应用业务响应能力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以按需创建多个存储池，并且可以按需指定每个存储池所需使用的冗余策略。同时还可以根据具体需求选择每个存储池对应的容量盘，容量盘可以选择服务器集群中任意几个节点中的一块或多块未被使用的磁盘，要求提供实际界面截图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8、存储池可以设置的冗余策略至少包括：单副本、2副本、3副本、纠删码等冗余策略，纠删码可以按照2数据1校验的方案部署并实际使用，磁盘空间的利用率超过66%，要求提供实际界面截图证明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9、支持多级缓存技术，可以智能化地预先将热点数据从机械盘缓存到SSD和内存中，从而让这些热点数据的IO更加高效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10、支持数据均衡负载策略，当存储池扩容或者节点/容量盘出现故障时可以触发数据重分布，数据均衡的过程不会导致业务中断、也无需人工干预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要求支持并且可以实际使用局部超融合方案，每个节点上启动的虚拟桌面都可以在本节点上以单副本的方式运行，其它用户数据（如：镜像模版、作业等）依然采用相应的冗余策略存储在多节点上，要求提供实际界面截图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12、为保证云桌面的使用体验，要求三节点集群模式下4KB块大小全随机100%读IOPS 大于170万。需提供第三方机构关于性能测试报告证明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13、为保证硬盘故障后，数据可以快速重构，要求所投产品在分布式存储的方案下，1T数据重构时间不超过15分钟，需提供第三方机构关于数据重构的性能测试报告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为避免用户数据外泄，要求分布式存储采用块虚拟化技术，将用户的文件切分成多个小数据块，以裸数据的形式分别保存在不同服务器的不同硬盘上。避免硬盘故障维修时，原故障硬盘被第三方公司/人带走，导致数据外泄。需要提供演示视频和产品功能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15、支持创建虚拟交换机，可创建≥64个虚拟机交换机，每个虚拟交换机默认创建256个端口，可根据需要自动创建/删除端口；最多可创建≥16384‬个端口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16、支持查询、下载系统管理员的操作日志，日志包括：管理员账号、IP地址，操作时间、操作内容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17、要求提供对应型号的软件著作权证书加盖厂商鲜章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教师管理软件</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要求提供多种教学模式以应对不同的教学需求，包括信息课模式、考试模式等多种模式，并可根据学校实际教学需求增加自定义场景模式，每个模式下提供不同的教学镜像，切换模式时，云终端硬件无需重新启动。（要求提供功能截图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简化管理和使用方面，要求一套教学管理软件能够实现教学业务，同时能够进行终端管理，比如禁网、终端参数配置、终端编号等，不接受在教学机上安装多个软件来实现教学管理和终端管理功能，要求提供界面截图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通过教学管理软件，一键关闭云终端后，所有终端自动关闭（虚拟机与物理终端同时关闭）；通过教学管理软件，一键开启所有云终端后，终端自动启动并进入对那个的课程镜像桌面；通过教学管理软件，一键关闭服务器和云终端后，服务器和云终端都被关闭，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简化教学，教学管理软件需要提供远程终端编号功能，并与云桌面编号一一对应，方便上课前的学生点名等，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老师将选中的文件分发给学生，可以分发给所有学生，也可以分发给指定学生；同时支持学生直接将文件提交给老师，使用100M的rar文件，60台传输时间在55s以内，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6、支持老师对单一、部分、全体学生进行黑屏操作，黑屏状态下，学生的机器被锁定，要求提供功能截图并加盖厂商公章。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为保证正常教学使用，教学机和学生终端完成正常开机，服务器处于关闭状态，在教学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为方便教学控制，支持通过教学管理软件实现一键禁止任意分学生上网，禁网同时需要支持屏幕广播、屏幕查看等正常教学应用，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最小化托盘：为方便教学课堂教学时进行快捷操作，支持教学管理软件一键切换为托盘状态，托盘上应有屏幕广播，发送文件，随堂测试，作业空间，以及禁网、禁USB、锁屏等常用教学功能。为保证后续使用效果需提供上述功能截图并加盖厂商招公章。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教学管理软件默认提供作业布置、批改、管理和成绩统计功能组件，提供学生作业的归档和打包下载；支持老师在作业空间为多个或单个班级的学生布置作业，布置内容可支持各种文件格式。老师可以对作业上交截止时间进行设置；支持学生通过学生客户端将作业交给老师，学生可以看到自己是第几名提交作业的人，第一个提交的学生可以看到表扬的提示语，为保证后续使用效果需提供上述功能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老师在作业空间选择要布置的班级和年级，可以上传附件，完成作业布置后，学生账号登陆后立即能看到老师布置的作业，无延时。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12、支持老师在线打开学生作业，格式至少包括Word、Flash、Excel、PPT、图片。在线查看学生作业后，可以在作业空间中打分并录入评语，为保证后续使用效果需提供上述功能截图并加盖厂商招公章。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同时支持老师将学生作业标记为优秀作业，学生可以通过学生端软件查看本年级所有老师标记的优秀作业，并且可以对优秀作业留言点评，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分组教学：支持老师对学生进行分组，分组时老师可以在软件界面根据学生姓名分组，每个班可以保存分组信息。老师可以指定小组组长，组名可以由组长和老师重命名。可记录小组总得分与小组内成员对小组的贡献值，同一组内的学生可以相互传送文件，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账号灵活管理，支持管理员通过EXCEL导入学生和老师在作业空间的帐号，也可以单独修改、添加、删除帐号。学生、老师需要在登陆作业空间时，同时学生账号支持密码登陆和无密码登陆方式，为保证后续使用效果需提供上述功能界面截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随堂测试：为提高教学效率，支持老师通过Web界面在办公室等其他场景录入题库，无需下载office或其他插件、模板，同时支持教室内截屏出题，口述出题等快速出题方式；教学可以通过全班答题、抢答等多种方式发起测试，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16、随堂测试出题可支持单选、多选、判断、问答等多种课堂测试，为保证后续使用效果需提供上述功能截图并加盖厂商招公章；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答题结果统计：可以通过多种维度统计学生答题结果。按题统计：可以查看每道题学生选项分布情况；按人统计：可查看每个学生的总得分和正确率；按组统计：在分组状态下，可以查看每组得分和组内学生贡献值；为保证后续使用效果需提供上述功能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作业空间内置网盘功能，学生可通过作业空间账号直接登录，学生没有做完的作业或文件，可以上传到在作业空间中独立的存储空间中，方便下次上课使用，网盘支持上传和下载，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互动游戏：为促进课堂互动效果，提升课堂活跃度，需提供实用课堂互动小游戏，为保证后续使用效果需提供功能截图并加盖厂商公章/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年级一键升级：为简化账号管理维护工作，在每学年满了之后，所有的学生账号能够一键升级到高年级，不需要重新创建学生账号。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班级模型自动创建，为简化账号管理维护工作，支持通过签到的方式自动建立班级模型和账号，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微课中心：支持微课的上传、浏览及删除，老师将观看微课任务布置给学生，并可以附加测试试题，学生观看微课后完成答题，老师可以查看学生答题情况，并对答题结果统计分析。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23、为避免U-Key丢失和兼容性以及安全性问题，授权方式必须为文件授权方式，而非U-Key授权的方式。针对授权方式需要提供服务器文件授权界面截图并加盖厂商招公章。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学生奖励机制：积分体系：学生在教学活动中可以获得虚拟积分，学生和老师端可以查看积分排名；学生勋章：促进学生更好的完成学习任务，预置不少于5任务目标，完成任务后获得荣誉勋章，荣誉勋章在学生端能统一展示。为保证后续使用效果需提供上述功能截图并加盖厂商招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为提高教室利用率，要求提供能够实现基于安卓系统的主课教学模式，该模式下，老师通过教学管理软件控制所有云终端一键进入本地安卓系统，★实现主课教学，针对此功能需提供国家级权威测试机构（如：国家电子计算机质量监督检验中心、国家电子标签产品质量监督检验中心、国家电子计算机外部设备质量监督检验中心等）出具的检验报告复印件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系统需自带个人题库、随堂测试等基础教学功能，不接受通过非原厂软件的方式来实现。（要求提供功能截图并加盖厂商公章）"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26、★教学管理软件必须为自主研发，非OEM 产品，要求提供中华人民共和国国家版权局颁发的软件著作权登记证证书复印件。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要求云服务器、学生云终端、教学云终端、教学管理软件、网络连通设备同一品牌，保证平台联动时的兼容性和可靠性，且在产品厂商官网有明确的产品说明（需提供产品厂商官网查询链接与截图并加盖厂商公章）。</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教师云终端</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1.为保证教学软件及考试系统的兼容效果和稳定运行，所有终端均需采用x86架构，且为国内自主品牌。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2.云终端要求内置虚拟桌面系统，能够做到免身份验证登录虚拟桌面，避免使用时的麻烦问题。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3.★配置≥Intel第十二代I7四核四线程处理器（处理器主频≥3.7GHz）；内存≥16GB，显卡≥独立显卡4G及以上；本地存储≥256 GB SSD；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4.★为避免长期防止内存松动蓝屏等问题，要求所投产品内存为主板焊接一体化，非插槽式以提高运行可靠性，降低维护工作量，提供厂商服务承诺函声明，加盖厂商公章。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5.★配置≥23寸显示器，分辨率≥1920×1080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6.★USB接口≥6个（包含≥2个USB 3.0接口），≥1个千兆网口，≥1个HDMI接口，≥1对音频输入输出接口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7.配置≥1个内存扩展槽，≥1个SATA扩展接口，可扩展1个2.5英寸硬盘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8.★具备独立的关屏功能键，可实现一键关闭屏幕显示，但系统不会休眠或者关机，方便用户打开显示器后的流畅使用体验，要求提供产品实物图，并标注清楚关屏功能键和电源键的位置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9.具备屏幕亮度调节功能键。可实现屏幕亮度增加、减弱功能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10.配置铝合金一体化压铸底座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11.★为了保证产品质量，所投设备需要具备国家强制性CCC认证并提供证书复印件（提供证书复印件，需加盖厂商印章。）。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12.★为保证产品为节能产品，要求提供中国质量认证中心出具的中国节能产品认证证书复印件（提供证书复印件，需加盖厂商印章。）。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13.★为保障所投设备质量优异，可靠性高，要求所投设备平均故障间隔时间（MTBF）不低于120000小时，并提供第三方权威证书和测试报告复印件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48口千兆交换机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1、配置≥48个10/100/1000Base-T以太网端口，4个千兆非复用SFP口。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交换容量≥430Gbps，包转发率≥130Mpps；支持划分vlan；支持LACP；支持手工聚合；每个聚合组最大支持8个端口；支持Console口配置、Telnet远程配置；支持SNMPv1/v2c/v3；支持系统日志；支持WEB网管特性；支持STP、RSTP和MSTP；支持BPDU保护、Root保护、环路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3、提供入网证书和对应型号官网参数截图加盖厂商鲜章；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4、提供制造商产品授权书及售后委托书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8口千兆交换机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1、8口千兆非网管交换机，8个10/100/1000M自适应电口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2、提供入网证书和对应型号官网参数截图加盖厂商鲜章；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3、提供制造商产品授权书及售后委托书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学生桌椅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子规格：1400*600*750（长*宽*高）产品外形尺寸的极限偏差宽2mm，深2mm，高1mm，桌面：采用25mm优质环保实木颗粒板，双贴膜0.6mm防火板，表面贴环保防火饰面板，防潮、防酸碱、耐刮擦、整体美观大方实用，符合国家环保标准；桌架：钢制整体框架结构,框架采用国标40*15*1.2方管为立腿，横管为30*25*1.2方管。表面静电喷塑，钢管连接件为钢连接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钢方凳，规格350*250*450mm，凳面采用0.8mm的优质冷轧钢板，经模具一次性冲压而成立；凳面表面带透气孔，凳架采用25*25的方管，焊壁厚1.0mm；焊接部分采用二氧化碳保护焊焊接而成，坚固耐用；表面经除锈磷化处理后静电喷漆，经高温加热成型，此工艺附着重力强不易掉漆，经久耐用。方凳耐磨、耐刮，防滑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一桌配两凳。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教师桌椅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标准办公坐椅和插线板一套。教室桌边到边1400*600*750（长*宽*高），产品外形尺寸的极限偏差宽±2mm，深±2mm，高±1mm，各部分使用的材料：桌面基材为25mm优质实木颗粒双饰面板，其它部分采用16mm优质实木颗粒双饰面板，其表面硬度高，耐磨、耐刮、耐酸碱、阻燃等性能，板材截面进行2mm厚的PVC封边。侧板：采用16mm厚实木颗粒板，四边截面采用全自动封边机，选用2mm厚优质PVC封边，其粘力强，密封性好，外形美观，经久耐用，耐磨。立板下加防潮（脚垫）耐腐蚀等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教师椅坐高450mm，坐宽550mm，背高750mm2、基材：靠背采用实木多层板，弓形架采用1.5厚方管，质地坚实，韧性好。面料：进口尼龙网布，耐温耐磨，透气，柔软舒适，柔韧抗拉伸，环保无污染。海绵：中间采用高密度、高弹力海绵，具有良好的机械性能，久坐不变形。管壁进口镀锌，美观光滑，符合国家标准。采用无毒环保型胶水，符合国际环保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5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24U服务器机柜</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综合布线施工安装</w:t>
            </w:r>
          </w:p>
        </w:tc>
        <w:tc>
          <w:tcPr>
            <w:tcW w:w="5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静电地板、国标线材、辅材及稳定电源，配电箱、六类网线、水晶头、插线板、36个以上的护眼灯，线槽等（具体数量根据现场实际需要确定）</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电子电路</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包含：结构件18种总计139件、电子元器件19种53件、螺丝螺母刀1套、数据线1根、塑料配件箱1个；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7*13构架：1件，68mm*38mm*1.6mm，PCB材质；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15*21构架：1件，108mm*78mm*1.6mm，PCB材质；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5*33构架：2件，168mm*28mm*1.6mm，PCB材质；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5*21构架：2件，108mm*28mm*1.6mm，PCB材质；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15孔构架：2件，78mm*8mm*1.6mm，PCB材质；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直角2*3（螺纹）：4件，30mm*20mm*18mm*1.5mm，金属材质；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钝角2*2（螺纹）：2件，20mm*20mm*1.5mm，金属材质；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直角2*2：2件，20mm*20mm*18mm*1.5mm，金属材质；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直角2*6：2件，60mm*20mm*18mm*1.5mm，金属材质；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7mm螺柱：4件，7mm，金属材质；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20mm螺柱：4件，20mm，金属材质；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35mm螺柱：4件，35mm，金属材质；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白轮（6T）：2件，48mm，ABS材质；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导轮（6T）：2件，40mm，ABS材质；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螺丝M3x7：50件，M3*7，金属材质；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轮胎：2件，50mm，ABS材质；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螺母M3：50件，M3，金属材质；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S螺母：3件，5mm*5mm，ABS材质；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CPU主控板：1件，78mm*58mm*16mm*1.6mm，ARM Cortex-M4 32b MCU+FPU, 210DMIPS, up to 1MB Flash/192+4KB RAM, USB OTG HS/FS, Ethernet, 17 TIMs, 3 ADCs, 15 comm.8in,8out,4motor,i2c主控板采用的是 MICROCHIP(美国微芯)ATMEGA328系列编程芯片,其C PU内核：AVR CPU最大主频：20MHz 工作电压范围：1.8V~5.5V 内部振荡器：有 程序 FLASH容量：16K@x16bit RAM总容量：2KB EEPROM/数据 FLASH容量：1KB GPIO端口数量：23 ADC(单元数/通道数/位数)：1@x8ch/10bit 外设/功能/协议栈：看门狗 工作温度范围：-40℃~+85℃   ,同  WCH(南京沁恒)  生产的CH340T (USB转串口芯片)使用.可以使数据传输速度达到2Mb 同时支持多路数字信号输入,同控制功能.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电池盒：1件，80mm*58mm*15mm，标准4节5号电池用电池盒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LED红灯模块：1件，35mm*35mm*9mm*1.6mm，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LED黄灯模块：1件，35mm*35mm*9mm*1.6mm，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LED绿灯模块：1件，35mm*35mm*9mm*1.6mm，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LED蓝灯模块：1件，35mm*35mm*9mm*1.6mm，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触碰开关模块：2件，35mm*35mm*19mm*1.6mm，供电电压DC 3V-6V，工作电流&lt;5mA；内置6119系列稳压芯片,触碰按键的次数可达到10W 次以上.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直流马达100R（6T）：2件，40mm*40mm*20mm，高精度电机驱动，转速精度3%以内；额定转速100转（空载）；减速比78:1；操作电压范围DC 3V-8V，额定工作电压6V，无负荷工作电流&lt;50mA；转动噪音小于55dB；12V280rpm减速电机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面包板：1件，46mm*35mm*8mm；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LED灯红：2件，26mm，单色LED；供电电压DC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LED灯黄：2件，26mm，单色LED；供电电压DC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LED灯蓝：2件，26mm，单色LED；供电电压DC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LED灯绿：2件，26mm，单色LED；供电电压DC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220R电阻 ：4件；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按键：2件，12mm*12mm*11mm*16mm；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杜邦线公母：10件，210mm；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杜邦线公公：6件，210mm；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杜邦线母母：6件，210mm；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三排线20cm：6件，20cm；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4、其它件参数：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十字螺丝刀：1件，120mm；金属材质；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内六角螺丝刀：1件，120mm，金属材质；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数据线：1件，USB2.0 AWM 2725 24AWG/1PR AND 24AWG/2C 80C 30V CSA AWM 1/II A FA4 80C 30V CPDZ；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塑料配件箱：1件，140mm*95mm*37mm；透明ABS材质；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智能信号</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包含：结构件30种总计270件、电子元器件23种64件、螺丝螺母刀1套、数据线1根、塑料配件箱1个；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扇叶：1件，73mm*23mm*12mm*1.9mm 2,13g，透明塑料材质；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马达导杆：2件，20mm*10mm；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15*21构架：2件，108mm*78mm*1.6mm，PCB材质；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5*33构架：2件，168mm*28mm*1.6mm，PCB材质；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15*15构架：2件，78mm*78mm*1.6mm，PCB材质；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5*21构架：4件，108mm*28mm*1.6mm，PCB材质；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5*7构架 ：4件，38mm*28mm*1.6mm，PCB材质；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3*21构架 ：4件，108mm*18mm*1.6mm，PCB材质；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3*13构架 ：4件，68mm*18mm*1.6mm，PCB材质；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7孔构架 ：4件，38mm*8mm*1.6mm，PCB材质；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5/7直角构架：4件，38mm*28mm*8mm*1.6mm，PCB材质；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6*9T字构架：2件，48mm*38mm*18mm*1.6mm，PCB材质；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3/5/12钝角构架：4件，60mm*23mm*15mm*8mm*1.6mm，PCB材质；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直角2*3（螺纹）：8件，30mm*20mm*18mm*1.5mm，金属材质；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钝角2*2（螺纹）：6件，20mm*20mm*1.5mm，金属材质；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直角2*2：6件，20mm*20mm*18mm*1.5mm，金属材质；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直角2*6：4件，60mm*20mm*18mm*1.5mm，金属材质；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7mm螺柱：8件，7mm，金属材质；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20mm螺柱：8件，20mm，金属材质；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35mm螺柱：8件，35mm，金属材质；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导轮（6T）：2件，40mm，ABS材质；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轮毂（6T）：4件，50mm，ABS材质；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轮胎 ：4件，50mm，ABS材质；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马达导杆（6T）：2件，20mm*11mm*18mm，ABS材质；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合页：2件，20mm*10mm*1.5mm，金属材质；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三排针：4件，15mm，金属材质；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螺丝M3x7：80件，M3*7，金属材质；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螺母M3：80件，M3，金属材质；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S螺母：4件，5mm*5mm，ABS材质；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马达导杆（伺服马达）：1件，20mm*10mm，金属材质；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CPU主控板：1件，78mm*58mm*16mm*1.6mm，ARM Cortex-M4 32b MCU+FPU, 210DMIPS, up to 1MB Flash/192+4KB RAM, USB OTG HS/FS, Ethernet, 17 TIMs, 3 ADCs, 15 comm.8in,8out,4motor,i2c； 主控板采用的是 MICROCHIP(美国微芯)ATMEGA328系列编程芯片,其C PU内核：AVR CPU最大主频：20MHz 工作电压范围：1.8V~5.5V 内部振荡器：有 程序 FLASH容量：16K@x16bit RAM总容量：2KB EEPROM/数据 FLASH容量：1KB GPIO端口数量：23 ADC(单元数/通道数/位数)：1@x8ch/10bit 外设/功能/协议栈：看门狗 工作温度范围：-40℃~+85℃   ,同  WCH(南京沁恒)  生产的CH340T (USB转串口芯片)使用.可以使数据传输速度达到2Mb 同时支持多路数字信号输入,同控制功能.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电池盒：1件，80mm*58mm*15mm，标准4节5号电池用电池盒；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LED红灯模块：1件，35mm*35mm*9mm*1.6mm，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LED黄灯模块：1件，35mm*35mm*9mm*1.6mm，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LED绿灯模块：1件，35mm*35mm*9mm*1.6mm，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LED蓝灯模块：1件，35mm*35mm*9mm*1.6mm，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直流马达600R：2件，40mm*40mm*20mm，，高精度电机驱动，转速精度3%以内；额定转速600转（空载）；减速比13:1；操作电压范围DC 3V-8V，额定工作电压6V，无负荷工作电流&lt;50mA；转动噪音小于55dB；12V280rpm减速电机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小马达：2件，38mm*26mm*15mm；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声音传感器模块：1件，35mm*35mm*1.6mm；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红外遥控器：1件，97mm*90mm*15mm，供电电压DC 3V-6V，发射板电流待机0. 17mA，工作25mA，接收板电流10mA；高精度、远距离红外按键控制；高亮蓝色工作指示灯，指示发射信号状态；超大按键，方便操作；隐藏式红外发射管；不少于120种按键组合方式；可设置地址码，可保证最多8组红外发射和接收板同时工作，互不影响；此发射器采用ST 公司8位数码编程芯片8S003系列设计而成,  配合亿光红外发射管PT203C  ,遥控距离可以达到10米以上.  采用6v 供电,5V 稳压输出使用电压.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红外接收器：1件，65mm*35mm*5mm，供电电压DC 3V-6V，发射板电流待机0. 17mA，工作25mA，接收板电流10mA；高精度、远距离红外按键控制；高亮蓝色工作指示灯，指示发射信号状态；超大按键，方便操作；隐藏式红外发射管；不少于120种按键组合方式；可设置地址码，可保证最多8组红外发射和接收板同时工作，互不影响；此模块搭载STM8 Series 8-bit 8 KB Flash 1 KB RAM 16 MHz Microcontroller,配合台湾亿光IR56384接收头使用..  其工作电压5V .  100MA 以下.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触碰开关模块：2件，35mm*35mm*19mm*1.6mm，供电电压DC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可调红外线传感器：2件，35mm*35mm*13mm*1.6mm，850nm红外发射接收对管；供电电压DC 3V-6V，工作电流&lt;10mA；内置6119系列稳压芯片,触碰按键的次数可达到10W 次以上.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四位数码管模块：1件，40mm*40mm*5mm*1.6mm；主要芯片TM1637 它是具有键盘扫描接口LED驱动芯片.驱动共阴极的4位LED,其工作电压5V   工作电流小于10mA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伺服马达：1件，40mm*40mm*20mm，25T标准接口180度伺服马达，高精度电机驱动，转速精度6%以内；操作电压范围DC 3V-8V，额定工作电压6V，无负荷工作电流&lt;50mA；转动噪音小于55dB；先进的步进马达驱动电路，可任意控制马达前进距离和角度；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直流马达100R（6T）：2件，40mm*40mm*20mm，高精度电机驱动，转速精度3%以内；额定转速100转（空载）；减速比78:1；操作电压范围DC 3V-8V，额定工作电压6V，无负荷工作电流&lt;50mA；转动噪音小于55dB；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电位器模块：1件，35mm*35mm*17mm*1.6mm；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有源蜂鸣器模块：1件，35mm*35mm*12mm*1.6mm，供电电压DC 3V-6V，工作电流&lt;5mA；采用12*9.5的有源蜂鸣器. 5V 供电. 输出声音电平平缓,稳定.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无源蜂鸣器模块：1件，35mm*35mm*7mm*1.6mm，供电电压DC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三排线20cm：10件，20cm；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杜邦线公公：10件，210mm；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杜邦线公母：10件，210mm；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杜邦线母母：10件，210mm；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4、其它件参数：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十字螺丝刀：1件，120mm；金属材质；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内六角螺丝刀：1件，120mm，金属材质；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数据线：1件，USB2.0 AWM 2725 24AWG/1PR AND 24AWG/2C 80C 30V CSA AWM 1/II A FA4 80C 30V CPDZ；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塑料配件箱：1件，140mm*95mm*37mm；透明ABS材质；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机械控制</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包含：结构件27种总计252件、电子元器件13种26件、螺丝螺母刀1套、数据线1根、塑料配件箱1个；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15*21构架：1件，108mm*78mm*1.6mm，PCB材质；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5*33构架 ：2件，168mm*28mm*1.6mm，PCB材质；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15*15构架：2件，78mm*78mm*1.6mm，PCB材质；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5*21构架 ：3件，108mm*28mm*1.6mm，PCB材质；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5*7构架：2件，38mm*28mm*1.6mm，PCB材质；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3*21构架：2件，108mm*18mm*1.6mm，PCB材质；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3*13构架：2件，68mm*18mm*1.6mm，PCB材质；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7孔构架：4件，38mm*8mm*1.6mm，PCB材质；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5/7直角构架：4件，38mm*28mm*8mm*1.6mm，PCB材质；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6*9T字构架：2件，48mm*38mm*18mm*1.6mm，PCB材质；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3/5/12钝角构架：4件，60mm*23mm*15mm*8mm*1.6mm，PCB材质；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直角2*3（螺纹）：8件，30mm*20mm*18mm*1.5mm，金属材质；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钝角2*2（螺纹）：6件，20mm*20mm*1.5mm，金属材质；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直角2*2：4件，20mm*20mm*18mm*1.5mm，金属材质；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直角2*6：4件，60mm*20mm*18mm*1.5mm，金属材质；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7mm螺柱：8件，7mm，金属材质；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20mm螺柱：8件，20mm，金属材质；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35mm螺柱：8件，35mm，金属材质；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导轮（6T）：2件，40mm，ABS材质；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轮毂（6T）：2件，50mm，ABS材质；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轮胎：2件，50mm，ABS材质；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马达导杆（6T）：2件，20mm*11mm*18mm，ABS材质；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合页：2件，20mm*10mm*1.5mm，金属材质；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三排针：4件，15mm，金属材质；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螺丝M3x7：80件，M3*7，金属材质；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螺母M3：80件，M3，金属材质；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S螺母：4件，5mm*5mm，ABS材质；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CPU主控板：1件，78mm*58mm*16mm*1.6mm，ARM Cortex-M4 32b MCU+FPU, 210DMIPS, up to 1MB Flash/192+4KB RAM, USB OTG HS/FS, Ethernet, 17 TIMs, 3 ADCs, 15 comm.8in,8out,4motor,i2c主控板采用的是 MICROCHIP(美国微芯)ATMEGA328系列编程芯片,其C PU内核：AVR CPU最大主频：20MHz 工作电压范围：1.8V~5.5V 内部振荡器：有 程序 FLASH容量：16K@x16bit RAM总容量：2KB EEPROM/数据 FLASH容量：1KB GPIO端口数量：23 ADC(单元数/通道数/位数)：1@x8ch/10bit 外设/功能/协议栈：看门狗 工作温度范围：-40℃~+85℃   ,同  WCH(南京沁恒)  生产的CH340T (USB转串口芯片)使用.可以使数据传输速度达到2Mb 同时支持多路数字信号输入,同控制功能.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电池盒：1件，80mm*58mm*15mm，标准4节5号电池用电池盒；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LED红灯模块：1件，35mm*35mm*9mm*1.6mm，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LED黄灯模块：1件，35mm*35mm*9mm*1.6mm，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LED绿灯模块：1件，35mm*35mm*9mm*1.6mm，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LED蓝灯模块：1件，35mm*35mm*9mm*1.6mm， 单色LED；供电电压DC 3V-6V，工作电流&lt;5mA；采用是恒流,恒压模式.  使黄  绿  蓝  四种模组灯亮度均匀.不易损坏.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触碰开关模块：4件，35mm*35mm*19mm*1.6mm，供电电压DC 3V-6V，工作电流&lt;5mA；内置6119系列稳压芯片,触碰按键的次数可达到10W 次以上.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直流马达100R（6T）：2件，40mm*40mm*20mm，高精度电机驱动，转速精度3%以内；额定转速100转（空载）；减速比78:1；操作电压范围DC 3V-8V，额定工作电压6V，无负荷工作电流&lt;50mA；转动噪音小于55dB；12V280rpm减速电机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电位器模块：1件，35mm*35mm*17mm*1.6mm；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有源蜂鸣器模块：1件，35mm*35mm*12mm*1.6mm，供电电压DC 3V-6V，工作电流&lt;5mA；采用12*9.5的有源蜂鸣器. 5V 供电. 输出声音电平平缓,稳定.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无源蜂鸣器模块：1件，35mm*35mm*7mm*1.6mm，供电电压DC 3V-6V，工作电流&lt;5mA；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倾斜传感器：1件，35mm*35mm*7mm*1.6mm；模块采用美国国家半导体公司的(LM393n 做电压比较器,同SW-420倾斜模块构成的高灵敏度模组. 其功耗小于5Ma.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三排线20cm：10件，20cm；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4、其它件参数：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十字螺丝刀：1件，120mm；金属材质；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内六角螺丝刀：1件，120mm，金属材质；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数据线：1件，USB2.0 AWM 2725 24AWG/1PR AND 24AWG/2C 80C 30V CSA AWM 1/II A FA4 80C 30V CPDZ；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塑料配件箱：1件，140mm*95mm*37mm；透明ABS材质；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智慧备课系统双师平台</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1.智慧备课系统，包含与教具配套的课程教案、授课PPT、多媒体资源、课堂公告、作业，在线图形化编译平台，师训中心等模块保障日常教学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2.常规课课时：96课时；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3.青少年等级考试认证系列课程：40课时；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4.教育部白名单赛事集训课程：40课时；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5.总课时176课时；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清华出版社机器人编程系列书籍</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1.清华大学出版社出版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2.课本内容涵盖中小学人工智能启蒙相关知识内容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智能园艺家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赛事装备包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包含：机构件16种总计155件、电子元器件8种17件、螺丝螺母刀1套、稳压器电源线1根、下载线1根；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包含：轮子（带连接轴）、万向轮、马达导杆、主构架版、15孔构架板、3X11构架板、3X15构架板、3X23构架板、2X3直角、2X6直角、7mm螺柱、35mm螺柱、长螺丝3mX10、螺丝、螺母、三排线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walimakerCPU主控板：ARM Cortex-M4 32b MCU+FPU, 210DMIPS, up to 1MB Flash/192+4KB RAM, USB OTG HS/FS, Ethernet, 17 TIMs, 3 ADCs, 15 comm.8in,8out,4motor,i2c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灰度模拟传感器：使用电压3-5.5V，型号类型：数字信号，采用4PIN接口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稳压器：多接入，转5v稳压器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电池盒：标准4节5号电池用电池盒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电池盒转接板：将2个电池盒合并输出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减速马达：12V280rpm减速电机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伺服马达：25T标准接口180度伺服马达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蜂鸣器：使用电压5V DC,数字信号，采用4PIN接口</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智能园艺家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竞赛场地图</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场地图1张：2.4m*2.4m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种子模型6个：3cm*3cm*3cm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除虫剂模型6个：3cm*3cm*3cm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水源模型6个：3cm*3cm*3cm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园艺剪刀模型6个：3cm*3cm*3cm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垃圾模型6个：3cm*3cm*3cm</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机器人资源收集专项赛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赛事装备包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包含：机构件19种总计476件、电子元器件6种20件、导线2种10根、螺丝螺母刀2套、数据线2根；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包含：主构架、1*2直角、15孔构架、2*2直角、2*3马达直角、2*4选项构架、2*6直角、20mm螺柱、3*15构架、3*23构架、35mm螺柱、7孔构架、大白轮子、螺母M3、螺丝M3*10、螺丝M3*7、履带导轮、橡胶轮胎、小白轮子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CPU主板：ARM Cortex-M4 32b MCU+FPU, 210DMIPS, up to 1MB Flash/192+4KB RAM, USB OTG HS/FS, Ethernet, 17 TIMs, 3 ADCs, 15 comm.8in,8out,4motor,i2c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2.4G遥控器发射/接收器：1个方位旋钮、4按键的无线遥控器，产品尺寸符合人体工程学设计，标准发射距离30m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伺服马达：25T标准接口180度伺服马达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直流马达：25T标准接口100rpm直流马达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电池盒：标准4节5号电池用电池盒</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机器人资源收集专项赛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竞赛场地图</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场地图1张：1.2m*2.4m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挡板4个：高10cm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高尔夫球：20个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兵乓球：10个</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智能运输器开源主题赛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赛事装备包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1、套装概述：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包含：机构件32种总计491件、电子元器件6种8件、螺丝螺母刀1套、数据线1根；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2、结构件参数：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15*21构架、15孔构架、20mm螺柱、21*33构架、3*13构架、35mm螺柱、5*13构架、5*17构架、5*21构架、5*33构架、7mm螺柱、7孔构架、大轮子（25T）、导轮（25T）、公公/母母杜邦线、合页、蓝色履带防滑套、轮胎、螺母M3、螺丝M3x10、螺丝M3x7、履带、履带诱导轮、履带主动轮、马达导杆（6T）、三/四排线、三排针、直角2*2、直角2*3（螺纹）、直角2*6、自攻螺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3、电子件参数：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CPU主控板：ARM Cortex-M4 32b MCU+FPU, 210DMIPS, up to 1MB Flash/192+4KB RAM, USB OTG HS/FS, Ethernet, 17 TIMs, 3 ADCs, 15 comm.8in,8out,4motor,i2c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电池盒：标准4节5号电池用电池盒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电池盒转接板：将2个电池盒合并输出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PS2蓝牙遥控器套装：产品尺寸符合人体工程学设计，标准发射距离30m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伺服马达：25T标准接口180度伺服马达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马达驱动板：标准马达驱动板</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智能运输器开源主题赛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竞赛场地图</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场地图1张：4.8m*2.4m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红色积木块9个：30mm*30mm*30mm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黄色积木块144个：30mm*30mm*30mm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蓝色积木块4个：30mm*30mm*30mm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绿色积木块4个：30mm*30mm*30mm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黑色积木块24个：30mm*30mm*30mm</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资源抢夺赛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赛事装备包</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包含：机构件19种总计476件、电子元器件6种20件、导线2种10根、螺丝螺母刀2套、数据线2根；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CPU主板：ARM Cortex-M4 32b MCU+FPU, 210DMIPS, up to 1MB Flash/192+4KB RAM, USB OTG HS/FS, Ethernet, 17 TIMs, 3 ADCs, 15 comm.8in,8out,4motor,i2c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2.4G遥控器发射/接收器：1个方位旋钮、4按键的无线遥控器，产品尺寸符合人体工程学设计，标准发射距离30m：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伺服马达：25T标准接口180度伺服马达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直流马达：25T标准接口100rpm直流马达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电池盒：标准4节5号电池用电池盒</w:t>
            </w:r>
          </w:p>
        </w:tc>
        <w:tc>
          <w:tcPr>
            <w:tcW w:w="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创客编程无人机</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机型：四旋翼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电池：3.7V 800mAh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通道：四通道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马达：(8620)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动力方式：电动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充电时间：50-60分钟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飞行时间：10分钟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飞行范围：100米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通信方式：2.4G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图传距离：50米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机身重量：85g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产品尺寸：172*172*32mm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遥控电池：AAA" 1.5v:2(不包含）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遥控尺寸：153*111*65mm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遥控重量：137g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相机：720P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功能：一块起飞一健隆落，无头。返航．速度．留使，拍用。摄像。遊糖。蝙程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配件：飞行品， 保护框，风叶、妳丝刀：迎控品，手机夹子。充电线，充电盒，说明书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适应年龄段：10岁以上儿童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彩盒尺寸：225 165*68mm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外箱尺寸：465*430^350mm24/箱</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教师演示台</w:t>
            </w:r>
          </w:p>
        </w:tc>
        <w:tc>
          <w:tcPr>
            <w:tcW w:w="5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2400*700*850(mm)。实验台台面：使用≥12.7mm实芯理化板台面;台体框架：采用模具成型的专用铝合金型材制作，框架的立柱为圆管或方管，框架的横梁为方管，通过ABS专用连接件组装而成，应保证组装接缝严密，连接牢固，无松动现象。铝合金型材的壁厚不小于1.2mm。采用圆管立柱的，其外径为50 mm±1.2mm；采用方管立柱的，其外径最小的边长为32mm±1mm。横梁的外径边长为32mm±1mm。铝合金型材应带凹槽，凹槽的宽度、深度应与所采用的柜体板材相匹配，接缝严密，无晃动现象。铝合金型材表面需经静电粉沫喷涂处理，整体耐腐蚀、防火、防潮、稳固耐用。表面经过环氧树脂高温固化喷涂，防酸耐碱。地脚：采用ABS可调地脚，防滑防潮，增长使用寿命；柜体板材为E1级三聚氰胺双贴面板，厚度≥16mm，连接件为ABS双脚连接件。2mm厚塑制优质封边条机械封边。配教师储物抽屉，钢制抽屉式电源主控系统箱，三节无声滑道。预留多媒体设备位置。</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钢架六边桌</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直径1400mm*边长700mm*高度750mm台面：采用教学专用E1三聚氰胺板材厚度25mm，边缘采用1.5mm厚度pvc封边条一次性封边处理；二层板：厚度16mmE1级三聚氰胺板材，桌架：桌腿为直径50mm圆管，横梁为25*50mm方管厚度1.2mm优质钢管。经过酸洗磷化、除油除锈、静电喷塑、高温处理等工序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钢木方凳</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330*240*450mm凳面为16mm三聚氰胺板材，圆角处理，凳架为20*20mm方管厚度1.2mm，经酸洗磷化、除油除锈、静电喷涂、高温处理而成。带凳盘脚垫：ABS注塑脚垫。</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储物柜</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尺寸：800*350*1600mm采用教学专用E1三聚氰胺板材厚度16mm，整体采用1.5mm厚度pvc封边条一次性封边处理。配件：优质五金配件</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86寸护眼电容智慧黑板</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一、整机要求：（含展示台）：（带无线鼠标键盘套装）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全金属外壳，三拼接平面一体化设计，中间主屏幕整机采用86英寸液晶显示器，整机采用UHD超高清LED液晶屏，显示比例16:9，分辨率3840×2160。屏幕边缘采用金属圆角包边防护，整机背板采用金属材质。无推拉式结构，外部无任何可见内部功能模块连接线。主副屏过渡平滑并在同一平面，中间无单独边框阻隔。（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2.嵌入式系统版本不低于Android 11，内存≥2GB，存储空间≥16GB。（提供国家认可的第三方权威检测机构出具的权威检测报告）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3.采用红外触控方式，支持Windows系统中进行20点或以上触控，支持在Android系统中进行20点或以上触控。（提供国家认可的第三方权威检测机构出具的权威检测报告）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4.整机支持色彩空间可选，包含标准模式和sRGB模式，在sRGB模式下可做到高色准△E≤1.5。（提供国家认可的第三方权威检测机构出具的权威检测报告）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标准、多媒体和节能三种图像模式调节。支持可自定义图像设置，可对对比度、屏幕色温、图像亮度、亮度范围、色彩空间等进行更进一步调节设置。（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支持5个自定义前置按键，“设置”、“音量-”，“音量+”，“录屏”“护眼”按键，可通过自定义设置实现前置面板功能按键一键启用任一全局小工具、快捷开关。（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7.整机全通道侧边栏快捷菜单中可以随时调起切换智能息屏、经典护眼模式、纸质护眼模式；并可支持快捷调节音量、亮度，支持自动亮度模式，支持点击静音按钮快速静音。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整机支持搭配具有NFC功能的手机、平板，可实现手机、平板与大屏的连接并同步手机、平板的画面到设备上，无需其它操作设置，支持不少于4台手机、平板同时连接并显示。（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整机支持纸质护眼模式，可以在任意通道任意画面任意软件所有显示内容下实现画面纹理的实时调整；至少支持纸质纹理：牛皮纸、素描纸、宣纸、水彩纸、水纹纸；支持透明度调节；支持色温调节。（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10.支持云端在线系统固件升级。（提供国家认可的第三方权威检测机构出具的权威检测报告）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二、扬声器与摄像头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1.整机内置不低于2.2声道扬声器，具备多方向扬声器，额定总功率不低于60W。（提供国家认可的第三方权威检测机构出具的权威检测报告））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2.内置摄像头、麦克风无需外接线材连接，无任何可见外接线材及模块化拼接痕迹，未占用整机设备端口。（提供国家认可的第三方权威检测机构出具的权威检测报告）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内置非独立摄像头，可拍摄≥1588万像素数的照片，支持输出4K，整机支持输出摄像头视场角≥135度且水平视场角≥120度画面。可用于远程巡课，整机摄像头支持大于等于10米距离时实现AI识别人像。具备人脸识别、快速点人数、随机抽人；识别所有学生，显示标记功能。（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三、通道功能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嵌入式Android操作系统下，白板支持对已经书写的笔迹和形状的颜色进行更换。在嵌入式系统下使用白板软件时，整机可根据用户书写操作智能调节屏幕亮度。（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2.嵌入式Android操作系统下，互动白板支持不同背景颜色，同时提供学科背景，如：五线谱、信纸、田字格、英文格、篮球和足球场地平面图。（提供国家认可的第三方权威检测机构出具的权威检测报告）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4.无PC状态下，嵌入式Android操作系统下可实现windows系统中常用的教学应用功能，如白板书写、WPS软件使用和网页浏览。（提供国家认可的第三方权威检测机构出具的权威检测报告）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5.整机全通道具备多种工具至少具备批注、截屏、计时、降半屏、放大镜、日历功能。（提供国家认可的第三方权威检测机构出具的权威检测报告）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安卓和全部外接通道支持通过扫描二维码等方式加入班级，老师设置题型，学生回答后提交，教师查看正确率比例及详细讲解；支持随机抽选、实时弹幕；支持管理当前班级成员；支持导出学生报告。（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四、教学界面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设备教学桌面支持教学常用的教学白板软件、文件管理软件、学生行为评价软件；教学桌面首页支持自定义桌面应用，支持展示≥8个应用入口。并提供快速进入本机所有应用的入口，满足不同教师授课需要。（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2.整机设备支持统一互通的用户身份认证服务，账号登录后，打开教学白板软件、学生行为评价软件的教学应用工具时无需再次输入账号密码重复登录。（提供国家权威检测机构出具的检测报告）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设备教学桌面支持快速查看设备盘符，支持本地磁盘和外接U盘、移动硬盘，点击即可打开该磁盘查看磁盘文件。教学桌面全支持显示存储空间状态，当存储空间即将满载时候进行红色标记明显提示。（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设备教学桌面支持U盘、移动硬盘等外接存储设备直接在桌面显示，无需打开文件浏览器即可快速查看文件列表，并且支持文件打开。支持查看全部文件列表以及按照文档、图片、音视频分类方式查看文件列表。（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6.整机内置触摸中控菜单，可查看当前正在运行的进行，支持应用切换，在全屏应用下无需退出全屏应用即可进行切换；支持应用关闭，以及关闭所有应用。（提供国家权威检测机构出具的检测报告）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五、物联功能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1.整机支持蓝牙Bluetooth 5.2标准，整机支持主动发现蓝牙外设从而连接（无需整机进入发现模式），支持连接外部蓝牙音箱播放音频。（提供国家认可的第三方权威检测机构出具的权威检测报告）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2.Wi-Fi及AP热点支持频段2.4GHz/5GHz ，Wi-Fi制式支持IEEE 802.11 a/b/g/n/ac/ax；支持版本Wi-Fi6。（提供国家认可的第三方权威检测机构出具的权威检测报告）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4.整机支持智能笔，通过BLE（蓝牙低能耗技术）、USB Dongle（通用串口总线接收器）等方式连接，当整机和智能笔均支持BLE功能时，支持指定区域内智能笔自动发现、自动连接，并支持读取智能笔型号， 对应显示设备实物图片。（提供国家认可的第三方权威检测机构出具的权威检测报告）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5.整机支持传屏器，通过BLE（蓝牙低能耗技术）、Type-C、USB 等方式连接，当整机和传屏器均支持BLE功能时，在指定区域内传屏器可自动发现、自动连接。（提供国家认可的第三方权威检测机构出具的权威检测报告）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六、OPS模块：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1.处理器：Intel Core i7 12代及以上，内存：16G DDR4 笔记本内存或以上配置，硬盘≥256G SSD 固态硬盘，采用抽拉内置式模块化电脑，抽拉内置式，PC模块可插入整机，可实现无单独接线的插拔。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2.具有独立非外扩展的电脑USB接口：≥3路USB。≥1 路 HDMI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3.PC模块的USB接口须为冗余备份接口，在正常使用整机的内置摄像头、内置麦克风功能时，USB接口不被占用，确保教师有足够的接口外接存储设备及显示设备。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4.整机具备供电保护模块，能够检测内置电脑是否插好在位，在内置电脑未在位的情况下，内置电脑无法上电工作。（提供国家认可的第三方权威检测机构出具的权威检测报告）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5.为保证设备使用稳定性及兼容性，要求班班通与OPS模块必须为同一品牌厂家，提供证明文件。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七、教学软件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1.能够为教师提供云存储空间至少258G，教师可在个人云空间中上传存储互动课件、云教案和其他教学资源。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2.互动教学课件支持定向精准分享：分享者可将互动课件、课件组精准推送至指定接收方账号云空间，接收方可在云空间接收并打开分享课件；（提供国家认可的第三方权威检测机构出具的权威检测报告）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3.具有互动式教学课件资源，包含学科教育各学段各地区教材版本 100个。具有互动式教学课件资源，包含学科教育各学段教材版本全部教学章节、专题教育多个主题教育、特殊教育 不少于3 大分类的 100000 份的互动课件。课件支持教师在线评分。（提供国家认可的第三方权威检测机构出具的权威检测报告）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4.具备AI智能备课助手：能按照教学环节筛选对应课件页一键插入课件中，可导入新课、作者简介。能按照元素类型思维导图、课堂活动选取需要的部分补充课件缺失的部分。 可以在查看部分课件的同时查看对应整份课件，了解作者整体教学思路。（提供国家认可的第三方权威检测机构出具的权威检测报告）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5.具备云端静默推送下载功能，无需用户手动下载即可实现应用的在线升级，升级具有信息验证机制，确保教学秩序不受干扰。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6.AI智能纠错：软件内置的AI智能语义分析模块，可对输入的英文文本的拼写、句型、语法进行错误检查，并支持一键纠错。（提供国家认可的第三方权威检测机构出具的权威检测报告）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AI音标助手：支持浏览和插入国际音标表，可直接点击发音，支持已整表和单个音标卡片插入。支持智能将字母、单词、句子转写为音标，并可一键插入到备课课件中形成文本。（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9.内置图片处理功能，无需借助专业图片处理软件即可对课件内的图片进行快速抠图，图片主体处理后边缘无明显毛边，且处理后的图片可直接上传至教师云空间供后续复用。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11.教师可在移动平台选择是否接收获取的分享课件，接收后课件储存至个人云空间，可在移动平台的互动课件列表预览。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12.移动平台与授课端账号数据联通，可在移动端选择个人云空间内任意课件放映，授课端同步显示课件内容。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13.支持NFC一碰投屏或直播。在局域网环境或无网环境下，可将移动端屏幕实时同步至授课显示端，同屏窗口、全屏显示方式根据移动端界面自动适配。（提供国家认可的第三方权威检测机构出具的权威检测报告）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14.提供互动课件资源库，包含学科教育、专题教育、特殊教育类课件。可获取到个人云空间，课件资源数量不低于15万份。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15.提供将Word转换为云教案的能力，支持解析文本、表格等通用元素，方便老师迁移旧教案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提供教案模板，方便老师撰写教案，预置模板包含表格式、提纲式、集备式、多课时式、单元设计式等不少于7个。支持校本模板，管理员在教研管理后台设置校本模板后，老师可在云教案模板调用。（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17.云教案内支持插入课件页，可调用云空间中的课件列表，按单页或整份插入教案。插入后的课件以窗口形式预览，可直接在窗口内进行翻页和课件元素交互，可一键全屏预览课件。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实现信息化集体备课。可选择教案、课件、胶囊资源上传发起集备研讨，能够设置多重访问权限，可通过手机号搜索邀请外校老师，用于跨校教研场景。（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19.参备人可通过评论区发表观点，可对他人评论的观点进行点赞，评论消息会实时提醒，支持图片的上传。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20.参备人可在线对教案进行随文式批注，追加批注，回复以及查看实时批注消息。（提供国家认可的第三方权威检测机构出具的权威检测报告）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21.完成本次研讨后，主备人可直接进入编辑页面编辑课件/教案，发布新稿件后，备课组进入下一轮研讨，更新稿件后会给参备老师同步教研动态。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22.可对集备中多稿的课件/教案/胶囊进行内容的横向对比，支持批注研。参备成员可随时获取和下载每一稿中的集备稿件到云课件，进行编辑或引用。（提供国家认可的第三方权威检测机构出具的权威检测报告）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24.语音研讨：主备人可以发起远程语音集备，进入语音研讨页面并共享稿件内容，提高集备的及时性与互动性，打造更高效便利的集备形式。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25.集备状态：支持查看集备研讨中/未研讨中的状态，支持查看参备老师的在线状态，方便参备人及时参与语音集备，快速了解集备进度。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26.录制语音：支持主备人录制集备研讨语音和重命名录制好的讨论记录，支持参备人收听录音回放，追溯集备内容。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27.集备管理：支持主备人管理添加/删除参备人员和控制个人和全员语音，支持邀请参备人开麦加入研讨。支持参备人控制个人语音，保障语音集备的有序性。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28.快速评课：支持通过手机端APP快速评课，不限校内/校外听课评课，通过选择授课老师，听课日期时间和地点即可开始评课，支持按不同评价维度进行评分和记录听课感想，支持随时回顾听课记录。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29.直播听评课：支持授课老师发起直播听评课，使用手机进行录影，听课老师可查看课堂直播。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支持通过实时音视频技术，将课堂教学现场进行实况直播，实现异地听课、评课，直播听评课结束后生成直播回放，为用户提供稳定快速的直播服务，使课堂教学研究与课堂教学同步进行，促进参与听课、评课教师的业务能力提升。（提供国家认可的第三方权威检测机构出具的权威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八、集中控制管理平台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31.采用一校一码的认证机制，为学校提供专属识别码，通过学校代码进行设备与管理平台之间的关联，保证管理的私密和安全。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32.冰点还原：支持创设系统还原点，实现磁盘级的系统还原保护，可根据教学需要自由选择磁盘分区设立还原点、取消还原点。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33.用户无法通过传统方法（卸载或者关闭程序）来终止软件的运行，从而保护管理员可有效的管控设备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34.系统采用B/S混合云架构设计，支持在Windows、Linux、Android、IOS等多种操作系统通过网页浏览器登录使用。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35.系统支持对全校智慧教室的交互智能平板、交互智能录播、交互电子白板一体机设备进行集中运维管理和策略部署。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36.支持根据实际使用场景按照产品类型、建筑物、班级、设备开关机状态分级管理，并可模糊搜索定位管理设备。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37.支持自定义循环周期设置锁屏周期指令，并支持一键下课锁屏、开机即锁屏、长时未使用自动锁屏等智能锁屏管理，以及可支持无网络激活码认证解锁、密码解锁，有网络场景下扫码快速解锁。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38.支持查看并导出设备使用数据、软件活跃数据、教学应用数据、健康度分析数据。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39.支持教室的实时摄像头画面、设备屏幕画面；单台设备巡视时，发现有违规违纪行为时，可远程发消息、发语音直接干预，也可记录备注，事后教育。支持记录所有管理员的巡视记录，方便回溯。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40.移动系统采用Mini Program设计，无需下载单独安装APP即可使用；兼容Android、IOS等多种移动操作系统，便于远程管理及告警信息通知。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41.支持查看不同类型设备的在线率、异常指令数、异常设备数及设备详情。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42.支持实时查看设备当前状态及实时画面，并可进行实时远程开机、关机、重启、锁屏、消息推送功能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19)英汉字典：支持输入英文单词生成单词卡和详解页，包含单词的释义、读音、例句、词组、近义词等，可插入多个单词卡；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20)美术工具：内置专用美术画板工具，提供铅笔、毛笔、油画笔等笔触；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古诗词：提供覆盖小学、初中、高中的古诗词、古文教学资源：包含原文、翻译、背景介绍、作者介绍，全部古诗词资源按照年级学段、朝代、诗人进行精细分类，教师仅需点击分类关键词即可快速跳转至对应资源，无需输入诗词名称即可快速检索，支持教师直接搜索诗词、古文名称或作者名称进行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22)数学画板：支持课件中插入在线数学画板，授课时一键打开使用。提供不少于500个数学画板资源，按照小学、初中、高中学段数学学科主要知识点分类，便于教师查找使用；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23)化学方程式编辑器：提供化学方程式快速编辑工具，当输入一个化学元素时，软件界面将自动显示出和该元素相关的多个常用化学反应方程式，可直接选择使用。插入后的化学方程式可重新编辑；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24)物理线图：提供物理线图绘图工具，支持绘制电学、力学图。组件和连接线之间可以自动吸附；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25)元素周期表：提供在线的元素周期表预览，可单独选择元素插入课件，插入课件后自动生成元素卡片，支持多种显示方式；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26)仿真实验：提供涵盖 K12年级科学、初高中物理、化学、生物学科的本地仿真实验资源，所有实验内容都可以支持在实验操作的过程中查看实验目的、实验器材、实验步骤等，方便老师在使用中快速了解具体实验内容，提高老师课堂教学效率；所有学科提供的实验内容模块可根据知识点分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12、移动授课功能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1)软件提供移动授课功能模块，不需借助任何外接设备，只需手机与交互智能平板能访问互联网，即可进行移动授课；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2)可实现与Android、iOS、Windows系统的手机、平板、笔记本电脑等终端进行无线连接；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3)具备客户端生成热点功能，在没有路由器的情况下，可通过客户端生成局域网热点供外部终端进行无线连接，并支持二维码扫描连接，无需手动设置；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4)支持Office、WPS及白板软件课件远程同步，可通过移动端对智能平板上的课件实现页面预览、远程翻页、激光笔等功能；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5)可实现交互智能平板与手持终端屏幕同步显示，支持多种手持终端的手势识别；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6)具备移动展台功能，可对试卷、课本等实物进行拍摄并将照片一键上传至大屏，上传前可对照片进行裁剪旋转等操作，对上传的照片可进行批注、擦除、保存等操作；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7)具备多图对比展示功能，可将多位学生的作业、试卷或实验结果拍摄上传至交互智能平板进行对比展示，双向批注；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8)具备本地文件智能管理功能，可对移动终端上的图片、视频、压缩包进行自动分类，方便快速找到相应文件，并支持一键上传到交互智能平板中并打开；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9)支持手机投屏，可通过该软件将手机屏幕画面实时投影到大屏上；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10)提供直播功能，移动端拍摄画面实时同步至授课显示端，直播竖屏、全屏显示方式根据移动端拍摄自动适配；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PPT教学助手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1.无需打开任何其他软件，播放PPT时课件右下角提供翻页预览快捷键，可支持课件上下翻页、页面预览及快速跳转；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2.无需打开任何其他软件，打开本地PPT文件时自动启动批注功能，且批注时不影响ppt翻页；提供不少于3种画笔样式可选择，画笔粗细可自由调节不少于10档，画笔颜色可自定义；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3.无需打开任何其他软件，播放PPT时即可实现书写、擦除功能，支持手势擦除，支持一键清除笔迹；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4.无需打开任何其他软件，播放PPT时即可支持小黑板功能，支持调用小黑板辅助教学，可直接批注及加页，不影响课件主画面，小黑板背景颜色可快捷更换和自定义选择，小黑板收起时内容不丢失；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5.无需打开任何其他软件，播放PPT时即可调用放大镜、聚光灯等小工具进行授课；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6.无需打开任何其他软件，播放PPT时即可一键开启录屏功能，可将屏幕中显示的课件、音视频内容与老师人声同时录制，录制完成后保存到桌面，供老师后续作为教学素材使用；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7.无需打开任何其他软件，播放PPT时可将课件及板书内容直接生成分享二维码，扫码后支持在手机端进行查看及二次分享；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远程集控系统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1.系统基于SaaS布局，后台管理系统采用B/S架构设计，无需本地部署服务器即可使用，支持学校管理员在Windows、Linux、Android、IOS等多种不同的操作系统上通过网页浏览器登录进行所有管理指令操作；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多类型设备接入、集中管理，包含但不限于交互智能平板、智慧黑板、校园屏显设备等，设备关联接入时支持设置关联学校、学段、年级、班级、设备品牌等相关信息；可对学校的所有设备按年级或楼层等进行任意地点管理，并可以对地点进行修改、添加设备、删除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后台管理系统支持实时查看管理设备数量，查看设备连接数量和设备在线数量，查看某台设备的相关软硬件版本和ID信息；可对设备的在线、离线状态、教室名称、信号源、内存使用率、CPU使用率、C盘使用率、音量等基础信息进行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4.支持实时展示设备的运行画面，并支持切换画面模式及列表模式，方便管理员根据实际管理需要选择管理模式；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5.支持根据设备类型、设备所属年级、场地、设备开关机状态进行分组管理，支持文字检索设备名称，快速定位对应设备进行定向精准管理；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6.系统支持权限管理，学校高级管理员可添加多位管理员协同管理，并支持为普通管理员分配不同权限，权限支持按系统功能菜单分配、按管理设备分配等方式，同时支持转让高级管理员给其他管理员；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7.支持查看设备运维数据，包括活跃设备数量、活跃分布、开机时长、常用软件、设备健康度、弹窗拦截统计、老师使用时长、学科使用统计等数据；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8.支持以图文形式对设备的使用情况进行统计，可按照选定时间周期进行统计，也支持按日、周、月进行统计；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9.支持查看设备健康度数据，设备健康度维度包含日均健康度、温度超阈值次数、CPU超阈值次数、连续使用超阈值次数、累计使用时长等；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10.支持查看设备开机时长分布柱状图和设备活跃日期分布线性图，设备开机时长排行列表，同时支持将设备运维数据导出报表，支持数据可视化显示，对设备运维数据进行多种筛选分析；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11.后台管理系统支持对一台或者多台设备进行远程指令发送，包括远程开关机、远程屏幕锁、远程打铃等功能；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12.支持远程锁屏功能，功能开启后即可对远程设备进行屏幕锁定，输入密码即可进行解锁，也可远程发送解锁指令；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13.支持设置即时、定时、循环模式的关机、重启、打铃、锁屏/解锁、信号源切换、远程护眼模式切换等指令，其中打铃指令支持上传自定义铃声、设置播放时长；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14.支持对一台或者多台设备进行远程信息传输，包括远程发布消息通知，远程文件传输，远程设置倒计日等；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15.支持发送提醒类通知、弹窗类紧急通知、桌面常驻类公告通知，支持设置常用通知消息模版，便于快捷发布；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16.支持同时上传多个大于50MB的文件，并可批量发送至多台设备；文件格式包括文本、图片、pdf、word、excel、ppt、flash、dfcy、音视频等；支持选择音/视频下发至大屏，自定义时间自动播放，无需部署本地服务器；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17.支持设置倒计日，用于重大教学安排的提醒，并可定向远程开启/关闭指定设备的倒计日功能；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18.支持对一台或者多台设备进行远程系统设置，包括远程通道切换、远程设置图像模式，远程设置声音模式等；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20.支持查看、编辑和撤销待执行指令，支持查看已执行指令情况、指令执行实时状态；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21.支持用户自主上传官方正版软件，经过人工封装软件后，批量将软件发送至设备安装，整个安装过程完全无感，不影响正常教学；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22.支持一键开启设备的不良弹窗拦截功能，并可设置取消或者开启拦截。当设备上有窗口弹出时，会自动进行判断，判断为不良弹窗时，自动拦截该窗口，以保证课堂教学稳定进行；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查看学校当前所有拦截弹窗应用名称、上报次数、拦截次数、弹窗详情等，并支持拦截某个应用所有窗口、某个进程所有窗口、某个具体窗口，以减少教学过程中不良窗口弹出对教学氛围的影响；支持将某个应用、某个进程、某个具体窗口加入白名单或取消白名单，以确保正常授课软件中的窗口可正常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24.支持远程批量设置设备的冰冻状态，支持实时监测设备冰点存在的风险，并提供对应解决方案；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查看教室的实时摄像头画面、设备屏幕画面进行远程巡课管理，并支持在一个显示界面同时查看单个教室内所有屏幕、所有摄像头的实时画面，以及所有麦克风的声音。单台设备巡视时，发现有违规违纪行为时，可远程发消息、发语音进行干预，也可记录备注，事后教育，支持记录所有管理员的巡课记录。</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室内文化布置</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室内：创客文化介绍、使用管理制度、创客图片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室外教室门牌</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亚克力材质，创客教室门牌</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地胶</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1.基本参数：无方向同质透心PVC地板胶，整卷尺寸2*20m，厚度2.0mm，表面耐磨等级为T级；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2.功能特点：防水防滑，隔离水流；表面凹凸立体纹路清晰，易清理；防火阻燃；甲醛低于国家标准，环保无异味；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3.含安装人工、辅料、损耗及运费</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41"/>
        <w:rPr>
          <w:rFonts w:hint="default"/>
          <w:color w:val="auto"/>
          <w:lang w:val="en-US" w:eastAsia="zh-CN"/>
        </w:rPr>
      </w:pPr>
    </w:p>
    <w:p>
      <w:pPr>
        <w:jc w:val="both"/>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18"/>
        <w:rPr>
          <w:rFonts w:hint="eastAsia" w:ascii="仿宋_GB2312" w:hAnsi="Times New Roman" w:eastAsia="仿宋_GB2312" w:cs="Times New Roman"/>
          <w:b/>
          <w:bCs/>
          <w:color w:val="auto"/>
          <w:sz w:val="28"/>
          <w:szCs w:val="28"/>
          <w:lang w:val="en-US" w:eastAsia="zh-CN"/>
        </w:rPr>
      </w:pPr>
    </w:p>
    <w:p>
      <w:pPr>
        <w:rPr>
          <w:rFonts w:hint="eastAsia" w:ascii="仿宋_GB2312" w:hAnsi="Times New Roman" w:eastAsia="仿宋_GB2312" w:cs="Times New Roman"/>
          <w:b/>
          <w:bCs/>
          <w:color w:val="auto"/>
          <w:sz w:val="28"/>
          <w:szCs w:val="28"/>
          <w:lang w:val="en-US" w:eastAsia="zh-CN"/>
        </w:rPr>
      </w:pPr>
    </w:p>
    <w:p>
      <w:pPr>
        <w:pStyle w:val="18"/>
        <w:rPr>
          <w:rFonts w:hint="eastAsia"/>
          <w:lang w:val="en-US" w:eastAsia="zh-CN"/>
        </w:rPr>
      </w:pPr>
    </w:p>
    <w:p>
      <w:pPr>
        <w:jc w:val="center"/>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招标要求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bookmarkStart w:id="44" w:name="_Toc228245828"/>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必须在规定时间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之内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内供货安装、调试、培训等到位，如规定时间内</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不能按时供货、安装、调试完毕，采购方有权解除合同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并报上级有关部门处理，按相关法律规定办理。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对产品货物提供</w:t>
      </w:r>
      <w:r>
        <w:rPr>
          <w:rFonts w:hint="eastAsia" w:ascii="仿宋_GB2312" w:hAnsi="仿宋_GB2312" w:eastAsia="仿宋_GB2312" w:cs="仿宋_GB2312"/>
          <w:sz w:val="28"/>
          <w:szCs w:val="28"/>
        </w:rPr>
        <w:t>3年免费保修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软件升级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终身维修</w:t>
      </w:r>
      <w:r>
        <w:rPr>
          <w:rFonts w:hint="eastAsia" w:ascii="仿宋_GB2312" w:hAnsi="仿宋_GB2312" w:eastAsia="仿宋_GB2312" w:cs="仿宋_GB2312"/>
          <w:sz w:val="28"/>
          <w:szCs w:val="28"/>
          <w:lang w:val="en-US" w:eastAsia="zh-CN"/>
        </w:rPr>
        <w:t>的质保期和免费上门维护服务，质保期内因产品出现质量问题，</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应按国家相关规定及时收回,并在2小时之内响应，24小时之内现场指导，予以免费维修、更换、安装、调试。整个过程产生损害结果的，</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供货产品为原厂正品，提供原厂产品，授权书证明。提供的设备是全新的、未经使用过的，否则由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承担一切法律责任。如</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提供的产品为非原厂产品、是组装拼凑产品，由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承担相应的违约责任。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须对投标的所有货物进行售后服务，如不响应、不准时、不到位的，所造成的损失及费用一切由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承担。所有产品严格遵守合同约定。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交付的货物品种、数量、规格、质量等不符合采购文件、合同规定的，由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负责包换，并承担调换或退还所产生的全部费用。</w:t>
      </w:r>
      <w:r>
        <w:rPr>
          <w:rFonts w:hint="eastAsia" w:ascii="仿宋_GB2312" w:hAnsi="仿宋_GB2312" w:eastAsia="仿宋_GB2312" w:cs="仿宋_GB2312"/>
          <w:sz w:val="28"/>
          <w:szCs w:val="28"/>
        </w:rPr>
        <w:t>安装、调试、</w:t>
      </w:r>
      <w:r>
        <w:rPr>
          <w:rFonts w:hint="eastAsia" w:ascii="仿宋_GB2312" w:hAnsi="仿宋_GB2312" w:eastAsia="仿宋_GB2312" w:cs="仿宋_GB2312"/>
          <w:sz w:val="28"/>
          <w:szCs w:val="28"/>
          <w:lang w:val="en-US" w:eastAsia="zh-CN"/>
        </w:rPr>
        <w:t>培训</w:t>
      </w:r>
      <w:r>
        <w:rPr>
          <w:rFonts w:hint="eastAsia" w:ascii="仿宋_GB2312" w:hAnsi="仿宋_GB2312" w:eastAsia="仿宋_GB2312" w:cs="仿宋_GB2312"/>
          <w:sz w:val="28"/>
          <w:szCs w:val="28"/>
        </w:rPr>
        <w:t>服务及设备交付等相关费用包含在项目报价内</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所提供的全部产品自行承担产权、商标、技术等方面的责任，与采购方无关。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在运输、施工过程中出现的一切安全由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自行负责，与采购方无关。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货物必须是全新质保的货物，货物符合国家检测标准以及该产品的出厂标准。采购方发现该产品不符合国家正规渠道产品，经有关检测，不符合国家检测标准的，采购方有权追究因延迟交货和质量问题所引起的相关违约责任，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无偿免费更换。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应在货物发运前对其进行满足运输距离、防潮、防 震、防锈和防破损装卸等要求包装，以保证货物安全运达采购方指定地点。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10.使用说明书由质检部门等国家具有检验资质的部门对该批次产品的质量检验合格证明书、随配附件和工具以及清单一并附于货物内。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在货物全部到达采购方指定地点，并全部安装调试运行正常后书面通知采购方，以准备验收货物。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12.货物在竣工验收合格前发生的风险均由中标方负责。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13.现场布线和装修相关的工作，须向使用单位沟通确认走线方式后方可施工，如果有遭到破坏的地方，由中标人自行修补。</w:t>
      </w:r>
    </w:p>
    <w:p>
      <w:pPr>
        <w:rPr>
          <w:rFonts w:hint="eastAsia"/>
        </w:rPr>
      </w:pPr>
    </w:p>
    <w:p>
      <w:pPr>
        <w:pStyle w:val="23"/>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3"/>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3"/>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3"/>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3"/>
        <w:tabs>
          <w:tab w:val="left" w:pos="2475"/>
          <w:tab w:val="center" w:pos="4873"/>
        </w:tabs>
        <w:spacing w:line="360" w:lineRule="auto"/>
        <w:jc w:val="center"/>
        <w:outlineLvl w:val="0"/>
        <w:rPr>
          <w:rFonts w:hint="eastAsia" w:ascii="仿宋_GB2312" w:hAnsi="仿宋" w:eastAsia="仿宋_GB2312"/>
          <w:b/>
          <w:color w:val="auto"/>
          <w:sz w:val="36"/>
          <w:szCs w:val="36"/>
        </w:rPr>
      </w:pPr>
    </w:p>
    <w:p>
      <w:pPr>
        <w:rPr>
          <w:rFonts w:hint="eastAsia" w:ascii="仿宋_GB2312" w:hAnsi="仿宋" w:eastAsia="仿宋_GB2312"/>
          <w:b/>
          <w:color w:val="auto"/>
          <w:sz w:val="36"/>
          <w:szCs w:val="36"/>
        </w:rPr>
      </w:pPr>
    </w:p>
    <w:p>
      <w:pPr>
        <w:pStyle w:val="2"/>
        <w:rPr>
          <w:rFonts w:hint="eastAsia" w:ascii="仿宋_GB2312" w:hAnsi="仿宋" w:eastAsia="仿宋_GB2312"/>
          <w:b/>
          <w:color w:val="auto"/>
          <w:sz w:val="36"/>
          <w:szCs w:val="36"/>
        </w:rPr>
      </w:pPr>
    </w:p>
    <w:p>
      <w:pPr>
        <w:pStyle w:val="2"/>
        <w:rPr>
          <w:rFonts w:hint="eastAsia" w:ascii="仿宋_GB2312" w:hAnsi="仿宋" w:eastAsia="仿宋_GB2312"/>
          <w:b/>
          <w:color w:val="auto"/>
          <w:sz w:val="36"/>
          <w:szCs w:val="36"/>
        </w:rPr>
      </w:pPr>
    </w:p>
    <w:p>
      <w:pPr>
        <w:pStyle w:val="2"/>
        <w:rPr>
          <w:rFonts w:hint="eastAsia" w:ascii="仿宋_GB2312" w:hAnsi="仿宋" w:eastAsia="仿宋_GB2312"/>
          <w:b/>
          <w:color w:val="auto"/>
          <w:sz w:val="36"/>
          <w:szCs w:val="36"/>
        </w:rPr>
      </w:pPr>
    </w:p>
    <w:p>
      <w:pPr>
        <w:pStyle w:val="2"/>
        <w:rPr>
          <w:rFonts w:hint="eastAsia" w:ascii="仿宋_GB2312" w:hAnsi="仿宋" w:eastAsia="仿宋_GB2312"/>
          <w:b/>
          <w:color w:val="auto"/>
          <w:sz w:val="36"/>
          <w:szCs w:val="36"/>
        </w:rPr>
      </w:pPr>
    </w:p>
    <w:p>
      <w:pPr>
        <w:pStyle w:val="18"/>
        <w:rPr>
          <w:rFonts w:hint="eastAsia"/>
        </w:rPr>
      </w:pPr>
    </w:p>
    <w:p>
      <w:pPr>
        <w:pStyle w:val="23"/>
        <w:tabs>
          <w:tab w:val="left" w:pos="2475"/>
          <w:tab w:val="center" w:pos="4873"/>
        </w:tabs>
        <w:spacing w:line="360" w:lineRule="auto"/>
        <w:jc w:val="center"/>
        <w:outlineLvl w:val="0"/>
        <w:rPr>
          <w:rFonts w:ascii="仿宋_GB2312" w:hAnsi="仿宋" w:eastAsia="仿宋_GB2312"/>
          <w:color w:val="auto"/>
          <w:sz w:val="28"/>
          <w:szCs w:val="28"/>
        </w:rPr>
      </w:pPr>
      <w:r>
        <w:rPr>
          <w:rFonts w:hint="eastAsia" w:ascii="仿宋_GB2312" w:hAnsi="仿宋" w:eastAsia="仿宋_GB2312"/>
          <w:b/>
          <w:color w:val="auto"/>
          <w:sz w:val="36"/>
          <w:szCs w:val="36"/>
        </w:rPr>
        <w:t>第四部分  采购合同条款</w:t>
      </w:r>
      <w:bookmarkEnd w:id="44"/>
    </w:p>
    <w:p>
      <w:pPr>
        <w:jc w:val="center"/>
        <w:rPr>
          <w:rFonts w:hint="default" w:ascii="黑体" w:hAnsi="黑体" w:eastAsia="黑体"/>
          <w:b/>
          <w:sz w:val="36"/>
          <w:szCs w:val="36"/>
          <w:lang w:val="en-US" w:eastAsia="zh-CN"/>
        </w:rPr>
      </w:pPr>
      <w:r>
        <w:rPr>
          <w:rFonts w:hint="eastAsia" w:ascii="黑体" w:hAnsi="黑体" w:eastAsia="黑体"/>
          <w:b/>
          <w:sz w:val="36"/>
          <w:szCs w:val="36"/>
        </w:rPr>
        <w:t>新疆维吾尔自治区</w:t>
      </w:r>
      <w:r>
        <w:rPr>
          <w:rFonts w:hint="eastAsia" w:ascii="黑体" w:hAnsi="黑体" w:eastAsia="黑体"/>
          <w:b/>
          <w:sz w:val="36"/>
          <w:szCs w:val="36"/>
          <w:lang w:val="en-US" w:eastAsia="zh-CN"/>
        </w:rPr>
        <w:t>xxxxxxx单位</w:t>
      </w: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72"/>
          <w:szCs w:val="36"/>
        </w:rPr>
      </w:pPr>
      <w:r>
        <w:rPr>
          <w:rFonts w:hint="eastAsia" w:ascii="黑体" w:hAnsi="黑体" w:eastAsia="黑体"/>
          <w:b/>
          <w:sz w:val="72"/>
          <w:szCs w:val="36"/>
        </w:rPr>
        <w:t>合 同 文 本</w:t>
      </w: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rPr>
          <w:rFonts w:hint="eastAsia" w:ascii="仿宋" w:hAnsi="仿宋" w:eastAsia="仿宋"/>
          <w:sz w:val="28"/>
          <w:szCs w:val="28"/>
        </w:rPr>
      </w:pPr>
      <w:r>
        <w:rPr>
          <w:rFonts w:hint="eastAsia" w:ascii="仿宋" w:hAnsi="仿宋" w:eastAsia="仿宋"/>
          <w:sz w:val="28"/>
          <w:szCs w:val="28"/>
        </w:rPr>
        <w:t>招标项目名称：拜城县XXXXXX项目</w:t>
      </w:r>
    </w:p>
    <w:p>
      <w:pPr>
        <w:rPr>
          <w:rFonts w:hint="eastAsia" w:ascii="仿宋" w:hAnsi="仿宋" w:eastAsia="仿宋"/>
          <w:sz w:val="28"/>
          <w:szCs w:val="28"/>
        </w:rPr>
      </w:pPr>
      <w:r>
        <w:rPr>
          <w:rFonts w:hint="eastAsia" w:ascii="仿宋" w:hAnsi="仿宋" w:eastAsia="仿宋"/>
          <w:sz w:val="28"/>
          <w:szCs w:val="28"/>
        </w:rPr>
        <w:t>招标文件编号：ZFCG00000000</w:t>
      </w:r>
    </w:p>
    <w:p>
      <w:pPr>
        <w:jc w:val="center"/>
        <w:rPr>
          <w:rFonts w:hint="eastAsia" w:ascii="黑体" w:hAnsi="黑体" w:eastAsia="黑体"/>
          <w:b/>
          <w:sz w:val="36"/>
          <w:szCs w:val="36"/>
        </w:rPr>
      </w:pPr>
    </w:p>
    <w:p>
      <w:pPr>
        <w:jc w:val="center"/>
        <w:rPr>
          <w:rFonts w:hint="eastAsia" w:ascii="黑体" w:hAnsi="黑体" w:eastAsia="黑体"/>
          <w:b/>
          <w:sz w:val="36"/>
          <w:szCs w:val="36"/>
        </w:rPr>
      </w:pPr>
      <w:r>
        <w:rPr>
          <w:rFonts w:hint="eastAsia" w:ascii="黑体" w:hAnsi="黑体" w:eastAsia="黑体"/>
          <w:b/>
          <w:sz w:val="36"/>
          <w:szCs w:val="36"/>
        </w:rPr>
        <w:t>20  年  月  日</w:t>
      </w:r>
    </w:p>
    <w:p>
      <w:pPr>
        <w:jc w:val="center"/>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采 购 合 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u w:val="none"/>
          <w:lang w:eastAsia="zh-CN"/>
        </w:rPr>
      </w:pPr>
      <w:r>
        <w:rPr>
          <w:rFonts w:hint="eastAsia" w:ascii="仿宋" w:hAnsi="仿宋" w:eastAsia="仿宋"/>
          <w:sz w:val="28"/>
          <w:szCs w:val="28"/>
        </w:rPr>
        <w:t>甲   方：</w:t>
      </w:r>
      <w:r>
        <w:rPr>
          <w:rFonts w:hint="eastAsia" w:ascii="仿宋" w:hAnsi="仿宋" w:eastAsia="仿宋"/>
          <w:sz w:val="28"/>
          <w:szCs w:val="28"/>
          <w:u w:val="single"/>
          <w:lang w:val="en-US" w:eastAsia="zh-CN"/>
        </w:rPr>
        <w:t>xxxxxxx</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乙   方：</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在拜城县</w:t>
      </w:r>
      <w:r>
        <w:rPr>
          <w:rFonts w:hint="eastAsia" w:ascii="仿宋" w:hAnsi="仿宋" w:eastAsia="仿宋"/>
          <w:sz w:val="28"/>
          <w:szCs w:val="28"/>
          <w:lang w:eastAsia="zh-CN"/>
        </w:rPr>
        <w:t>教育和科学技术局</w:t>
      </w:r>
      <w:r>
        <w:rPr>
          <w:rFonts w:hint="eastAsia" w:ascii="仿宋" w:hAnsi="仿宋" w:eastAsia="仿宋"/>
          <w:sz w:val="28"/>
          <w:szCs w:val="28"/>
        </w:rPr>
        <w:t>于二零</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零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日组织的招标文件编号为：ZFCG00000000的拜城县XXXXXX项目的公开招标采购中，通过招标程序，专家评审，乙方为</w:t>
      </w:r>
      <w:r>
        <w:rPr>
          <w:rFonts w:hint="eastAsia" w:ascii="仿宋" w:hAnsi="仿宋" w:eastAsia="仿宋"/>
          <w:sz w:val="28"/>
          <w:szCs w:val="28"/>
          <w:u w:val="single"/>
        </w:rPr>
        <w:t xml:space="preserve">                       </w:t>
      </w:r>
      <w:r>
        <w:rPr>
          <w:rFonts w:hint="eastAsia" w:ascii="仿宋" w:hAnsi="仿宋" w:eastAsia="仿宋"/>
          <w:sz w:val="28"/>
          <w:szCs w:val="28"/>
        </w:rPr>
        <w:t>的中标方，中标金额为人民币</w:t>
      </w:r>
      <w:r>
        <w:rPr>
          <w:rFonts w:hint="eastAsia" w:ascii="仿宋" w:hAnsi="仿宋" w:eastAsia="仿宋"/>
          <w:sz w:val="28"/>
          <w:szCs w:val="28"/>
          <w:u w:val="single"/>
        </w:rPr>
        <w:t xml:space="preserve">                     （大写）                      元整0000000.00￥元。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甲、乙双方根据《中华人民共和国政府采购法》和《中华人民共和国合同法》的规定，按照公平、公正、平等自愿和诚实信用、协商一致的原则，经公证处公证</w:t>
      </w:r>
      <w:r>
        <w:rPr>
          <w:rFonts w:hint="eastAsia" w:ascii="仿宋" w:hAnsi="仿宋" w:eastAsia="仿宋"/>
          <w:sz w:val="28"/>
          <w:szCs w:val="28"/>
          <w:lang w:eastAsia="zh-CN"/>
        </w:rPr>
        <w:t>，</w:t>
      </w:r>
      <w:r>
        <w:rPr>
          <w:rFonts w:hint="eastAsia" w:ascii="仿宋" w:hAnsi="仿宋" w:eastAsia="仿宋"/>
          <w:sz w:val="28"/>
          <w:szCs w:val="28"/>
        </w:rPr>
        <w:t>甲、乙双方授权代表就所供设备的购销、安装、调试和售后服务等事宜达成如下条款。</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一、货物名称、型号、技术标准、数量及价格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拜城县XXXXXX项目设备（详见附件）</w:t>
      </w:r>
    </w:p>
    <w:p>
      <w:pPr>
        <w:keepNext w:val="0"/>
        <w:keepLines w:val="0"/>
        <w:pageBreakBefore w:val="0"/>
        <w:widowControl w:val="0"/>
        <w:kinsoku/>
        <w:wordWrap/>
        <w:overflowPunct/>
        <w:topLinePunct w:val="0"/>
        <w:autoSpaceDE/>
        <w:autoSpaceDN/>
        <w:bidi w:val="0"/>
        <w:adjustRightInd/>
        <w:snapToGrid/>
        <w:spacing w:line="440" w:lineRule="exact"/>
        <w:ind w:firstLine="655" w:firstLineChars="233"/>
        <w:textAlignment w:val="auto"/>
        <w:rPr>
          <w:rFonts w:hint="eastAsia" w:ascii="黑体" w:hAnsi="黑体" w:eastAsia="黑体"/>
          <w:b/>
          <w:sz w:val="28"/>
          <w:szCs w:val="28"/>
        </w:rPr>
      </w:pPr>
      <w:r>
        <w:rPr>
          <w:rFonts w:hint="eastAsia" w:ascii="黑体" w:hAnsi="黑体" w:eastAsia="黑体"/>
          <w:b/>
          <w:sz w:val="28"/>
          <w:szCs w:val="28"/>
        </w:rPr>
        <w:t>二、报价币种、合同总价</w:t>
      </w:r>
    </w:p>
    <w:p>
      <w:pPr>
        <w:keepNext w:val="0"/>
        <w:keepLines w:val="0"/>
        <w:pageBreakBefore w:val="0"/>
        <w:widowControl w:val="0"/>
        <w:kinsoku/>
        <w:wordWrap/>
        <w:overflowPunct/>
        <w:topLinePunct w:val="0"/>
        <w:autoSpaceDE/>
        <w:autoSpaceDN/>
        <w:bidi w:val="0"/>
        <w:adjustRightInd/>
        <w:snapToGrid/>
        <w:spacing w:line="440" w:lineRule="exact"/>
        <w:ind w:firstLine="652" w:firstLineChars="233"/>
        <w:textAlignment w:val="auto"/>
        <w:rPr>
          <w:rFonts w:hint="eastAsia" w:ascii="仿宋" w:hAnsi="仿宋" w:eastAsia="仿宋"/>
          <w:sz w:val="28"/>
          <w:szCs w:val="28"/>
        </w:rPr>
      </w:pPr>
      <w:r>
        <w:rPr>
          <w:rFonts w:hint="eastAsia" w:ascii="仿宋" w:hAnsi="仿宋" w:eastAsia="仿宋"/>
          <w:sz w:val="28"/>
          <w:szCs w:val="28"/>
        </w:rPr>
        <w:t>1、中标金额为人民币</w:t>
      </w:r>
      <w:r>
        <w:rPr>
          <w:rFonts w:hint="eastAsia" w:ascii="仿宋" w:hAnsi="仿宋" w:eastAsia="仿宋"/>
          <w:sz w:val="28"/>
          <w:szCs w:val="28"/>
          <w:u w:val="single"/>
        </w:rPr>
        <w:t xml:space="preserve">                 元整000000.00￥元。</w:t>
      </w:r>
      <w:r>
        <w:rPr>
          <w:rFonts w:hint="eastAsia" w:ascii="仿宋" w:hAnsi="仿宋" w:eastAsia="仿宋"/>
          <w:sz w:val="28"/>
          <w:szCs w:val="28"/>
        </w:rPr>
        <w:t>合同总金额中包含拜城县XXXXXX项目设备及其运输、保管、税金、保险、组装、调试、服务等所有的费用。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2、本合同正式签订后，若无重大变更，价格不再做任何调整，甲方为此项目不再向乙方支付任何费用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三、付款方式：</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u w:val="single"/>
        </w:rPr>
      </w:pPr>
      <w:r>
        <w:rPr>
          <w:rFonts w:hint="eastAsia" w:ascii="仿宋" w:hAnsi="仿宋" w:eastAsia="仿宋"/>
          <w:sz w:val="28"/>
          <w:szCs w:val="28"/>
          <w:lang w:val="en-US" w:eastAsia="zh-CN"/>
        </w:rPr>
        <w:t>1</w:t>
      </w:r>
      <w:r>
        <w:rPr>
          <w:rFonts w:hint="eastAsia" w:ascii="仿宋" w:hAnsi="仿宋" w:eastAsia="仿宋"/>
          <w:sz w:val="28"/>
          <w:szCs w:val="28"/>
        </w:rPr>
        <w:t>、交货完毕，且安装调试经甲方验收合格后，凭</w:t>
      </w:r>
      <w:r>
        <w:rPr>
          <w:rFonts w:hint="eastAsia" w:ascii="仿宋" w:hAnsi="仿宋" w:eastAsia="仿宋"/>
          <w:sz w:val="28"/>
          <w:szCs w:val="28"/>
          <w:lang w:val="en-US" w:eastAsia="zh-CN"/>
        </w:rPr>
        <w:t>xxxx单位</w:t>
      </w:r>
      <w:r>
        <w:rPr>
          <w:rFonts w:hint="eastAsia" w:ascii="仿宋" w:hAnsi="仿宋" w:eastAsia="仿宋"/>
          <w:sz w:val="28"/>
          <w:szCs w:val="28"/>
        </w:rPr>
        <w:t>验收单由甲方填写《政府采购资金请拨单》并出具付款手续后，由</w:t>
      </w:r>
      <w:r>
        <w:rPr>
          <w:rFonts w:hint="eastAsia" w:ascii="仿宋" w:hAnsi="仿宋" w:eastAsia="仿宋"/>
          <w:sz w:val="28"/>
          <w:szCs w:val="28"/>
          <w:lang w:val="en-US" w:eastAsia="zh-CN"/>
        </w:rPr>
        <w:t>xxxx单位</w:t>
      </w:r>
      <w:r>
        <w:rPr>
          <w:rFonts w:hint="eastAsia" w:ascii="仿宋" w:hAnsi="仿宋" w:eastAsia="仿宋"/>
          <w:sz w:val="28"/>
          <w:szCs w:val="28"/>
        </w:rPr>
        <w:t>支付给乙方合同总金额</w:t>
      </w:r>
      <w:r>
        <w:rPr>
          <w:rFonts w:hint="eastAsia" w:ascii="仿宋" w:hAnsi="仿宋" w:eastAsia="仿宋"/>
          <w:sz w:val="28"/>
          <w:szCs w:val="28"/>
          <w:lang w:val="en-US" w:eastAsia="zh-CN"/>
        </w:rPr>
        <w:t>95</w:t>
      </w:r>
      <w:r>
        <w:rPr>
          <w:rFonts w:hint="eastAsia" w:ascii="仿宋" w:hAnsi="仿宋" w:eastAsia="仿宋"/>
          <w:sz w:val="28"/>
          <w:szCs w:val="28"/>
        </w:rPr>
        <w:t>%的货款，人民币</w:t>
      </w:r>
      <w:r>
        <w:rPr>
          <w:rFonts w:hint="eastAsia" w:ascii="仿宋" w:hAnsi="仿宋" w:eastAsia="仿宋"/>
          <w:b/>
          <w:sz w:val="28"/>
          <w:szCs w:val="28"/>
          <w:u w:val="single"/>
        </w:rPr>
        <w:t>000000</w:t>
      </w:r>
      <w:r>
        <w:rPr>
          <w:rFonts w:hint="eastAsia" w:ascii="仿宋" w:hAnsi="仿宋" w:eastAsia="仿宋"/>
          <w:b/>
          <w:w w:val="90"/>
          <w:sz w:val="28"/>
          <w:szCs w:val="28"/>
          <w:u w:val="single"/>
        </w:rPr>
        <w:t>.00￥元</w:t>
      </w:r>
      <w:r>
        <w:rPr>
          <w:rFonts w:hint="eastAsia" w:ascii="仿宋" w:hAnsi="仿宋" w:eastAsia="仿宋"/>
          <w:w w:val="90"/>
          <w:sz w:val="28"/>
          <w:szCs w:val="28"/>
          <w:u w:val="single"/>
        </w:rPr>
        <w:t>（大写）。</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、剩余合同总价的</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b/>
          <w:sz w:val="28"/>
          <w:szCs w:val="28"/>
          <w:u w:val="single"/>
        </w:rPr>
        <w:t>（00000</w:t>
      </w:r>
      <w:r>
        <w:rPr>
          <w:rFonts w:hint="eastAsia" w:ascii="仿宋" w:hAnsi="仿宋" w:eastAsia="仿宋"/>
          <w:b/>
          <w:w w:val="90"/>
          <w:sz w:val="28"/>
          <w:szCs w:val="28"/>
          <w:u w:val="single"/>
        </w:rPr>
        <w:t>.00￥元）</w:t>
      </w:r>
      <w:r>
        <w:rPr>
          <w:rFonts w:hint="eastAsia" w:ascii="仿宋" w:hAnsi="仿宋" w:eastAsia="仿宋"/>
          <w:sz w:val="28"/>
          <w:szCs w:val="28"/>
        </w:rPr>
        <w:t>留作质量保证金，从整个项目终验合格之日起一年后如无质量问题，且兑现服务承诺，由甲方在</w:t>
      </w:r>
      <w:r>
        <w:rPr>
          <w:rFonts w:hint="eastAsia" w:ascii="仿宋" w:hAnsi="仿宋" w:eastAsia="仿宋"/>
          <w:sz w:val="28"/>
          <w:szCs w:val="28"/>
          <w:lang w:val="en-US" w:eastAsia="zh-CN"/>
        </w:rPr>
        <w:t>十五</w:t>
      </w:r>
      <w:r>
        <w:rPr>
          <w:rFonts w:hint="eastAsia" w:ascii="仿宋" w:hAnsi="仿宋" w:eastAsia="仿宋"/>
          <w:sz w:val="28"/>
          <w:szCs w:val="28"/>
        </w:rPr>
        <w:t>日内（工作日）填写《政府采购资金请拨单》等付款手续，由</w:t>
      </w:r>
      <w:r>
        <w:rPr>
          <w:rFonts w:hint="eastAsia" w:ascii="仿宋" w:hAnsi="仿宋" w:eastAsia="仿宋"/>
          <w:sz w:val="28"/>
          <w:szCs w:val="28"/>
          <w:lang w:val="en-US" w:eastAsia="zh-CN"/>
        </w:rPr>
        <w:t>xxxx单位</w:t>
      </w:r>
      <w:r>
        <w:rPr>
          <w:rFonts w:hint="eastAsia" w:ascii="仿宋" w:hAnsi="仿宋" w:eastAsia="仿宋"/>
          <w:sz w:val="28"/>
          <w:szCs w:val="28"/>
        </w:rPr>
        <w:t>支付质量保证金。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四、交货日期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全部货物须在20   年  月  日前交验完毕。</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五、产品质量保证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1、乙方保证提供的拜城县XXXXXX项目设备的货物为全新的产品；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2、乙方所提供的拜城县XXXXXX项目设备的货物的型号、数量、规格及技术、质量标准，售后服务必须满足ZFCG00000000号招标文件规定的技术要求。</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六、质量保证期</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全部的拜城县XXXXXX项目设备质保期为</w:t>
      </w:r>
      <w:r>
        <w:rPr>
          <w:rFonts w:hint="eastAsia" w:ascii="仿宋" w:hAnsi="仿宋" w:eastAsia="仿宋"/>
          <w:b/>
          <w:sz w:val="28"/>
          <w:szCs w:val="28"/>
          <w:u w:val="single"/>
          <w:lang w:val="en-US" w:eastAsia="zh-CN"/>
        </w:rPr>
        <w:t>叁</w:t>
      </w:r>
      <w:r>
        <w:rPr>
          <w:rFonts w:hint="eastAsia" w:ascii="仿宋" w:hAnsi="仿宋" w:eastAsia="仿宋"/>
          <w:sz w:val="28"/>
          <w:szCs w:val="28"/>
        </w:rPr>
        <w:t>年，在质量保证期内，因产品质量出现问题，乙方负责免费维修或更换，并承担与维修和更换相关的运费、安装、调试保险等全部费用。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中标方对所有产品货物提供3年免费保修、软件升级、终身维修的质保期和免费上门维护服务，质保期内因产品出现质量问题，中标方应按国家相关规定及时收回,并在2小时之内响应，24小时之内现场指导，予以免费维修、更换、安装、调试。整个过程产生损害结果的，中标方应承担相应的赔偿责任。</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七、包装及验收</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1、所提供设备必须进行包装，免收包装费，包装物不回收乙方提供的包装应有良好的防潮、防震、防锈和防野蛮装卸等保护措施，以确保货物安全运抵现场。</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2、因包装不妥在运输过程中发生丢失的，损坏由乙方承担完全责任，乙方应承担由于其包装或防护措施不完善而造成的任何损失或费用。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ascii="仿宋" w:hAnsi="仿宋" w:eastAsia="仿宋"/>
          <w:sz w:val="28"/>
          <w:szCs w:val="28"/>
        </w:rPr>
      </w:pPr>
      <w:r>
        <w:rPr>
          <w:rFonts w:hint="eastAsia" w:ascii="仿宋" w:hAnsi="仿宋" w:eastAsia="仿宋"/>
          <w:sz w:val="28"/>
          <w:szCs w:val="28"/>
        </w:rPr>
        <w:t>3、验收标准：按投标文件规定的型号、技术参数、数量、产地进行现场验收，并由甲乙双方签署验收报告。如有异议，验收七天内以书面的形式通知对方。送交到甲方的拜城县XXXXXX项目设备与订单或投标封存样品不符，可以予以退货。若发现有质量不合格的设备，一律予以退换，由此造成的损失及费用由供应商承担。验收合格后，货物的所有权随之转交，由甲方提供货物的存放地点，并负责货物的保管和安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4、整个项目终验合格后，招标方在十五个工作日无息退还履约保证金。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八、甲、乙双方的权利及义务</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1、若甲方对订购的货物有任何更改，包括货物的型号、品种、规格、数量、交货期等事宜，必须在双方签订合同后</w:t>
      </w:r>
      <w:r>
        <w:rPr>
          <w:rFonts w:hint="eastAsia" w:ascii="仿宋" w:hAnsi="仿宋" w:eastAsia="仿宋"/>
          <w:b/>
          <w:sz w:val="28"/>
          <w:szCs w:val="28"/>
        </w:rPr>
        <w:t>15</w:t>
      </w:r>
      <w:r>
        <w:rPr>
          <w:rFonts w:hint="eastAsia" w:ascii="仿宋" w:hAnsi="仿宋" w:eastAsia="仿宋"/>
          <w:sz w:val="28"/>
          <w:szCs w:val="28"/>
        </w:rPr>
        <w:t>天内书面通知乙方，交货期相应从变更之日顺延，若超过</w:t>
      </w:r>
      <w:r>
        <w:rPr>
          <w:rFonts w:hint="eastAsia" w:ascii="仿宋" w:hAnsi="仿宋" w:eastAsia="仿宋"/>
          <w:b/>
          <w:sz w:val="28"/>
          <w:szCs w:val="28"/>
        </w:rPr>
        <w:t>15</w:t>
      </w:r>
      <w:r>
        <w:rPr>
          <w:rFonts w:hint="eastAsia" w:ascii="仿宋" w:hAnsi="仿宋" w:eastAsia="仿宋"/>
          <w:sz w:val="28"/>
          <w:szCs w:val="28"/>
        </w:rPr>
        <w:t>天乙方不予更改，由于变更引起的合同总额的增减，则由甲乙双方友好协商后，多退少补。</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2、若乙方在交货时，由于甲方的原因或要求，不能及时将货物送达指定地点和验收时，则甲方负责仓储，并给与乙方书面通知确认书，视为乙方已按期交付货物。</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3、若甲方在验收后的质量保证期内组织抽检，出现不合格，以次充好的情况，乙方承担换货、损失和违约责任，并及时通知乙方，需要更换时，乙方应在接到通知后1天内给予更换。</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乙方须按合同要求提供质量合格的货物，如期交付甲方指定的交货地点。如需安装调试，并提供免费的安装调试。乙方供货应严格按照招标文件中规定的产品规格、型号名称、数量和质量提供相应的产品及服务，未按约定提供产品及服务的，乙方按合同总价款的5%承担违约金。</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5、乙方对售予甲方的货物提供的质量保证期的质量保证范围，不包括意外事件，不可抗力原因及违规使用。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九、合同变更、违约及其他</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甲方按合同规定的付款要求履约，合同价格不变，甲方由于非不可抗力原因不能在本合同规定的时间内支付合同款项时，应事先告知乙方，并征得乙方的同意，否则甲方应向乙方支付违约金。其支付办法是：每延误七天按迟付款总金额的千分之五支付；不满七天按七天计算，依次类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必须在本合同规定的时间内按时交货，否则由乙方负责承担全部责任。如果乙方在甲方同意延长的交货时间内仍不能交货时，甲方有权因乙方违约撤销合同，而乙方仍需向甲方支付违约金：每延误七天按迟供货款总金额的千分之五支付；不满七天按七天计算，依次类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乙方应严格按照投标、投标文件中规定的产品规格、型号名称、数量和质量提供相应的产品及服务，否则将视为乙方违约，并按合同总价款的</w:t>
      </w:r>
      <w:r>
        <w:rPr>
          <w:rFonts w:hint="eastAsia" w:ascii="仿宋" w:hAnsi="仿宋" w:eastAsia="仿宋"/>
          <w:sz w:val="28"/>
          <w:szCs w:val="28"/>
          <w:u w:val="single"/>
        </w:rPr>
        <w:t>5</w:t>
      </w:r>
      <w:r>
        <w:rPr>
          <w:rFonts w:hint="eastAsia" w:ascii="仿宋" w:hAnsi="仿宋" w:eastAsia="仿宋"/>
          <w:sz w:val="28"/>
          <w:szCs w:val="28"/>
        </w:rPr>
        <w:t>%承担违约金。</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本合同于20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订。招标文件、投标文件及开标会议上签名的答疑记录等均作为合同的附件，是合同文本不可分割的组成部分。合同文本未述及和不详之处，以附件为准。合同附件也应经双方盖章或签字。签字的代表应为投标文件中的被授权人或乙方授权书中确定的人员，该被授权人应提交身份证复印件备查。</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合同文本不得涂改，如需修改应在合同附件中注明。经甲、乙双方协商达成一致修改意见，需经甲、乙双方代表共同签署此附件，并通报拜城县政府采购中心认可后，方能生效。</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合同所有附件，均与合同具有同等法律效力。</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合同经甲、乙双方签字盖章后即行生效。合同生效后，乙方中途废止合同（不可抗拒原因除外），应按实际损失向甲方支付赔偿金，并向甲方支付合同总金额</w:t>
      </w:r>
      <w:r>
        <w:rPr>
          <w:rFonts w:hint="eastAsia" w:ascii="仿宋" w:hAnsi="仿宋" w:eastAsia="仿宋"/>
          <w:sz w:val="28"/>
          <w:szCs w:val="28"/>
          <w:u w:val="single"/>
        </w:rPr>
        <w:t>5</w:t>
      </w:r>
      <w:r>
        <w:rPr>
          <w:rFonts w:hint="eastAsia" w:ascii="仿宋" w:hAnsi="仿宋" w:eastAsia="仿宋"/>
          <w:sz w:val="28"/>
          <w:szCs w:val="28"/>
        </w:rPr>
        <w:t>%的违约金；甲方中途废止、解除合同（不可抗拒原因除外），向乙方支付合同总金额</w:t>
      </w:r>
      <w:r>
        <w:rPr>
          <w:rFonts w:hint="eastAsia" w:ascii="仿宋" w:hAnsi="仿宋" w:eastAsia="仿宋"/>
          <w:sz w:val="28"/>
          <w:szCs w:val="28"/>
          <w:u w:val="single"/>
        </w:rPr>
        <w:t>5</w:t>
      </w:r>
      <w:r>
        <w:rPr>
          <w:rFonts w:hint="eastAsia" w:ascii="仿宋" w:hAnsi="仿宋" w:eastAsia="仿宋"/>
          <w:sz w:val="28"/>
          <w:szCs w:val="28"/>
        </w:rPr>
        <w:t>%的违约金。</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依照《中华人民共和国政府采购法》和《中华人民共和国合同法》等相关法律法规制定。未尽事项皆受上述法律法规约束。甲乙双方发生争议时，应先协商解决，经协商在30天内不能达成协议时，应提交仲裁。仲裁应由甲方所在地仲裁机构根据其仲裁程序和暂行规则进行。仲裁裁决应为最终决定，并对双方具有约束力。</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乙方须保障甲方在使用其提供的货物、服务及其任何部分时不受到第三方关于侵犯专利权、商标权等知识产权的指控。任何第三方如果提出侵权指控，乙方须承担由此而引起的一切法律责任和费用。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本合同一式四份，甲方执二份，乙方执二份。</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本合同自签字盖章完毕之日起生效，质量保证期满后终止。</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lang w:val="en-US" w:eastAsia="zh-CN"/>
        </w:rPr>
      </w:pPr>
      <w:r>
        <w:rPr>
          <w:rFonts w:hint="eastAsia" w:ascii="黑体" w:hAnsi="黑体" w:eastAsia="黑体"/>
          <w:b/>
          <w:sz w:val="28"/>
          <w:szCs w:val="28"/>
          <w:lang w:val="en-US" w:eastAsia="zh-CN"/>
        </w:rPr>
        <w:t>技术要求</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屏蔽设备要具备屏蔽所有信号（含5G、无线电等信号），统一集中联控，支持集中、分组、单台等多种方式对高科技屏蔽终端进行远程控制，兼容接入国家、自治区考试总平台，具备监测预警，具备还原作弊行为信号信息内容等，各级管理平台之间考试计划能够进行同步，考试计划时间结束时系统自动停止工作，提供考前、考中及考后自动工作模式，实现无人值守式管理。</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监控设备系统符合《国家教育考试网上巡查系统视频标准技术规范（2017版）》（JY/T-KS-JS-2017-1）技术规范，要具备拾音功能，具备兼容接入国家、自治区考试总平台（兼容学校原有的平台），配备标考红外高清半球摄像机和拾音器。</w:t>
      </w:r>
      <w:r>
        <w:rPr>
          <w:rFonts w:hint="eastAsia" w:ascii="仿宋" w:hAnsi="仿宋" w:eastAsia="仿宋"/>
          <w:sz w:val="28"/>
          <w:szCs w:val="28"/>
        </w:rPr>
        <w:tab/>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广播系统要具备通过统一联控功能，支持集中、分组、单台等多种方式，兼容读取光碟或USB并播放各类格式媒体文件（MP3、AAC、WAV、WMA等其他常见的音频格式），满足高考广播和听力方面的所有需求，所供广播设备需与原学校所用广播进行无缝兼容对接。</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巡查指挥终端具备兼容接入国家、自治区、地区巡查指挥终端平台，听力考试CD播放器为电源供电，并支持装电池或内置充电，供电时长要达2个小时以上。。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ascii="黑体" w:hAnsi="黑体" w:eastAsia="黑体"/>
          <w:b/>
          <w:sz w:val="28"/>
          <w:szCs w:val="28"/>
        </w:rPr>
      </w:pPr>
      <w:r>
        <w:rPr>
          <w:rFonts w:hint="eastAsia" w:ascii="黑体" w:hAnsi="黑体" w:eastAsia="黑体"/>
          <w:b/>
          <w:sz w:val="28"/>
          <w:szCs w:val="28"/>
        </w:rPr>
        <w:t>十</w:t>
      </w:r>
      <w:r>
        <w:rPr>
          <w:rFonts w:hint="eastAsia" w:ascii="黑体" w:hAnsi="黑体" w:eastAsia="黑体"/>
          <w:b/>
          <w:sz w:val="28"/>
          <w:szCs w:val="28"/>
          <w:lang w:val="en-US" w:eastAsia="zh-CN"/>
        </w:rPr>
        <w:t>一</w:t>
      </w:r>
      <w:r>
        <w:rPr>
          <w:rFonts w:hint="eastAsia" w:ascii="黑体" w:hAnsi="黑体" w:eastAsia="黑体"/>
          <w:b/>
          <w:sz w:val="28"/>
          <w:szCs w:val="28"/>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u w:val="single"/>
        </w:rPr>
        <w:t xml:space="preserve">                                                   </w:t>
      </w:r>
      <w:r>
        <w:rPr>
          <w:rFonts w:hint="eastAsia" w:ascii="黑体" w:hAnsi="黑体" w:eastAsia="黑体"/>
          <w:b/>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甲方：                       乙方：</w:t>
      </w:r>
    </w:p>
    <w:p>
      <w:pPr>
        <w:keepNext w:val="0"/>
        <w:keepLines w:val="0"/>
        <w:pageBreakBefore w:val="0"/>
        <w:widowControl w:val="0"/>
        <w:kinsoku/>
        <w:wordWrap/>
        <w:overflowPunct/>
        <w:topLinePunct w:val="0"/>
        <w:autoSpaceDE/>
        <w:autoSpaceDN/>
        <w:bidi w:val="0"/>
        <w:adjustRightInd/>
        <w:snapToGrid/>
        <w:spacing w:line="440" w:lineRule="exact"/>
        <w:ind w:left="5920" w:hanging="5180" w:hangingChars="1850"/>
        <w:textAlignment w:val="auto"/>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单位名称：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公章：                       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法人或授权代表签字：         法人或授权代表签字：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5760" w:hanging="5040" w:hangingChars="1800"/>
        <w:textAlignment w:val="auto"/>
        <w:rPr>
          <w:rFonts w:hint="eastAsia" w:ascii="仿宋" w:hAnsi="仿宋" w:eastAsia="仿宋"/>
          <w:sz w:val="28"/>
          <w:szCs w:val="28"/>
        </w:rPr>
      </w:pPr>
      <w:r>
        <w:rPr>
          <w:rFonts w:hint="eastAsia" w:ascii="仿宋" w:hAnsi="仿宋" w:eastAsia="仿宋"/>
          <w:sz w:val="28"/>
          <w:szCs w:val="28"/>
        </w:rPr>
        <w:t xml:space="preserve">开户银行：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开户银行：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账号：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账号：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b/>
          <w:bCs/>
          <w:color w:val="auto"/>
          <w:sz w:val="28"/>
          <w:szCs w:val="28"/>
        </w:rPr>
      </w:pPr>
      <w:r>
        <w:rPr>
          <w:rFonts w:hint="eastAsia" w:ascii="仿宋" w:hAnsi="仿宋" w:eastAsia="仿宋"/>
          <w:b/>
          <w:sz w:val="28"/>
          <w:szCs w:val="28"/>
        </w:rPr>
        <w:t>二O    年</w:t>
      </w:r>
      <w:r>
        <w:rPr>
          <w:rFonts w:hint="eastAsia" w:ascii="仿宋" w:hAnsi="仿宋" w:eastAsia="仿宋"/>
          <w:b/>
          <w:sz w:val="28"/>
          <w:szCs w:val="28"/>
          <w:lang w:val="en-US" w:eastAsia="zh-CN"/>
        </w:rPr>
        <w:t xml:space="preserve"> </w:t>
      </w:r>
      <w:r>
        <w:rPr>
          <w:rFonts w:hint="eastAsia" w:ascii="仿宋" w:hAnsi="仿宋" w:eastAsia="仿宋"/>
          <w:b/>
          <w:sz w:val="28"/>
          <w:szCs w:val="28"/>
        </w:rPr>
        <w:t xml:space="preserve"> 月  日</w:t>
      </w: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pStyle w:val="41"/>
        <w:rPr>
          <w:rFonts w:hint="eastAsia"/>
          <w:lang w:eastAsia="zh-CN"/>
        </w:rPr>
      </w:pP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9"/>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w:t>
      </w:r>
      <w:r>
        <w:rPr>
          <w:rFonts w:hint="eastAsia" w:ascii="仿宋_GB2312" w:hAnsi="仿宋" w:eastAsia="仿宋_GB2312" w:cs="仿宋"/>
          <w:bCs/>
          <w:color w:val="auto"/>
          <w:sz w:val="28"/>
          <w:szCs w:val="28"/>
          <w:lang w:eastAsia="zh-CN"/>
        </w:rPr>
        <w:t>采购文件</w:t>
      </w:r>
      <w:r>
        <w:rPr>
          <w:rFonts w:hint="eastAsia" w:ascii="仿宋_GB2312" w:hAnsi="仿宋" w:eastAsia="仿宋_GB2312" w:cs="仿宋"/>
          <w:bCs/>
          <w:color w:val="auto"/>
          <w:sz w:val="28"/>
          <w:szCs w:val="28"/>
        </w:rPr>
        <w:t>和附件内容，在使用各附件时，应注意下列事项：</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w:t>
      </w:r>
      <w:r>
        <w:rPr>
          <w:rFonts w:hint="eastAsia" w:ascii="仿宋_GB2312" w:hAnsi="仿宋" w:eastAsia="仿宋_GB2312" w:cs="仿宋"/>
          <w:color w:val="auto"/>
          <w:sz w:val="28"/>
          <w:szCs w:val="28"/>
          <w:lang w:eastAsia="zh-CN"/>
        </w:rPr>
        <w:t>采购文件</w:t>
      </w:r>
      <w:r>
        <w:rPr>
          <w:rFonts w:hint="eastAsia" w:ascii="仿宋_GB2312" w:hAnsi="仿宋" w:eastAsia="仿宋_GB2312" w:cs="仿宋"/>
          <w:color w:val="auto"/>
          <w:sz w:val="28"/>
          <w:szCs w:val="28"/>
        </w:rPr>
        <w:t>规定应当签署的事项，各投标人应按照规定签署，需要加盖公章的地方，应当盖</w:t>
      </w:r>
      <w:r>
        <w:rPr>
          <w:rFonts w:hint="eastAsia" w:ascii="仿宋_GB2312" w:hAnsi="仿宋" w:eastAsia="仿宋_GB2312" w:cs="仿宋"/>
          <w:bCs/>
          <w:color w:val="auto"/>
          <w:sz w:val="28"/>
          <w:szCs w:val="28"/>
        </w:rPr>
        <w:t>;</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5、所投货物类产品必须注明产品产地及生产厂家，无单项产品说明做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spacing w:line="360" w:lineRule="auto"/>
        <w:jc w:val="both"/>
        <w:rPr>
          <w:rFonts w:hint="eastAsia" w:ascii="仿宋_GB2312" w:hAnsi="仿宋" w:eastAsia="仿宋_GB2312"/>
          <w:b/>
          <w:bCs/>
          <w:color w:val="auto"/>
          <w:sz w:val="36"/>
          <w:szCs w:val="36"/>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拜城县教育和科学技术局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的各项规定，赞同你方对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eastAsia" w:eastAsia="仿宋_GB2312"/>
          <w:lang w:eastAsia="zh-CN"/>
        </w:rPr>
      </w:pPr>
      <w:r>
        <w:rPr>
          <w:rFonts w:hint="eastAsia" w:asciiTheme="minorEastAsia" w:hAnsiTheme="minorEastAsia" w:eastAsiaTheme="minorEastAsia" w:cstheme="minorEastAsia"/>
          <w:color w:val="auto"/>
          <w:kern w:val="2"/>
          <w:sz w:val="28"/>
          <w:szCs w:val="28"/>
          <w:lang w:val="en-US" w:eastAsia="zh-CN" w:bidi="ar-SA"/>
        </w:rPr>
        <w:t>9、</w:t>
      </w:r>
      <w:r>
        <w:rPr>
          <w:rFonts w:hint="eastAsia" w:ascii="仿宋_GB2312" w:hAnsi="仿宋" w:eastAsia="仿宋_GB2312" w:cs="Times New Roman"/>
          <w:color w:val="auto"/>
          <w:kern w:val="2"/>
          <w:sz w:val="28"/>
          <w:szCs w:val="28"/>
          <w:lang w:val="en-US" w:eastAsia="zh-CN" w:bidi="ar-SA"/>
        </w:rPr>
        <w:t>我方本次提交投标保证金人民币</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s="Times New Roman"/>
          <w:color w:val="auto"/>
          <w:kern w:val="2"/>
          <w:sz w:val="28"/>
          <w:szCs w:val="28"/>
          <w:lang w:val="en-US" w:eastAsia="zh-CN" w:bidi="ar-SA"/>
        </w:rPr>
        <w:t>元整。如果违反本次竞争性磋商文件规定，愿接受你方没收全部投标保证金的处罚；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10</w:t>
      </w:r>
      <w:r>
        <w:rPr>
          <w:rFonts w:hint="eastAsia" w:ascii="仿宋_GB2312" w:hAnsi="仿宋" w:eastAsia="仿宋_GB2312"/>
          <w:color w:val="auto"/>
          <w:sz w:val="28"/>
          <w:szCs w:val="28"/>
        </w:rPr>
        <w:t>、我方同意本投标文件的有效期为开标后90天；一旦中标将投标文件转为合同附件；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w:t>
      </w: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、我方本次提交投标保证金人民币</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rPr>
        <w:t>元整。如果违反本次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、本次投标总价为</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（大写</w:t>
      </w:r>
      <w:r>
        <w:rPr>
          <w:rFonts w:hint="eastAsia" w:ascii="仿宋_GB2312" w:hAnsi="仿宋" w:eastAsia="仿宋_GB2312"/>
          <w:color w:val="auto"/>
          <w:sz w:val="28"/>
          <w:szCs w:val="28"/>
          <w:u w:val="single"/>
          <w:lang w:eastAsia="zh-CN"/>
        </w:rPr>
        <w:t>：</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w:t>
      </w:r>
      <w:r>
        <w:rPr>
          <w:rFonts w:hint="eastAsia" w:ascii="仿宋_GB2312" w:hAnsi="仿宋" w:eastAsia="仿宋_GB2312"/>
          <w:color w:val="auto"/>
          <w:sz w:val="28"/>
          <w:szCs w:val="28"/>
          <w:lang w:val="en-US" w:eastAsia="zh-CN"/>
        </w:rPr>
        <w:t>3</w:t>
      </w:r>
      <w:r>
        <w:rPr>
          <w:rFonts w:hint="eastAsia" w:ascii="仿宋_GB2312" w:hAnsi="仿宋" w:eastAsia="仿宋_GB2312"/>
          <w:color w:val="auto"/>
          <w:sz w:val="28"/>
          <w:szCs w:val="28"/>
        </w:rPr>
        <w:t>、我方</w:t>
      </w:r>
      <w:r>
        <w:rPr>
          <w:rFonts w:hint="eastAsia" w:ascii="仿宋_GB2312" w:hAnsi="仿宋" w:eastAsia="仿宋_GB2312"/>
          <w:color w:val="auto"/>
          <w:sz w:val="28"/>
          <w:szCs w:val="28"/>
          <w:lang w:eastAsia="zh-CN"/>
        </w:rPr>
        <w:t>开标现场</w:t>
      </w:r>
      <w:r>
        <w:rPr>
          <w:rFonts w:hint="eastAsia" w:ascii="仿宋_GB2312" w:hAnsi="仿宋" w:eastAsia="仿宋_GB2312"/>
          <w:color w:val="auto"/>
          <w:sz w:val="28"/>
          <w:szCs w:val="28"/>
        </w:rPr>
        <w:t>提交的投标文件正本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w:t>
      </w:r>
      <w:r>
        <w:rPr>
          <w:rFonts w:hint="eastAsia" w:ascii="仿宋_GB2312" w:hAnsi="仿宋" w:eastAsia="仿宋_GB2312"/>
          <w:color w:val="auto"/>
          <w:sz w:val="28"/>
          <w:szCs w:val="28"/>
          <w:lang w:eastAsia="zh-CN"/>
        </w:rPr>
        <w:t>，开标结束后根据招标人的要求提供纸质版标书</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w:t>
      </w:r>
      <w:r>
        <w:rPr>
          <w:rFonts w:hint="eastAsia" w:ascii="仿宋_GB2312" w:hAnsi="仿宋" w:eastAsia="仿宋_GB2312"/>
          <w:color w:val="auto"/>
          <w:sz w:val="28"/>
          <w:szCs w:val="28"/>
          <w:lang w:val="en-US" w:eastAsia="zh-CN"/>
        </w:rPr>
        <w:t>4</w:t>
      </w:r>
      <w:r>
        <w:rPr>
          <w:rFonts w:hint="eastAsia" w:ascii="仿宋_GB2312" w:hAnsi="仿宋" w:eastAsia="仿宋_GB2312"/>
          <w:color w:val="auto"/>
          <w:sz w:val="28"/>
          <w:szCs w:val="28"/>
        </w:rPr>
        <w:t>、与本次招标的一切往来，请按下列方式联系：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联系人</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w:t>
      </w: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w:t>
      </w:r>
      <w:r>
        <w:rPr>
          <w:rFonts w:hint="eastAsia" w:ascii="仿宋_GB2312" w:hAnsi="仿宋" w:eastAsia="仿宋_GB2312"/>
          <w:color w:val="auto"/>
          <w:sz w:val="28"/>
          <w:szCs w:val="28"/>
          <w:u w:val="single"/>
          <w:lang w:eastAsia="zh-CN"/>
        </w:rPr>
        <w:t>字或盖章</w:t>
      </w:r>
      <w:r>
        <w:rPr>
          <w:rFonts w:hint="eastAsia" w:ascii="仿宋_GB2312" w:hAnsi="仿宋" w:eastAsia="仿宋_GB2312"/>
          <w:color w:val="auto"/>
          <w:sz w:val="28"/>
          <w:szCs w:val="28"/>
          <w:u w:val="single"/>
        </w:rPr>
        <w:t xml:space="preserve">）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pStyle w:val="5"/>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color w:val="auto"/>
          <w:sz w:val="28"/>
          <w:szCs w:val="28"/>
        </w:rPr>
      </w:pPr>
      <w:r>
        <w:rPr>
          <w:rFonts w:hint="eastAsia" w:ascii="仿宋_GB2312" w:hAnsi="仿宋" w:eastAsia="仿宋_GB2312"/>
          <w:b/>
          <w:color w:val="auto"/>
          <w:sz w:val="32"/>
          <w:szCs w:val="32"/>
        </w:rPr>
        <w:t>反商业贿赂承诺书</w:t>
      </w:r>
    </w:p>
    <w:p>
      <w:pPr>
        <w:spacing w:line="360" w:lineRule="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ascii="仿宋_GB2312" w:hAnsi="仿宋" w:eastAsia="仿宋_GB2312"/>
          <w:color w:val="auto"/>
          <w:sz w:val="28"/>
          <w:szCs w:val="28"/>
          <w:lang w:eastAsia="zh-CN"/>
        </w:rPr>
        <w:t>拜城县教育和科学技术局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hint="eastAsia" w:ascii="仿宋_GB2312" w:hAnsi="仿宋" w:eastAsia="仿宋_GB2312"/>
          <w:b/>
          <w:color w:val="auto"/>
          <w:sz w:val="28"/>
          <w:szCs w:val="28"/>
        </w:rPr>
      </w:pP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jc w:val="center"/>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r>
              <w:rPr>
                <w:rFonts w:hint="eastAsia" w:ascii="仿宋_GB2312" w:hAnsi="仿宋" w:eastAsia="仿宋_GB2312"/>
                <w:color w:val="auto"/>
                <w:sz w:val="28"/>
                <w:szCs w:val="28"/>
              </w:rPr>
              <w:t>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jc w:val="center"/>
        <w:rPr>
          <w:rFonts w:hint="eastAsia"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2"/>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p>
          <w:p>
            <w:pPr>
              <w:spacing w:line="360" w:lineRule="exact"/>
              <w:ind w:firstLine="280" w:firstLineChars="100"/>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全权代理人身份证</w:t>
            </w:r>
            <w:r>
              <w:rPr>
                <w:rFonts w:hint="eastAsia" w:ascii="仿宋_GB2312" w:hAnsi="仿宋" w:eastAsia="仿宋_GB2312"/>
                <w:color w:val="auto"/>
                <w:sz w:val="28"/>
                <w:szCs w:val="28"/>
                <w:lang w:eastAsia="zh-CN"/>
              </w:rPr>
              <w:t>正反面</w:t>
            </w:r>
          </w:p>
          <w:p>
            <w:pPr>
              <w:widowControl/>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项目年份</w:t>
            </w:r>
          </w:p>
        </w:tc>
        <w:tc>
          <w:tcPr>
            <w:tcW w:w="1822"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年度</w:t>
            </w:r>
          </w:p>
        </w:tc>
        <w:tc>
          <w:tcPr>
            <w:tcW w:w="203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年度</w:t>
            </w:r>
          </w:p>
        </w:tc>
        <w:tc>
          <w:tcPr>
            <w:tcW w:w="1907" w:type="dxa"/>
            <w:noWrap/>
            <w:vAlign w:val="center"/>
          </w:tcPr>
          <w:p>
            <w:pPr>
              <w:jc w:val="center"/>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 资 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流动资产（元）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固定资产净值（元）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总负债（元）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短期借款（元）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销售收入（元）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利润总额（元）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w:t>
      </w:r>
      <w:r>
        <w:rPr>
          <w:rFonts w:hint="eastAsia" w:ascii="仿宋_GB2312" w:hAnsi="仿宋" w:eastAsia="仿宋_GB2312"/>
          <w:color w:val="auto"/>
          <w:sz w:val="28"/>
          <w:szCs w:val="28"/>
          <w:lang w:val="en-US" w:eastAsia="zh-CN"/>
        </w:rPr>
        <w:t>2022年的财务审计报告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w:t>
      </w:r>
      <w:r>
        <w:rPr>
          <w:rFonts w:hint="eastAsia" w:ascii="仿宋_GB2312" w:hAnsi="仿宋" w:eastAsia="仿宋_GB2312"/>
          <w:color w:val="auto"/>
          <w:sz w:val="28"/>
          <w:szCs w:val="28"/>
          <w:lang w:val="en-US" w:eastAsia="zh-CN"/>
        </w:rPr>
        <w:t>无效标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w:t>
      </w:r>
      <w:r>
        <w:rPr>
          <w:rFonts w:hint="eastAsia" w:ascii="仿宋_GB2312" w:hAnsi="仿宋" w:eastAsia="仿宋_GB2312"/>
          <w:color w:val="auto"/>
          <w:sz w:val="28"/>
          <w:lang w:val="en-US" w:eastAsia="zh-CN"/>
        </w:rPr>
        <w:t>无效标</w:t>
      </w:r>
      <w:r>
        <w:rPr>
          <w:rFonts w:hint="eastAsia" w:ascii="仿宋_GB2312" w:hAnsi="仿宋" w:eastAsia="仿宋_GB2312"/>
          <w:color w:val="auto"/>
          <w:sz w:val="28"/>
        </w:rPr>
        <w:t>）</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pgNumType w:fmt="decimal"/>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45" w:name="投标报价表"/>
      <w:r>
        <w:rPr>
          <w:rFonts w:hint="eastAsia" w:ascii="仿宋_GB2312" w:hAnsi="仿宋" w:eastAsia="仿宋_GB2312"/>
          <w:b/>
          <w:bCs/>
          <w:color w:val="auto"/>
          <w:sz w:val="28"/>
          <w:szCs w:val="28"/>
        </w:rPr>
        <w:t>：</w:t>
      </w:r>
      <w:bookmarkEnd w:id="45"/>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项目名称</w:t>
            </w:r>
          </w:p>
        </w:tc>
        <w:tc>
          <w:tcPr>
            <w:tcW w:w="3848"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投标总价（元）</w:t>
            </w:r>
          </w:p>
        </w:tc>
        <w:tc>
          <w:tcPr>
            <w:tcW w:w="1827" w:type="dxa"/>
            <w:noWrap/>
            <w:vAlign w:val="center"/>
          </w:tcPr>
          <w:p>
            <w:pPr>
              <w:spacing w:line="440" w:lineRule="exact"/>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 w:val="24"/>
                <w:szCs w:val="24"/>
              </w:rPr>
            </w:pPr>
          </w:p>
        </w:tc>
        <w:tc>
          <w:tcPr>
            <w:tcW w:w="3848" w:type="dxa"/>
            <w:noWrap/>
            <w:vAlign w:val="center"/>
          </w:tcPr>
          <w:p>
            <w:pPr>
              <w:spacing w:line="440" w:lineRule="exact"/>
              <w:jc w:val="both"/>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小写：         </w:t>
            </w:r>
          </w:p>
          <w:p>
            <w:pPr>
              <w:spacing w:line="440" w:lineRule="exact"/>
              <w:jc w:val="both"/>
              <w:rPr>
                <w:rFonts w:ascii="仿宋_GB2312" w:hAnsi="仿宋" w:eastAsia="仿宋_GB2312"/>
                <w:color w:val="auto"/>
                <w:sz w:val="24"/>
                <w:szCs w:val="24"/>
              </w:rPr>
            </w:pPr>
            <w:r>
              <w:rPr>
                <w:rFonts w:hint="eastAsia" w:ascii="仿宋_GB2312" w:hAnsi="仿宋" w:eastAsia="仿宋_GB2312"/>
                <w:color w:val="auto"/>
                <w:sz w:val="24"/>
                <w:szCs w:val="24"/>
              </w:rPr>
              <w:t>大写：</w:t>
            </w:r>
          </w:p>
        </w:tc>
        <w:tc>
          <w:tcPr>
            <w:tcW w:w="1827" w:type="dxa"/>
            <w:noWrap/>
            <w:vAlign w:val="center"/>
          </w:tcPr>
          <w:p>
            <w:pPr>
              <w:spacing w:line="440" w:lineRule="exact"/>
              <w:jc w:val="center"/>
              <w:rPr>
                <w:rFonts w:ascii="仿宋_GB2312" w:hAnsi="仿宋" w:eastAsia="仿宋_GB2312"/>
                <w:color w:val="auto"/>
                <w:sz w:val="24"/>
                <w:szCs w:val="24"/>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投标报价明细表</w:t>
      </w:r>
    </w:p>
    <w:p>
      <w:pPr>
        <w:spacing w:line="440" w:lineRule="exact"/>
        <w:rPr>
          <w:rFonts w:ascii="仿宋_GB2312" w:hAnsi="仿宋" w:eastAsia="仿宋_GB2312"/>
          <w:bCs/>
          <w:color w:val="auto"/>
          <w:sz w:val="28"/>
          <w:szCs w:val="28"/>
        </w:rPr>
      </w:pPr>
    </w:p>
    <w:p>
      <w:pPr>
        <w:spacing w:line="440" w:lineRule="exact"/>
        <w:rPr>
          <w:rFonts w:hint="default" w:ascii="仿宋_GB2312" w:hAnsi="仿宋" w:eastAsia="仿宋_GB2312"/>
          <w:bCs/>
          <w:color w:val="auto"/>
          <w:sz w:val="28"/>
          <w:szCs w:val="28"/>
          <w:lang w:val="en-US"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r>
        <w:rPr>
          <w:rFonts w:hint="eastAsia" w:ascii="仿宋_GB2312" w:hAnsi="仿宋" w:eastAsia="仿宋_GB2312"/>
          <w:bCs/>
          <w:color w:val="auto"/>
          <w:sz w:val="28"/>
          <w:szCs w:val="28"/>
          <w:lang w:eastAsia="zh-CN"/>
        </w:rPr>
        <w:t>bcx-gkzb-2023-036</w:t>
      </w:r>
    </w:p>
    <w:tbl>
      <w:tblPr>
        <w:tblStyle w:val="42"/>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957" w:type="dxa"/>
            <w:noWrap/>
          </w:tcPr>
          <w:p>
            <w:pPr>
              <w:spacing w:line="440" w:lineRule="exact"/>
              <w:jc w:val="center"/>
              <w:rPr>
                <w:rFonts w:hint="eastAsia" w:ascii="仿宋_GB2312" w:hAnsi="仿宋" w:eastAsia="仿宋_GB2312"/>
                <w:color w:val="auto"/>
                <w:szCs w:val="21"/>
                <w:lang w:eastAsia="zh-CN"/>
              </w:rPr>
            </w:pPr>
            <w:r>
              <w:rPr>
                <w:rFonts w:hint="eastAsia" w:ascii="仿宋_GB2312" w:hAnsi="仿宋" w:eastAsia="仿宋_GB2312"/>
                <w:color w:val="auto"/>
                <w:szCs w:val="21"/>
                <w:lang w:eastAsia="zh-CN"/>
              </w:rPr>
              <w:t>品牌</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6" w:type="default"/>
          <w:footerReference r:id="rId7" w:type="even"/>
          <w:pgSz w:w="11906" w:h="16838"/>
          <w:pgMar w:top="2098" w:right="1440" w:bottom="1440" w:left="1440" w:header="851" w:footer="992" w:gutter="0"/>
          <w:pgNumType w:fmt="decimal"/>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2"/>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pgNumType w:fmt="decimal"/>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2、投标人应分别列明免费质量保证期外的服务年限_____年；维护维修的电话、联系人、响应服务时间、到达现场时间以及维护维修完成时限（天）。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hint="eastAsia" w:ascii="仿宋_GB2312" w:hAnsi="仿宋" w:eastAsia="仿宋_GB2312"/>
          <w:b/>
          <w:color w:val="auto"/>
          <w:sz w:val="18"/>
          <w:szCs w:val="18"/>
          <w:lang w:eastAsia="zh-CN"/>
        </w:rPr>
        <w:sectPr>
          <w:pgSz w:w="11906" w:h="16838"/>
          <w:pgMar w:top="2098" w:right="1440" w:bottom="1440" w:left="1440" w:header="851" w:footer="992" w:gutter="0"/>
          <w:pgNumType w:fmt="decimal"/>
          <w:cols w:space="720" w:num="1"/>
          <w:docGrid w:linePitch="312" w:charSpace="0"/>
        </w:sectPr>
      </w:pPr>
      <w:r>
        <w:rPr>
          <w:rFonts w:hint="eastAsia" w:ascii="仿宋_GB2312" w:hAnsi="仿宋" w:eastAsia="仿宋_GB2312"/>
          <w:color w:val="auto"/>
          <w:sz w:val="28"/>
          <w:szCs w:val="28"/>
        </w:rPr>
        <w:t xml:space="preserve">签署日期：    年   月   </w:t>
      </w:r>
      <w:r>
        <w:rPr>
          <w:rFonts w:hint="eastAsia" w:ascii="仿宋_GB2312" w:hAnsi="仿宋" w:eastAsia="仿宋_GB2312"/>
          <w:color w:val="auto"/>
          <w:sz w:val="28"/>
          <w:szCs w:val="28"/>
          <w:lang w:eastAsia="zh-CN"/>
        </w:rPr>
        <w:t>日</w:t>
      </w:r>
    </w:p>
    <w:p>
      <w:pPr>
        <w:spacing w:line="360" w:lineRule="auto"/>
        <w:rPr>
          <w:rFonts w:ascii="仿宋_GB2312" w:hAnsi="仿宋" w:eastAsia="仿宋_GB2312"/>
          <w:b/>
          <w:color w:val="auto"/>
          <w:sz w:val="28"/>
          <w:szCs w:val="28"/>
        </w:rPr>
      </w:pPr>
    </w:p>
    <w:p>
      <w:pPr>
        <w:spacing w:line="360" w:lineRule="auto"/>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附件1</w:t>
      </w:r>
      <w:r>
        <w:rPr>
          <w:rFonts w:hint="eastAsia" w:ascii="仿宋_GB2312" w:hAnsi="仿宋" w:eastAsia="仿宋_GB2312"/>
          <w:b/>
          <w:color w:val="auto"/>
          <w:sz w:val="28"/>
          <w:szCs w:val="28"/>
          <w:lang w:val="en-US" w:eastAsia="zh-CN"/>
        </w:rPr>
        <w:t>1</w:t>
      </w:r>
    </w:p>
    <w:p>
      <w:pPr>
        <w:jc w:val="center"/>
        <w:rPr>
          <w:rFonts w:hint="eastAsia" w:ascii="仿宋_GB2312" w:hAnsi="仿宋" w:eastAsia="仿宋_GB2312"/>
          <w:b/>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41"/>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3"/>
        <w:keepLines w:val="0"/>
        <w:pageBreakBefore w:val="0"/>
        <w:widowControl w:val="0"/>
        <w:numPr>
          <w:ilvl w:val="0"/>
          <w:numId w:val="0"/>
        </w:numPr>
        <w:tabs>
          <w:tab w:val="left" w:pos="933"/>
          <w:tab w:val="clear" w:pos="432"/>
        </w:tabs>
        <w:kinsoku/>
        <w:overflowPunct/>
        <w:topLinePunct w:val="0"/>
        <w:autoSpaceDE/>
        <w:autoSpaceDN/>
        <w:bidi w:val="0"/>
        <w:adjustRightInd/>
        <w:snapToGrid/>
        <w:spacing w:before="162" w:line="400" w:lineRule="exact"/>
        <w:ind w:leftChars="0"/>
        <w:jc w:val="center"/>
        <w:textAlignment w:val="auto"/>
        <w:rPr>
          <w:rFonts w:ascii="仿宋" w:hAnsi="仿宋" w:eastAsia="仿宋" w:cs="仿宋"/>
          <w:b/>
          <w:bCs/>
          <w:color w:val="auto"/>
          <w:kern w:val="2"/>
          <w:sz w:val="32"/>
          <w:szCs w:val="32"/>
          <w:lang w:val="en-US" w:eastAsia="zh-CN" w:bidi="ar-SA"/>
        </w:rPr>
      </w:pPr>
      <w:bookmarkStart w:id="46" w:name="_Toc21305"/>
      <w:r>
        <w:rPr>
          <w:rFonts w:ascii="仿宋" w:hAnsi="仿宋" w:eastAsia="仿宋" w:cs="仿宋"/>
          <w:b/>
          <w:bCs/>
          <w:color w:val="auto"/>
          <w:kern w:val="2"/>
          <w:sz w:val="32"/>
          <w:szCs w:val="32"/>
          <w:lang w:val="en-US" w:eastAsia="zh-CN" w:bidi="ar-SA"/>
        </w:rPr>
        <w:t>中小企业声明函（货物）</w:t>
      </w:r>
      <w:bookmarkEnd w:id="46"/>
    </w:p>
    <w:p>
      <w:pPr>
        <w:keepLines w:val="0"/>
        <w:pageBreakBefore w:val="0"/>
        <w:widowControl w:val="0"/>
        <w:kinsoku/>
        <w:overflowPunct/>
        <w:topLinePunct w:val="0"/>
        <w:autoSpaceDE/>
        <w:autoSpaceDN/>
        <w:bidi w:val="0"/>
        <w:adjustRightInd/>
        <w:snapToGrid/>
        <w:spacing w:before="0" w:line="400" w:lineRule="exact"/>
        <w:ind w:left="220" w:right="415" w:firstLine="560" w:firstLineChars="200"/>
        <w:jc w:val="left"/>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本公司郑重声明，根据《政府采购促进中小企业发展管理办法》（财库</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2020</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46 号）的规定，本公司参加（</w:t>
      </w:r>
      <w:r>
        <w:rPr>
          <w:rFonts w:ascii="仿宋" w:hAnsi="仿宋" w:eastAsia="仿宋" w:cs="仿宋"/>
          <w:color w:val="auto"/>
          <w:kern w:val="2"/>
          <w:sz w:val="28"/>
          <w:szCs w:val="28"/>
          <w:u w:val="single"/>
          <w:lang w:val="en-US" w:eastAsia="zh-CN" w:bidi="ar-SA"/>
        </w:rPr>
        <w:t>单位名称）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的</w:t>
      </w:r>
      <w:r>
        <w:rPr>
          <w:rFonts w:ascii="仿宋" w:hAnsi="仿宋" w:eastAsia="仿宋" w:cs="仿宋"/>
          <w:color w:val="auto"/>
          <w:kern w:val="2"/>
          <w:sz w:val="28"/>
          <w:szCs w:val="28"/>
          <w:u w:val="single"/>
          <w:lang w:val="en-US" w:eastAsia="zh-CN" w:bidi="ar-SA"/>
        </w:rPr>
        <w:t>（项目名称）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采购活动，提供的货物全部由符合政策要求的中小企业制造。相关企业（含联合体中的中小企业、签订分包意向协议的中小企业） 的具体情况如下：</w:t>
      </w:r>
    </w:p>
    <w:p>
      <w:pPr>
        <w:pStyle w:val="18"/>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批发业  </w:t>
      </w:r>
      <w:r>
        <w:rPr>
          <w:rFonts w:hint="eastAsia" w:ascii="仿宋" w:hAnsi="仿宋" w:eastAsia="仿宋" w:cs="仿宋"/>
          <w:color w:val="auto"/>
          <w:kern w:val="2"/>
          <w:sz w:val="28"/>
          <w:szCs w:val="28"/>
          <w:lang w:val="en-US" w:eastAsia="zh-CN" w:bidi="ar-SA"/>
        </w:rPr>
        <w:t>；制造商为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8"/>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行业；制造商为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万元</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8"/>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p>
      <w:pPr>
        <w:pStyle w:val="18"/>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以上企业，不属于大企业的分支机构，不存在控股股东为大企业的情形，也不存在与大企业的负责人为同一人的情形。</w:t>
      </w:r>
    </w:p>
    <w:p>
      <w:pPr>
        <w:pStyle w:val="18"/>
        <w:keepLines w:val="0"/>
        <w:pageBreakBefore w:val="0"/>
        <w:widowControl w:val="0"/>
        <w:kinsoku/>
        <w:overflowPunct/>
        <w:topLinePunct w:val="0"/>
        <w:autoSpaceDE/>
        <w:autoSpaceDN/>
        <w:bidi w:val="0"/>
        <w:adjustRightInd/>
        <w:snapToGrid/>
        <w:spacing w:line="400" w:lineRule="exact"/>
        <w:ind w:right="372" w:firstLine="645"/>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本企业对上述声明内容的真实性负责。如有虚假，将依法承担相应责任。</w:t>
      </w:r>
    </w:p>
    <w:p>
      <w:pPr>
        <w:pStyle w:val="18"/>
        <w:keepLines w:val="0"/>
        <w:pageBreakBefore w:val="0"/>
        <w:widowControl w:val="0"/>
        <w:kinsoku/>
        <w:wordWrap w:val="0"/>
        <w:overflowPunct/>
        <w:topLinePunct w:val="0"/>
        <w:autoSpaceDE/>
        <w:autoSpaceDN/>
        <w:bidi w:val="0"/>
        <w:adjustRightInd/>
        <w:snapToGrid/>
        <w:spacing w:line="400" w:lineRule="exact"/>
        <w:ind w:left="860"/>
        <w:jc w:val="right"/>
        <w:textAlignment w:val="auto"/>
        <w:rPr>
          <w:rFonts w:hint="default"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企业名称（盖章）：</w:t>
      </w:r>
      <w:r>
        <w:rPr>
          <w:rFonts w:hint="eastAsia" w:ascii="仿宋" w:hAnsi="仿宋" w:eastAsia="仿宋" w:cs="仿宋"/>
          <w:color w:val="auto"/>
          <w:kern w:val="2"/>
          <w:sz w:val="28"/>
          <w:szCs w:val="28"/>
          <w:lang w:val="en-US" w:eastAsia="zh-CN" w:bidi="ar-SA"/>
        </w:rPr>
        <w:t xml:space="preserve">      </w:t>
      </w:r>
    </w:p>
    <w:p>
      <w:pPr>
        <w:pStyle w:val="18"/>
        <w:keepLines w:val="0"/>
        <w:pageBreakBefore w:val="0"/>
        <w:widowControl w:val="0"/>
        <w:kinsoku/>
        <w:wordWrap w:val="0"/>
        <w:overflowPunct/>
        <w:topLinePunct w:val="0"/>
        <w:autoSpaceDE/>
        <w:autoSpaceDN/>
        <w:bidi w:val="0"/>
        <w:adjustRightInd/>
        <w:snapToGrid/>
        <w:spacing w:line="400" w:lineRule="exact"/>
        <w:ind w:left="860"/>
        <w:jc w:val="center"/>
        <w:textAlignment w:val="auto"/>
        <w:rPr>
          <w:sz w:val="20"/>
          <w:szCs w:val="22"/>
        </w:rPr>
        <w:sectPr>
          <w:footerReference r:id="rId8" w:type="default"/>
          <w:pgSz w:w="11910" w:h="16840"/>
          <w:pgMar w:top="1500" w:right="1380" w:bottom="1780" w:left="1580" w:header="0" w:footer="1595" w:gutter="0"/>
          <w:pgNumType w:fmt="decimal"/>
          <w:cols w:space="720" w:num="1"/>
        </w:sectPr>
      </w:pPr>
      <w:r>
        <w:rPr>
          <w:rFonts w:hint="eastAsia" w:ascii="仿宋" w:hAnsi="仿宋" w:eastAsia="仿宋" w:cs="仿宋"/>
          <w:color w:val="auto"/>
          <w:kern w:val="2"/>
          <w:sz w:val="28"/>
          <w:szCs w:val="28"/>
          <w:lang w:val="en-US" w:eastAsia="zh-CN" w:bidi="ar-SA"/>
        </w:rPr>
        <w:t xml:space="preserve">              </w:t>
      </w:r>
      <w:r>
        <w:rPr>
          <w:rFonts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lang w:val="en-US" w:eastAsia="zh-CN" w:bidi="ar-SA"/>
        </w:rPr>
        <w:t>：</w:t>
      </w: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7169"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hint="default" w:ascii="仿宋_GB2312" w:hAnsi="仿宋" w:eastAsia="仿宋_GB2312"/>
          <w:b/>
          <w:bCs/>
          <w:color w:val="auto"/>
          <w:sz w:val="36"/>
          <w:lang w:val="en-US" w:eastAsia="zh-CN"/>
        </w:rPr>
      </w:pPr>
      <w:r>
        <w:rPr>
          <w:rFonts w:hint="eastAsia" w:ascii="仿宋_GB2312" w:hAnsi="仿宋" w:eastAsia="仿宋_GB2312"/>
          <w:b/>
          <w:bCs/>
          <w:color w:val="auto"/>
          <w:sz w:val="36"/>
          <w:lang w:val="en-US" w:eastAsia="zh-CN"/>
        </w:rPr>
        <w:t>(报价文件或技术文件)</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360" w:lineRule="auto"/>
        <w:rPr>
          <w:rFonts w:hint="eastAsia" w:ascii="仿宋_GB2312" w:hAnsi="仿宋" w:eastAsia="仿宋_GB2312"/>
          <w:bCs/>
          <w:color w:val="auto"/>
          <w:sz w:val="24"/>
          <w:szCs w:val="24"/>
          <w:lang w:eastAsia="zh-CN"/>
        </w:rPr>
      </w:pPr>
    </w:p>
    <w:sectPr>
      <w:footerReference r:id="rId9" w:type="default"/>
      <w:footerReference r:id="rId10" w:type="even"/>
      <w:pgSz w:w="11906" w:h="16838"/>
      <w:pgMar w:top="2098"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ind w:right="360"/>
      <w:jc w:val="cente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w:pict>
        <v:shape id="_x0000_s2058" o:spid="_x0000_s205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ind w:left="0"/>
      <w:rPr>
        <w:sz w:val="20"/>
      </w:rPr>
    </w:pPr>
    <w:r>
      <w:rPr>
        <w:sz w:val="21"/>
      </w:rPr>
      <w:pict>
        <v:shape id="_x0000_s2060" o:spid="_x0000_s206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w:r>
    <w:r>
      <w:pict>
        <v:shape id="_x0000_s2054" o:spid="_x0000_s2054"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right="0"/>
                  <w:jc w:val="both"/>
                  <w:rPr>
                    <w:rFonts w:ascii="Calibri"/>
                    <w:sz w:val="18"/>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w:pict>
        <v:shape id="_x0000_s2061" o:spid="_x0000_s206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hint="eastAsia" w:eastAsia="宋体"/>
        <w:lang w:eastAsia="zh-CN"/>
      </w:rPr>
    </w:pPr>
    <w:r>
      <w:rPr>
        <w:rFonts w:hint="eastAsia"/>
        <w:lang w:eastAsia="zh-CN"/>
      </w:rPr>
      <w:t>新疆久隆昌泰建设项目管理有限公司</w:t>
    </w:r>
    <w:r>
      <w:rPr>
        <w:rFonts w:hint="eastAsia"/>
      </w:rPr>
      <w:t xml:space="preserve">       </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27697"/>
    <w:multiLevelType w:val="singleLevel"/>
    <w:tmpl w:val="A4F27697"/>
    <w:lvl w:ilvl="0" w:tentative="0">
      <w:start w:val="2"/>
      <w:numFmt w:val="chineseCounting"/>
      <w:suff w:val="nothing"/>
      <w:lvlText w:val="%1、"/>
      <w:lvlJc w:val="left"/>
      <w:rPr>
        <w:rFonts w:hint="eastAsia"/>
      </w:rPr>
    </w:lvl>
  </w:abstractNum>
  <w:abstractNum w:abstractNumId="1">
    <w:nsid w:val="AC250CB8"/>
    <w:multiLevelType w:val="singleLevel"/>
    <w:tmpl w:val="AC250CB8"/>
    <w:lvl w:ilvl="0" w:tentative="0">
      <w:start w:val="1"/>
      <w:numFmt w:val="decimal"/>
      <w:suff w:val="nothing"/>
      <w:lvlText w:val="%1、"/>
      <w:lvlJc w:val="left"/>
    </w:lvl>
  </w:abstractNum>
  <w:abstractNum w:abstractNumId="2">
    <w:nsid w:val="D3F97A0A"/>
    <w:multiLevelType w:val="singleLevel"/>
    <w:tmpl w:val="D3F97A0A"/>
    <w:lvl w:ilvl="0" w:tentative="0">
      <w:start w:val="1"/>
      <w:numFmt w:val="decimal"/>
      <w:suff w:val="nothing"/>
      <w:lvlText w:val="（%1）"/>
      <w:lvlJc w:val="left"/>
    </w:lvl>
  </w:abstractNum>
  <w:abstractNum w:abstractNumId="3">
    <w:nsid w:val="F313CCB4"/>
    <w:multiLevelType w:val="singleLevel"/>
    <w:tmpl w:val="F313CCB4"/>
    <w:lvl w:ilvl="0" w:tentative="0">
      <w:start w:val="1"/>
      <w:numFmt w:val="decimal"/>
      <w:lvlText w:val="%1."/>
      <w:lvlJc w:val="left"/>
      <w:pPr>
        <w:tabs>
          <w:tab w:val="left" w:pos="312"/>
        </w:tabs>
      </w:pPr>
    </w:lvl>
  </w:abstractNum>
  <w:abstractNum w:abstractNumId="4">
    <w:nsid w:val="0000000E"/>
    <w:multiLevelType w:val="multilevel"/>
    <w:tmpl w:val="0000000E"/>
    <w:lvl w:ilvl="0" w:tentative="0">
      <w:start w:val="1"/>
      <w:numFmt w:val="bullet"/>
      <w:pStyle w:val="5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408C0706"/>
    <w:multiLevelType w:val="multilevel"/>
    <w:tmpl w:val="408C0706"/>
    <w:lvl w:ilvl="0" w:tentative="0">
      <w:start w:val="1"/>
      <w:numFmt w:val="bullet"/>
      <w:pStyle w:val="107"/>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59"/>
      <w:lvlText w:val="图%1. "/>
      <w:lvlJc w:val="left"/>
      <w:pPr>
        <w:tabs>
          <w:tab w:val="left" w:pos="777"/>
        </w:tabs>
        <w:ind w:left="777" w:hanging="420"/>
      </w:pPr>
      <w:rPr>
        <w:lang w:val="en-US"/>
      </w:rPr>
    </w:lvl>
  </w:abstractNum>
  <w:abstractNum w:abstractNumId="9">
    <w:nsid w:val="53D239D0"/>
    <w:multiLevelType w:val="singleLevel"/>
    <w:tmpl w:val="53D239D0"/>
    <w:lvl w:ilvl="0" w:tentative="0">
      <w:start w:val="2"/>
      <w:numFmt w:val="decimal"/>
      <w:suff w:val="nothing"/>
      <w:lvlText w:val="%1、"/>
      <w:lvlJc w:val="left"/>
    </w:lvl>
  </w:abstractNum>
  <w:abstractNum w:abstractNumId="10">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6"/>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B8765D4"/>
    <w:multiLevelType w:val="singleLevel"/>
    <w:tmpl w:val="7B8765D4"/>
    <w:lvl w:ilvl="0" w:tentative="0">
      <w:start w:val="10"/>
      <w:numFmt w:val="chineseCounting"/>
      <w:suff w:val="nothing"/>
      <w:lvlText w:val="%1、"/>
      <w:lvlJc w:val="left"/>
      <w:rPr>
        <w:rFonts w:hint="eastAsia"/>
      </w:rPr>
    </w:lvl>
  </w:abstractNum>
  <w:num w:numId="1">
    <w:abstractNumId w:val="5"/>
  </w:num>
  <w:num w:numId="2">
    <w:abstractNumId w:val="4"/>
  </w:num>
  <w:num w:numId="3">
    <w:abstractNumId w:val="8"/>
  </w:num>
  <w:num w:numId="4">
    <w:abstractNumId w:val="7"/>
  </w:num>
  <w:num w:numId="5">
    <w:abstractNumId w:val="10"/>
  </w:num>
  <w:num w:numId="6">
    <w:abstractNumId w:val="6"/>
  </w:num>
  <w:num w:numId="7">
    <w:abstractNumId w:val="0"/>
  </w:num>
  <w:num w:numId="8">
    <w:abstractNumId w:val="3"/>
  </w:num>
  <w:num w:numId="9">
    <w:abstractNumId w:val="2"/>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hiYWRhZGRkMmNlYTA1MzZlOWUxNWViOTNjNTk2YWEifQ=="/>
  </w:docVars>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87C7A"/>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6D6AC7"/>
    <w:rsid w:val="026A6285"/>
    <w:rsid w:val="03F854FB"/>
    <w:rsid w:val="04142E49"/>
    <w:rsid w:val="04AE358C"/>
    <w:rsid w:val="053B1B62"/>
    <w:rsid w:val="05663482"/>
    <w:rsid w:val="05D45135"/>
    <w:rsid w:val="06A95C53"/>
    <w:rsid w:val="06B13A04"/>
    <w:rsid w:val="06E86C47"/>
    <w:rsid w:val="07371C76"/>
    <w:rsid w:val="07431999"/>
    <w:rsid w:val="083079EE"/>
    <w:rsid w:val="084626F8"/>
    <w:rsid w:val="0850351E"/>
    <w:rsid w:val="08F32F2D"/>
    <w:rsid w:val="09075947"/>
    <w:rsid w:val="09D95008"/>
    <w:rsid w:val="0A2066EF"/>
    <w:rsid w:val="0A9E304F"/>
    <w:rsid w:val="0C0949E8"/>
    <w:rsid w:val="0C1C0FEB"/>
    <w:rsid w:val="0C283604"/>
    <w:rsid w:val="0CA61D99"/>
    <w:rsid w:val="0CD86DA8"/>
    <w:rsid w:val="0CF11250"/>
    <w:rsid w:val="0D6B62AE"/>
    <w:rsid w:val="0D9A0C45"/>
    <w:rsid w:val="0E1B55AE"/>
    <w:rsid w:val="0FE91D34"/>
    <w:rsid w:val="10960973"/>
    <w:rsid w:val="111D7DC6"/>
    <w:rsid w:val="112360E2"/>
    <w:rsid w:val="117538F5"/>
    <w:rsid w:val="11987E79"/>
    <w:rsid w:val="11B8088A"/>
    <w:rsid w:val="11C00909"/>
    <w:rsid w:val="12321A10"/>
    <w:rsid w:val="126606FE"/>
    <w:rsid w:val="12772FE4"/>
    <w:rsid w:val="12D75267"/>
    <w:rsid w:val="12E64BE7"/>
    <w:rsid w:val="130E4C12"/>
    <w:rsid w:val="132F165B"/>
    <w:rsid w:val="13A26DA1"/>
    <w:rsid w:val="13E02DB8"/>
    <w:rsid w:val="15756398"/>
    <w:rsid w:val="15B45A67"/>
    <w:rsid w:val="161807E7"/>
    <w:rsid w:val="16270A0D"/>
    <w:rsid w:val="16724059"/>
    <w:rsid w:val="16CB1AFB"/>
    <w:rsid w:val="17092FE0"/>
    <w:rsid w:val="170E7811"/>
    <w:rsid w:val="175F2068"/>
    <w:rsid w:val="17F4336D"/>
    <w:rsid w:val="17FE61DB"/>
    <w:rsid w:val="183A5DB3"/>
    <w:rsid w:val="18474FD7"/>
    <w:rsid w:val="1871535C"/>
    <w:rsid w:val="189D1D4B"/>
    <w:rsid w:val="18A86EDA"/>
    <w:rsid w:val="18E76170"/>
    <w:rsid w:val="190A473D"/>
    <w:rsid w:val="19381D83"/>
    <w:rsid w:val="1988460F"/>
    <w:rsid w:val="19B440F5"/>
    <w:rsid w:val="19EA4FE1"/>
    <w:rsid w:val="1A576598"/>
    <w:rsid w:val="1AB06C25"/>
    <w:rsid w:val="1AE67684"/>
    <w:rsid w:val="1AF10604"/>
    <w:rsid w:val="1AF231D8"/>
    <w:rsid w:val="1B586AD4"/>
    <w:rsid w:val="1B872806"/>
    <w:rsid w:val="1BA536B2"/>
    <w:rsid w:val="1BB175D2"/>
    <w:rsid w:val="1BF46889"/>
    <w:rsid w:val="1C4E0171"/>
    <w:rsid w:val="1CA049A0"/>
    <w:rsid w:val="1CDE7E6F"/>
    <w:rsid w:val="1D63241F"/>
    <w:rsid w:val="1DE85547"/>
    <w:rsid w:val="1E2C11E4"/>
    <w:rsid w:val="1F03170A"/>
    <w:rsid w:val="20035881"/>
    <w:rsid w:val="20621A95"/>
    <w:rsid w:val="20812BFC"/>
    <w:rsid w:val="20C71487"/>
    <w:rsid w:val="20F26767"/>
    <w:rsid w:val="22131825"/>
    <w:rsid w:val="22654C2D"/>
    <w:rsid w:val="22B53DA3"/>
    <w:rsid w:val="23CD058D"/>
    <w:rsid w:val="23CD6CC4"/>
    <w:rsid w:val="245F7121"/>
    <w:rsid w:val="24B57920"/>
    <w:rsid w:val="259A77C2"/>
    <w:rsid w:val="26044886"/>
    <w:rsid w:val="26817866"/>
    <w:rsid w:val="27192CF8"/>
    <w:rsid w:val="27381322"/>
    <w:rsid w:val="27511D87"/>
    <w:rsid w:val="27D86803"/>
    <w:rsid w:val="28834922"/>
    <w:rsid w:val="28B23C26"/>
    <w:rsid w:val="28F64534"/>
    <w:rsid w:val="28F87971"/>
    <w:rsid w:val="28FA4341"/>
    <w:rsid w:val="294A2C7A"/>
    <w:rsid w:val="2997777A"/>
    <w:rsid w:val="2A5C0AF5"/>
    <w:rsid w:val="2A8D6E04"/>
    <w:rsid w:val="2BF940CC"/>
    <w:rsid w:val="2D226C34"/>
    <w:rsid w:val="2D8600B4"/>
    <w:rsid w:val="2D923467"/>
    <w:rsid w:val="2E14513C"/>
    <w:rsid w:val="2E340237"/>
    <w:rsid w:val="2E3D56ED"/>
    <w:rsid w:val="2F1C5885"/>
    <w:rsid w:val="2F5E7E80"/>
    <w:rsid w:val="2F844294"/>
    <w:rsid w:val="2FB3602C"/>
    <w:rsid w:val="304F0278"/>
    <w:rsid w:val="3061120C"/>
    <w:rsid w:val="306F51F7"/>
    <w:rsid w:val="30705E8F"/>
    <w:rsid w:val="30D2426D"/>
    <w:rsid w:val="31A7141E"/>
    <w:rsid w:val="329B3F28"/>
    <w:rsid w:val="33923BB8"/>
    <w:rsid w:val="33CC638D"/>
    <w:rsid w:val="33EA2329"/>
    <w:rsid w:val="3502551A"/>
    <w:rsid w:val="35F470A6"/>
    <w:rsid w:val="364C1BD9"/>
    <w:rsid w:val="367A6CF0"/>
    <w:rsid w:val="36C46EED"/>
    <w:rsid w:val="382E0620"/>
    <w:rsid w:val="39383086"/>
    <w:rsid w:val="39393661"/>
    <w:rsid w:val="395B7483"/>
    <w:rsid w:val="399D15A9"/>
    <w:rsid w:val="3A162D52"/>
    <w:rsid w:val="3A793AAB"/>
    <w:rsid w:val="3AE40EF9"/>
    <w:rsid w:val="3AE70B4B"/>
    <w:rsid w:val="3B6D2EDE"/>
    <w:rsid w:val="3BA1458C"/>
    <w:rsid w:val="3C2E4336"/>
    <w:rsid w:val="3C551C04"/>
    <w:rsid w:val="3C731E2C"/>
    <w:rsid w:val="3CC12B7B"/>
    <w:rsid w:val="3D350098"/>
    <w:rsid w:val="3D746A8E"/>
    <w:rsid w:val="3EE23D2C"/>
    <w:rsid w:val="3F2603A8"/>
    <w:rsid w:val="3F81093F"/>
    <w:rsid w:val="40CB18F1"/>
    <w:rsid w:val="4138683F"/>
    <w:rsid w:val="41C77E6B"/>
    <w:rsid w:val="42116BC7"/>
    <w:rsid w:val="431A17A3"/>
    <w:rsid w:val="43E2725C"/>
    <w:rsid w:val="440049FC"/>
    <w:rsid w:val="44303792"/>
    <w:rsid w:val="44471DF1"/>
    <w:rsid w:val="448615EA"/>
    <w:rsid w:val="44A1602A"/>
    <w:rsid w:val="44AD1964"/>
    <w:rsid w:val="44EF700C"/>
    <w:rsid w:val="452A18D8"/>
    <w:rsid w:val="4543323B"/>
    <w:rsid w:val="45560D92"/>
    <w:rsid w:val="469E1DAE"/>
    <w:rsid w:val="46E26AC0"/>
    <w:rsid w:val="476A1B9C"/>
    <w:rsid w:val="47707270"/>
    <w:rsid w:val="47797ACC"/>
    <w:rsid w:val="47865C22"/>
    <w:rsid w:val="47B80352"/>
    <w:rsid w:val="48471483"/>
    <w:rsid w:val="488864B5"/>
    <w:rsid w:val="49470A18"/>
    <w:rsid w:val="49957F36"/>
    <w:rsid w:val="49F65C50"/>
    <w:rsid w:val="4A1C65AA"/>
    <w:rsid w:val="4A4D0D76"/>
    <w:rsid w:val="4A576EE7"/>
    <w:rsid w:val="4A71219E"/>
    <w:rsid w:val="4B686EBE"/>
    <w:rsid w:val="4BA212CB"/>
    <w:rsid w:val="4BDB3B37"/>
    <w:rsid w:val="4C120DE0"/>
    <w:rsid w:val="4C2121E3"/>
    <w:rsid w:val="4C665FE3"/>
    <w:rsid w:val="4C9A5B1B"/>
    <w:rsid w:val="4CB3111D"/>
    <w:rsid w:val="4CE04F75"/>
    <w:rsid w:val="4CF533F9"/>
    <w:rsid w:val="4D047CEF"/>
    <w:rsid w:val="4D180DCC"/>
    <w:rsid w:val="4DC800F0"/>
    <w:rsid w:val="4E3B7B85"/>
    <w:rsid w:val="4E710277"/>
    <w:rsid w:val="4EA23E74"/>
    <w:rsid w:val="4EFA3F52"/>
    <w:rsid w:val="4F4830EE"/>
    <w:rsid w:val="4F8767B8"/>
    <w:rsid w:val="4F90053A"/>
    <w:rsid w:val="4FBA1605"/>
    <w:rsid w:val="50374E98"/>
    <w:rsid w:val="50BB543C"/>
    <w:rsid w:val="511046F4"/>
    <w:rsid w:val="5116568F"/>
    <w:rsid w:val="51551AD7"/>
    <w:rsid w:val="51DC7314"/>
    <w:rsid w:val="51F6607F"/>
    <w:rsid w:val="52BA1816"/>
    <w:rsid w:val="52D432DB"/>
    <w:rsid w:val="535B4C65"/>
    <w:rsid w:val="53BF69BA"/>
    <w:rsid w:val="53E530B7"/>
    <w:rsid w:val="54300C7D"/>
    <w:rsid w:val="54537B03"/>
    <w:rsid w:val="54A14300"/>
    <w:rsid w:val="54CC38DB"/>
    <w:rsid w:val="557E1105"/>
    <w:rsid w:val="55994F4F"/>
    <w:rsid w:val="55DE2033"/>
    <w:rsid w:val="561F774C"/>
    <w:rsid w:val="56B342E8"/>
    <w:rsid w:val="56FA762A"/>
    <w:rsid w:val="57E8443C"/>
    <w:rsid w:val="57EC1F2F"/>
    <w:rsid w:val="582C7463"/>
    <w:rsid w:val="58853CC6"/>
    <w:rsid w:val="58EF4223"/>
    <w:rsid w:val="59117F41"/>
    <w:rsid w:val="59CE1239"/>
    <w:rsid w:val="5A1F7AD4"/>
    <w:rsid w:val="5A3677CE"/>
    <w:rsid w:val="5AD26367"/>
    <w:rsid w:val="5B062A42"/>
    <w:rsid w:val="5B0B20E5"/>
    <w:rsid w:val="5BBD3545"/>
    <w:rsid w:val="5C6D0124"/>
    <w:rsid w:val="5D7853CB"/>
    <w:rsid w:val="5D7B4E89"/>
    <w:rsid w:val="5D884CC5"/>
    <w:rsid w:val="5DBF67B3"/>
    <w:rsid w:val="5E0E0163"/>
    <w:rsid w:val="5E622CFC"/>
    <w:rsid w:val="5F1324A7"/>
    <w:rsid w:val="5FD24B92"/>
    <w:rsid w:val="60B93121"/>
    <w:rsid w:val="60BC2B3D"/>
    <w:rsid w:val="62357AED"/>
    <w:rsid w:val="626464F1"/>
    <w:rsid w:val="62B55511"/>
    <w:rsid w:val="64CD1384"/>
    <w:rsid w:val="64E3298F"/>
    <w:rsid w:val="65231F29"/>
    <w:rsid w:val="6528532E"/>
    <w:rsid w:val="652A0572"/>
    <w:rsid w:val="65892C9A"/>
    <w:rsid w:val="65E66B37"/>
    <w:rsid w:val="66471B39"/>
    <w:rsid w:val="664A4A02"/>
    <w:rsid w:val="664A783B"/>
    <w:rsid w:val="66540A16"/>
    <w:rsid w:val="667626BB"/>
    <w:rsid w:val="66C2586B"/>
    <w:rsid w:val="674D3CBA"/>
    <w:rsid w:val="67891D0B"/>
    <w:rsid w:val="67C10E06"/>
    <w:rsid w:val="68F9377D"/>
    <w:rsid w:val="6912533D"/>
    <w:rsid w:val="6A114FC7"/>
    <w:rsid w:val="6B3A6193"/>
    <w:rsid w:val="6B855109"/>
    <w:rsid w:val="6BB870B8"/>
    <w:rsid w:val="6BFF530D"/>
    <w:rsid w:val="6C264F8F"/>
    <w:rsid w:val="6C606222"/>
    <w:rsid w:val="6C954740"/>
    <w:rsid w:val="6CC807AE"/>
    <w:rsid w:val="6CF52C58"/>
    <w:rsid w:val="6D6A2088"/>
    <w:rsid w:val="6D6D0BAD"/>
    <w:rsid w:val="6E9A39F9"/>
    <w:rsid w:val="6ED22C19"/>
    <w:rsid w:val="6F082FCF"/>
    <w:rsid w:val="6F470928"/>
    <w:rsid w:val="6FBE0689"/>
    <w:rsid w:val="7046578D"/>
    <w:rsid w:val="70F52AC1"/>
    <w:rsid w:val="71142D39"/>
    <w:rsid w:val="71996775"/>
    <w:rsid w:val="71A523E8"/>
    <w:rsid w:val="71E67473"/>
    <w:rsid w:val="723E54C3"/>
    <w:rsid w:val="726F6112"/>
    <w:rsid w:val="729F64CC"/>
    <w:rsid w:val="72EF0675"/>
    <w:rsid w:val="72FE019F"/>
    <w:rsid w:val="72FF2BF2"/>
    <w:rsid w:val="733A0C0A"/>
    <w:rsid w:val="73700965"/>
    <w:rsid w:val="738B0AF2"/>
    <w:rsid w:val="738D2CD9"/>
    <w:rsid w:val="740A06FA"/>
    <w:rsid w:val="747043AB"/>
    <w:rsid w:val="74E404C8"/>
    <w:rsid w:val="74E75814"/>
    <w:rsid w:val="74F57DBA"/>
    <w:rsid w:val="74F7584F"/>
    <w:rsid w:val="75214050"/>
    <w:rsid w:val="75E94CD2"/>
    <w:rsid w:val="760C0C89"/>
    <w:rsid w:val="767A5276"/>
    <w:rsid w:val="76E16961"/>
    <w:rsid w:val="76F233ED"/>
    <w:rsid w:val="77592CAB"/>
    <w:rsid w:val="77EE780E"/>
    <w:rsid w:val="784A422F"/>
    <w:rsid w:val="790F1C48"/>
    <w:rsid w:val="79595267"/>
    <w:rsid w:val="79FB132D"/>
    <w:rsid w:val="7A460909"/>
    <w:rsid w:val="7AB244C8"/>
    <w:rsid w:val="7AEA3837"/>
    <w:rsid w:val="7B0C78AE"/>
    <w:rsid w:val="7B255FAE"/>
    <w:rsid w:val="7CCB23DD"/>
    <w:rsid w:val="7CD35AA0"/>
    <w:rsid w:val="7CDF7856"/>
    <w:rsid w:val="7D2057C3"/>
    <w:rsid w:val="7E693977"/>
    <w:rsid w:val="7ED0349E"/>
    <w:rsid w:val="7F0D7AEA"/>
    <w:rsid w:val="7FDD699C"/>
    <w:rsid w:val="7FF24C5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numPr>
        <w:ilvl w:val="0"/>
        <w:numId w:val="1"/>
      </w:numPr>
      <w:jc w:val="center"/>
      <w:outlineLvl w:val="0"/>
    </w:pPr>
    <w:rPr>
      <w:rFonts w:ascii="Calibri" w:hAnsi="Calibri"/>
      <w:sz w:val="28"/>
      <w:szCs w:val="20"/>
    </w:rPr>
  </w:style>
  <w:style w:type="paragraph" w:styleId="4">
    <w:name w:val="heading 2"/>
    <w:basedOn w:val="1"/>
    <w:next w:val="1"/>
    <w:link w:val="11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6"/>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12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127"/>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8">
    <w:name w:val="heading 6"/>
    <w:basedOn w:val="1"/>
    <w:next w:val="1"/>
    <w:link w:val="164"/>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113"/>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0">
    <w:name w:val="heading 8"/>
    <w:basedOn w:val="1"/>
    <w:next w:val="1"/>
    <w:link w:val="152"/>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150"/>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next w:val="14"/>
    <w:link w:val="165"/>
    <w:qFormat/>
    <w:uiPriority w:val="0"/>
    <w:pPr>
      <w:adjustRightInd w:val="0"/>
      <w:ind w:firstLine="420"/>
      <w:jc w:val="left"/>
    </w:pPr>
    <w:rPr>
      <w:rFonts w:ascii="楷体_GB2312" w:hAnsi="Calibri" w:eastAsia="楷体_GB2312"/>
      <w:sz w:val="24"/>
      <w:szCs w:val="20"/>
    </w:rPr>
  </w:style>
  <w:style w:type="paragraph" w:styleId="14">
    <w:name w:val="toc 4"/>
    <w:basedOn w:val="1"/>
    <w:next w:val="1"/>
    <w:unhideWhenUsed/>
    <w:qFormat/>
    <w:uiPriority w:val="0"/>
    <w:pPr>
      <w:ind w:left="630"/>
      <w:jc w:val="left"/>
    </w:pPr>
    <w:rPr>
      <w:rFonts w:ascii="Calibri" w:hAnsi="Calibri"/>
      <w:sz w:val="18"/>
      <w:szCs w:val="18"/>
    </w:rPr>
  </w:style>
  <w:style w:type="paragraph" w:styleId="15">
    <w:name w:val="Document Map"/>
    <w:basedOn w:val="1"/>
    <w:link w:val="129"/>
    <w:unhideWhenUsed/>
    <w:qFormat/>
    <w:uiPriority w:val="0"/>
    <w:rPr>
      <w:rFonts w:ascii="宋体" w:hAnsi="Calibri"/>
      <w:kern w:val="0"/>
      <w:sz w:val="18"/>
      <w:szCs w:val="18"/>
    </w:rPr>
  </w:style>
  <w:style w:type="paragraph" w:styleId="16">
    <w:name w:val="Body Text 3"/>
    <w:basedOn w:val="1"/>
    <w:link w:val="158"/>
    <w:qFormat/>
    <w:uiPriority w:val="0"/>
    <w:pPr>
      <w:spacing w:after="120"/>
    </w:pPr>
    <w:rPr>
      <w:rFonts w:ascii="Calibri" w:hAnsi="Calibri"/>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w:basedOn w:val="1"/>
    <w:next w:val="1"/>
    <w:link w:val="125"/>
    <w:qFormat/>
    <w:uiPriority w:val="0"/>
    <w:pPr>
      <w:spacing w:after="120"/>
    </w:pPr>
    <w:rPr>
      <w:rFonts w:ascii="Calibri" w:hAnsi="Calibri"/>
    </w:rPr>
  </w:style>
  <w:style w:type="paragraph" w:styleId="19">
    <w:name w:val="Body Text Indent"/>
    <w:basedOn w:val="1"/>
    <w:next w:val="20"/>
    <w:link w:val="117"/>
    <w:qFormat/>
    <w:uiPriority w:val="0"/>
    <w:pPr>
      <w:spacing w:after="120"/>
      <w:ind w:left="420" w:leftChars="200"/>
    </w:pPr>
    <w:rPr>
      <w:rFonts w:ascii="Calibri" w:hAnsi="Calibri"/>
    </w:rPr>
  </w:style>
  <w:style w:type="paragraph" w:styleId="20">
    <w:name w:val="Body Text First Indent 2"/>
    <w:basedOn w:val="19"/>
    <w:next w:val="13"/>
    <w:link w:val="119"/>
    <w:qFormat/>
    <w:uiPriority w:val="0"/>
    <w:pPr>
      <w:ind w:firstLine="420" w:firstLineChars="200"/>
    </w:p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semiHidden/>
    <w:qFormat/>
    <w:uiPriority w:val="0"/>
    <w:pPr>
      <w:tabs>
        <w:tab w:val="right" w:leader="dot" w:pos="8777"/>
      </w:tabs>
      <w:ind w:left="840" w:leftChars="400"/>
    </w:pPr>
    <w:rPr>
      <w:sz w:val="28"/>
    </w:rPr>
  </w:style>
  <w:style w:type="paragraph" w:styleId="23">
    <w:name w:val="Plain Text"/>
    <w:basedOn w:val="1"/>
    <w:next w:val="1"/>
    <w:link w:val="115"/>
    <w:qFormat/>
    <w:uiPriority w:val="0"/>
    <w:rPr>
      <w:rFonts w:ascii="宋体" w:hAnsi="Courier New"/>
      <w:szCs w:val="20"/>
    </w:rPr>
  </w:style>
  <w:style w:type="paragraph" w:styleId="24">
    <w:name w:val="toc 8"/>
    <w:basedOn w:val="1"/>
    <w:next w:val="1"/>
    <w:unhideWhenUsed/>
    <w:qFormat/>
    <w:uiPriority w:val="0"/>
    <w:pPr>
      <w:ind w:left="1470"/>
      <w:jc w:val="left"/>
    </w:pPr>
    <w:rPr>
      <w:rFonts w:ascii="Calibri" w:hAnsi="Calibri"/>
      <w:sz w:val="18"/>
      <w:szCs w:val="18"/>
    </w:rPr>
  </w:style>
  <w:style w:type="paragraph" w:styleId="25">
    <w:name w:val="Date"/>
    <w:basedOn w:val="1"/>
    <w:next w:val="1"/>
    <w:link w:val="138"/>
    <w:qFormat/>
    <w:uiPriority w:val="0"/>
    <w:rPr>
      <w:rFonts w:ascii="Calibri" w:hAnsi="Calibri"/>
      <w:szCs w:val="20"/>
    </w:rPr>
  </w:style>
  <w:style w:type="paragraph" w:styleId="26">
    <w:name w:val="Body Text Indent 2"/>
    <w:basedOn w:val="1"/>
    <w:link w:val="151"/>
    <w:qFormat/>
    <w:uiPriority w:val="0"/>
    <w:pPr>
      <w:spacing w:after="120" w:line="480" w:lineRule="auto"/>
      <w:ind w:left="420" w:leftChars="200"/>
    </w:pPr>
    <w:rPr>
      <w:rFonts w:ascii="Calibri" w:hAnsi="Calibri"/>
    </w:rPr>
  </w:style>
  <w:style w:type="paragraph" w:styleId="27">
    <w:name w:val="Balloon Text"/>
    <w:basedOn w:val="1"/>
    <w:link w:val="166"/>
    <w:unhideWhenUsed/>
    <w:qFormat/>
    <w:uiPriority w:val="0"/>
    <w:rPr>
      <w:rFonts w:ascii="Calibri" w:hAnsi="Calibri"/>
      <w:kern w:val="0"/>
      <w:sz w:val="18"/>
      <w:szCs w:val="18"/>
    </w:rPr>
  </w:style>
  <w:style w:type="paragraph" w:styleId="28">
    <w:name w:val="footer"/>
    <w:basedOn w:val="1"/>
    <w:link w:val="159"/>
    <w:qFormat/>
    <w:uiPriority w:val="99"/>
    <w:pPr>
      <w:tabs>
        <w:tab w:val="center" w:pos="4153"/>
        <w:tab w:val="right" w:pos="8306"/>
      </w:tabs>
      <w:snapToGrid w:val="0"/>
      <w:jc w:val="left"/>
    </w:pPr>
    <w:rPr>
      <w:rFonts w:ascii="Calibri" w:hAnsi="Calibri"/>
      <w:sz w:val="18"/>
      <w:szCs w:val="18"/>
    </w:rPr>
  </w:style>
  <w:style w:type="paragraph" w:styleId="29">
    <w:name w:val="envelope return"/>
    <w:basedOn w:val="1"/>
    <w:qFormat/>
    <w:uiPriority w:val="0"/>
    <w:pPr>
      <w:snapToGrid w:val="0"/>
      <w:spacing w:line="240" w:lineRule="atLeast"/>
    </w:pPr>
    <w:rPr>
      <w:rFonts w:ascii="Arial" w:hAnsi="Arial" w:cs="Arial"/>
      <w:szCs w:val="21"/>
    </w:rPr>
  </w:style>
  <w:style w:type="paragraph" w:styleId="30">
    <w:name w:val="header"/>
    <w:basedOn w:val="1"/>
    <w:link w:val="16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1">
    <w:name w:val="toc 1"/>
    <w:basedOn w:val="1"/>
    <w:next w:val="1"/>
    <w:semiHidden/>
    <w:qFormat/>
    <w:uiPriority w:val="0"/>
    <w:pPr>
      <w:tabs>
        <w:tab w:val="left" w:pos="840"/>
        <w:tab w:val="right" w:leader="dot" w:pos="8820"/>
      </w:tabs>
    </w:pPr>
    <w:rPr>
      <w:b/>
      <w:bCs/>
      <w:kern w:val="10"/>
      <w:sz w:val="28"/>
    </w:rPr>
  </w:style>
  <w:style w:type="paragraph" w:styleId="32">
    <w:name w:val="footnote text"/>
    <w:basedOn w:val="1"/>
    <w:qFormat/>
    <w:uiPriority w:val="0"/>
    <w:pPr>
      <w:snapToGrid w:val="0"/>
      <w:jc w:val="left"/>
    </w:pPr>
    <w:rPr>
      <w:rFonts w:ascii="Times New Roman" w:hAnsi="Times New Roman" w:eastAsia="宋体" w:cs="Times New Roman"/>
      <w:sz w:val="18"/>
    </w:rPr>
  </w:style>
  <w:style w:type="paragraph" w:styleId="33">
    <w:name w:val="toc 6"/>
    <w:basedOn w:val="1"/>
    <w:next w:val="1"/>
    <w:unhideWhenUsed/>
    <w:qFormat/>
    <w:uiPriority w:val="0"/>
    <w:pPr>
      <w:ind w:left="1050"/>
      <w:jc w:val="left"/>
    </w:pPr>
    <w:rPr>
      <w:rFonts w:ascii="Calibri" w:hAnsi="Calibri"/>
      <w:sz w:val="18"/>
      <w:szCs w:val="18"/>
    </w:rPr>
  </w:style>
  <w:style w:type="paragraph" w:styleId="34">
    <w:name w:val="Body Text Indent 3"/>
    <w:basedOn w:val="1"/>
    <w:link w:val="146"/>
    <w:qFormat/>
    <w:uiPriority w:val="0"/>
    <w:pPr>
      <w:spacing w:after="120"/>
      <w:ind w:left="420" w:leftChars="200"/>
    </w:pPr>
    <w:rPr>
      <w:rFonts w:ascii="Calibri" w:hAnsi="Calibri"/>
      <w:sz w:val="16"/>
      <w:szCs w:val="16"/>
    </w:rPr>
  </w:style>
  <w:style w:type="paragraph" w:styleId="35">
    <w:name w:val="toc 2"/>
    <w:basedOn w:val="1"/>
    <w:next w:val="1"/>
    <w:semiHidden/>
    <w:qFormat/>
    <w:uiPriority w:val="0"/>
    <w:pPr>
      <w:ind w:left="420" w:leftChars="200"/>
    </w:pPr>
    <w:rPr>
      <w:sz w:val="28"/>
    </w:rPr>
  </w:style>
  <w:style w:type="paragraph" w:styleId="36">
    <w:name w:val="toc 9"/>
    <w:basedOn w:val="1"/>
    <w:next w:val="1"/>
    <w:unhideWhenUsed/>
    <w:qFormat/>
    <w:uiPriority w:val="0"/>
    <w:pPr>
      <w:ind w:left="1680"/>
      <w:jc w:val="left"/>
    </w:pPr>
    <w:rPr>
      <w:rFonts w:ascii="Calibri" w:hAnsi="Calibri"/>
      <w:sz w:val="18"/>
      <w:szCs w:val="18"/>
    </w:rPr>
  </w:style>
  <w:style w:type="paragraph" w:styleId="37">
    <w:name w:val="Body Text 2"/>
    <w:basedOn w:val="1"/>
    <w:link w:val="120"/>
    <w:qFormat/>
    <w:uiPriority w:val="0"/>
    <w:pPr>
      <w:spacing w:after="120" w:line="480" w:lineRule="auto"/>
    </w:pPr>
    <w:rPr>
      <w:rFonts w:ascii="Calibri" w:hAnsi="Calibri"/>
    </w:rPr>
  </w:style>
  <w:style w:type="paragraph" w:styleId="38">
    <w:name w:val="HTML Preformatted"/>
    <w:basedOn w:val="1"/>
    <w:link w:val="1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133"/>
    <w:qFormat/>
    <w:uiPriority w:val="0"/>
    <w:pPr>
      <w:spacing w:before="240" w:after="60"/>
      <w:jc w:val="center"/>
      <w:outlineLvl w:val="0"/>
    </w:pPr>
    <w:rPr>
      <w:rFonts w:ascii="Cambria" w:hAnsi="Cambria" w:cs="Cambria"/>
      <w:b/>
      <w:bCs/>
      <w:sz w:val="32"/>
      <w:szCs w:val="32"/>
    </w:rPr>
  </w:style>
  <w:style w:type="paragraph" w:styleId="41">
    <w:name w:val="Body Text First Indent"/>
    <w:basedOn w:val="18"/>
    <w:link w:val="122"/>
    <w:qFormat/>
    <w:uiPriority w:val="0"/>
    <w:pPr>
      <w:ind w:firstLine="420" w:firstLineChars="100"/>
    </w:pPr>
    <w:rPr>
      <w:rFonts w:ascii="Arial" w:hAnsi="Arial"/>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rFonts w:eastAsia="宋体"/>
      <w:color w:val="800080"/>
      <w:sz w:val="24"/>
      <w:szCs w:val="24"/>
      <w:u w:val="single"/>
      <w:lang w:val="en-US" w:eastAsia="zh-CN" w:bidi="ar-SA"/>
    </w:rPr>
  </w:style>
  <w:style w:type="character" w:styleId="48">
    <w:name w:val="Emphasis"/>
    <w:qFormat/>
    <w:uiPriority w:val="0"/>
    <w:rPr>
      <w:i/>
      <w:iCs/>
    </w:rPr>
  </w:style>
  <w:style w:type="character" w:styleId="49">
    <w:name w:val="HTML Definition"/>
    <w:basedOn w:val="44"/>
    <w:qFormat/>
    <w:uiPriority w:val="0"/>
    <w:rPr>
      <w:i/>
      <w:iCs/>
    </w:rPr>
  </w:style>
  <w:style w:type="character" w:styleId="50">
    <w:name w:val="Hyperlink"/>
    <w:qFormat/>
    <w:uiPriority w:val="0"/>
    <w:rPr>
      <w:rFonts w:eastAsia="宋体"/>
      <w:color w:val="0000FF"/>
      <w:sz w:val="24"/>
      <w:szCs w:val="24"/>
      <w:u w:val="single"/>
      <w:lang w:val="en-US" w:eastAsia="zh-CN" w:bidi="ar-SA"/>
    </w:rPr>
  </w:style>
  <w:style w:type="character" w:styleId="51">
    <w:name w:val="HTML Code"/>
    <w:basedOn w:val="44"/>
    <w:qFormat/>
    <w:uiPriority w:val="0"/>
    <w:rPr>
      <w:rFonts w:hint="default" w:ascii="Consolas" w:hAnsi="Consolas" w:eastAsia="Consolas" w:cs="Consolas"/>
      <w:sz w:val="21"/>
      <w:szCs w:val="21"/>
    </w:rPr>
  </w:style>
  <w:style w:type="character" w:styleId="52">
    <w:name w:val="HTML Keyboard"/>
    <w:basedOn w:val="44"/>
    <w:qFormat/>
    <w:uiPriority w:val="0"/>
    <w:rPr>
      <w:rFonts w:ascii="Consolas" w:hAnsi="Consolas" w:eastAsia="Consolas" w:cs="Consolas"/>
      <w:sz w:val="21"/>
      <w:szCs w:val="21"/>
    </w:rPr>
  </w:style>
  <w:style w:type="character" w:styleId="53">
    <w:name w:val="HTML Sample"/>
    <w:basedOn w:val="44"/>
    <w:qFormat/>
    <w:uiPriority w:val="0"/>
    <w:rPr>
      <w:rFonts w:hint="default" w:ascii="Consolas" w:hAnsi="Consolas" w:eastAsia="Consolas" w:cs="Consolas"/>
      <w:sz w:val="21"/>
      <w:szCs w:val="21"/>
    </w:rPr>
  </w:style>
  <w:style w:type="paragraph" w:customStyle="1" w:styleId="54">
    <w:name w:val="首行缩进"/>
    <w:basedOn w:val="1"/>
    <w:next w:val="23"/>
    <w:qFormat/>
    <w:uiPriority w:val="0"/>
    <w:pPr>
      <w:numPr>
        <w:ilvl w:val="0"/>
        <w:numId w:val="2"/>
      </w:numPr>
      <w:spacing w:line="360" w:lineRule="auto"/>
    </w:pPr>
    <w:rPr>
      <w:rFonts w:eastAsia="仿宋_GB2312"/>
    </w:rPr>
  </w:style>
  <w:style w:type="paragraph" w:customStyle="1" w:styleId="5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7">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8">
    <w:name w:val="Char Char Char Char"/>
    <w:basedOn w:val="1"/>
    <w:qFormat/>
    <w:uiPriority w:val="0"/>
    <w:pPr>
      <w:widowControl/>
      <w:spacing w:after="160" w:line="240" w:lineRule="exact"/>
      <w:jc w:val="left"/>
    </w:pPr>
    <w:rPr>
      <w:kern w:val="0"/>
      <w:sz w:val="24"/>
    </w:rPr>
  </w:style>
  <w:style w:type="paragraph" w:customStyle="1" w:styleId="59">
    <w:name w:val="图1"/>
    <w:basedOn w:val="1"/>
    <w:next w:val="1"/>
    <w:qFormat/>
    <w:uiPriority w:val="0"/>
    <w:pPr>
      <w:numPr>
        <w:ilvl w:val="0"/>
        <w:numId w:val="3"/>
      </w:numPr>
      <w:spacing w:beforeLines="50" w:afterLines="100" w:line="360" w:lineRule="auto"/>
      <w:ind w:left="2210" w:hanging="748"/>
      <w:jc w:val="center"/>
    </w:pPr>
    <w:rPr>
      <w:kern w:val="0"/>
      <w:sz w:val="24"/>
    </w:rPr>
  </w:style>
  <w:style w:type="paragraph" w:customStyle="1" w:styleId="60">
    <w:name w:val="无间隔1"/>
    <w:qFormat/>
    <w:uiPriority w:val="0"/>
    <w:pPr>
      <w:widowControl w:val="0"/>
      <w:jc w:val="both"/>
    </w:pPr>
    <w:rPr>
      <w:rFonts w:ascii="Times New Roman" w:hAnsi="Times New Roman" w:eastAsia="宋体" w:cs="Times New Roman"/>
      <w:lang w:val="en-US" w:eastAsia="zh-CN" w:bidi="ar-SA"/>
    </w:rPr>
  </w:style>
  <w:style w:type="paragraph" w:customStyle="1" w:styleId="61">
    <w:name w:val="No Spacing1"/>
    <w:link w:val="143"/>
    <w:qFormat/>
    <w:uiPriority w:val="0"/>
    <w:rPr>
      <w:rFonts w:ascii="Calibri" w:hAnsi="Calibri" w:eastAsia="宋体" w:cs="Times New Roman"/>
      <w:sz w:val="22"/>
      <w:lang w:val="en-US" w:eastAsia="zh-CN" w:bidi="ar-SA"/>
    </w:rPr>
  </w:style>
  <w:style w:type="paragraph" w:customStyle="1" w:styleId="62">
    <w:name w:val="正文文本4"/>
    <w:basedOn w:val="1"/>
    <w:qFormat/>
    <w:uiPriority w:val="0"/>
    <w:pPr>
      <w:spacing w:line="360" w:lineRule="auto"/>
      <w:ind w:left="1008" w:hanging="1008"/>
      <w:jc w:val="left"/>
    </w:pPr>
    <w:rPr>
      <w:rFonts w:eastAsia="仿宋_GB2312"/>
      <w:sz w:val="24"/>
      <w:szCs w:val="21"/>
    </w:rPr>
  </w:style>
  <w:style w:type="paragraph" w:customStyle="1" w:styleId="63">
    <w:name w:val="正文加粗"/>
    <w:basedOn w:val="1"/>
    <w:next w:val="1"/>
    <w:qFormat/>
    <w:uiPriority w:val="0"/>
    <w:pPr>
      <w:spacing w:line="360" w:lineRule="auto"/>
      <w:jc w:val="left"/>
    </w:pPr>
    <w:rPr>
      <w:rFonts w:eastAsia="黑体"/>
      <w:sz w:val="24"/>
      <w:szCs w:val="21"/>
    </w:rPr>
  </w:style>
  <w:style w:type="paragraph" w:customStyle="1" w:styleId="64">
    <w:name w:val="Char Char Char Char Char Char Char"/>
    <w:basedOn w:val="1"/>
    <w:link w:val="153"/>
    <w:qFormat/>
    <w:uiPriority w:val="0"/>
    <w:pPr>
      <w:widowControl/>
      <w:spacing w:after="160" w:line="240" w:lineRule="exact"/>
      <w:jc w:val="left"/>
    </w:pPr>
    <w:rPr>
      <w:rFonts w:ascii="Calibri" w:hAnsi="Calibri"/>
      <w:kern w:val="0"/>
      <w:sz w:val="24"/>
    </w:rPr>
  </w:style>
  <w:style w:type="paragraph" w:customStyle="1" w:styleId="65">
    <w:name w:val="标准小四"/>
    <w:basedOn w:val="1"/>
    <w:link w:val="162"/>
    <w:qFormat/>
    <w:uiPriority w:val="0"/>
    <w:pPr>
      <w:spacing w:line="360" w:lineRule="auto"/>
      <w:ind w:firstLine="200" w:firstLineChars="200"/>
    </w:pPr>
    <w:rPr>
      <w:rFonts w:ascii="Arial" w:hAnsi="Arial"/>
      <w:sz w:val="24"/>
    </w:rPr>
  </w:style>
  <w:style w:type="paragraph" w:customStyle="1" w:styleId="66">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8">
    <w:name w:val="List Paragraph1"/>
    <w:basedOn w:val="1"/>
    <w:qFormat/>
    <w:uiPriority w:val="0"/>
    <w:pPr>
      <w:ind w:firstLine="420" w:firstLineChars="200"/>
    </w:pPr>
    <w:rPr>
      <w:szCs w:val="20"/>
    </w:rPr>
  </w:style>
  <w:style w:type="paragraph" w:customStyle="1" w:styleId="69">
    <w:name w:val="Char Char Char Char11"/>
    <w:basedOn w:val="1"/>
    <w:qFormat/>
    <w:uiPriority w:val="0"/>
    <w:pPr>
      <w:widowControl/>
      <w:spacing w:after="160" w:line="240" w:lineRule="exact"/>
      <w:jc w:val="left"/>
    </w:pPr>
    <w:rPr>
      <w:kern w:val="0"/>
      <w:sz w:val="24"/>
    </w:rPr>
  </w:style>
  <w:style w:type="paragraph" w:customStyle="1" w:styleId="70">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7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正文（缩进）"/>
    <w:basedOn w:val="1"/>
    <w:link w:val="126"/>
    <w:qFormat/>
    <w:uiPriority w:val="0"/>
    <w:pPr>
      <w:spacing w:beforeLines="50" w:afterLines="50" w:line="360" w:lineRule="auto"/>
      <w:ind w:firstLine="480" w:firstLineChars="200"/>
    </w:pPr>
    <w:rPr>
      <w:rFonts w:ascii="Calibri" w:hAnsi="Calibri"/>
      <w:kern w:val="0"/>
      <w:sz w:val="24"/>
    </w:rPr>
  </w:style>
  <w:style w:type="paragraph" w:customStyle="1" w:styleId="7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1"/>
    <w:basedOn w:val="1"/>
    <w:qFormat/>
    <w:uiPriority w:val="0"/>
    <w:pPr>
      <w:widowControl/>
      <w:jc w:val="left"/>
    </w:pPr>
    <w:rPr>
      <w:kern w:val="0"/>
      <w:sz w:val="24"/>
      <w:lang w:eastAsia="en-US"/>
    </w:rPr>
  </w:style>
  <w:style w:type="paragraph" w:customStyle="1" w:styleId="77">
    <w:name w:val="Zchn Zchn"/>
    <w:basedOn w:val="1"/>
    <w:qFormat/>
    <w:uiPriority w:val="0"/>
    <w:rPr>
      <w:rFonts w:ascii="Tahoma" w:hAnsi="Tahoma"/>
      <w:sz w:val="24"/>
      <w:szCs w:val="20"/>
    </w:rPr>
  </w:style>
  <w:style w:type="paragraph" w:customStyle="1" w:styleId="78">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81">
    <w:name w:val="标题 2（绿盟科技）"/>
    <w:basedOn w:val="4"/>
    <w:next w:val="1"/>
    <w:qFormat/>
    <w:uiPriority w:val="0"/>
    <w:pPr>
      <w:spacing w:line="415" w:lineRule="auto"/>
      <w:jc w:val="left"/>
    </w:pPr>
    <w:rPr>
      <w:bCs w:val="0"/>
    </w:rPr>
  </w:style>
  <w:style w:type="paragraph" w:customStyle="1" w:styleId="8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83">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84">
    <w:name w:val="列出段落11"/>
    <w:basedOn w:val="1"/>
    <w:link w:val="140"/>
    <w:qFormat/>
    <w:uiPriority w:val="0"/>
    <w:pPr>
      <w:spacing w:line="360" w:lineRule="auto"/>
      <w:ind w:firstLine="420" w:firstLineChars="200"/>
      <w:jc w:val="left"/>
    </w:pPr>
    <w:rPr>
      <w:rFonts w:ascii="Calibri" w:hAnsi="Calibri"/>
      <w:sz w:val="24"/>
      <w:szCs w:val="22"/>
    </w:rPr>
  </w:style>
  <w:style w:type="paragraph" w:customStyle="1" w:styleId="85">
    <w:name w:val="样式 标题 3h3H3l3CTheading 3Level 3 Headlevel_3PIM 3sect1.2..."/>
    <w:basedOn w:val="5"/>
    <w:link w:val="154"/>
    <w:qFormat/>
    <w:uiPriority w:val="0"/>
    <w:pPr>
      <w:spacing w:beforeLines="50" w:afterLines="50" w:line="360" w:lineRule="auto"/>
      <w:ind w:left="720" w:hanging="720"/>
    </w:pPr>
    <w:rPr>
      <w:rFonts w:ascii="Arial" w:hAnsi="Arial" w:eastAsia="黑体"/>
      <w:b w:val="0"/>
      <w:kern w:val="0"/>
      <w:sz w:val="24"/>
    </w:rPr>
  </w:style>
  <w:style w:type="paragraph" w:customStyle="1" w:styleId="86">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7">
    <w:name w:val="列出段落2"/>
    <w:basedOn w:val="1"/>
    <w:qFormat/>
    <w:uiPriority w:val="0"/>
    <w:pPr>
      <w:ind w:firstLine="420" w:firstLineChars="200"/>
    </w:pPr>
    <w:rPr>
      <w:rFonts w:ascii="Calibri" w:hAnsi="Calibri"/>
      <w:szCs w:val="22"/>
    </w:rPr>
  </w:style>
  <w:style w:type="paragraph" w:customStyle="1" w:styleId="88">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9">
    <w:name w:val="Zchn Zchn1"/>
    <w:basedOn w:val="1"/>
    <w:qFormat/>
    <w:uiPriority w:val="0"/>
    <w:rPr>
      <w:rFonts w:ascii="Tahoma" w:hAnsi="Tahoma"/>
      <w:sz w:val="24"/>
      <w:szCs w:val="20"/>
    </w:rPr>
  </w:style>
  <w:style w:type="paragraph" w:customStyle="1" w:styleId="90">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91">
    <w:name w:val="样式 标题 3 + 左 段前: 13 磅 段后: 13 磅"/>
    <w:basedOn w:val="5"/>
    <w:qFormat/>
    <w:uiPriority w:val="0"/>
    <w:pPr>
      <w:snapToGrid w:val="0"/>
      <w:spacing w:line="360" w:lineRule="auto"/>
      <w:ind w:left="720" w:hanging="720"/>
      <w:jc w:val="left"/>
    </w:pPr>
    <w:rPr>
      <w:rFonts w:eastAsia="微软雅黑" w:cs="宋体"/>
      <w:kern w:val="0"/>
      <w:sz w:val="30"/>
      <w:szCs w:val="20"/>
    </w:rPr>
  </w:style>
  <w:style w:type="paragraph" w:customStyle="1" w:styleId="92">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93">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Char Char Char Char1"/>
    <w:basedOn w:val="1"/>
    <w:qFormat/>
    <w:uiPriority w:val="0"/>
    <w:pPr>
      <w:widowControl/>
      <w:spacing w:after="160" w:line="240" w:lineRule="exact"/>
      <w:jc w:val="left"/>
    </w:pPr>
    <w:rPr>
      <w:kern w:val="0"/>
      <w:sz w:val="24"/>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DD标题三"/>
    <w:basedOn w:val="5"/>
    <w:qFormat/>
    <w:uiPriority w:val="99"/>
    <w:pPr>
      <w:numPr>
        <w:ilvl w:val="2"/>
        <w:numId w:val="5"/>
      </w:numPr>
      <w:tabs>
        <w:tab w:val="left" w:pos="812"/>
      </w:tabs>
      <w:spacing w:before="240" w:after="240" w:line="360" w:lineRule="auto"/>
      <w:ind w:left="218"/>
    </w:pPr>
    <w:rPr>
      <w:rFonts w:ascii="宋体" w:hAnsi="宋体" w:cs="宋体"/>
      <w:sz w:val="28"/>
      <w:szCs w:val="28"/>
    </w:rPr>
  </w:style>
  <w:style w:type="paragraph" w:customStyle="1" w:styleId="97">
    <w:name w:val="Char Char Char Char Char Char Char1"/>
    <w:basedOn w:val="1"/>
    <w:qFormat/>
    <w:uiPriority w:val="0"/>
    <w:pPr>
      <w:widowControl/>
      <w:spacing w:after="160" w:line="240" w:lineRule="exact"/>
      <w:jc w:val="left"/>
    </w:pPr>
    <w:rPr>
      <w:kern w:val="0"/>
      <w:sz w:val="24"/>
    </w:rPr>
  </w:style>
  <w:style w:type="paragraph" w:customStyle="1" w:styleId="98">
    <w:name w:val="表题"/>
    <w:basedOn w:val="1"/>
    <w:qFormat/>
    <w:uiPriority w:val="0"/>
    <w:pPr>
      <w:spacing w:beforeLines="50"/>
      <w:jc w:val="center"/>
    </w:pPr>
    <w:rPr>
      <w:rFonts w:eastAsia="仿宋_GB2312"/>
      <w:b/>
    </w:rPr>
  </w:style>
  <w:style w:type="paragraph" w:customStyle="1" w:styleId="99">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100">
    <w:name w:val="正文文本5"/>
    <w:basedOn w:val="1"/>
    <w:qFormat/>
    <w:uiPriority w:val="0"/>
    <w:pPr>
      <w:spacing w:line="360" w:lineRule="auto"/>
      <w:jc w:val="left"/>
    </w:pPr>
    <w:rPr>
      <w:rFonts w:eastAsia="仿宋_GB2312"/>
      <w:sz w:val="24"/>
      <w:szCs w:val="21"/>
    </w:rPr>
  </w:style>
  <w:style w:type="paragraph" w:customStyle="1" w:styleId="101">
    <w:name w:val="目录"/>
    <w:basedOn w:val="1"/>
    <w:qFormat/>
    <w:uiPriority w:val="0"/>
    <w:pPr>
      <w:widowControl/>
      <w:jc w:val="center"/>
    </w:pPr>
    <w:rPr>
      <w:rFonts w:ascii="宋体"/>
      <w:b/>
      <w:kern w:val="0"/>
      <w:sz w:val="36"/>
      <w:szCs w:val="20"/>
    </w:rPr>
  </w:style>
  <w:style w:type="paragraph" w:customStyle="1" w:styleId="102">
    <w:name w:val="Char1 Char Char Char"/>
    <w:basedOn w:val="1"/>
    <w:qFormat/>
    <w:uiPriority w:val="0"/>
    <w:rPr>
      <w:rFonts w:eastAsia="仿宋_GB2312"/>
      <w:sz w:val="28"/>
    </w:rPr>
  </w:style>
  <w:style w:type="paragraph" w:customStyle="1" w:styleId="103">
    <w:name w:val="xl47"/>
    <w:basedOn w:val="1"/>
    <w:qFormat/>
    <w:uiPriority w:val="0"/>
    <w:pPr>
      <w:widowControl/>
      <w:spacing w:before="100" w:beforeAutospacing="1" w:after="100" w:afterAutospacing="1"/>
      <w:textAlignment w:val="top"/>
    </w:pPr>
    <w:rPr>
      <w:kern w:val="0"/>
      <w:sz w:val="20"/>
      <w:szCs w:val="20"/>
    </w:rPr>
  </w:style>
  <w:style w:type="paragraph" w:customStyle="1" w:styleId="1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5">
    <w:name w:val="段落"/>
    <w:basedOn w:val="1"/>
    <w:qFormat/>
    <w:uiPriority w:val="0"/>
  </w:style>
  <w:style w:type="paragraph" w:customStyle="1" w:styleId="10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7">
    <w:name w:val="项目编号"/>
    <w:basedOn w:val="1"/>
    <w:next w:val="1"/>
    <w:qFormat/>
    <w:uiPriority w:val="0"/>
    <w:pPr>
      <w:numPr>
        <w:ilvl w:val="0"/>
        <w:numId w:val="6"/>
      </w:numPr>
      <w:spacing w:line="360" w:lineRule="auto"/>
      <w:jc w:val="left"/>
    </w:pPr>
    <w:rPr>
      <w:rFonts w:ascii="Arial" w:hAnsi="Arial"/>
      <w:sz w:val="24"/>
      <w:szCs w:val="21"/>
    </w:rPr>
  </w:style>
  <w:style w:type="paragraph" w:customStyle="1" w:styleId="108">
    <w:name w:val="样式 正文文字缩进 + Times New Roman 小四 首行缩进:  2 字符 行距: 1.5 倍行距"/>
    <w:basedOn w:val="19"/>
    <w:qFormat/>
    <w:uiPriority w:val="0"/>
    <w:pPr>
      <w:spacing w:after="0" w:line="360" w:lineRule="auto"/>
      <w:ind w:left="0" w:leftChars="0" w:firstLine="480" w:firstLineChars="200"/>
    </w:pPr>
    <w:rPr>
      <w:kern w:val="10"/>
      <w:sz w:val="28"/>
      <w:szCs w:val="20"/>
    </w:rPr>
  </w:style>
  <w:style w:type="paragraph" w:customStyle="1" w:styleId="109">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10">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11">
    <w:name w:val="正文（仿宋4号）"/>
    <w:basedOn w:val="105"/>
    <w:qFormat/>
    <w:uiPriority w:val="0"/>
    <w:pPr>
      <w:spacing w:line="560" w:lineRule="exact"/>
      <w:ind w:firstLine="560"/>
    </w:pPr>
    <w:rPr>
      <w:rFonts w:eastAsia="仿宋_GB2312"/>
      <w:sz w:val="28"/>
    </w:rPr>
  </w:style>
  <w:style w:type="paragraph" w:customStyle="1" w:styleId="112">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13">
    <w:name w:val="标题 7 Char"/>
    <w:link w:val="9"/>
    <w:qFormat/>
    <w:uiPriority w:val="0"/>
    <w:rPr>
      <w:rFonts w:eastAsia="宋体"/>
      <w:b/>
      <w:bCs/>
      <w:sz w:val="24"/>
      <w:szCs w:val="24"/>
      <w:lang w:bidi="ar-SA"/>
    </w:rPr>
  </w:style>
  <w:style w:type="character" w:customStyle="1" w:styleId="114">
    <w:name w:val="标题 2 Char"/>
    <w:link w:val="4"/>
    <w:qFormat/>
    <w:uiPriority w:val="0"/>
    <w:rPr>
      <w:rFonts w:ascii="Arial" w:hAnsi="Arial" w:eastAsia="黑体"/>
      <w:b/>
      <w:bCs/>
      <w:kern w:val="2"/>
      <w:sz w:val="32"/>
      <w:szCs w:val="32"/>
      <w:lang w:val="en-US" w:eastAsia="zh-CN" w:bidi="ar-SA"/>
    </w:rPr>
  </w:style>
  <w:style w:type="character" w:customStyle="1" w:styleId="115">
    <w:name w:val="纯文本 Char"/>
    <w:link w:val="23"/>
    <w:qFormat/>
    <w:uiPriority w:val="0"/>
    <w:rPr>
      <w:rFonts w:ascii="宋体" w:hAnsi="Courier New" w:eastAsia="宋体"/>
      <w:kern w:val="2"/>
      <w:sz w:val="21"/>
      <w:lang w:val="en-US" w:eastAsia="zh-CN" w:bidi="ar-SA"/>
    </w:rPr>
  </w:style>
  <w:style w:type="character" w:customStyle="1" w:styleId="116">
    <w:name w:val="Heading 4 Char"/>
    <w:qFormat/>
    <w:locked/>
    <w:uiPriority w:val="0"/>
    <w:rPr>
      <w:rFonts w:ascii="Cambria" w:hAnsi="Cambria" w:eastAsia="宋体" w:cs="黑体"/>
      <w:b/>
      <w:bCs/>
      <w:kern w:val="2"/>
      <w:sz w:val="28"/>
      <w:szCs w:val="28"/>
      <w:lang w:val="en-US" w:eastAsia="zh-CN" w:bidi="ar-SA"/>
    </w:rPr>
  </w:style>
  <w:style w:type="character" w:customStyle="1" w:styleId="117">
    <w:name w:val="正文文本缩进 Char"/>
    <w:link w:val="19"/>
    <w:qFormat/>
    <w:uiPriority w:val="0"/>
    <w:rPr>
      <w:kern w:val="2"/>
      <w:sz w:val="21"/>
      <w:szCs w:val="24"/>
    </w:rPr>
  </w:style>
  <w:style w:type="character" w:customStyle="1" w:styleId="118">
    <w:name w:val="f_user_info1"/>
    <w:qFormat/>
    <w:uiPriority w:val="0"/>
    <w:rPr>
      <w:b/>
      <w:bCs/>
      <w:color w:val="FF6600"/>
      <w:sz w:val="21"/>
      <w:szCs w:val="21"/>
    </w:rPr>
  </w:style>
  <w:style w:type="character" w:customStyle="1" w:styleId="119">
    <w:name w:val="正文首行缩进 2 Char"/>
    <w:basedOn w:val="117"/>
    <w:link w:val="20"/>
    <w:qFormat/>
    <w:uiPriority w:val="0"/>
  </w:style>
  <w:style w:type="character" w:customStyle="1" w:styleId="120">
    <w:name w:val="正文文本 2 Char"/>
    <w:link w:val="37"/>
    <w:qFormat/>
    <w:uiPriority w:val="0"/>
    <w:rPr>
      <w:kern w:val="2"/>
      <w:sz w:val="21"/>
      <w:szCs w:val="24"/>
    </w:rPr>
  </w:style>
  <w:style w:type="character" w:customStyle="1" w:styleId="121">
    <w:name w:val="标题 4 Char"/>
    <w:link w:val="6"/>
    <w:qFormat/>
    <w:uiPriority w:val="0"/>
    <w:rPr>
      <w:rFonts w:ascii="Cambria" w:hAnsi="Cambria" w:eastAsia="黑体"/>
      <w:bCs/>
      <w:sz w:val="28"/>
      <w:szCs w:val="28"/>
      <w:lang w:bidi="ar-SA"/>
    </w:rPr>
  </w:style>
  <w:style w:type="character" w:customStyle="1" w:styleId="122">
    <w:name w:val="正文首行缩进 Char"/>
    <w:link w:val="41"/>
    <w:qFormat/>
    <w:uiPriority w:val="0"/>
    <w:rPr>
      <w:rFonts w:ascii="Arial" w:hAnsi="Arial" w:eastAsia="宋体"/>
      <w:kern w:val="2"/>
      <w:sz w:val="21"/>
      <w:szCs w:val="24"/>
      <w:lang w:val="en-US" w:eastAsia="zh-CN" w:bidi="ar-SA"/>
    </w:rPr>
  </w:style>
  <w:style w:type="character" w:customStyle="1" w:styleId="123">
    <w:name w:val="Char Char3"/>
    <w:qFormat/>
    <w:uiPriority w:val="0"/>
    <w:rPr>
      <w:rFonts w:ascii="宋体" w:hAnsi="Courier New" w:eastAsia="宋体"/>
      <w:sz w:val="21"/>
      <w:lang w:val="en-US" w:eastAsia="zh-CN"/>
    </w:rPr>
  </w:style>
  <w:style w:type="character" w:customStyle="1" w:styleId="124">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5">
    <w:name w:val="正文文本 Char"/>
    <w:link w:val="18"/>
    <w:qFormat/>
    <w:uiPriority w:val="0"/>
    <w:rPr>
      <w:rFonts w:eastAsia="宋体"/>
      <w:kern w:val="2"/>
      <w:sz w:val="21"/>
      <w:szCs w:val="24"/>
      <w:lang w:val="en-US" w:eastAsia="zh-CN" w:bidi="ar-SA"/>
    </w:rPr>
  </w:style>
  <w:style w:type="character" w:customStyle="1" w:styleId="126">
    <w:name w:val="正文（缩进） Char"/>
    <w:link w:val="74"/>
    <w:qFormat/>
    <w:locked/>
    <w:uiPriority w:val="0"/>
    <w:rPr>
      <w:sz w:val="24"/>
      <w:szCs w:val="24"/>
    </w:rPr>
  </w:style>
  <w:style w:type="character" w:customStyle="1" w:styleId="127">
    <w:name w:val="标题 5 Char"/>
    <w:link w:val="7"/>
    <w:qFormat/>
    <w:uiPriority w:val="0"/>
    <w:rPr>
      <w:rFonts w:eastAsia="黑体"/>
      <w:bCs/>
      <w:sz w:val="28"/>
      <w:szCs w:val="28"/>
      <w:lang w:bidi="ar-SA"/>
    </w:rPr>
  </w:style>
  <w:style w:type="character" w:customStyle="1" w:styleId="128">
    <w:name w:val="apple-converted-space"/>
    <w:basedOn w:val="44"/>
    <w:qFormat/>
    <w:uiPriority w:val="0"/>
  </w:style>
  <w:style w:type="character" w:customStyle="1" w:styleId="129">
    <w:name w:val="文档结构图 Char"/>
    <w:link w:val="15"/>
    <w:qFormat/>
    <w:uiPriority w:val="0"/>
    <w:rPr>
      <w:rFonts w:ascii="宋体" w:eastAsia="宋体"/>
      <w:sz w:val="18"/>
      <w:szCs w:val="18"/>
      <w:lang w:bidi="ar-SA"/>
    </w:rPr>
  </w:style>
  <w:style w:type="character" w:customStyle="1" w:styleId="130">
    <w:name w:val="Heading 2 Char"/>
    <w:qFormat/>
    <w:locked/>
    <w:uiPriority w:val="0"/>
    <w:rPr>
      <w:rFonts w:ascii="Cambria" w:hAnsi="Cambria" w:eastAsia="宋体" w:cs="黑体"/>
      <w:b/>
      <w:bCs/>
      <w:sz w:val="32"/>
      <w:szCs w:val="32"/>
    </w:rPr>
  </w:style>
  <w:style w:type="character" w:customStyle="1" w:styleId="131">
    <w:name w:val="apple-style-span"/>
    <w:basedOn w:val="44"/>
    <w:qFormat/>
    <w:uiPriority w:val="0"/>
  </w:style>
  <w:style w:type="character" w:customStyle="1" w:styleId="132">
    <w:name w:val="Heading 6 Char"/>
    <w:qFormat/>
    <w:locked/>
    <w:uiPriority w:val="0"/>
    <w:rPr>
      <w:rFonts w:ascii="Cambria" w:hAnsi="Cambria" w:eastAsia="宋体"/>
      <w:b/>
      <w:bCs/>
      <w:kern w:val="2"/>
      <w:sz w:val="24"/>
      <w:szCs w:val="24"/>
      <w:lang w:val="en-US" w:eastAsia="zh-CN" w:bidi="ar-SA"/>
    </w:rPr>
  </w:style>
  <w:style w:type="character" w:customStyle="1" w:styleId="133">
    <w:name w:val="标题 Char"/>
    <w:link w:val="40"/>
    <w:qFormat/>
    <w:locked/>
    <w:uiPriority w:val="0"/>
    <w:rPr>
      <w:rFonts w:ascii="Cambria" w:hAnsi="Cambria" w:eastAsia="宋体" w:cs="Cambria"/>
      <w:b/>
      <w:bCs/>
      <w:kern w:val="2"/>
      <w:sz w:val="32"/>
      <w:szCs w:val="32"/>
      <w:lang w:val="en-US" w:eastAsia="zh-CN" w:bidi="ar-SA"/>
    </w:rPr>
  </w:style>
  <w:style w:type="character" w:customStyle="1" w:styleId="134">
    <w:name w:val="Heading 1 Char"/>
    <w:qFormat/>
    <w:locked/>
    <w:uiPriority w:val="0"/>
    <w:rPr>
      <w:rFonts w:eastAsia="宋体"/>
      <w:b/>
      <w:bCs/>
      <w:kern w:val="44"/>
      <w:sz w:val="44"/>
      <w:szCs w:val="44"/>
      <w:lang w:val="en-US" w:eastAsia="zh-CN" w:bidi="ar-SA"/>
    </w:rPr>
  </w:style>
  <w:style w:type="character" w:customStyle="1" w:styleId="135">
    <w:name w:val="font11"/>
    <w:qFormat/>
    <w:uiPriority w:val="0"/>
    <w:rPr>
      <w:rFonts w:ascii="宋体" w:hAnsi="宋体" w:eastAsia="宋体" w:cs="宋体"/>
      <w:color w:val="000000"/>
      <w:sz w:val="18"/>
      <w:szCs w:val="18"/>
      <w:u w:val="none"/>
    </w:rPr>
  </w:style>
  <w:style w:type="character" w:customStyle="1" w:styleId="136">
    <w:name w:val="标题 3 Char"/>
    <w:link w:val="5"/>
    <w:qFormat/>
    <w:uiPriority w:val="0"/>
    <w:rPr>
      <w:rFonts w:eastAsia="宋体"/>
      <w:b/>
      <w:bCs/>
      <w:kern w:val="2"/>
      <w:sz w:val="32"/>
      <w:szCs w:val="32"/>
      <w:lang w:val="en-US" w:eastAsia="zh-CN" w:bidi="ar-SA"/>
    </w:rPr>
  </w:style>
  <w:style w:type="character" w:customStyle="1" w:styleId="137">
    <w:name w:val="tpc_content"/>
    <w:qFormat/>
    <w:uiPriority w:val="0"/>
  </w:style>
  <w:style w:type="character" w:customStyle="1" w:styleId="138">
    <w:name w:val="日期 Char"/>
    <w:link w:val="25"/>
    <w:qFormat/>
    <w:uiPriority w:val="0"/>
    <w:rPr>
      <w:kern w:val="2"/>
      <w:sz w:val="21"/>
    </w:rPr>
  </w:style>
  <w:style w:type="character" w:customStyle="1" w:styleId="139">
    <w:name w:val="Char Char4"/>
    <w:qFormat/>
    <w:uiPriority w:val="0"/>
    <w:rPr>
      <w:sz w:val="18"/>
      <w:szCs w:val="18"/>
    </w:rPr>
  </w:style>
  <w:style w:type="character" w:customStyle="1" w:styleId="140">
    <w:name w:val="列出段落 Char"/>
    <w:link w:val="84"/>
    <w:qFormat/>
    <w:uiPriority w:val="0"/>
    <w:rPr>
      <w:rFonts w:ascii="Calibri" w:hAnsi="Calibri"/>
      <w:kern w:val="2"/>
      <w:sz w:val="24"/>
      <w:szCs w:val="22"/>
    </w:rPr>
  </w:style>
  <w:style w:type="character" w:customStyle="1" w:styleId="141">
    <w:name w:val="Plain Text Char"/>
    <w:qFormat/>
    <w:locked/>
    <w:uiPriority w:val="0"/>
    <w:rPr>
      <w:rFonts w:ascii="宋体" w:hAnsi="Courier New" w:eastAsia="宋体"/>
      <w:sz w:val="21"/>
    </w:rPr>
  </w:style>
  <w:style w:type="character" w:customStyle="1" w:styleId="142">
    <w:name w:val="标题 1 Char Char"/>
    <w:qFormat/>
    <w:uiPriority w:val="0"/>
    <w:rPr>
      <w:rFonts w:eastAsia="宋体"/>
      <w:b/>
      <w:spacing w:val="-2"/>
      <w:sz w:val="24"/>
      <w:lang w:val="en-US" w:eastAsia="zh-CN"/>
    </w:rPr>
  </w:style>
  <w:style w:type="character" w:customStyle="1" w:styleId="143">
    <w:name w:val="无间隔 Char"/>
    <w:link w:val="61"/>
    <w:qFormat/>
    <w:locked/>
    <w:uiPriority w:val="0"/>
    <w:rPr>
      <w:sz w:val="22"/>
      <w:lang w:val="en-US" w:eastAsia="zh-CN" w:bidi="ar-SA"/>
    </w:rPr>
  </w:style>
  <w:style w:type="character" w:customStyle="1" w:styleId="144">
    <w:name w:val="style8"/>
    <w:basedOn w:val="44"/>
    <w:qFormat/>
    <w:uiPriority w:val="0"/>
  </w:style>
  <w:style w:type="character" w:customStyle="1" w:styleId="145">
    <w:name w:val="Footer Char"/>
    <w:qFormat/>
    <w:locked/>
    <w:uiPriority w:val="0"/>
    <w:rPr>
      <w:rFonts w:cs="Times New Roman"/>
      <w:sz w:val="18"/>
      <w:szCs w:val="18"/>
    </w:rPr>
  </w:style>
  <w:style w:type="character" w:customStyle="1" w:styleId="146">
    <w:name w:val="正文文本缩进 3 Char"/>
    <w:link w:val="34"/>
    <w:qFormat/>
    <w:uiPriority w:val="0"/>
    <w:rPr>
      <w:kern w:val="2"/>
      <w:sz w:val="16"/>
      <w:szCs w:val="16"/>
    </w:rPr>
  </w:style>
  <w:style w:type="character" w:customStyle="1" w:styleId="147">
    <w:name w:val="Heading 5 Char"/>
    <w:qFormat/>
    <w:locked/>
    <w:uiPriority w:val="0"/>
    <w:rPr>
      <w:rFonts w:eastAsia="宋体"/>
      <w:b/>
      <w:bCs/>
      <w:kern w:val="2"/>
      <w:sz w:val="28"/>
      <w:szCs w:val="28"/>
      <w:lang w:val="en-US" w:eastAsia="zh-CN" w:bidi="ar-SA"/>
    </w:rPr>
  </w:style>
  <w:style w:type="character" w:customStyle="1" w:styleId="148">
    <w:name w:val="HTML 预设格式 Char"/>
    <w:link w:val="38"/>
    <w:qFormat/>
    <w:locked/>
    <w:uiPriority w:val="0"/>
    <w:rPr>
      <w:rFonts w:ascii="宋体" w:hAnsi="宋体" w:eastAsia="宋体"/>
      <w:sz w:val="24"/>
      <w:szCs w:val="24"/>
      <w:lang w:val="en-US" w:eastAsia="zh-CN" w:bidi="ar-SA"/>
    </w:rPr>
  </w:style>
  <w:style w:type="character" w:customStyle="1" w:styleId="149">
    <w:name w:val="样式 宋体"/>
    <w:qFormat/>
    <w:uiPriority w:val="0"/>
    <w:rPr>
      <w:rFonts w:ascii="宋体" w:hAnsi="宋体" w:eastAsia="宋体"/>
      <w:kern w:val="0"/>
      <w:sz w:val="32"/>
      <w:lang w:val="en-US" w:eastAsia="zh-CN"/>
    </w:rPr>
  </w:style>
  <w:style w:type="character" w:customStyle="1" w:styleId="150">
    <w:name w:val="标题 9 Char"/>
    <w:link w:val="11"/>
    <w:qFormat/>
    <w:uiPriority w:val="0"/>
    <w:rPr>
      <w:rFonts w:ascii="Cambria" w:hAnsi="Cambria" w:eastAsia="宋体"/>
      <w:szCs w:val="21"/>
      <w:lang w:bidi="ar-SA"/>
    </w:rPr>
  </w:style>
  <w:style w:type="character" w:customStyle="1" w:styleId="151">
    <w:name w:val="正文文本缩进 2 Char"/>
    <w:link w:val="26"/>
    <w:qFormat/>
    <w:uiPriority w:val="0"/>
    <w:rPr>
      <w:kern w:val="2"/>
      <w:sz w:val="21"/>
      <w:szCs w:val="24"/>
    </w:rPr>
  </w:style>
  <w:style w:type="character" w:customStyle="1" w:styleId="152">
    <w:name w:val="标题 8 Char"/>
    <w:link w:val="10"/>
    <w:qFormat/>
    <w:uiPriority w:val="0"/>
    <w:rPr>
      <w:rFonts w:ascii="Cambria" w:hAnsi="Cambria" w:eastAsia="宋体"/>
      <w:sz w:val="24"/>
      <w:szCs w:val="24"/>
      <w:lang w:bidi="ar-SA"/>
    </w:rPr>
  </w:style>
  <w:style w:type="character" w:customStyle="1" w:styleId="153">
    <w:name w:val="Char Char Char Char Char Char Char Char"/>
    <w:link w:val="64"/>
    <w:qFormat/>
    <w:uiPriority w:val="0"/>
    <w:rPr>
      <w:rFonts w:eastAsia="宋体"/>
      <w:sz w:val="24"/>
      <w:szCs w:val="24"/>
      <w:lang w:val="en-US" w:eastAsia="zh-CN" w:bidi="ar-SA"/>
    </w:rPr>
  </w:style>
  <w:style w:type="character" w:customStyle="1" w:styleId="154">
    <w:name w:val="样式 标题 3h3H3l3CTheading 3Level 3 Headlevel_3PIM 3sect1.2... Char"/>
    <w:link w:val="85"/>
    <w:qFormat/>
    <w:uiPriority w:val="0"/>
    <w:rPr>
      <w:rFonts w:ascii="Arial" w:hAnsi="Arial" w:eastAsia="黑体"/>
      <w:bCs/>
      <w:sz w:val="24"/>
      <w:szCs w:val="32"/>
      <w:lang w:bidi="ar-SA"/>
    </w:rPr>
  </w:style>
  <w:style w:type="character" w:customStyle="1" w:styleId="155">
    <w:name w:val="Header Char"/>
    <w:qFormat/>
    <w:locked/>
    <w:uiPriority w:val="0"/>
    <w:rPr>
      <w:rFonts w:cs="Times New Roman"/>
      <w:sz w:val="18"/>
      <w:szCs w:val="18"/>
    </w:rPr>
  </w:style>
  <w:style w:type="character" w:customStyle="1" w:styleId="156">
    <w:name w:val="标题 1 Char"/>
    <w:link w:val="3"/>
    <w:qFormat/>
    <w:uiPriority w:val="0"/>
    <w:rPr>
      <w:rFonts w:eastAsia="宋体"/>
      <w:kern w:val="2"/>
      <w:sz w:val="28"/>
      <w:lang w:val="en-US" w:eastAsia="zh-CN" w:bidi="ar-SA"/>
    </w:rPr>
  </w:style>
  <w:style w:type="character" w:customStyle="1" w:styleId="157">
    <w:name w:val="Heading 3 Char"/>
    <w:qFormat/>
    <w:locked/>
    <w:uiPriority w:val="0"/>
    <w:rPr>
      <w:rFonts w:cs="Times New Roman"/>
      <w:b/>
      <w:bCs/>
      <w:sz w:val="32"/>
      <w:szCs w:val="32"/>
    </w:rPr>
  </w:style>
  <w:style w:type="character" w:customStyle="1" w:styleId="158">
    <w:name w:val="正文文本 3 Char"/>
    <w:link w:val="16"/>
    <w:qFormat/>
    <w:uiPriority w:val="0"/>
    <w:rPr>
      <w:rFonts w:eastAsia="宋体"/>
      <w:kern w:val="2"/>
      <w:sz w:val="16"/>
      <w:szCs w:val="16"/>
      <w:lang w:val="en-US" w:eastAsia="zh-CN" w:bidi="ar-SA"/>
    </w:rPr>
  </w:style>
  <w:style w:type="character" w:customStyle="1" w:styleId="159">
    <w:name w:val="页脚 Char"/>
    <w:link w:val="28"/>
    <w:qFormat/>
    <w:uiPriority w:val="99"/>
    <w:rPr>
      <w:rFonts w:eastAsia="宋体"/>
      <w:kern w:val="2"/>
      <w:sz w:val="18"/>
      <w:szCs w:val="18"/>
      <w:lang w:val="en-US" w:eastAsia="zh-CN" w:bidi="ar-SA"/>
    </w:rPr>
  </w:style>
  <w:style w:type="character" w:customStyle="1" w:styleId="160">
    <w:name w:val="页眉 Char"/>
    <w:link w:val="30"/>
    <w:qFormat/>
    <w:uiPriority w:val="99"/>
    <w:rPr>
      <w:rFonts w:eastAsia="宋体"/>
      <w:kern w:val="2"/>
      <w:sz w:val="18"/>
      <w:szCs w:val="18"/>
      <w:lang w:val="en-US" w:eastAsia="zh-CN" w:bidi="ar-SA"/>
    </w:rPr>
  </w:style>
  <w:style w:type="character" w:customStyle="1" w:styleId="161">
    <w:name w:val="style7"/>
    <w:basedOn w:val="44"/>
    <w:qFormat/>
    <w:uiPriority w:val="0"/>
  </w:style>
  <w:style w:type="character" w:customStyle="1" w:styleId="162">
    <w:name w:val="标准小四 Char"/>
    <w:link w:val="65"/>
    <w:qFormat/>
    <w:uiPriority w:val="0"/>
    <w:rPr>
      <w:rFonts w:ascii="Arial" w:hAnsi="Arial" w:eastAsia="宋体"/>
      <w:kern w:val="2"/>
      <w:sz w:val="24"/>
      <w:szCs w:val="24"/>
      <w:lang w:val="en-US" w:eastAsia="zh-CN" w:bidi="ar-SA"/>
    </w:rPr>
  </w:style>
  <w:style w:type="character" w:customStyle="1" w:styleId="163">
    <w:name w:val="Char Char41"/>
    <w:qFormat/>
    <w:uiPriority w:val="0"/>
    <w:rPr>
      <w:sz w:val="18"/>
      <w:szCs w:val="18"/>
    </w:rPr>
  </w:style>
  <w:style w:type="character" w:customStyle="1" w:styleId="164">
    <w:name w:val="标题 6 Char"/>
    <w:link w:val="8"/>
    <w:qFormat/>
    <w:uiPriority w:val="0"/>
    <w:rPr>
      <w:rFonts w:ascii="Cambria" w:hAnsi="Cambria" w:eastAsia="宋体"/>
      <w:b/>
      <w:bCs/>
      <w:sz w:val="24"/>
      <w:szCs w:val="24"/>
      <w:lang w:bidi="ar-SA"/>
    </w:rPr>
  </w:style>
  <w:style w:type="character" w:customStyle="1" w:styleId="165">
    <w:name w:val="正文缩进 Char"/>
    <w:link w:val="13"/>
    <w:qFormat/>
    <w:locked/>
    <w:uiPriority w:val="0"/>
    <w:rPr>
      <w:rFonts w:ascii="楷体_GB2312" w:eastAsia="楷体_GB2312"/>
      <w:kern w:val="2"/>
      <w:sz w:val="24"/>
      <w:lang w:val="en-US" w:eastAsia="zh-CN" w:bidi="ar-SA"/>
    </w:rPr>
  </w:style>
  <w:style w:type="character" w:customStyle="1" w:styleId="166">
    <w:name w:val="批注框文本 Char"/>
    <w:link w:val="27"/>
    <w:qFormat/>
    <w:uiPriority w:val="0"/>
    <w:rPr>
      <w:sz w:val="18"/>
      <w:szCs w:val="18"/>
    </w:rPr>
  </w:style>
  <w:style w:type="character" w:customStyle="1" w:styleId="167">
    <w:name w:val="font31"/>
    <w:basedOn w:val="44"/>
    <w:qFormat/>
    <w:uiPriority w:val="0"/>
    <w:rPr>
      <w:rFonts w:hint="eastAsia" w:ascii="宋体" w:hAnsi="宋体" w:eastAsia="宋体" w:cs="宋体"/>
      <w:color w:val="000000"/>
      <w:sz w:val="18"/>
      <w:szCs w:val="18"/>
      <w:u w:val="none"/>
    </w:rPr>
  </w:style>
  <w:style w:type="character" w:customStyle="1" w:styleId="168">
    <w:name w:val="font71"/>
    <w:basedOn w:val="44"/>
    <w:qFormat/>
    <w:uiPriority w:val="0"/>
    <w:rPr>
      <w:rFonts w:ascii="Arial" w:hAnsi="Arial" w:cs="Arial"/>
      <w:color w:val="000000"/>
      <w:sz w:val="18"/>
      <w:szCs w:val="18"/>
      <w:u w:val="none"/>
    </w:rPr>
  </w:style>
  <w:style w:type="paragraph" w:styleId="169">
    <w:name w:val="List Paragraph"/>
    <w:basedOn w:val="1"/>
    <w:qFormat/>
    <w:uiPriority w:val="34"/>
    <w:pPr>
      <w:ind w:firstLine="420" w:firstLineChars="200"/>
    </w:pPr>
    <w:rPr>
      <w:rFonts w:ascii="Calibri" w:hAnsi="Calibri"/>
      <w:szCs w:val="22"/>
    </w:rPr>
  </w:style>
  <w:style w:type="paragraph" w:customStyle="1" w:styleId="170">
    <w:name w:val="Table Paragraph"/>
    <w:basedOn w:val="1"/>
    <w:qFormat/>
    <w:uiPriority w:val="0"/>
    <w:rPr>
      <w:rFonts w:ascii="宋体" w:hAnsi="宋体" w:eastAsia="宋体" w:cs="宋体"/>
      <w:lang w:val="zh-CN" w:eastAsia="zh-CN" w:bidi="zh-CN"/>
    </w:rPr>
  </w:style>
  <w:style w:type="character" w:customStyle="1" w:styleId="171">
    <w:name w:val="font41"/>
    <w:basedOn w:val="44"/>
    <w:qFormat/>
    <w:uiPriority w:val="0"/>
    <w:rPr>
      <w:rFonts w:hint="default" w:ascii="仿宋_GB2312" w:eastAsia="仿宋_GB2312" w:cs="仿宋_GB2312"/>
      <w:color w:val="000000"/>
      <w:sz w:val="22"/>
      <w:szCs w:val="22"/>
      <w:u w:val="none"/>
    </w:rPr>
  </w:style>
  <w:style w:type="character" w:customStyle="1" w:styleId="172">
    <w:name w:val="font101"/>
    <w:basedOn w:val="44"/>
    <w:qFormat/>
    <w:uiPriority w:val="0"/>
    <w:rPr>
      <w:rFonts w:hint="eastAsia" w:ascii="宋体" w:hAnsi="宋体" w:eastAsia="宋体" w:cs="宋体"/>
      <w:color w:val="000000"/>
      <w:sz w:val="22"/>
      <w:szCs w:val="22"/>
      <w:u w:val="none"/>
    </w:rPr>
  </w:style>
  <w:style w:type="character" w:customStyle="1" w:styleId="173">
    <w:name w:val="font81"/>
    <w:basedOn w:val="44"/>
    <w:qFormat/>
    <w:uiPriority w:val="0"/>
    <w:rPr>
      <w:rFonts w:hint="default" w:ascii="仿宋_GB2312" w:eastAsia="仿宋_GB2312" w:cs="仿宋_GB2312"/>
      <w:color w:val="000000"/>
      <w:sz w:val="22"/>
      <w:szCs w:val="22"/>
      <w:u w:val="none"/>
    </w:rPr>
  </w:style>
  <w:style w:type="character" w:customStyle="1" w:styleId="174">
    <w:name w:val="font21"/>
    <w:basedOn w:val="44"/>
    <w:qFormat/>
    <w:uiPriority w:val="0"/>
    <w:rPr>
      <w:rFonts w:hint="eastAsia" w:ascii="宋体" w:hAnsi="宋体" w:eastAsia="宋体" w:cs="宋体"/>
      <w:color w:val="000000"/>
      <w:sz w:val="22"/>
      <w:szCs w:val="22"/>
      <w:u w:val="none"/>
    </w:rPr>
  </w:style>
  <w:style w:type="paragraph" w:customStyle="1" w:styleId="17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76">
    <w:name w:val="ant-input30"/>
    <w:basedOn w:val="44"/>
    <w:qFormat/>
    <w:uiPriority w:val="0"/>
  </w:style>
  <w:style w:type="character" w:customStyle="1" w:styleId="177">
    <w:name w:val="tag-type"/>
    <w:basedOn w:val="44"/>
    <w:qFormat/>
    <w:uiPriority w:val="0"/>
    <w:rPr>
      <w:color w:val="FFFFFF"/>
      <w:sz w:val="18"/>
      <w:szCs w:val="18"/>
      <w:shd w:val="clear" w:fill="317FFD"/>
    </w:rPr>
  </w:style>
  <w:style w:type="character" w:customStyle="1" w:styleId="178">
    <w:name w:val="tag-type1"/>
    <w:basedOn w:val="44"/>
    <w:qFormat/>
    <w:uiPriority w:val="0"/>
    <w:rPr>
      <w:color w:val="FFFFFF"/>
      <w:sz w:val="18"/>
      <w:szCs w:val="18"/>
      <w:shd w:val="clear" w:fill="317FFD"/>
    </w:rPr>
  </w:style>
  <w:style w:type="character" w:customStyle="1" w:styleId="179">
    <w:name w:val="tag-type2"/>
    <w:basedOn w:val="44"/>
    <w:qFormat/>
    <w:uiPriority w:val="0"/>
    <w:rPr>
      <w:color w:val="FFFFFF"/>
      <w:sz w:val="18"/>
      <w:szCs w:val="18"/>
      <w:shd w:val="clear" w:fill="317FFD"/>
    </w:rPr>
  </w:style>
  <w:style w:type="character" w:customStyle="1" w:styleId="180">
    <w:name w:val="info-label"/>
    <w:basedOn w:val="44"/>
    <w:qFormat/>
    <w:uiPriority w:val="0"/>
    <w:rPr>
      <w:b/>
      <w:bCs/>
    </w:rPr>
  </w:style>
  <w:style w:type="character" w:customStyle="1" w:styleId="181">
    <w:name w:val="ant-select-tree-switcher"/>
    <w:basedOn w:val="44"/>
    <w:qFormat/>
    <w:uiPriority w:val="0"/>
  </w:style>
  <w:style w:type="character" w:customStyle="1" w:styleId="182">
    <w:name w:val="current"/>
    <w:basedOn w:val="44"/>
    <w:qFormat/>
    <w:uiPriority w:val="0"/>
    <w:rPr>
      <w:color w:val="00C1DE"/>
    </w:rPr>
  </w:style>
  <w:style w:type="character" w:customStyle="1" w:styleId="183">
    <w:name w:val="current1"/>
    <w:basedOn w:val="44"/>
    <w:qFormat/>
    <w:uiPriority w:val="0"/>
    <w:rPr>
      <w:color w:val="00C1DE"/>
    </w:rPr>
  </w:style>
  <w:style w:type="character" w:customStyle="1" w:styleId="184">
    <w:name w:val="info-content"/>
    <w:basedOn w:val="44"/>
    <w:qFormat/>
    <w:uiPriority w:val="0"/>
    <w:rPr>
      <w:color w:val="808080"/>
    </w:rPr>
  </w:style>
  <w:style w:type="character" w:customStyle="1" w:styleId="185">
    <w:name w:val="last-child"/>
    <w:basedOn w:val="44"/>
    <w:qFormat/>
    <w:uiPriority w:val="0"/>
  </w:style>
  <w:style w:type="character" w:customStyle="1" w:styleId="186">
    <w:name w:val="nc-lang-cnt"/>
    <w:basedOn w:val="44"/>
    <w:qFormat/>
    <w:uiPriority w:val="0"/>
    <w:rPr>
      <w:rFonts w:hint="cs"/>
      <w:rtl/>
    </w:rPr>
  </w:style>
  <w:style w:type="character" w:customStyle="1" w:styleId="187">
    <w:name w:val="nc-lang-cnt1"/>
    <w:basedOn w:val="44"/>
    <w:qFormat/>
    <w:uiPriority w:val="0"/>
  </w:style>
  <w:style w:type="character" w:customStyle="1" w:styleId="188">
    <w:name w:val="nc-lang-cnt2"/>
    <w:basedOn w:val="44"/>
    <w:qFormat/>
    <w:uiPriority w:val="0"/>
  </w:style>
  <w:style w:type="character" w:customStyle="1" w:styleId="189">
    <w:name w:val="nc-lang-cnt3"/>
    <w:basedOn w:val="44"/>
    <w:qFormat/>
    <w:uiPriority w:val="0"/>
    <w:rPr>
      <w:rFonts w:hint="cs"/>
      <w:rtl/>
    </w:rPr>
  </w:style>
  <w:style w:type="character" w:customStyle="1" w:styleId="190">
    <w:name w:val="nc-lang-cnt4"/>
    <w:basedOn w:val="44"/>
    <w:qFormat/>
    <w:uiPriority w:val="0"/>
    <w:rPr>
      <w:rFonts w:hint="cs"/>
      <w:rtl/>
    </w:rPr>
  </w:style>
  <w:style w:type="character" w:customStyle="1" w:styleId="191">
    <w:name w:val="nc-lang-cnt5"/>
    <w:basedOn w:val="44"/>
    <w:qFormat/>
    <w:uiPriority w:val="0"/>
    <w:rPr>
      <w:rFonts w:hint="cs"/>
      <w:rtl/>
    </w:rPr>
  </w:style>
  <w:style w:type="character" w:customStyle="1" w:styleId="192">
    <w:name w:val="nc-lang-cnt6"/>
    <w:basedOn w:val="44"/>
    <w:qFormat/>
    <w:uiPriority w:val="0"/>
  </w:style>
  <w:style w:type="character" w:customStyle="1" w:styleId="193">
    <w:name w:val="first-child"/>
    <w:basedOn w:val="44"/>
    <w:qFormat/>
    <w:uiPriority w:val="0"/>
  </w:style>
  <w:style w:type="character" w:customStyle="1" w:styleId="194">
    <w:name w:val="ant-select-tree-iconele"/>
    <w:basedOn w:val="44"/>
    <w:qFormat/>
    <w:uiPriority w:val="0"/>
  </w:style>
  <w:style w:type="character" w:customStyle="1" w:styleId="195">
    <w:name w:val="ant-radio+*"/>
    <w:basedOn w:val="44"/>
    <w:qFormat/>
    <w:uiPriority w:val="0"/>
  </w:style>
  <w:style w:type="character" w:customStyle="1" w:styleId="196">
    <w:name w:val="ant-radio+*1"/>
    <w:basedOn w:val="44"/>
    <w:qFormat/>
    <w:uiPriority w:val="0"/>
  </w:style>
  <w:style w:type="character" w:customStyle="1" w:styleId="197">
    <w:name w:val="last-span"/>
    <w:basedOn w:val="44"/>
    <w:qFormat/>
    <w:uiPriority w:val="0"/>
  </w:style>
  <w:style w:type="character" w:customStyle="1" w:styleId="198">
    <w:name w:val="ant-select-tree-checkbox2"/>
    <w:basedOn w:val="44"/>
    <w:qFormat/>
    <w:uiPriority w:val="0"/>
  </w:style>
  <w:style w:type="character" w:customStyle="1" w:styleId="199">
    <w:name w:val="ant-input"/>
    <w:basedOn w:val="44"/>
    <w:qFormat/>
    <w:uiPriority w:val="0"/>
  </w:style>
  <w:style w:type="character" w:customStyle="1" w:styleId="200">
    <w:name w:val="ant-input1"/>
    <w:basedOn w:val="44"/>
    <w:qFormat/>
    <w:uiPriority w:val="0"/>
  </w:style>
  <w:style w:type="character" w:customStyle="1" w:styleId="201">
    <w:name w:val="first-child1"/>
    <w:basedOn w:val="44"/>
    <w:qFormat/>
    <w:uiPriority w:val="0"/>
  </w:style>
  <w:style w:type="character" w:customStyle="1" w:styleId="202">
    <w:name w:val="ant-input32"/>
    <w:basedOn w:val="44"/>
    <w:qFormat/>
    <w:uiPriority w:val="0"/>
  </w:style>
  <w:style w:type="character" w:customStyle="1" w:styleId="203">
    <w:name w:val="ant-input33"/>
    <w:basedOn w:val="44"/>
    <w:qFormat/>
    <w:uiPriority w:val="0"/>
  </w:style>
  <w:style w:type="character" w:customStyle="1" w:styleId="204">
    <w:name w:val="nc-lang-cnt7"/>
    <w:basedOn w:val="44"/>
    <w:qFormat/>
    <w:uiPriority w:val="0"/>
    <w:rPr>
      <w:rFonts w:hint="cs"/>
      <w:rtl/>
    </w:rPr>
  </w:style>
  <w:style w:type="character" w:customStyle="1" w:styleId="205">
    <w:name w:val="nc-lang-cnt8"/>
    <w:basedOn w:val="44"/>
    <w:qFormat/>
    <w:uiPriority w:val="0"/>
    <w:rPr>
      <w:rFonts w:hint="cs"/>
      <w:rtl/>
    </w:rPr>
  </w:style>
  <w:style w:type="character" w:customStyle="1" w:styleId="206">
    <w:name w:val="ant-select-tree-checkbox"/>
    <w:basedOn w:val="44"/>
    <w:qFormat/>
    <w:uiPriority w:val="0"/>
  </w:style>
  <w:style w:type="character" w:customStyle="1" w:styleId="207">
    <w:name w:val="ant-input31"/>
    <w:basedOn w:val="44"/>
    <w:qFormat/>
    <w:uiPriority w:val="0"/>
  </w:style>
  <w:style w:type="character" w:customStyle="1" w:styleId="208">
    <w:name w:val="ant-input29"/>
    <w:basedOn w:val="44"/>
    <w:qFormat/>
    <w:uiPriority w:val="0"/>
  </w:style>
  <w:style w:type="character" w:customStyle="1" w:styleId="209">
    <w:name w:val="font01"/>
    <w:basedOn w:val="44"/>
    <w:qFormat/>
    <w:uiPriority w:val="0"/>
    <w:rPr>
      <w:rFonts w:hint="eastAsia" w:ascii="宋体" w:hAnsi="宋体" w:eastAsia="宋体" w:cs="宋体"/>
      <w:color w:val="000000"/>
      <w:sz w:val="20"/>
      <w:szCs w:val="20"/>
      <w:u w:val="none"/>
    </w:rPr>
  </w:style>
  <w:style w:type="character" w:customStyle="1" w:styleId="210">
    <w:name w:val="font131"/>
    <w:basedOn w:val="44"/>
    <w:qFormat/>
    <w:uiPriority w:val="0"/>
    <w:rPr>
      <w:rFonts w:ascii="Arial" w:hAnsi="Arial" w:cs="Arial"/>
      <w:color w:val="000000"/>
      <w:sz w:val="20"/>
      <w:szCs w:val="20"/>
      <w:u w:val="none"/>
    </w:rPr>
  </w:style>
  <w:style w:type="paragraph" w:customStyle="1" w:styleId="211">
    <w:name w:val="Other|1"/>
    <w:basedOn w:val="1"/>
    <w:qFormat/>
    <w:uiPriority w:val="0"/>
    <w:pPr>
      <w:widowControl w:val="0"/>
      <w:shd w:val="clear" w:color="auto" w:fill="auto"/>
      <w:spacing w:line="458" w:lineRule="auto"/>
    </w:pPr>
    <w:rPr>
      <w:rFonts w:ascii="宋体" w:hAnsi="宋体" w:eastAsia="宋体" w:cs="宋体"/>
      <w:sz w:val="22"/>
      <w:szCs w:val="22"/>
      <w:u w:val="none"/>
      <w:shd w:val="clear" w:color="auto" w:fill="auto"/>
      <w:lang w:val="zh-TW" w:eastAsia="zh-TW" w:bidi="zh-TW"/>
    </w:rPr>
  </w:style>
  <w:style w:type="table" w:customStyle="1" w:styleId="212">
    <w:name w:val="Table Normal"/>
    <w:unhideWhenUsed/>
    <w:qFormat/>
    <w:uiPriority w:val="0"/>
    <w:tblPr>
      <w:tblCellMar>
        <w:top w:w="0" w:type="dxa"/>
        <w:left w:w="0" w:type="dxa"/>
        <w:bottom w:w="0" w:type="dxa"/>
        <w:right w:w="0" w:type="dxa"/>
      </w:tblCellMar>
    </w:tblPr>
  </w:style>
  <w:style w:type="character" w:customStyle="1" w:styleId="213">
    <w:name w:val="font121"/>
    <w:basedOn w:val="44"/>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textRotate="1"/>
    <customShpInfo spid="_x0000_s2058" textRotate="1"/>
    <customShpInfo spid="_x0000_s2060" textRotate="1"/>
    <customShpInfo spid="_x0000_s2054"/>
    <customShpInfo spid="_x0000_s2061" textRotate="1"/>
    <customShpInfo spid="_x0000_s71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113</Pages>
  <Words>77540</Words>
  <Characters>86605</Characters>
  <Lines>291</Lines>
  <Paragraphs>82</Paragraphs>
  <TotalTime>31</TotalTime>
  <ScaleCrop>false</ScaleCrop>
  <LinksUpToDate>false</LinksUpToDate>
  <CharactersWithSpaces>88682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Regnarts</cp:lastModifiedBy>
  <cp:lastPrinted>2022-12-14T04:15:00Z</cp:lastPrinted>
  <dcterms:modified xsi:type="dcterms:W3CDTF">2023-07-20T04:19:29Z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58062062485949489B624AA35FE2FC0B</vt:lpwstr>
  </property>
</Properties>
</file>