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highlight w:val="none"/>
        </w:rPr>
      </w:pPr>
      <w:r>
        <w:rPr>
          <w:rFonts w:hint="eastAsia" w:ascii="仿宋" w:hAnsi="仿宋" w:eastAsia="仿宋" w:cs="仿宋"/>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2023年新疆师范大学后勤服务中心采购大宗物资-冻货类（二次）</w:t>
                            </w:r>
                          </w:p>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第1包冻货类物资采购（温泉校区）</w:t>
                            </w:r>
                          </w:p>
                          <w:p>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36"/>
                                <w:szCs w:val="36"/>
                                <w:lang w:val="en-US" w:eastAsia="zh-CN"/>
                              </w:rPr>
                              <w:t>（项目编号：SJX-2023-208（02））</w:t>
                            </w:r>
                          </w:p>
                          <w:p>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36"/>
                                <w:szCs w:val="36"/>
                                <w:lang w:val="en-US" w:eastAsia="zh-CN"/>
                              </w:rPr>
                              <w:t>（标段编号：01）</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2023年新疆师范大学后勤服务中心采购大宗物资-冻货类（二次）</w:t>
                      </w:r>
                    </w:p>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第1包冻货类物资采购（温泉校区）</w:t>
                      </w:r>
                    </w:p>
                    <w:p>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36"/>
                          <w:szCs w:val="36"/>
                          <w:lang w:val="en-US" w:eastAsia="zh-CN"/>
                        </w:rPr>
                        <w:t>（项目编号：SJX-2023-208（02））</w:t>
                      </w:r>
                    </w:p>
                    <w:p>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36"/>
                          <w:szCs w:val="36"/>
                          <w:lang w:val="en-US" w:eastAsia="zh-CN"/>
                        </w:rPr>
                        <w:t>（标段编号：01）</w:t>
                      </w:r>
                    </w:p>
                    <w:p>
                      <w:pPr>
                        <w:rPr>
                          <w:rFonts w:hint="default"/>
                          <w:lang w:val="en-US" w:eastAsia="zh-CN"/>
                        </w:rPr>
                      </w:pPr>
                    </w:p>
                  </w:txbxContent>
                </v:textbox>
              </v:shape>
            </w:pict>
          </mc:Fallback>
        </mc:AlternateContent>
      </w: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pPr>
        <w:rPr>
          <w:rFonts w:hint="eastAsia" w:ascii="仿宋" w:hAnsi="仿宋" w:eastAsia="仿宋" w:cs="仿宋"/>
          <w:highlight w:val="none"/>
        </w:rPr>
      </w:pPr>
    </w:p>
    <w:p>
      <w:pPr>
        <w:jc w:val="center"/>
        <w:rPr>
          <w:rFonts w:hint="eastAsia" w:ascii="仿宋" w:hAnsi="仿宋" w:eastAsia="仿宋" w:cs="仿宋"/>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highlight w:val="none"/>
          <w:lang w:eastAsia="zh-CN"/>
        </w:rPr>
        <w:drawing>
          <wp:anchor distT="0" distB="0" distL="114300" distR="114300" simplePos="0" relativeHeight="251665408" behindDoc="0" locked="0" layoutInCell="1" allowOverlap="1">
            <wp:simplePos x="0" y="0"/>
            <wp:positionH relativeFrom="column">
              <wp:posOffset>2974975</wp:posOffset>
            </wp:positionH>
            <wp:positionV relativeFrom="page">
              <wp:posOffset>7449185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9394" r="21666" b="28715"/>
                    <a:stretch>
                      <a:fillRect/>
                    </a:stretch>
                  </pic:blipFill>
                  <pic:spPr>
                    <a:xfrm>
                      <a:off x="0" y="0"/>
                      <a:ext cx="1417320" cy="1410970"/>
                    </a:xfrm>
                    <a:prstGeom prst="rect">
                      <a:avLst/>
                    </a:prstGeom>
                  </pic:spPr>
                </pic:pic>
              </a:graphicData>
            </a:graphic>
          </wp:anchor>
        </w:drawing>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pPr>
                              <w:jc w:val="left"/>
                              <w:rPr>
                                <w:rFonts w:hint="eastAsia" w:ascii="微软雅黑" w:hAnsi="微软雅黑" w:eastAsia="微软雅黑" w:cs="微软雅黑"/>
                                <w:b/>
                                <w:bCs/>
                                <w:color w:val="237085"/>
                                <w:sz w:val="32"/>
                                <w:szCs w:val="32"/>
                                <w:lang w:val="en-US" w:eastAsia="zh-CN"/>
                              </w:rPr>
                            </w:pPr>
                          </w:p>
                          <w:p>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jc w:val="center"/>
                              <w:rPr>
                                <w:rFonts w:hint="eastAsia" w:ascii="微软雅黑" w:hAnsi="微软雅黑" w:eastAsia="微软雅黑" w:cs="微软雅黑"/>
                                <w:b/>
                                <w:bCs/>
                                <w:color w:val="237085"/>
                                <w:sz w:val="32"/>
                                <w:szCs w:val="32"/>
                                <w:lang w:val="en-US" w:eastAsia="zh-CN"/>
                              </w:rPr>
                            </w:pPr>
                          </w:p>
                          <w:p>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日期：2023年07月20日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pPr>
                        <w:jc w:val="left"/>
                        <w:rPr>
                          <w:rFonts w:hint="eastAsia" w:ascii="微软雅黑" w:hAnsi="微软雅黑" w:eastAsia="微软雅黑" w:cs="微软雅黑"/>
                          <w:b/>
                          <w:bCs/>
                          <w:color w:val="237085"/>
                          <w:sz w:val="32"/>
                          <w:szCs w:val="32"/>
                          <w:lang w:val="en-US" w:eastAsia="zh-CN"/>
                        </w:rPr>
                      </w:pPr>
                    </w:p>
                    <w:p>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jc w:val="center"/>
                        <w:rPr>
                          <w:rFonts w:hint="eastAsia" w:ascii="微软雅黑" w:hAnsi="微软雅黑" w:eastAsia="微软雅黑" w:cs="微软雅黑"/>
                          <w:b/>
                          <w:bCs/>
                          <w:color w:val="237085"/>
                          <w:sz w:val="32"/>
                          <w:szCs w:val="32"/>
                          <w:lang w:val="en-US" w:eastAsia="zh-CN"/>
                        </w:rPr>
                      </w:pPr>
                    </w:p>
                    <w:p>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日期：2023年07月20日</w:t>
                      </w:r>
                    </w:p>
                  </w:txbxContent>
                </v:textbox>
              </v:shape>
            </w:pict>
          </mc:Fallback>
        </mc:AlternateContent>
      </w:r>
    </w:p>
    <w:p>
      <w:pPr>
        <w:jc w:val="center"/>
        <w:rPr>
          <w:rFonts w:hint="eastAsia" w:ascii="仿宋" w:hAnsi="仿宋" w:eastAsia="仿宋" w:cs="仿宋"/>
          <w:sz w:val="32"/>
          <w:szCs w:val="32"/>
          <w:highlight w:val="none"/>
        </w:rPr>
      </w:pPr>
    </w:p>
    <w:tbl>
      <w:tblPr>
        <w:tblStyle w:val="19"/>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noWrap w:val="0"/>
            <w:vAlign w:val="top"/>
          </w:tcPr>
          <w:p>
            <w:pPr>
              <w:rPr>
                <w:rFonts w:hint="eastAsia" w:ascii="仿宋" w:hAnsi="仿宋" w:eastAsia="仿宋" w:cs="仿宋"/>
                <w:b/>
                <w:bCs/>
                <w:sz w:val="32"/>
                <w:szCs w:val="32"/>
                <w:highlight w:val="none"/>
              </w:rPr>
            </w:pPr>
            <w:r>
              <w:rPr>
                <w:rFonts w:hint="eastAsia" w:ascii="仿宋" w:hAnsi="仿宋" w:eastAsia="仿宋" w:cs="仿宋"/>
                <w:sz w:val="32"/>
                <w:szCs w:val="32"/>
                <w:highlight w:val="none"/>
              </w:rPr>
              <w:br w:type="page"/>
            </w:r>
          </w:p>
          <w:p>
            <w:pPr>
              <w:spacing w:line="360" w:lineRule="auto"/>
              <w:ind w:right="31" w:rightChars="15"/>
              <w:jc w:val="center"/>
              <w:rPr>
                <w:rFonts w:hint="eastAsia" w:ascii="仿宋" w:hAnsi="仿宋" w:eastAsia="仿宋" w:cs="仿宋"/>
                <w:b/>
                <w:bCs/>
                <w:sz w:val="32"/>
                <w:szCs w:val="32"/>
                <w:highlight w:val="none"/>
              </w:rPr>
            </w:pPr>
          </w:p>
          <w:p>
            <w:pPr>
              <w:spacing w:line="360" w:lineRule="auto"/>
              <w:ind w:right="31" w:rightChars="15"/>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招标文件确认</w:t>
            </w:r>
            <w:r>
              <w:rPr>
                <w:rFonts w:hint="eastAsia" w:ascii="仿宋" w:hAnsi="仿宋" w:eastAsia="仿宋" w:cs="仿宋"/>
                <w:b/>
                <w:bCs/>
                <w:sz w:val="32"/>
                <w:szCs w:val="32"/>
                <w:highlight w:val="none"/>
                <w:lang w:val="en-US" w:eastAsia="zh-CN"/>
              </w:rPr>
              <w:t>表</w:t>
            </w:r>
          </w:p>
          <w:p>
            <w:pPr>
              <w:spacing w:line="360" w:lineRule="auto"/>
              <w:ind w:firstLine="720" w:firstLineChars="300"/>
              <w:jc w:val="both"/>
              <w:rPr>
                <w:rFonts w:hint="eastAsia" w:ascii="仿宋" w:hAnsi="仿宋" w:eastAsia="仿宋" w:cs="仿宋"/>
                <w:sz w:val="24"/>
                <w:szCs w:val="24"/>
                <w:highlight w:val="none"/>
                <w:lang w:val="en-US" w:eastAsia="zh-CN"/>
              </w:rPr>
            </w:pPr>
          </w:p>
          <w:p>
            <w:pPr>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新疆世纪星工程咨询有限公司：</w:t>
            </w:r>
          </w:p>
          <w:p>
            <w:pPr>
              <w:spacing w:line="360" w:lineRule="auto"/>
              <w:ind w:firstLine="840" w:firstLineChars="3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single"/>
                <w:lang w:val="en-US" w:eastAsia="zh-CN"/>
              </w:rPr>
              <w:t>（2023年新疆师范大学后勤服务中心采购大宗物资-冻货类（二次））（项目编号：SJX-2023-208（02））</w:t>
            </w:r>
            <w:r>
              <w:rPr>
                <w:rFonts w:hint="eastAsia" w:ascii="仿宋" w:hAnsi="仿宋" w:eastAsia="仿宋" w:cs="仿宋"/>
                <w:sz w:val="28"/>
                <w:szCs w:val="28"/>
                <w:highlight w:val="none"/>
                <w:lang w:val="en-US" w:eastAsia="zh-CN"/>
              </w:rPr>
              <w:t>招标文件，经我单位审核符合我单位提出的招标要求，同意对外发布。</w:t>
            </w:r>
          </w:p>
          <w:p>
            <w:pPr>
              <w:spacing w:line="360" w:lineRule="auto"/>
              <w:jc w:val="both"/>
              <w:rPr>
                <w:rFonts w:hint="eastAsia" w:ascii="仿宋" w:hAnsi="仿宋" w:eastAsia="仿宋" w:cs="仿宋"/>
                <w:sz w:val="28"/>
                <w:szCs w:val="28"/>
                <w:highlight w:val="none"/>
              </w:rPr>
            </w:pPr>
          </w:p>
          <w:p>
            <w:pPr>
              <w:spacing w:line="360" w:lineRule="auto"/>
              <w:ind w:right="240"/>
              <w:jc w:val="both"/>
              <w:rPr>
                <w:rFonts w:hint="eastAsia" w:ascii="仿宋" w:hAnsi="仿宋" w:eastAsia="仿宋" w:cs="仿宋"/>
                <w:sz w:val="28"/>
                <w:szCs w:val="28"/>
                <w:highlight w:val="none"/>
              </w:rPr>
            </w:pPr>
          </w:p>
          <w:p>
            <w:pPr>
              <w:spacing w:line="360" w:lineRule="auto"/>
              <w:ind w:right="240"/>
              <w:jc w:val="both"/>
              <w:rPr>
                <w:rFonts w:hint="eastAsia" w:ascii="仿宋" w:hAnsi="仿宋" w:eastAsia="仿宋" w:cs="仿宋"/>
                <w:sz w:val="28"/>
                <w:szCs w:val="28"/>
                <w:highlight w:val="none"/>
              </w:rPr>
            </w:pPr>
          </w:p>
          <w:p>
            <w:pPr>
              <w:spacing w:line="360" w:lineRule="auto"/>
              <w:ind w:right="84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采购人</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val="en-US" w:eastAsia="zh-CN"/>
              </w:rPr>
              <w:t xml:space="preserve">：  </w:t>
            </w:r>
          </w:p>
          <w:p>
            <w:pPr>
              <w:spacing w:line="360" w:lineRule="auto"/>
              <w:ind w:right="960"/>
              <w:jc w:val="both"/>
              <w:rPr>
                <w:rFonts w:hint="eastAsia" w:ascii="仿宋" w:hAnsi="仿宋" w:eastAsia="仿宋" w:cs="仿宋"/>
                <w:b/>
                <w:sz w:val="40"/>
                <w:szCs w:val="3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p>
        </w:tc>
      </w:tr>
    </w:tbl>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hint="eastAsia" w:ascii="仿宋" w:hAnsi="仿宋" w:eastAsia="仿宋" w:cs="仿宋"/>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pPr>
            <w:pStyle w:val="27"/>
            <w:tabs>
              <w:tab w:val="right" w:leader="dot" w:pos="8306"/>
            </w:tabs>
            <w:rPr>
              <w:rFonts w:hint="eastAsia" w:ascii="仿宋" w:hAnsi="仿宋" w:eastAsia="仿宋" w:cs="仿宋"/>
              <w:b/>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_Toc11868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xml:space="preserve">第一章 </w:t>
          </w:r>
          <w:r>
            <w:rPr>
              <w:rFonts w:hint="eastAsia" w:ascii="仿宋" w:hAnsi="仿宋" w:eastAsia="仿宋" w:cs="仿宋"/>
              <w:b/>
              <w:sz w:val="24"/>
              <w:szCs w:val="24"/>
              <w:highlight w:val="none"/>
              <w:lang w:val="en-US" w:eastAsia="zh-CN"/>
            </w:rPr>
            <w:t>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_Toc11868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_Toc15364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二、申请人的资格要求：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_Toc15364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_Toc24224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_Toc24224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_Toc17115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_Toc21999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七、对本次采购提出询问，请按以下方式联系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_Toc21999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_Toc31403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_Toc31403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4</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_Toc27881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_Toc27881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9</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_Toc20936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 说 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_Toc6547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二、 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_Toc9070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 投标文件的编制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四、 投标文件的提交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_Toc15263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五、 开标、资格审查及评标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_Toc15263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六、 确定中标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_Toc22543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_Toc22543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26</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_Toc20159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_Toc20159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27</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_Toc21893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_Toc21893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28</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_Toc27440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1.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_Toc27440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_Toc12617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2. 评标原则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_Toc12617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_Toc6046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3.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_Toc6046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_Toc4337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4. 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_Toc4337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5. 投标文件有关事项的澄清或者说明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6. 详细评审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_Toc31337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_Toc31337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36</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tabs>
              <w:tab w:val="right" w:leader="dot" w:pos="8306"/>
            </w:tabs>
            <w:rPr>
              <w:rFonts w:hint="eastAsia" w:ascii="仿宋" w:hAnsi="仿宋" w:eastAsia="仿宋" w:cs="仿宋"/>
              <w:highlight w:val="none"/>
            </w:rPr>
          </w:pPr>
        </w:p>
        <w:p>
          <w:pPr>
            <w:jc w:val="both"/>
            <w:rPr>
              <w:rFonts w:hint="eastAsia" w:ascii="仿宋" w:hAnsi="仿宋" w:eastAsia="仿宋" w:cs="仿宋"/>
              <w:sz w:val="32"/>
              <w:szCs w:val="32"/>
              <w:highlight w:val="none"/>
            </w:rPr>
          </w:pPr>
          <w:r>
            <w:rPr>
              <w:rFonts w:hint="eastAsia" w:ascii="仿宋" w:hAnsi="仿宋" w:eastAsia="仿宋" w:cs="仿宋"/>
              <w:b/>
              <w:szCs w:val="32"/>
              <w:highlight w:val="none"/>
            </w:rPr>
            <w:fldChar w:fldCharType="end"/>
          </w:r>
        </w:p>
      </w:sdtContent>
    </w:sdt>
    <w:p>
      <w:pPr>
        <w:pStyle w:val="3"/>
        <w:numPr>
          <w:ilvl w:val="0"/>
          <w:numId w:val="1"/>
        </w:numPr>
        <w:bidi w:val="0"/>
        <w:jc w:val="center"/>
        <w:rPr>
          <w:rFonts w:hint="eastAsia" w:ascii="仿宋" w:hAnsi="仿宋" w:eastAsia="仿宋" w:cs="仿宋"/>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pPr>
        <w:pStyle w:val="3"/>
        <w:numPr>
          <w:ilvl w:val="0"/>
          <w:numId w:val="1"/>
        </w:numPr>
        <w:bidi w:val="0"/>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公开招标</w:t>
      </w:r>
      <w:r>
        <w:rPr>
          <w:rFonts w:hint="eastAsia" w:ascii="仿宋" w:hAnsi="仿宋" w:eastAsia="仿宋" w:cs="仿宋"/>
          <w:sz w:val="32"/>
          <w:szCs w:val="32"/>
          <w:highlight w:val="none"/>
        </w:rPr>
        <w:t>公告</w:t>
      </w:r>
      <w:bookmarkEnd w:id="0"/>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1" w:name="_Toc21739"/>
      <w:r>
        <w:rPr>
          <w:rFonts w:hint="eastAsia" w:ascii="仿宋" w:hAnsi="仿宋" w:eastAsia="仿宋" w:cs="仿宋"/>
          <w:b/>
          <w:bCs/>
          <w:sz w:val="24"/>
          <w:szCs w:val="24"/>
          <w:highlight w:val="none"/>
        </w:rPr>
        <w:t>一、项目基本情况</w:t>
      </w:r>
      <w:bookmarkEnd w:id="1"/>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SJX-2023-208（02）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2023年新疆师范大学后勤服务中心采购大宗物资-冻货类（二次）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1500000元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1500000元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新疆师范大学后勤服务中心饮食服务部</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年冻货</w:t>
      </w:r>
      <w:r>
        <w:rPr>
          <w:rFonts w:hint="eastAsia" w:ascii="仿宋" w:hAnsi="仿宋" w:eastAsia="仿宋" w:cs="仿宋"/>
          <w:sz w:val="24"/>
          <w:szCs w:val="24"/>
          <w:highlight w:val="none"/>
          <w:lang w:val="en-US" w:eastAsia="zh-CN"/>
        </w:rPr>
        <w:t>类物资采购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具体详见本项目采购需求。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标项</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第1包冻货类物资采购（温泉校区）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一批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1500000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简要规格描述或项目基本概况介绍、用途：冻货</w:t>
      </w:r>
      <w:r>
        <w:rPr>
          <w:rFonts w:hint="eastAsia" w:ascii="仿宋" w:hAnsi="仿宋" w:eastAsia="仿宋" w:cs="仿宋"/>
          <w:sz w:val="24"/>
          <w:szCs w:val="24"/>
          <w:highlight w:val="none"/>
          <w:lang w:val="en-US" w:eastAsia="zh-CN"/>
        </w:rPr>
        <w:t>类物资采购，具体详见采购需求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自合同签订之日起壹年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2" w:name="_Toc15364"/>
      <w:r>
        <w:rPr>
          <w:rFonts w:hint="eastAsia" w:ascii="仿宋" w:hAnsi="仿宋" w:eastAsia="仿宋" w:cs="仿宋"/>
          <w:b/>
          <w:bCs/>
          <w:sz w:val="24"/>
          <w:szCs w:val="24"/>
          <w:highlight w:val="none"/>
        </w:rPr>
        <w:t>二、申请人的资格要求：</w:t>
      </w:r>
      <w:bookmarkEnd w:id="2"/>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要求获得采购合同的供应商将不低于 40 %比例分包给一家或者多家中小企业（其中，不低于60%需分包给一家或多家小微企业）。 潜在供应商需承诺如成交将按照部分预留方式与采购人签订合同（需提供中小企业声明函及分包意向协议）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3" w:name="_Toc29084"/>
      <w:r>
        <w:rPr>
          <w:rFonts w:hint="eastAsia" w:ascii="仿宋" w:hAnsi="仿宋" w:eastAsia="仿宋" w:cs="仿宋"/>
          <w:b/>
          <w:bCs/>
          <w:sz w:val="24"/>
          <w:szCs w:val="24"/>
          <w:highlight w:val="none"/>
        </w:rPr>
        <w:t>三、获取招标文件</w:t>
      </w:r>
      <w:bookmarkEnd w:id="3"/>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日至2023年0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28 </w:t>
      </w:r>
      <w:r>
        <w:rPr>
          <w:rFonts w:hint="eastAsia" w:ascii="仿宋" w:hAnsi="仿宋" w:eastAsia="仿宋" w:cs="仿宋"/>
          <w:sz w:val="24"/>
          <w:szCs w:val="24"/>
          <w:highlight w:val="none"/>
        </w:rPr>
        <w:t>日，每天上午0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:00至12:00，下午12:00至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地点：政采云平台（https://www.zcygov.cn/）</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方式：供应商登录政采云平台https://www.zcygov.cn/在线申请获取采购文件（进入“项目采购”应用，在获取采购文件菜单中选择项目，申请获取采购文件）本次招标不提供纸质版招标文件。</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售价（元）：0元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4" w:name="_Toc24224"/>
      <w:r>
        <w:rPr>
          <w:rFonts w:hint="eastAsia" w:ascii="仿宋" w:hAnsi="仿宋" w:eastAsia="仿宋" w:cs="仿宋"/>
          <w:b/>
          <w:bCs/>
          <w:sz w:val="24"/>
          <w:szCs w:val="24"/>
          <w:highlight w:val="none"/>
        </w:rPr>
        <w:t>四、提交投标文件截止时间、开标时间和地点</w:t>
      </w:r>
      <w:bookmarkEnd w:id="4"/>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提交投标文件截止时间：2023年0</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10 </w:t>
      </w:r>
      <w:r>
        <w:rPr>
          <w:rFonts w:hint="eastAsia" w:ascii="仿宋" w:hAnsi="仿宋" w:eastAsia="仿宋" w:cs="仿宋"/>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投标地点：政采云平台（https://www.zcygov.cn/），本项目采用不见面开标，加密的电子投标文件在投标截止时间前在政采云平台上传。</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开标时间：2023年0</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10</w:t>
      </w:r>
      <w:r>
        <w:rPr>
          <w:rFonts w:hint="eastAsia" w:ascii="仿宋" w:hAnsi="仿宋" w:eastAsia="仿宋" w:cs="仿宋"/>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5" w:name="_Toc17115"/>
      <w:r>
        <w:rPr>
          <w:rFonts w:hint="eastAsia" w:ascii="仿宋" w:hAnsi="仿宋" w:eastAsia="仿宋" w:cs="仿宋"/>
          <w:b/>
          <w:bCs/>
          <w:sz w:val="24"/>
          <w:szCs w:val="24"/>
          <w:highlight w:val="none"/>
        </w:rPr>
        <w:t>五、公告期限</w:t>
      </w:r>
      <w:bookmarkEnd w:id="5"/>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6" w:name="_Toc22084"/>
      <w:r>
        <w:rPr>
          <w:rFonts w:hint="eastAsia" w:ascii="仿宋" w:hAnsi="仿宋" w:eastAsia="仿宋" w:cs="仿宋"/>
          <w:b/>
          <w:bCs/>
          <w:sz w:val="24"/>
          <w:szCs w:val="24"/>
          <w:highlight w:val="none"/>
        </w:rPr>
        <w:t>六、其他补充事宜</w:t>
      </w:r>
      <w:bookmarkEnd w:id="6"/>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1、关于本项目所有公告、公示在新疆政府采购网发布。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4、各供应商应在开标前确保成为</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7" w:name="_Toc21999"/>
      <w:r>
        <w:rPr>
          <w:rFonts w:hint="eastAsia" w:ascii="仿宋" w:hAnsi="仿宋" w:eastAsia="仿宋" w:cs="仿宋"/>
          <w:b/>
          <w:bCs/>
          <w:sz w:val="24"/>
          <w:szCs w:val="24"/>
          <w:highlight w:val="none"/>
        </w:rPr>
        <w:t>七、对本次采购提出询问，请按以下方式联系</w:t>
      </w:r>
      <w:bookmarkEnd w:id="7"/>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bookmarkStart w:id="8" w:name="_Toc35393637"/>
      <w:bookmarkStart w:id="9" w:name="_Toc28359096"/>
      <w:bookmarkStart w:id="10" w:name="_Toc28359019"/>
      <w:bookmarkStart w:id="11" w:name="_Toc35393806"/>
      <w:r>
        <w:rPr>
          <w:rFonts w:hint="eastAsia" w:ascii="仿宋" w:hAnsi="仿宋" w:eastAsia="仿宋" w:cs="仿宋"/>
          <w:sz w:val="24"/>
          <w:szCs w:val="24"/>
          <w:highlight w:val="none"/>
        </w:rPr>
        <w:t>1.采购人信息</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bookmarkStart w:id="12" w:name="_Toc35393638"/>
      <w:bookmarkStart w:id="13" w:name="_Toc35393807"/>
      <w:bookmarkStart w:id="14" w:name="_Toc28359097"/>
      <w:bookmarkStart w:id="15" w:name="_Toc28359020"/>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新疆师范大学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址：新疆维吾尔自治区乌鲁木齐市水磨沟区观园路100号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rPr>
        <w:t>王老师  0991-4112288</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新疆世纪星工程咨询有限公司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rPr>
        <w:t>乌鲁木齐市黄山街一品九点阳光德港大厦B座20楼招标部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rPr>
        <w:t>李梦媛、李航、杜萍、龚凡</w:t>
      </w:r>
      <w:bookmarkStart w:id="103" w:name="_GoBack"/>
      <w:bookmarkEnd w:id="103"/>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联系方式：0991-3678303</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邮    箱：415485763@qq.com</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rPr>
        <w:t>李梦媛、李航、杜萍、龚凡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pStyle w:val="3"/>
        <w:numPr>
          <w:ilvl w:val="0"/>
          <w:numId w:val="1"/>
        </w:numPr>
        <w:bidi w:val="0"/>
        <w:jc w:val="center"/>
        <w:rPr>
          <w:rFonts w:hint="eastAsia" w:ascii="仿宋" w:hAnsi="仿宋" w:eastAsia="仿宋" w:cs="仿宋"/>
          <w:sz w:val="32"/>
          <w:szCs w:val="32"/>
          <w:highlight w:val="none"/>
        </w:rPr>
      </w:pPr>
      <w:bookmarkStart w:id="16" w:name="_Toc31403"/>
      <w:r>
        <w:rPr>
          <w:rFonts w:hint="eastAsia" w:ascii="仿宋" w:hAnsi="仿宋" w:eastAsia="仿宋" w:cs="仿宋"/>
          <w:sz w:val="32"/>
          <w:szCs w:val="32"/>
          <w:highlight w:val="none"/>
        </w:rPr>
        <w:t>投标须知前附表</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本表是本招标项目的具体资料，是对投标人须知的具体补充和修改，如有矛盾，应以本前附表为准。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6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665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采购人：</w:t>
            </w:r>
            <w:r>
              <w:rPr>
                <w:rFonts w:hint="eastAsia" w:ascii="仿宋" w:hAnsi="仿宋" w:eastAsia="仿宋" w:cs="仿宋"/>
                <w:sz w:val="24"/>
                <w:szCs w:val="24"/>
                <w:highlight w:val="none"/>
                <w:vertAlign w:val="baseline"/>
                <w:lang w:val="en-US"/>
              </w:rPr>
              <w:t>新疆师范大学</w:t>
            </w:r>
          </w:p>
          <w:p>
            <w:pPr>
              <w:adjustRightInd w:val="0"/>
              <w:snapToGrid w:val="0"/>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址：新疆维吾尔自治区乌鲁木齐市水磨沟区观园路100号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rPr>
              <w:t>王</w:t>
            </w:r>
            <w:r>
              <w:rPr>
                <w:rFonts w:hint="eastAsia" w:ascii="仿宋" w:hAnsi="仿宋" w:eastAsia="仿宋" w:cs="仿宋"/>
                <w:sz w:val="24"/>
                <w:szCs w:val="24"/>
                <w:highlight w:val="none"/>
                <w:lang w:val="en-US" w:eastAsia="zh-CN"/>
              </w:rPr>
              <w:t>老师</w:t>
            </w:r>
            <w:r>
              <w:rPr>
                <w:rFonts w:hint="eastAsia" w:ascii="仿宋" w:hAnsi="仿宋" w:eastAsia="仿宋" w:cs="仿宋"/>
                <w:sz w:val="24"/>
                <w:szCs w:val="24"/>
                <w:highlight w:val="none"/>
                <w:lang w:val="en-US"/>
              </w:rPr>
              <w:t xml:space="preserve">  0991-4112288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采购代理机构：新疆世纪星工程咨询有限公司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地址：乌鲁木齐经济技术开发区二期黄山街一品九点阳光德港大厦B座20楼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业务联系人：</w:t>
            </w:r>
            <w:r>
              <w:rPr>
                <w:rFonts w:hint="eastAsia" w:ascii="仿宋" w:hAnsi="仿宋" w:eastAsia="仿宋" w:cs="仿宋"/>
                <w:sz w:val="24"/>
                <w:szCs w:val="24"/>
                <w:highlight w:val="none"/>
                <w:vertAlign w:val="baseline"/>
                <w:lang w:val="en-US"/>
              </w:rPr>
              <w:t>李梦媛、李航</w:t>
            </w:r>
            <w:r>
              <w:rPr>
                <w:rFonts w:hint="eastAsia" w:ascii="仿宋" w:hAnsi="仿宋" w:eastAsia="仿宋" w:cs="仿宋"/>
                <w:sz w:val="24"/>
                <w:szCs w:val="24"/>
                <w:highlight w:val="none"/>
                <w:vertAlign w:val="baseline"/>
              </w:rPr>
              <w:t xml:space="preserve">    </w:t>
            </w:r>
            <w:r>
              <w:rPr>
                <w:rFonts w:hint="eastAsia" w:ascii="仿宋" w:hAnsi="仿宋" w:eastAsia="仿宋" w:cs="仿宋"/>
                <w:sz w:val="24"/>
                <w:szCs w:val="24"/>
                <w:highlight w:val="none"/>
                <w:vertAlign w:val="baseline"/>
                <w:lang w:val="en-US" w:eastAsia="zh-CN"/>
              </w:rPr>
              <w:t xml:space="preserve">  </w:t>
            </w:r>
            <w:r>
              <w:rPr>
                <w:rFonts w:hint="eastAsia" w:ascii="仿宋" w:hAnsi="仿宋" w:eastAsia="仿宋" w:cs="仿宋"/>
                <w:sz w:val="24"/>
                <w:szCs w:val="24"/>
                <w:highlight w:val="none"/>
                <w:vertAlign w:val="baseline"/>
              </w:rPr>
              <w:t xml:space="preserve">电话：0991-3678303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vertAlign w:val="baseline"/>
                <w:lang w:val="en-US"/>
              </w:rPr>
              <w:t>415485763@qq.com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合格投标人的其他资格要求：</w:t>
            </w:r>
            <w:r>
              <w:rPr>
                <w:rFonts w:hint="eastAsia" w:ascii="仿宋" w:hAnsi="仿宋" w:eastAsia="仿宋" w:cs="仿宋"/>
                <w:sz w:val="24"/>
                <w:szCs w:val="24"/>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w:t>
            </w:r>
            <w:r>
              <w:rPr>
                <w:rFonts w:hint="eastAsia" w:ascii="仿宋" w:hAnsi="仿宋" w:eastAsia="仿宋" w:cs="仿宋"/>
                <w:sz w:val="24"/>
                <w:szCs w:val="24"/>
                <w:highlight w:val="none"/>
                <w:vertAlign w:val="baseline"/>
                <w:lang w:val="en-US" w:eastAsia="zh-CN"/>
              </w:rPr>
              <w:t>冻货类</w:t>
            </w:r>
            <w:r>
              <w:rPr>
                <w:rFonts w:hint="eastAsia" w:ascii="仿宋" w:hAnsi="仿宋" w:eastAsia="仿宋" w:cs="仿宋"/>
                <w:sz w:val="24"/>
                <w:szCs w:val="24"/>
                <w:highlight w:val="none"/>
                <w:vertAlign w:val="baseline"/>
              </w:rPr>
              <w:t>）所属行业：</w:t>
            </w:r>
            <w:r>
              <w:rPr>
                <w:rFonts w:hint="eastAsia" w:ascii="仿宋" w:hAnsi="仿宋" w:eastAsia="仿宋" w:cs="仿宋"/>
                <w:sz w:val="24"/>
                <w:szCs w:val="24"/>
                <w:highlight w:val="none"/>
                <w:vertAlign w:val="baseline"/>
                <w:lang w:val="en-US" w:eastAsia="zh-CN"/>
              </w:rPr>
              <w:t>工业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是否为专门面向中小企业采购：是</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是否为本项目面向中小企业采购预留份额：是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如为是，未达到下面比例的投标将被认定为</w:t>
            </w:r>
            <w:r>
              <w:rPr>
                <w:rFonts w:hint="eastAsia" w:ascii="仿宋" w:hAnsi="仿宋" w:eastAsia="仿宋" w:cs="仿宋"/>
                <w:b/>
                <w:bCs/>
                <w:sz w:val="24"/>
                <w:szCs w:val="24"/>
                <w:highlight w:val="none"/>
                <w:vertAlign w:val="baseline"/>
                <w:lang w:val="en-US" w:eastAsia="zh-CN"/>
              </w:rPr>
              <w:t>投标无效</w:t>
            </w:r>
            <w:r>
              <w:rPr>
                <w:rFonts w:hint="eastAsia" w:ascii="仿宋" w:hAnsi="仿宋" w:eastAsia="仿宋" w:cs="仿宋"/>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预留份额：</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40%专门面向中小企业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其中60%专门面向小微企业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要求获得采购合同的投标人将不低于</w:t>
            </w:r>
            <w:r>
              <w:rPr>
                <w:rFonts w:hint="eastAsia" w:ascii="仿宋" w:hAnsi="仿宋" w:eastAsia="仿宋" w:cs="仿宋"/>
                <w:sz w:val="24"/>
                <w:szCs w:val="24"/>
                <w:highlight w:val="none"/>
                <w:u w:val="single"/>
                <w:vertAlign w:val="baseline"/>
                <w:lang w:val="en-US" w:eastAsia="zh-CN"/>
              </w:rPr>
              <w:t>40%</w:t>
            </w:r>
            <w:r>
              <w:rPr>
                <w:rFonts w:hint="eastAsia" w:ascii="仿宋" w:hAnsi="仿宋" w:eastAsia="仿宋" w:cs="仿宋"/>
                <w:sz w:val="24"/>
                <w:szCs w:val="24"/>
                <w:highlight w:val="none"/>
                <w:vertAlign w:val="baseline"/>
                <w:lang w:val="en-US" w:eastAsia="zh-CN"/>
              </w:rPr>
              <w:t>比例分包给 一家或者多家中小企业, 其中预留给小微企业的比例不低于</w:t>
            </w:r>
            <w:r>
              <w:rPr>
                <w:rFonts w:hint="eastAsia" w:ascii="仿宋" w:hAnsi="仿宋" w:eastAsia="仿宋" w:cs="仿宋"/>
                <w:sz w:val="24"/>
                <w:szCs w:val="24"/>
                <w:highlight w:val="none"/>
                <w:u w:val="single"/>
                <w:vertAlign w:val="baseline"/>
                <w:lang w:val="en-US" w:eastAsia="zh-CN"/>
              </w:rPr>
              <w:t xml:space="preserve"> 60%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1.10</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是否允许联合体投标：否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本标项（包）预算金额：150万元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vertAlign w:val="baseline"/>
                <w:lang w:val="en-US" w:eastAsia="zh-CN"/>
              </w:rPr>
              <w:t>最高限价：本标项各项物资单价均不得超过第五章采购需求中《物资采购清单》中最高限制单价，超过的按无效投标处理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5.7 </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是否需要提供样品：否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提供样品要求包括：</w:t>
            </w:r>
            <w:r>
              <w:rPr>
                <w:rFonts w:hint="eastAsia" w:ascii="仿宋" w:hAnsi="仿宋" w:eastAsia="仿宋" w:cs="仿宋"/>
                <w:sz w:val="24"/>
                <w:szCs w:val="24"/>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yellow"/>
                <w:vertAlign w:val="baseline"/>
              </w:rPr>
            </w:pPr>
            <w:r>
              <w:rPr>
                <w:rFonts w:hint="eastAsia" w:ascii="仿宋" w:hAnsi="仿宋" w:eastAsia="仿宋" w:cs="仿宋"/>
                <w:sz w:val="24"/>
                <w:szCs w:val="24"/>
                <w:highlight w:val="yellow"/>
                <w:vertAlign w:val="baseline"/>
              </w:rPr>
              <w:t>供应商可以对以上本项目第1-</w:t>
            </w:r>
            <w:r>
              <w:rPr>
                <w:rFonts w:hint="eastAsia" w:ascii="仿宋" w:hAnsi="仿宋" w:eastAsia="仿宋" w:cs="仿宋"/>
                <w:sz w:val="24"/>
                <w:szCs w:val="24"/>
                <w:highlight w:val="yellow"/>
                <w:vertAlign w:val="baseline"/>
                <w:lang w:val="en-US" w:eastAsia="zh-CN"/>
              </w:rPr>
              <w:t>2</w:t>
            </w:r>
            <w:r>
              <w:rPr>
                <w:rFonts w:hint="eastAsia" w:ascii="仿宋" w:hAnsi="仿宋" w:eastAsia="仿宋" w:cs="仿宋"/>
                <w:sz w:val="24"/>
                <w:szCs w:val="24"/>
                <w:highlight w:val="yellow"/>
                <w:vertAlign w:val="baseline"/>
              </w:rPr>
              <w:t>包同时进行投标，但第1、2包中一家供应商最多只能中1个包；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yellow"/>
                <w:vertAlign w:val="baseline"/>
                <w:lang w:val="en-US" w:eastAsia="zh-CN"/>
              </w:rPr>
              <w:t>本项目第2包中标人（新疆恒生佳源商贸有限责任公司）</w:t>
            </w:r>
            <w:r>
              <w:rPr>
                <w:rFonts w:hint="eastAsia" w:ascii="仿宋" w:hAnsi="仿宋" w:eastAsia="仿宋" w:cs="仿宋"/>
                <w:sz w:val="24"/>
                <w:szCs w:val="24"/>
                <w:highlight w:val="yellow"/>
                <w:vertAlign w:val="baseline"/>
              </w:rPr>
              <w:t>将不再被推荐为</w:t>
            </w:r>
            <w:r>
              <w:rPr>
                <w:rFonts w:hint="eastAsia" w:ascii="仿宋" w:hAnsi="仿宋" w:eastAsia="仿宋" w:cs="仿宋"/>
                <w:sz w:val="24"/>
                <w:szCs w:val="24"/>
                <w:highlight w:val="yellow"/>
                <w:vertAlign w:val="baseline"/>
                <w:lang w:val="en-US" w:eastAsia="zh-CN"/>
              </w:rPr>
              <w:t>本标项</w:t>
            </w:r>
            <w:r>
              <w:rPr>
                <w:rFonts w:hint="eastAsia" w:ascii="仿宋" w:hAnsi="仿宋" w:eastAsia="仿宋" w:cs="仿宋"/>
                <w:sz w:val="24"/>
                <w:szCs w:val="24"/>
                <w:highlight w:val="yellow"/>
                <w:vertAlign w:val="baseline"/>
              </w:rPr>
              <w:t>的中标人。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保证金形式：电汇或银行转账或投标保函</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30000</w:t>
            </w:r>
            <w:r>
              <w:rPr>
                <w:rFonts w:hint="eastAsia" w:ascii="仿宋" w:hAnsi="仿宋" w:eastAsia="仿宋" w:cs="仿宋"/>
                <w:sz w:val="24"/>
                <w:szCs w:val="24"/>
                <w:highlight w:val="none"/>
                <w:vertAlign w:val="baseline"/>
              </w:rPr>
              <w:t>元</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人民币叁万圆整</w:t>
            </w:r>
            <w:r>
              <w:rPr>
                <w:rFonts w:hint="eastAsia" w:ascii="仿宋" w:hAnsi="仿宋" w:eastAsia="仿宋" w:cs="仿宋"/>
                <w:sz w:val="24"/>
                <w:szCs w:val="24"/>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以电汇或银行转账形式缴纳保证金的投标人注意事项：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在汇款附言（或银行摘要）中，标明项目编号、包号（如分包）。每个项目须按照分包分别提交投标保证金。</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投标保函提交方式：供应商可通过"政采云平台金融服务中心"(https://jinrong.zcygov.cn/)，申请办理投标电子保函，成功出函的等效于缴纳投标保证金。</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rPr>
              <w:t>投标保证金（投标电子保函）有效期与投标有效期一致。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rPr>
              <w:t>投标有效期：90 日历日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投标截止时间：2023年 08 月 09 日 11:00（北京时间）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开标时间：同投标截止时间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履约保证金金额：/</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9" w:hRule="atLeast"/>
        </w:trPr>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是否由中标人缴纳招标代理费：是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招标代理费：以本包/标项预算金额参照原国家计委计价格【2002】1980 号文下浮</w:t>
            </w:r>
            <w:r>
              <w:rPr>
                <w:rFonts w:hint="eastAsia" w:ascii="仿宋" w:hAnsi="仿宋" w:eastAsia="仿宋" w:cs="仿宋"/>
                <w:b w:val="0"/>
                <w:bCs w:val="0"/>
                <w:sz w:val="24"/>
                <w:szCs w:val="24"/>
                <w:highlight w:val="none"/>
                <w:u w:val="single"/>
                <w:vertAlign w:val="baseline"/>
                <w:lang w:val="en-US" w:eastAsia="zh-CN"/>
              </w:rPr>
              <w:t xml:space="preserve">  70 </w:t>
            </w:r>
            <w:r>
              <w:rPr>
                <w:rFonts w:hint="eastAsia" w:ascii="仿宋" w:hAnsi="仿宋" w:eastAsia="仿宋" w:cs="仿宋"/>
                <w:b w:val="0"/>
                <w:bCs w:val="0"/>
                <w:sz w:val="24"/>
                <w:szCs w:val="24"/>
                <w:highlight w:val="none"/>
                <w:vertAlign w:val="baseline"/>
                <w:lang w:val="en-US" w:eastAsia="zh-CN"/>
              </w:rPr>
              <w:t xml:space="preserve">%的计算方法收取。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支付形式：支票、电汇等形式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核心产品：澳洲大串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项目属性：货物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85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1、关于本项目所有公告、公示在新疆政府采购网发布。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7、供应商在开标前须提前配置好电脑浏览器（建议使用360浏览器或谷歌浏览器），开标时请使用制作加密电子响应文件的CA锁进行解密及报价确认。</w:t>
            </w:r>
            <w:r>
              <w:rPr>
                <w:rFonts w:hint="eastAsia" w:ascii="仿宋" w:hAnsi="仿宋" w:eastAsia="仿宋" w:cs="仿宋"/>
                <w:b/>
                <w:bCs/>
                <w:sz w:val="24"/>
                <w:szCs w:val="24"/>
                <w:highlight w:val="none"/>
                <w:vertAlign w:val="baseline"/>
                <w:lang w:val="en-US" w:eastAsia="zh-CN"/>
              </w:rPr>
              <w:t>本项目投标文件解密时间定为30分钟，如投标人因自身原因导致在规定的时间无法正常解密，视为开标后撤销其投标文件，投标保证金招标人有权不予退还。</w:t>
            </w:r>
          </w:p>
        </w:tc>
      </w:tr>
    </w:tbl>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pStyle w:val="3"/>
        <w:numPr>
          <w:ilvl w:val="0"/>
          <w:numId w:val="1"/>
        </w:numPr>
        <w:bidi w:val="0"/>
        <w:jc w:val="center"/>
        <w:rPr>
          <w:rFonts w:hint="eastAsia" w:ascii="仿宋" w:hAnsi="仿宋" w:eastAsia="仿宋" w:cs="仿宋"/>
          <w:sz w:val="32"/>
          <w:szCs w:val="32"/>
          <w:highlight w:val="none"/>
        </w:rPr>
      </w:pPr>
      <w:bookmarkStart w:id="17" w:name="_Toc27881"/>
      <w:r>
        <w:rPr>
          <w:rFonts w:hint="eastAsia" w:ascii="仿宋" w:hAnsi="仿宋" w:eastAsia="仿宋" w:cs="仿宋"/>
          <w:sz w:val="32"/>
          <w:szCs w:val="32"/>
          <w:highlight w:val="none"/>
        </w:rPr>
        <w:t>投标人须知</w:t>
      </w:r>
      <w:bookmarkEnd w:id="17"/>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highlight w:val="none"/>
        </w:rPr>
      </w:pPr>
      <w:bookmarkStart w:id="18" w:name="_Toc20936"/>
      <w:r>
        <w:rPr>
          <w:rFonts w:hint="eastAsia" w:ascii="仿宋" w:hAnsi="仿宋" w:eastAsia="仿宋" w:cs="仿宋"/>
          <w:b/>
          <w:bCs/>
          <w:sz w:val="24"/>
          <w:szCs w:val="24"/>
          <w:highlight w:val="none"/>
        </w:rPr>
        <w:t>说 明</w:t>
      </w:r>
      <w:bookmarkEnd w:id="18"/>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采购人、采购代理机构及投标人</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采购人：是指依法进行政府采购的国家机构、事业单位、团体组织。</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采购代理机构：本次招标的采购代理机构为新疆世纪星工程咨询有限公司。</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投标人：是指向采购人提供货物、工程或者服务的法人、其他组织或者自然人。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投标人须满足以下条件：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具备《中华人民共和国政府采购法》第二十二条关于投标人条件的规定，遵守国家、本项目采购人本级和上级财政部门政府采购的有关规定。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以招标文件规定的方式获得了本项目的招标文件。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中规定的其他资格要求。</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中未写明允许采购进口产品，如投标人所投产品为进口产品，其投标将作为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被拒绝。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若投标须知前附表中写明专门面向中小企业采购的，如投标人所提供的货物为非中小企业制造或提供的服务、工程为非中小企业承接，其投标将被认定为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，未达到上述比例的投标将被认定为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投标人提供的货物、工程或者服务符合下列情形的，享受中小企业扶持政策：</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在货物采购项目中，投标人提供的货物既有中小企业制造货物，也有大型企业制造货物的，不享受中小企业扶持政策。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信息安全产品</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所投产品属于《关于调整信息安全产品强制性认证实施要求的公告》（2009 年第 33 号）范围的，采购经国家认证的信息安全产品，否则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。关于信息安全相关规定依据《关于信息安全产品实施政府采购的通知》（财库〔2010〕48 号）。</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中允许联合体投标，对联合体规定如下：</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两个以上投标人可以组成一个投标联合体，以一个投标人的身份投标。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采购人根据采购项目对投标人的特殊要求，联合体中至少应当有一方符合相关规定。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联合体中有同类资质的投标人按照联合体分工承担相同工作的，按照资质等级较低的投标人确定资质等级。</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资金来源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项目预算金额和最高限价见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投标人报价超过招标文件规定的预算金额或者最高限价的，其投标将被认定为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投标费用</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适用法律</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sz w:val="24"/>
          <w:szCs w:val="24"/>
          <w:highlight w:val="none"/>
          <w:lang w:val="en-US" w:eastAsia="zh-CN"/>
        </w:rPr>
      </w:pPr>
      <w:bookmarkStart w:id="19" w:name="_Toc6547"/>
      <w:r>
        <w:rPr>
          <w:rFonts w:hint="eastAsia" w:ascii="仿宋" w:hAnsi="仿宋" w:eastAsia="仿宋" w:cs="仿宋"/>
          <w:b/>
          <w:bCs/>
          <w:sz w:val="24"/>
          <w:szCs w:val="24"/>
          <w:highlight w:val="none"/>
          <w:lang w:val="en-US" w:eastAsia="zh-CN"/>
        </w:rPr>
        <w:t>招标文件</w:t>
      </w:r>
      <w:bookmarkEnd w:id="19"/>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招标文件构成</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招标文件包括以下部分：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招标公告（投标邀请）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投标须知前附表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投标人须知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投标文件格式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sz w:val="24"/>
          <w:szCs w:val="24"/>
          <w:highlight w:val="none"/>
          <w:u w:val="none"/>
          <w:lang w:val="en-US" w:eastAsia="zh-CN"/>
        </w:rPr>
        <w:t>投标须知前附表</w:t>
      </w:r>
      <w:r>
        <w:rPr>
          <w:rFonts w:hint="eastAsia" w:ascii="仿宋" w:hAnsi="仿宋" w:eastAsia="仿宋" w:cs="仿宋"/>
          <w:b w:val="0"/>
          <w:bCs w:val="0"/>
          <w:sz w:val="24"/>
          <w:szCs w:val="24"/>
          <w:highlight w:val="none"/>
          <w:lang w:val="en-US" w:eastAsia="zh-CN"/>
        </w:rPr>
        <w:t>不涉及的内容，以编排在后的最后描述为准。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投标人自行承担踏勘现场发生的责任、风险和自身费用。</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，对样品的评审方法及评审标准见招标文件第六章《评标程序、评标方法和评标标准》。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招标文件规定投标人提交样品的，样品属于投标文件的组成部分。样品的生产、运输、安装、保全等一切费用由投标人自理。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对招标文件的澄清或修改</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如更正公告有重新发布电子招标文件的，投标人应登录电子招投标平台下载最新发布的电子招标文件制作投标文件。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0" w:name="_Toc9070"/>
      <w:r>
        <w:rPr>
          <w:rFonts w:hint="eastAsia" w:ascii="仿宋" w:hAnsi="仿宋" w:eastAsia="仿宋" w:cs="仿宋"/>
          <w:b/>
          <w:bCs/>
          <w:sz w:val="24"/>
          <w:szCs w:val="24"/>
          <w:highlight w:val="none"/>
          <w:lang w:val="en-US" w:eastAsia="zh-CN"/>
        </w:rPr>
        <w:t>投标文件的编制</w:t>
      </w:r>
      <w:bookmarkEnd w:id="20"/>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投标范围、投标文件中计量单位的使用及投标语言</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投标人可对招标文件中一个或几个分包进行投标，除非在</w:t>
      </w:r>
      <w:r>
        <w:rPr>
          <w:rFonts w:hint="eastAsia" w:ascii="仿宋" w:hAnsi="仿宋" w:eastAsia="仿宋" w:cs="仿宋"/>
          <w:b w:val="0"/>
          <w:bCs w:val="0"/>
          <w:sz w:val="24"/>
          <w:szCs w:val="24"/>
          <w:highlight w:val="none"/>
          <w:u w:val="single"/>
          <w:lang w:val="en-US" w:eastAsia="zh-CN"/>
        </w:rPr>
        <w:t>投标须知前附表中另有规定</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投标人应当对所投采购包对应第五章《采购需求》所列的全部内容进行投标，如仅响应采购包中的部分内容，其该包投标将被认定为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无论招标文件中是否要求，投标人所投货物或服务均应符合国家强制性标准。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除招标文件有特殊要求外，本项目投标所使用的计量单位，应采用中华人民共和国法定计量单位。</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投标文件构成</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投标人认为应附的其他材料。</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所有投标均以人民币报价。</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应当包括满足本次招标全部采购需求所应提供的全部内容。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highlight w:val="none"/>
          <w:lang w:val="en-US" w:eastAsia="zh-CN"/>
        </w:rPr>
        <w:t>投标被拒绝</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投标保证金</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中规定的金额及要求交纳投标保证金，并作为其投标的一部分。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交纳投标保证金的形式除</w:t>
      </w:r>
      <w:r>
        <w:rPr>
          <w:rFonts w:hint="eastAsia" w:ascii="仿宋" w:hAnsi="仿宋" w:eastAsia="仿宋" w:cs="仿宋"/>
          <w:b w:val="0"/>
          <w:bCs w:val="0"/>
          <w:sz w:val="24"/>
          <w:szCs w:val="24"/>
          <w:highlight w:val="none"/>
          <w:u w:val="single"/>
          <w:lang w:val="en-US" w:eastAsia="zh-CN"/>
        </w:rPr>
        <w:t>投标须知前附表中</w:t>
      </w:r>
      <w:r>
        <w:rPr>
          <w:rFonts w:hint="eastAsia" w:ascii="仿宋" w:hAnsi="仿宋" w:eastAsia="仿宋" w:cs="仿宋"/>
          <w:b w:val="0"/>
          <w:bCs w:val="0"/>
          <w:sz w:val="24"/>
          <w:szCs w:val="24"/>
          <w:highlight w:val="none"/>
          <w:u w:val="none"/>
          <w:lang w:val="en-US" w:eastAsia="zh-CN"/>
        </w:rPr>
        <w:t>另有约定外，</w:t>
      </w:r>
      <w:r>
        <w:rPr>
          <w:rFonts w:hint="eastAsia" w:ascii="仿宋" w:hAnsi="仿宋" w:eastAsia="仿宋" w:cs="仿宋"/>
          <w:b w:val="0"/>
          <w:bCs w:val="0"/>
          <w:sz w:val="24"/>
          <w:szCs w:val="24"/>
          <w:highlight w:val="none"/>
          <w:lang w:val="en-US" w:eastAsia="zh-CN"/>
        </w:rPr>
        <w:t>可采用的形式：政府采购法律法规接受的支票、汇票、本票、网上银行支付或者金融机构、担保机构出具的保函等非现金形式。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。电子保函与纸质保函具有同样效力。</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投标保证金（保函）有效期同投标有效期。</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联合体投标的，可以由联合体中的一方或者共同提交投标保证金，以一方名义提交投标保证金的，对联合体各方均具有约束力。</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投标人在投标截止时间前撤回已提交的投标文件的，自收到投标人书面撤回通知之日起 5 个工作日内退还已收取的投标保证金。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中标人的投标保证金，自采购合同签订之日起 5 个工作日内退还中标人。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未中标投标人的投标保证金，自中标通知书发出之日起 5 个工作日内退还未中标人。</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终止采购活动的项目已经收取投标保证金的，自终止采购活动后 5 个工作日内退还已收取的投标保证金。</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有下列情形之一的，采购人或采购代理机构可以不予退还投标保证金：</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在投标有效期内，投标人撤回投标的；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中标人不按本招标文件的规定与采购人签订合同的；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中标人不按本招标文件的规定提交履约保证金的；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中标人不按本招标文件的规定缴纳中标服务费的；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法律、法规规定的其它情况。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投标有效期</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中规定的投标有效期内保持有效，投标有效期少于招标文件规定期限的，其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投标文件的制作</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投标人应使用电子招投标平台提供的投标客户端编制、标记、加密投标文件，成功加密后将生成指定格式的电子投标文件和电子备用投标文件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如有对多个采购包投标的，要对每个采购包独立制作电子投标文件。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投标人须对招标文件的对应要求给予唯一的实质性响应，否则将视为</w:t>
      </w:r>
      <w:r>
        <w:rPr>
          <w:rFonts w:hint="eastAsia" w:ascii="仿宋" w:hAnsi="仿宋" w:eastAsia="仿宋" w:cs="仿宋"/>
          <w:b/>
          <w:bCs/>
          <w:sz w:val="24"/>
          <w:szCs w:val="24"/>
          <w:highlight w:val="none"/>
          <w:lang w:val="en-US" w:eastAsia="zh-CN"/>
        </w:rPr>
        <w:t>不响应</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招标文件中，凡标有“※”的地方均为实质性响应条款，投标人若有一项带“※”的条款未响应或不满足，将按无效投标处理。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1" w:name="_Toc21719"/>
      <w:r>
        <w:rPr>
          <w:rFonts w:hint="eastAsia" w:ascii="仿宋" w:hAnsi="仿宋" w:eastAsia="仿宋" w:cs="仿宋"/>
          <w:b/>
          <w:bCs/>
          <w:sz w:val="24"/>
          <w:szCs w:val="24"/>
          <w:highlight w:val="none"/>
          <w:lang w:val="en-US" w:eastAsia="zh-CN"/>
        </w:rPr>
        <w:t>投标文件的提交</w:t>
      </w:r>
      <w:bookmarkEnd w:id="21"/>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投标文件的提交</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代理机构对因不可抗力事件造成的投标文件的损坏、丢失的，不承担责任。</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出现下述情形之一，属于未成功提交投标文件，按无效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至提交投标文件截止时，投标文件未完整上传的。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投标文件未按投标格式中注明需签字盖章的要求进行签名（含电子签名）和加盖电子印章，或签名（含电子签名）或电子印章不完整的。</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投标文件损坏或格式不正确的。</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投标文件的修改、撤回与撤销</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在提交投标文件截止时间后，投标人不得补充、修改和更换投标文件。</w:t>
      </w:r>
      <w:r>
        <w:rPr>
          <w:rFonts w:hint="eastAsia" w:ascii="仿宋" w:hAnsi="仿宋" w:eastAsia="仿宋" w:cs="仿宋"/>
          <w:b/>
          <w:bCs/>
          <w:sz w:val="24"/>
          <w:szCs w:val="24"/>
          <w:highlight w:val="none"/>
          <w:lang w:val="en-US" w:eastAsia="zh-CN"/>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2" w:name="_Toc15263"/>
      <w:r>
        <w:rPr>
          <w:rFonts w:hint="eastAsia" w:ascii="仿宋" w:hAnsi="仿宋" w:eastAsia="仿宋" w:cs="仿宋"/>
          <w:b/>
          <w:bCs/>
          <w:sz w:val="24"/>
          <w:szCs w:val="24"/>
          <w:highlight w:val="none"/>
          <w:lang w:val="en-US" w:eastAsia="zh-CN"/>
        </w:rPr>
        <w:t>开标、资格审查及评标</w:t>
      </w:r>
      <w:bookmarkEnd w:id="22"/>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投标截止时间后，投标人不足3家的，不得开标。同时，本次采购活动结束。</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因投标人自身原因，未在规定时间内完成电子投标文件解密的；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采购人或采购代理机构将对开标过程进行记录，由参加开标的各投标人代表和相关工作人员签字确认。</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w:t>
      </w:r>
      <w:r>
        <w:rPr>
          <w:rFonts w:hint="eastAsia" w:ascii="仿宋" w:hAnsi="仿宋" w:eastAsia="仿宋" w:cs="仿宋"/>
          <w:b w:val="0"/>
          <w:bCs w:val="0"/>
          <w:sz w:val="24"/>
          <w:szCs w:val="24"/>
          <w:highlight w:val="none"/>
          <w:u w:val="none"/>
          <w:lang w:val="en-US" w:eastAsia="zh-CN"/>
        </w:rPr>
        <w:t>第六章《评标程序、评标方法和评标标准》</w:t>
      </w:r>
      <w:r>
        <w:rPr>
          <w:rFonts w:hint="eastAsia" w:ascii="仿宋" w:hAnsi="仿宋" w:eastAsia="仿宋" w:cs="仿宋"/>
          <w:b w:val="0"/>
          <w:bCs w:val="0"/>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评标委员会</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评标委员会根据政府采购有关规定和本次招标采购项目的特点进行组建，并负责具体评标事务，独立履行职责。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3" w:name="_Toc7787"/>
      <w:r>
        <w:rPr>
          <w:rFonts w:hint="eastAsia" w:ascii="仿宋" w:hAnsi="仿宋" w:eastAsia="仿宋" w:cs="仿宋"/>
          <w:b/>
          <w:bCs/>
          <w:sz w:val="24"/>
          <w:szCs w:val="24"/>
          <w:highlight w:val="none"/>
          <w:lang w:val="en-US" w:eastAsia="zh-CN"/>
        </w:rPr>
        <w:t>确定中标</w:t>
      </w:r>
      <w:bookmarkEnd w:id="23"/>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确定中标人</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采购人将在评标报告确定的中标候选人名单中按综合得分排名顺序确定中标人。采购人是否委托评标委员会直接确定中标人见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中标公告与中标通知书</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中标通知书对采购人和中标供应商均具有法律效力。中标通知书发出后，中标供应商放弃中标项目的，应当依法承担法律责任。</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在招标采购中，出现下列情形之一的，应予废标：</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符合专业条件的供应商或者对招标文件作实质响应的供应商不足三家的；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投标人的报价均超过了采购预算，采购人不能支付的；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废标后，采购人将废标理由通知所有投标人。</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中标人拒绝与采购人签订合同的，采购人可以按照评标报告推荐的中标候选人名单排序，确定下一候选人为中标人，也可以重新开展政府采购活动。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联合体中标的，联合体各方应当共同与采购人签订合同，就中标项目向采购人承担连带责任。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政府采购合同不能转包。如采购人允许采用分包方式履行合同的，中标人可以依法在中标后将中标项目的非主体、非关键性工作采取分包方式履行合同。</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中标人应按照</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规定的金额、形式和时间向采购人缴纳履约保证金。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经采购人同意，中标人也可以自愿采用其他履约保证金的提供方式。</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收费对象、收费标准及缴纳时间见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 xml:space="preserve">。由中标人支付的，中标人须一次性向采购代理机构缴纳代理费，投标报价应包含代理费用。 </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中“采购人、采购代理机构的名称、地址和联系方式”。</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（1）对招标文件提出质疑的，为获取招标文件之日或者招标文件获取期限届满之日；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（3）对中标结果提出质疑的，为中标结果公告期限届满之日。 </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投标人为自然人的，应当由本人签字；投标人为法人或者其他组织的，应当由法定代表人、主要负责人，或者其授权代表签字或者盖章，并加盖公章。</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其他</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适用于本投标人须知的额外增加的变动详见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24" w:name="_Toc22543"/>
      <w:r>
        <w:rPr>
          <w:rFonts w:hint="eastAsia" w:ascii="仿宋" w:hAnsi="仿宋" w:eastAsia="仿宋" w:cs="仿宋"/>
          <w:sz w:val="32"/>
          <w:szCs w:val="32"/>
          <w:highlight w:val="none"/>
          <w:lang w:val="en-US" w:eastAsia="zh-CN"/>
        </w:rPr>
        <w:t>政府采购合同</w:t>
      </w:r>
      <w:bookmarkEnd w:id="24"/>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Cs/>
          <w:sz w:val="24"/>
          <w:szCs w:val="24"/>
          <w:highlight w:val="none"/>
        </w:rPr>
        <w:t>（根据《政府采购法》和《</w:t>
      </w:r>
      <w:r>
        <w:rPr>
          <w:rFonts w:hint="eastAsia" w:ascii="仿宋" w:hAnsi="仿宋" w:eastAsia="仿宋" w:cs="仿宋"/>
          <w:bCs/>
          <w:sz w:val="24"/>
          <w:szCs w:val="24"/>
          <w:highlight w:val="none"/>
          <w:lang w:val="en-US" w:eastAsia="zh-CN"/>
        </w:rPr>
        <w:t>中华人民共和国民法典</w:t>
      </w:r>
      <w:r>
        <w:rPr>
          <w:rFonts w:hint="eastAsia" w:ascii="仿宋" w:hAnsi="仿宋" w:eastAsia="仿宋" w:cs="仿宋"/>
          <w:bCs/>
          <w:sz w:val="24"/>
          <w:szCs w:val="24"/>
          <w:highlight w:val="none"/>
        </w:rPr>
        <w:t>》。采购人和供应商之间的权利和义务，应当按照平等的原则以合同方式约定。</w:t>
      </w:r>
      <w:r>
        <w:rPr>
          <w:rFonts w:hint="eastAsia" w:ascii="仿宋" w:hAnsi="仿宋" w:eastAsia="仿宋" w:cs="仿宋"/>
          <w:b/>
          <w:bCs w:val="0"/>
          <w:sz w:val="24"/>
          <w:szCs w:val="24"/>
          <w:highlight w:val="none"/>
        </w:rPr>
        <w:t>此合同书仅作为签订正式合同时的参考。</w:t>
      </w:r>
      <w:r>
        <w:rPr>
          <w:rFonts w:hint="eastAsia" w:ascii="仿宋" w:hAnsi="仿宋" w:eastAsia="仿宋" w:cs="仿宋"/>
          <w:bCs/>
          <w:sz w:val="24"/>
          <w:szCs w:val="24"/>
          <w:highlight w:val="none"/>
        </w:rPr>
        <w:t>）</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 合同文件</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本合同所附下列文件是构成本合同不可分割的部分：</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(1)采购文件</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(2)合同条款</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eastAsia="zh-CN"/>
        </w:rPr>
        <w:t>成交供应商</w:t>
      </w:r>
      <w:r>
        <w:rPr>
          <w:rFonts w:hint="eastAsia" w:ascii="仿宋" w:hAnsi="仿宋" w:eastAsia="仿宋" w:cs="仿宋"/>
          <w:bCs/>
          <w:sz w:val="24"/>
          <w:szCs w:val="24"/>
          <w:highlight w:val="none"/>
        </w:rPr>
        <w:t>提交的响应文件</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(4)技术规格（包括图纸，如果有的话）</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(5)中标/成交通知书</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2．合同范围和条件</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本合同的范围和条件与上述文件的规定相一致。</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3．货物及数量</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本合同所提供的货物数量/服务详见</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文件“第</w:t>
      </w:r>
      <w:r>
        <w:rPr>
          <w:rFonts w:hint="eastAsia" w:ascii="仿宋" w:hAnsi="仿宋" w:eastAsia="仿宋" w:cs="仿宋"/>
          <w:bCs/>
          <w:sz w:val="24"/>
          <w:szCs w:val="24"/>
          <w:highlight w:val="none"/>
          <w:lang w:eastAsia="zh-CN"/>
        </w:rPr>
        <w:t>四</w:t>
      </w:r>
      <w:r>
        <w:rPr>
          <w:rFonts w:hint="eastAsia" w:ascii="仿宋" w:hAnsi="仿宋" w:eastAsia="仿宋" w:cs="仿宋"/>
          <w:bCs/>
          <w:sz w:val="24"/>
          <w:szCs w:val="24"/>
          <w:highlight w:val="none"/>
        </w:rPr>
        <w:t>章</w:t>
      </w:r>
      <w:r>
        <w:rPr>
          <w:rFonts w:hint="eastAsia" w:ascii="仿宋" w:hAnsi="仿宋" w:eastAsia="仿宋" w:cs="仿宋"/>
          <w:sz w:val="24"/>
          <w:szCs w:val="24"/>
          <w:highlight w:val="none"/>
        </w:rPr>
        <w:t>采购项目技术规格、参数及要求</w:t>
      </w:r>
      <w:r>
        <w:rPr>
          <w:rFonts w:hint="eastAsia" w:ascii="仿宋" w:hAnsi="仿宋" w:eastAsia="仿宋" w:cs="仿宋"/>
          <w:bCs/>
          <w:sz w:val="24"/>
          <w:szCs w:val="24"/>
          <w:highlight w:val="none"/>
        </w:rPr>
        <w:t>”。</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4．合同金额</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合同总金额为元人民币，分项价格见响应文件按报价明细表。</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5．合同生效及支付条件和方式</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6．交货时间和交货地点</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本合同货物的交货时间和交货地点按</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文件“第</w:t>
      </w:r>
      <w:r>
        <w:rPr>
          <w:rFonts w:hint="eastAsia" w:ascii="仿宋" w:hAnsi="仿宋" w:eastAsia="仿宋" w:cs="仿宋"/>
          <w:bCs/>
          <w:sz w:val="24"/>
          <w:szCs w:val="24"/>
          <w:highlight w:val="none"/>
          <w:lang w:eastAsia="zh-CN"/>
        </w:rPr>
        <w:t>四</w:t>
      </w:r>
      <w:r>
        <w:rPr>
          <w:rFonts w:hint="eastAsia" w:ascii="仿宋" w:hAnsi="仿宋" w:eastAsia="仿宋" w:cs="仿宋"/>
          <w:bCs/>
          <w:sz w:val="24"/>
          <w:szCs w:val="24"/>
          <w:highlight w:val="none"/>
        </w:rPr>
        <w:t xml:space="preserve">章 </w:t>
      </w:r>
      <w:r>
        <w:rPr>
          <w:rFonts w:hint="eastAsia" w:ascii="仿宋" w:hAnsi="仿宋" w:eastAsia="仿宋" w:cs="仿宋"/>
          <w:sz w:val="24"/>
          <w:szCs w:val="24"/>
          <w:highlight w:val="none"/>
        </w:rPr>
        <w:t>采购需求</w:t>
      </w:r>
      <w:r>
        <w:rPr>
          <w:rFonts w:hint="eastAsia" w:ascii="仿宋" w:hAnsi="仿宋" w:eastAsia="仿宋" w:cs="仿宋"/>
          <w:bCs/>
          <w:sz w:val="24"/>
          <w:szCs w:val="24"/>
          <w:highlight w:val="none"/>
        </w:rPr>
        <w:t>”执行。</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采购人（盖章）：</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供　　方（盖章）：</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单位地址：</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单位地址：</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法人代表授权人(签字)：</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法人代表授权人(签字)：</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 系 人：</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联 系 人：</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电　　话：</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传　　真：</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邮政编码：</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开户银行：</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　　号：</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帐　　号：</w:t>
      </w:r>
    </w:p>
    <w:p>
      <w:pPr>
        <w:pStyle w:val="30"/>
        <w:rPr>
          <w:rFonts w:hint="eastAsia" w:ascii="仿宋" w:hAnsi="仿宋" w:eastAsia="仿宋" w:cs="仿宋"/>
          <w:sz w:val="24"/>
          <w:szCs w:val="24"/>
          <w:highlight w:val="none"/>
        </w:rPr>
      </w:pPr>
    </w:p>
    <w:p>
      <w:pPr>
        <w:pStyle w:val="30"/>
        <w:spacing w:line="500" w:lineRule="exact"/>
        <w:jc w:val="center"/>
        <w:rPr>
          <w:rFonts w:hint="eastAsia" w:ascii="仿宋" w:hAnsi="仿宋" w:eastAsia="仿宋" w:cs="仿宋"/>
          <w:b/>
          <w:kern w:val="0"/>
          <w:sz w:val="24"/>
          <w:szCs w:val="24"/>
          <w:highlight w:val="none"/>
        </w:rPr>
      </w:pPr>
      <w:bookmarkStart w:id="25" w:name="_Hlk450145418"/>
      <w:r>
        <w:rPr>
          <w:rFonts w:hint="eastAsia" w:ascii="仿宋" w:hAnsi="仿宋" w:eastAsia="仿宋" w:cs="仿宋"/>
          <w:b/>
          <w:spacing w:val="120"/>
          <w:kern w:val="0"/>
          <w:sz w:val="24"/>
          <w:szCs w:val="24"/>
          <w:highlight w:val="none"/>
        </w:rPr>
        <w:t>合同条</w:t>
      </w:r>
      <w:r>
        <w:rPr>
          <w:rFonts w:hint="eastAsia" w:ascii="仿宋" w:hAnsi="仿宋" w:eastAsia="仿宋" w:cs="仿宋"/>
          <w:b/>
          <w:kern w:val="0"/>
          <w:sz w:val="24"/>
          <w:szCs w:val="24"/>
          <w:highlight w:val="none"/>
        </w:rPr>
        <w:t>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1．有关概念</w:t>
      </w:r>
    </w:p>
    <w:p>
      <w:pPr>
        <w:pStyle w:val="30"/>
        <w:spacing w:line="50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本合同下列术语应解释为：</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1.1</w:t>
      </w:r>
      <w:r>
        <w:rPr>
          <w:rFonts w:hint="eastAsia" w:ascii="仿宋" w:hAnsi="仿宋" w:eastAsia="仿宋" w:cs="仿宋"/>
          <w:bCs/>
          <w:sz w:val="24"/>
          <w:szCs w:val="24"/>
          <w:highlight w:val="none"/>
        </w:rPr>
        <w:t>“合同”，系指买供双方签署的、合同格式中载明的买供双方所达成的协议，包括所有的附件、附录和上述文件所提到的构成合同的所有文件。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1.2“合同价”，系指根据合同规定供方在正确地履行合同义务后采购人应支付给供方的价格。</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1.3“货物”，系指供方根据合同规定须向采购人提供的各种形态和种类的物品，包括产品、设备、配件等。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1.5“采购人”，系指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文件中所述购买货物和服务的单位。</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1.6“供方”，系指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文件中所述提供货物和服务的公司或实体，亦即中标人。</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1.7“天”，系日历天数。</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2．技术规格</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2.1交付货物的技术规格应与响应文件规定的技术规格以及所附的技术规格响应表相一致。</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2.2除技术规格另有规定外，计量单位均使用中华人民共和国法定计量单位。</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3．专利权</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3.1供方应保证采购人在使用该货物或其任何一部分时免受第三方提出侵犯其专利权、商标权或工业设计权的起诉。若由此出现侵权诉讼，由供方承担全部责任。</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3.2供方按合同要求为采购人提交的设计方案，其所有权、使用权等所有权力均转为采购人所拥有，供方放弃拥有关于设计方案的所有权力。</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4.包装要求</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4.1除合同另有规定外，供方提供的所有单独包装的货物都应具有原始的、完好的标准包装。如遇交付前已拆封货物，采购人有权拒绝接受或要求更换。</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4.2每个包装箱内的装箱清单、使用说明书、质量证书、保修卡及软件使用说明等所有资料均须齐全。</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 装运条件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5.1供方负责安排运输，运输费由供方承担。</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5.2提单日期应视为实际交货日期。</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5.3供方装运的货物不得超过合同规定的数量或重量。否则，供方应对超运数量或重量而产生的一切后果负责。</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 付款</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6.1本合同以人民币支付。</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6.2供方按照合同规定交货。交货后供方把下列单据提交给采购人,采购人按合同规定审核后办理付款手续：</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（1）发票</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（2）质量证书</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（3）详细配置、数量清单</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（4）检验报告</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6.3采购人按合同规定的合同生效及支付条件和方式安排付款。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7．伴随服务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7.1供方随同货物提交所供货物的技术资料。包括相应每套货物的中文技术文件，如：产品目录、操作手册、使用说明、维护手册或服务指南等。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7.2供方应提供下列服务：</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（1）货物的现场安装和启动监督；</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（2）提供货物组装和维修所必须的工具；</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（3）在项目现场就货物的安装、启动、运行和维护，按采购人的要求提供技术培训。</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7.3伴随服务的费用含在合同价中，不另行支付。</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Cs/>
          <w:sz w:val="24"/>
          <w:szCs w:val="24"/>
          <w:highlight w:val="none"/>
        </w:rPr>
        <w:t>8.</w:t>
      </w:r>
      <w:r>
        <w:rPr>
          <w:rFonts w:hint="eastAsia" w:ascii="仿宋" w:hAnsi="仿宋" w:eastAsia="仿宋" w:cs="仿宋"/>
          <w:b/>
          <w:sz w:val="24"/>
          <w:szCs w:val="24"/>
          <w:highlight w:val="none"/>
        </w:rPr>
        <w:t>备品备件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8.1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方可能被要</w:t>
      </w:r>
      <w:r>
        <w:rPr>
          <w:rFonts w:hint="eastAsia" w:ascii="仿宋" w:hAnsi="仿宋" w:eastAsia="仿宋" w:cs="仿宋"/>
          <w:sz w:val="24"/>
          <w:szCs w:val="24"/>
          <w:highlight w:val="none"/>
        </w:rPr>
        <w:t>求提供下列与备件有关的材料、通知和资料：</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（1）采购方从供方选购备件，但前提条件是该选购并不能免除供方在合同保证期内所承担的义务；</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（2）在备件停止生产的情况下，供方应事先将要停止生产的计划通知买方有足够的时间采购所需的备件；</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（3）在备件停止生产后，如果采购方要求，供方应免费向采购方提供备件的蓝图、图纸和规格。</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9、质量保证及售后服务</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（一）质量保证</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9.2在质保期内或货物无质保期的则在两年内，如果货物的数量、质量或规格与合同不符，或证实货物有缺陷的，采购人可尽快以书面形式向供方提出本保证下的索赔。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9.3供方在收到索赔通知后十日内须免费更换有缺陷的货物或部件。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9.4供方在收到索赔通知后十日内没有弥补缺陷，采购人可采取必要的补救措施，其风险和费用将由供方承担，采购人根据合同规定向供方行使的其它权利不受影响。</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(二)质量保证期后服务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9.5 质保期满后，若有零部件出现故障，经权威部门鉴定属于寿命异常问题（明显短于该零部件正常寿命时），则由供方负责免费更换及维修。</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9.7 乙方交货后，若设备发生故障，乙方应在甲方报修后24小时内到达。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10．检验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10.2货物交付后，采购人申请有关部门对货物的质量、数量等进行检验并出具检验证书。</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11．索赔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1.1采购人有权根据有关部门出具的检验证书向供方提出索赔。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11.2在合同条款第8条规定的质保期内，如果供方对差异负有责任而采购人提出索赔，供方应按照采购人的损失程度进行赔偿。</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12．</w:t>
      </w:r>
      <w:r>
        <w:rPr>
          <w:rFonts w:hint="eastAsia" w:ascii="仿宋" w:hAnsi="仿宋" w:eastAsia="仿宋" w:cs="仿宋"/>
          <w:sz w:val="24"/>
          <w:szCs w:val="24"/>
          <w:highlight w:val="none"/>
        </w:rPr>
        <w:t>供</w:t>
      </w:r>
      <w:r>
        <w:rPr>
          <w:rFonts w:hint="eastAsia" w:ascii="仿宋" w:hAnsi="仿宋" w:eastAsia="仿宋" w:cs="仿宋"/>
          <w:b/>
          <w:sz w:val="24"/>
          <w:szCs w:val="24"/>
          <w:highlight w:val="none"/>
        </w:rPr>
        <w:t>方履约延误</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12.1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方应</w:t>
      </w:r>
      <w:r>
        <w:rPr>
          <w:rFonts w:hint="eastAsia" w:ascii="仿宋" w:hAnsi="仿宋" w:eastAsia="仿宋" w:cs="仿宋"/>
          <w:sz w:val="24"/>
          <w:szCs w:val="24"/>
          <w:highlight w:val="none"/>
        </w:rPr>
        <w:t>按规定</w:t>
      </w:r>
      <w:r>
        <w:rPr>
          <w:rFonts w:hint="eastAsia" w:ascii="仿宋" w:hAnsi="仿宋" w:eastAsia="仿宋" w:cs="仿宋"/>
          <w:bCs/>
          <w:sz w:val="24"/>
          <w:szCs w:val="24"/>
          <w:highlight w:val="none"/>
        </w:rPr>
        <w:t>的时间交货和提供服务。</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12.2如</w:t>
      </w:r>
      <w:r>
        <w:rPr>
          <w:rFonts w:hint="eastAsia" w:ascii="仿宋" w:hAnsi="仿宋" w:eastAsia="仿宋" w:cs="仿宋"/>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12.3在履行</w:t>
      </w:r>
      <w:r>
        <w:rPr>
          <w:rFonts w:hint="eastAsia" w:ascii="仿宋" w:hAnsi="仿宋" w:eastAsia="仿宋" w:cs="仿宋"/>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12.4供方交付的货物不符合</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文件、响应文件和本合同规定的，采购方有权拒收，并且供方需向采购方支付本合同总价10%的违约金。</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13．不可抗力</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13.1如果双</w:t>
      </w:r>
      <w:r>
        <w:rPr>
          <w:rFonts w:hint="eastAsia" w:ascii="仿宋" w:hAnsi="仿宋" w:eastAsia="仿宋" w:cs="仿宋"/>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14．税费</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14.1政府根据现行税法对</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方征收的与本合同有关的一切税费均由</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方负担。</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15．违约终止合同</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15.1出现下</w:t>
      </w:r>
      <w:r>
        <w:rPr>
          <w:rFonts w:hint="eastAsia" w:ascii="仿宋" w:hAnsi="仿宋" w:eastAsia="仿宋" w:cs="仿宋"/>
          <w:sz w:val="24"/>
          <w:szCs w:val="24"/>
          <w:highlight w:val="none"/>
        </w:rPr>
        <w:t>列情况之一，采购人在对供方违约而采取的任何补救措施不受影响的情况下，可向供方发出终止部分或全部合同的书面通知书。</w:t>
      </w:r>
    </w:p>
    <w:p>
      <w:pPr>
        <w:pStyle w:val="29"/>
        <w:tabs>
          <w:tab w:val="left" w:pos="3210"/>
        </w:tabs>
        <w:spacing w:line="500" w:lineRule="exact"/>
        <w:ind w:left="708"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sz w:val="24"/>
          <w:szCs w:val="24"/>
          <w:highlight w:val="none"/>
        </w:rPr>
        <w:t>如果</w:t>
      </w:r>
      <w:r>
        <w:rPr>
          <w:rFonts w:hint="eastAsia" w:ascii="仿宋" w:hAnsi="仿宋" w:eastAsia="仿宋" w:cs="仿宋"/>
          <w:sz w:val="24"/>
          <w:szCs w:val="24"/>
          <w:highlight w:val="none"/>
        </w:rPr>
        <w:t>供方未能按合同规定的期限或采购人同意延长的限期内提供部分或全部货物（服务）、完成工程施工；</w:t>
      </w:r>
    </w:p>
    <w:p>
      <w:pPr>
        <w:pStyle w:val="29"/>
        <w:tabs>
          <w:tab w:val="left" w:pos="3210"/>
        </w:tabs>
        <w:spacing w:line="500" w:lineRule="exact"/>
        <w:ind w:left="708"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（2）供方在收到采购人发出的违约通知后20天内，或经采购人书面认可延长的时间内未能纠正其过失；</w:t>
      </w:r>
    </w:p>
    <w:p>
      <w:pPr>
        <w:pStyle w:val="29"/>
        <w:tabs>
          <w:tab w:val="left" w:pos="3210"/>
        </w:tabs>
        <w:spacing w:line="500" w:lineRule="exact"/>
        <w:ind w:left="708" w:leftChars="337" w:firstLine="1" w:firstLineChars="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（3）如果供方未能履行合同规定</w:t>
      </w:r>
      <w:r>
        <w:rPr>
          <w:rFonts w:hint="eastAsia" w:ascii="仿宋" w:hAnsi="仿宋" w:eastAsia="仿宋" w:cs="仿宋"/>
          <w:bCs/>
          <w:sz w:val="24"/>
          <w:szCs w:val="24"/>
          <w:highlight w:val="none"/>
        </w:rPr>
        <w:t>的其它任何义务。</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15.2在采购人</w:t>
      </w:r>
      <w:r>
        <w:rPr>
          <w:rFonts w:hint="eastAsia" w:ascii="仿宋" w:hAnsi="仿宋" w:eastAsia="仿宋" w:cs="仿宋"/>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16．破产终止合同</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16.1如果供</w:t>
      </w:r>
      <w:r>
        <w:rPr>
          <w:rFonts w:hint="eastAsia" w:ascii="仿宋" w:hAnsi="仿宋" w:eastAsia="仿宋" w:cs="仿宋"/>
          <w:sz w:val="24"/>
          <w:szCs w:val="24"/>
          <w:highlight w:val="none"/>
        </w:rPr>
        <w:t>方破产或无清偿能力时，采购人可在任何时候以书面形式通知供方终止合同而无须给供方补偿。终止该合同将不损害或影响采购人</w:t>
      </w:r>
      <w:r>
        <w:rPr>
          <w:rFonts w:hint="eastAsia" w:ascii="仿宋" w:hAnsi="仿宋" w:eastAsia="仿宋" w:cs="仿宋"/>
          <w:bCs/>
          <w:sz w:val="24"/>
          <w:szCs w:val="24"/>
          <w:highlight w:val="none"/>
        </w:rPr>
        <w:t>已经采取或将要采取的补救措施的权利。</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17．转让</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17.1除采</w:t>
      </w:r>
      <w:r>
        <w:rPr>
          <w:rFonts w:hint="eastAsia" w:ascii="仿宋" w:hAnsi="仿宋" w:eastAsia="仿宋" w:cs="仿宋"/>
          <w:sz w:val="24"/>
          <w:szCs w:val="24"/>
          <w:highlight w:val="none"/>
        </w:rPr>
        <w:t>购人事先书面同意外，供方不得部分转让或全部转让其应履行的合</w:t>
      </w:r>
      <w:r>
        <w:rPr>
          <w:rFonts w:hint="eastAsia" w:ascii="仿宋" w:hAnsi="仿宋" w:eastAsia="仿宋" w:cs="仿宋"/>
          <w:bCs/>
          <w:sz w:val="24"/>
          <w:szCs w:val="24"/>
          <w:highlight w:val="none"/>
        </w:rPr>
        <w:t>同义务。</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18．适用法律</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18.1本合同应按中华人民共和国的法律进行解释。</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19．合同生效</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19.1合同在双方授权代表签字并盖章后生效。</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19.2本</w:t>
      </w:r>
      <w:r>
        <w:rPr>
          <w:rFonts w:hint="eastAsia" w:ascii="仿宋" w:hAnsi="仿宋" w:eastAsia="仿宋" w:cs="仿宋"/>
          <w:sz w:val="24"/>
          <w:szCs w:val="24"/>
          <w:highlight w:val="none"/>
        </w:rPr>
        <w:t>合同一式四份，以中文书写，采购人、供方、采购中心、政府采购监管部门各执一份。</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20.  争议解决方式</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 合同</w:t>
      </w:r>
      <w:r>
        <w:rPr>
          <w:rFonts w:hint="eastAsia" w:ascii="仿宋" w:hAnsi="仿宋" w:eastAsia="仿宋" w:cs="仿宋"/>
          <w:sz w:val="24"/>
          <w:szCs w:val="24"/>
          <w:highlight w:val="none"/>
        </w:rPr>
        <w:t>实施或与合同有关的一切争议应通过双方协商解决。若协商不成，则向采购人所在地法院提起诉讼</w:t>
      </w:r>
      <w:r>
        <w:rPr>
          <w:rFonts w:hint="eastAsia" w:ascii="仿宋" w:hAnsi="仿宋" w:eastAsia="仿宋" w:cs="仿宋"/>
          <w:bCs/>
          <w:sz w:val="24"/>
          <w:szCs w:val="24"/>
          <w:highlight w:val="none"/>
        </w:rPr>
        <w:t>。</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21．合同修改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Cs/>
          <w:sz w:val="24"/>
          <w:szCs w:val="24"/>
          <w:highlight w:val="none"/>
        </w:rPr>
        <w:t>21.1除双方</w:t>
      </w:r>
      <w:r>
        <w:rPr>
          <w:rFonts w:hint="eastAsia" w:ascii="仿宋" w:hAnsi="仿宋" w:eastAsia="仿宋" w:cs="仿宋"/>
          <w:sz w:val="24"/>
          <w:szCs w:val="24"/>
          <w:highlight w:val="none"/>
        </w:rPr>
        <w:t>签署书面修改协议，并成为本合同不可分割的一部分的情况之外，本合同不得有任何变化或修</w:t>
      </w:r>
      <w:r>
        <w:rPr>
          <w:rFonts w:hint="eastAsia" w:ascii="仿宋" w:hAnsi="仿宋" w:eastAsia="仿宋" w:cs="仿宋"/>
          <w:bCs/>
          <w:sz w:val="24"/>
          <w:szCs w:val="24"/>
          <w:highlight w:val="none"/>
        </w:rPr>
        <w:t>改。</w:t>
      </w:r>
      <w:bookmarkEnd w:id="25"/>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26" w:name="_Toc20159"/>
      <w:r>
        <w:rPr>
          <w:rFonts w:hint="eastAsia" w:ascii="仿宋" w:hAnsi="仿宋" w:eastAsia="仿宋" w:cs="仿宋"/>
          <w:sz w:val="32"/>
          <w:szCs w:val="32"/>
          <w:highlight w:val="none"/>
          <w:lang w:val="en-US" w:eastAsia="zh-CN"/>
        </w:rPr>
        <w:t>采购需求</w:t>
      </w:r>
      <w:bookmarkEnd w:id="26"/>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一、采购需实现的目标，以及为落实政府采购政策需满足的要求：</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 xml:space="preserve">1、采购需实现的目标 </w:t>
      </w:r>
    </w:p>
    <w:p>
      <w:pPr>
        <w:pStyle w:val="2"/>
        <w:spacing w:line="360" w:lineRule="auto"/>
        <w:ind w:right="638" w:rightChars="304"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供应商应根据</w:t>
      </w:r>
      <w:r>
        <w:rPr>
          <w:rFonts w:hint="eastAsia" w:ascii="仿宋" w:hAnsi="仿宋" w:eastAsia="仿宋" w:cs="仿宋"/>
          <w:sz w:val="24"/>
          <w:highlight w:val="none"/>
          <w:lang w:val="en-US"/>
        </w:rPr>
        <w:t>磋商</w:t>
      </w:r>
      <w:r>
        <w:rPr>
          <w:rFonts w:hint="eastAsia" w:ascii="仿宋" w:hAnsi="仿宋" w:eastAsia="仿宋" w:cs="仿宋"/>
          <w:sz w:val="24"/>
          <w:highlight w:val="none"/>
        </w:rPr>
        <w:t>文件所提出的技术和服务要求，综合考虑。供应商应以优良的服务和优惠的价格，充分显示自己的竞争实力。</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2、为落实政府采购政策需满足的要求</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2.1 促进中小企业发展政策：</w:t>
      </w:r>
      <w:r>
        <w:rPr>
          <w:rFonts w:hint="eastAsia" w:ascii="仿宋" w:hAnsi="仿宋" w:eastAsia="仿宋" w:cs="仿宋"/>
          <w:sz w:val="24"/>
          <w:highlight w:val="none"/>
        </w:rPr>
        <w:t>根据</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文件规定，本项目供应商所投产品为小型或微型企业生产的，供应商应出具</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2.2 监狱企业扶持政策：</w:t>
      </w:r>
      <w:r>
        <w:rPr>
          <w:rFonts w:hint="eastAsia" w:ascii="仿宋" w:hAnsi="仿宋" w:eastAsia="仿宋" w:cs="仿宋"/>
          <w:sz w:val="24"/>
          <w:highlight w:val="none"/>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2.3 促进残疾人就业政府采购政策：</w:t>
      </w:r>
      <w:r>
        <w:rPr>
          <w:rFonts w:hint="eastAsia" w:ascii="仿宋" w:hAnsi="仿宋" w:eastAsia="仿宋" w:cs="仿宋"/>
          <w:sz w:val="24"/>
          <w:highlight w:val="none"/>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2.4 鼓励节能政策：</w:t>
      </w:r>
      <w:r>
        <w:rPr>
          <w:rFonts w:hint="eastAsia" w:ascii="仿宋" w:hAnsi="仿宋" w:eastAsia="仿宋" w:cs="仿宋"/>
          <w:sz w:val="24"/>
          <w:highlight w:val="none"/>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2.5 鼓励环保政策：</w:t>
      </w:r>
      <w:r>
        <w:rPr>
          <w:rFonts w:hint="eastAsia" w:ascii="仿宋" w:hAnsi="仿宋" w:eastAsia="仿宋" w:cs="仿宋"/>
          <w:sz w:val="24"/>
          <w:highlight w:val="none"/>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lang w:val="en-US"/>
        </w:rPr>
        <w:t>2.6 政府采购包装政策：</w:t>
      </w:r>
      <w:r>
        <w:rPr>
          <w:rFonts w:hint="eastAsia" w:ascii="仿宋" w:hAnsi="仿宋" w:eastAsia="仿宋" w:cs="仿宋"/>
          <w:sz w:val="24"/>
          <w:highlight w:val="none"/>
          <w:lang w:val="en-US"/>
        </w:rPr>
        <w:t>本项目中如涉及商品包装和快递包装的，其包装需求标准应不低于《关于印发&lt;商品包装政府采购需求标准（试行）&gt;、&lt;快递包装政府采购需求标准（试行）&gt;的通知》（财办库〔2020〕123 号）规定的包装要求，采购人、中标/成交人双方签订合同及验收环节，应按上述包装要求执行。</w:t>
      </w:r>
    </w:p>
    <w:p>
      <w:pPr>
        <w:spacing w:line="360" w:lineRule="auto"/>
        <w:rPr>
          <w:rFonts w:hint="eastAsia" w:ascii="仿宋" w:hAnsi="仿宋" w:eastAsia="仿宋" w:cs="仿宋"/>
          <w:kern w:val="2"/>
          <w:sz w:val="24"/>
          <w:szCs w:val="18"/>
          <w:highlight w:val="none"/>
          <w:lang w:val="en-US" w:eastAsia="zh-CN" w:bidi="ar-SA"/>
        </w:rPr>
      </w:pPr>
      <w:r>
        <w:rPr>
          <w:rFonts w:hint="eastAsia" w:ascii="仿宋" w:hAnsi="仿宋" w:eastAsia="仿宋" w:cs="仿宋"/>
          <w:b/>
          <w:bCs/>
          <w:kern w:val="2"/>
          <w:sz w:val="24"/>
          <w:szCs w:val="18"/>
          <w:highlight w:val="none"/>
          <w:lang w:val="en-US" w:eastAsia="zh-CN" w:bidi="ar-SA"/>
        </w:rPr>
        <w:t>二、采购标的需执行的国家相关标准、行业标准、地方标准或者其他标准、规范：</w:t>
      </w:r>
    </w:p>
    <w:p>
      <w:pPr>
        <w:spacing w:line="360" w:lineRule="auto"/>
        <w:rPr>
          <w:rFonts w:hint="eastAsia" w:ascii="仿宋" w:hAnsi="仿宋" w:eastAsia="仿宋" w:cs="仿宋"/>
          <w:kern w:val="2"/>
          <w:sz w:val="24"/>
          <w:szCs w:val="18"/>
          <w:highlight w:val="none"/>
          <w:lang w:val="en-US" w:eastAsia="zh-CN" w:bidi="ar-SA"/>
        </w:rPr>
      </w:pPr>
      <w:r>
        <w:rPr>
          <w:rFonts w:hint="eastAsia" w:ascii="仿宋" w:hAnsi="仿宋" w:eastAsia="仿宋" w:cs="仿宋"/>
          <w:kern w:val="2"/>
          <w:sz w:val="24"/>
          <w:szCs w:val="18"/>
          <w:highlight w:val="none"/>
          <w:lang w:val="en-US" w:eastAsia="zh-CN" w:bidi="ar-SA"/>
        </w:rPr>
        <w:t>投标货物及服务应符合国家有关部门规定的相应技术法规及标准，如国家有关部门对投标货物及服务有强制性规定或要求的，投标货物及服务必须符合相应规定或要求。</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三、采购标的的数量、采购项目交付或者实施的时间和地点及付款方式：</w:t>
      </w:r>
    </w:p>
    <w:p>
      <w:pPr>
        <w:spacing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冻货物资采购汇总表</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2209"/>
        <w:gridCol w:w="2857"/>
        <w:gridCol w:w="674"/>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79"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76"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货品名称</w:t>
            </w:r>
          </w:p>
        </w:tc>
        <w:tc>
          <w:tcPr>
            <w:tcW w:w="2812"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规格型号</w:t>
            </w:r>
          </w:p>
        </w:tc>
        <w:tc>
          <w:tcPr>
            <w:tcW w:w="687"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775"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最高限价单价（元）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澳洲大串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20支*10袋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巴沙鱼柳</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10kg（解冻出货7kg以上）</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白开花肠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白腰花肠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鲷鱼片</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香煎葱油饼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420g/包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大芝麻球</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火龙串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15根*10袋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奥尔良鸡排（汉堡）</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10片*10袋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霸王鸡排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10包*24个</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脆脆鱼串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20根*8袋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汉堡坯</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1箱*144个</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红豆卷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480g*16包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红开花肠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红糖发糕</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700克*12袋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红糖锅盔</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12只/包 ， 360g/包*16包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红虾仁小的</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红腰花肠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火龙串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90g*10根*10包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鸡翅根</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鸡翅根</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鸡翅尖</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鸡翅尖</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鸡翅中</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鸡翅中</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鸡翅中</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鸡翅中</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鸡米花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1kg*10包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鸡肉肠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1*40根</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鸡肉馅饼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鸡腿堡</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80克*12片*10袋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鸡爪</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鸡爪</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鸡胗</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鸡胗</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莲藕丸子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莲藕丸子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流沙包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麦穗肠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15串*10袋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面筋串90克</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15支*6包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50克面筋串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目鱼花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千味奶黄包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南极冰鱼/三去鱼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年糕串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牛肉肠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1*40根</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小牛肉丸子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脆香藕盒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千叶豆腐(切)</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千叶豆腐(不切)</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350克*30袋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去皮鸭胸肉</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撒尿牛丸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三黄鸡</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10公斤8只</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童子鸡(9只装土鸡）</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全净膛土鸡（8只装)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烧麦{清真）</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1公斤*10袋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狮子头</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600g*24包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手抓饼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25片×4包（100张）</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薯条</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黑米松糕</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2.8kg/包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红糖松糕</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1*8包*1.25㎏</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马拉糕</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1*8包*1.25㎏</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唐扬棒（小鸡肉串）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20支*10袋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藤椒鸡排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1*10个*10包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香辣翅根（小）</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18块*10包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香芋卷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180克*20袋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小狗包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360g/袋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小酥肉</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小酥肉</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小蜜蜂</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笑脸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蟹排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鸭边腿</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1*7公斤</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鸭腿</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鸭仔包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450克*12袋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牙签肉</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燕饺</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鱼豆腐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亲亲肠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鱼味卷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龙虾排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甜玉米粒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芝麻球（小）</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2.24kg</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猪肉培根</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1.5kg/包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酸奶麻花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1*100根</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椰奶包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480g*16包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雪花香芒酥</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250g/包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紫薯串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10串*10袋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黑芝麻汤圆</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400g*20袋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脆皮奶卷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紫薯包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椰汁流心球</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蘑菇包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金丝凤梨酥</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420克*15袋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金丝香芋酥</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蛋挞皮</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30个*10袋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蛋挞液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500克*24盒</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速冻豌豆粒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速冻豌豆粒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700克*10袋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章鱼饼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北海翅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香菇贡丸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潮汕风味牛肉丸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鱼籽烧</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黄金脆骨丸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甜不辣</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放生虾球</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青豆玉米棒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20串*10包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关东煮章鱼</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关东煮北极贝</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关东煮甜不辣</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关东煮鳕鱼棒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关东煮鱼芙蓉</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关东煮北极翅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10支*30袋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牛肉风味丸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2.5kg*4包（约310个/包）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2.5kg*4包（约310个/包）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2.5kg*4包（约310个/包）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鱼味卷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2.5kg*4包（约175个/包）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包心肉丸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2.5kg*4包（约125个/包）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包心鱼味丸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2.5kg*4包（约125个/包）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包心虾味丸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2.5kg*4包（约125个/包）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夹心蟹味排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2.5kg*4包（约75个/包）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鱼味豆腐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2.5kg*4包（约165个/包）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墨鱼烧</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2kg*4包（约47个/包）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狮子头</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2.5kg*4包（约78个/包）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农家蛋饺</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2.4kg*4包（约80个/包）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美善狮子头</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2.5kg*4包（约50个/包）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手打牛筋丸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180g*10包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香辣鱼棒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2.5kg*4包(约75个/包）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香辣风味烤鱼肉棒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2.5kg*4包（约50个/包）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玉米亲亲肠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2.5kg*4包（约247个/包）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仿鸡肉腰花肠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1.5kg*4包（约187个/包）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火龙串</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900g*10包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脆香藕盒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1kg*10包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红烧丸子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2.5kg*4包（约78个/包）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团膳狮子头</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2.5kg*4包（约50个/包）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鱼籽流沙包</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180g*10包</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撒尿牛丸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黄金鱼豆腐</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烤鱼棒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鱼味肉卷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虾味肉卷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2.5公斤*4袋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海鲜鱼排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红夹心蟹味排</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甜不辣</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仿红桂花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仿白桂花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仿红腰花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154</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仿白腰花</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155</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燕饺</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156</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霞迷饺</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仿鲍鱼片</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158</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笑脸片</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159</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小布丁</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45g川香鸡柳</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161</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彩虹卷</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38g烤肠</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38g*50只*6袋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163</w:t>
            </w:r>
          </w:p>
        </w:tc>
        <w:tc>
          <w:tcPr>
            <w:tcW w:w="226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牛肉风味丸</w:t>
            </w:r>
          </w:p>
        </w:tc>
        <w:tc>
          <w:tcPr>
            <w:tcW w:w="2933"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2.5kg*4袋</w:t>
            </w:r>
          </w:p>
        </w:tc>
        <w:tc>
          <w:tcPr>
            <w:tcW w:w="687"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1" w:type="dxa"/>
            <w:tcBorders>
              <w:top w:val="nil"/>
              <w:left w:val="single" w:color="000000" w:sz="8" w:space="0"/>
              <w:bottom w:val="single" w:color="000000" w:sz="8" w:space="0"/>
              <w:right w:val="single" w:color="000000" w:sz="8" w:space="0"/>
            </w:tcBorders>
            <w:shd w:val="clear" w:color="auto" w:fill="auto"/>
            <w:noWrap/>
            <w:vAlign w:val="bottom"/>
          </w:tcPr>
          <w:p>
            <w:pPr>
              <w:jc w:val="both"/>
              <w:rPr>
                <w:rFonts w:hint="eastAsia" w:ascii="仿宋" w:hAnsi="仿宋" w:eastAsia="仿宋" w:cs="仿宋"/>
                <w:i w:val="0"/>
                <w:iCs w:val="0"/>
                <w:color w:val="000000"/>
                <w:sz w:val="24"/>
                <w:szCs w:val="24"/>
                <w:highlight w:val="none"/>
                <w:u w:val="none"/>
              </w:rPr>
            </w:pPr>
          </w:p>
        </w:tc>
        <w:tc>
          <w:tcPr>
            <w:tcW w:w="2267" w:type="dxa"/>
            <w:tcBorders>
              <w:top w:val="nil"/>
              <w:left w:val="single" w:color="000000" w:sz="8" w:space="0"/>
              <w:bottom w:val="single" w:color="000000" w:sz="8" w:space="0"/>
              <w:right w:val="single" w:color="000000" w:sz="8" w:space="0"/>
            </w:tcBorders>
            <w:shd w:val="clear" w:color="auto" w:fill="auto"/>
            <w:noWrap/>
            <w:vAlign w:val="bottom"/>
          </w:tcPr>
          <w:p>
            <w:pPr>
              <w:jc w:val="both"/>
              <w:rPr>
                <w:rFonts w:hint="eastAsia" w:ascii="仿宋" w:hAnsi="仿宋" w:eastAsia="仿宋" w:cs="仿宋"/>
                <w:i w:val="0"/>
                <w:iCs w:val="0"/>
                <w:color w:val="000000"/>
                <w:sz w:val="24"/>
                <w:szCs w:val="24"/>
                <w:highlight w:val="none"/>
                <w:u w:val="none"/>
              </w:rPr>
            </w:pPr>
          </w:p>
        </w:tc>
        <w:tc>
          <w:tcPr>
            <w:tcW w:w="2933" w:type="dxa"/>
            <w:tcBorders>
              <w:top w:val="nil"/>
              <w:left w:val="single" w:color="000000" w:sz="8" w:space="0"/>
              <w:bottom w:val="single" w:color="000000" w:sz="8" w:space="0"/>
              <w:right w:val="single" w:color="000000" w:sz="8" w:space="0"/>
            </w:tcBorders>
            <w:shd w:val="clear" w:color="auto" w:fill="auto"/>
            <w:noWrap/>
            <w:vAlign w:val="bottom"/>
          </w:tcPr>
          <w:p>
            <w:pPr>
              <w:jc w:val="both"/>
              <w:rPr>
                <w:rFonts w:hint="eastAsia" w:ascii="仿宋" w:hAnsi="仿宋" w:eastAsia="仿宋" w:cs="仿宋"/>
                <w:i w:val="0"/>
                <w:iCs w:val="0"/>
                <w:color w:val="000000"/>
                <w:sz w:val="24"/>
                <w:szCs w:val="24"/>
                <w:highlight w:val="none"/>
                <w:u w:val="none"/>
              </w:rPr>
            </w:pPr>
          </w:p>
        </w:tc>
        <w:tc>
          <w:tcPr>
            <w:tcW w:w="687" w:type="dxa"/>
            <w:tcBorders>
              <w:top w:val="nil"/>
              <w:left w:val="single" w:color="000000" w:sz="8" w:space="0"/>
              <w:bottom w:val="single" w:color="000000" w:sz="8" w:space="0"/>
              <w:right w:val="single" w:color="000000" w:sz="8" w:space="0"/>
            </w:tcBorders>
            <w:shd w:val="clear" w:color="auto" w:fill="auto"/>
            <w:noWrap/>
            <w:vAlign w:val="bottom"/>
          </w:tcPr>
          <w:p>
            <w:pPr>
              <w:jc w:val="both"/>
              <w:rPr>
                <w:rFonts w:hint="eastAsia" w:ascii="仿宋" w:hAnsi="仿宋" w:eastAsia="仿宋" w:cs="仿宋"/>
                <w:i w:val="0"/>
                <w:iCs w:val="0"/>
                <w:color w:val="000000"/>
                <w:sz w:val="24"/>
                <w:szCs w:val="24"/>
                <w:highlight w:val="none"/>
                <w:u w:val="none"/>
              </w:rPr>
            </w:pPr>
          </w:p>
        </w:tc>
        <w:tc>
          <w:tcPr>
            <w:tcW w:w="1775"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￥23,289.00 </w:t>
            </w:r>
          </w:p>
        </w:tc>
      </w:tr>
    </w:tbl>
    <w:p>
      <w:pPr>
        <w:jc w:val="left"/>
        <w:rPr>
          <w:rFonts w:hint="eastAsia" w:ascii="仿宋" w:hAnsi="仿宋" w:eastAsia="仿宋" w:cs="仿宋"/>
          <w:b/>
          <w:sz w:val="21"/>
          <w:szCs w:val="21"/>
          <w:highlight w:val="none"/>
          <w:lang w:val="en-US" w:eastAsia="zh-CN"/>
        </w:rPr>
      </w:pPr>
    </w:p>
    <w:p>
      <w:pPr>
        <w:jc w:val="center"/>
        <w:rPr>
          <w:rFonts w:hint="eastAsia" w:ascii="仿宋" w:hAnsi="仿宋" w:eastAsia="仿宋" w:cs="仿宋"/>
          <w:b/>
          <w:sz w:val="21"/>
          <w:szCs w:val="21"/>
          <w:highlight w:val="none"/>
          <w:lang w:val="en-US" w:eastAsia="zh-CN"/>
        </w:rPr>
      </w:pPr>
    </w:p>
    <w:p>
      <w:pPr>
        <w:spacing w:line="540" w:lineRule="exact"/>
        <w:ind w:right="560"/>
        <w:jc w:val="left"/>
        <w:rPr>
          <w:rFonts w:hint="eastAsia" w:ascii="仿宋" w:hAnsi="仿宋" w:eastAsia="仿宋" w:cs="仿宋"/>
          <w:sz w:val="24"/>
          <w:szCs w:val="24"/>
          <w:highlight w:val="none"/>
          <w:lang w:val="en-GB"/>
        </w:rPr>
      </w:pP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lang w:val="en-GB"/>
        </w:rPr>
        <w:t>无</w:t>
      </w:r>
      <w:r>
        <w:rPr>
          <w:rFonts w:hint="eastAsia" w:ascii="仿宋" w:hAnsi="仿宋" w:eastAsia="仿宋" w:cs="仿宋"/>
          <w:sz w:val="24"/>
          <w:szCs w:val="24"/>
          <w:highlight w:val="none"/>
          <w:lang w:val="en-US"/>
        </w:rPr>
        <w:t>特定</w:t>
      </w:r>
      <w:r>
        <w:rPr>
          <w:rFonts w:hint="eastAsia" w:ascii="仿宋" w:hAnsi="仿宋" w:eastAsia="仿宋" w:cs="仿宋"/>
          <w:sz w:val="24"/>
          <w:szCs w:val="24"/>
          <w:highlight w:val="none"/>
          <w:lang w:val="en-GB"/>
        </w:rPr>
        <w:t>执行标准，供货期间品牌、</w:t>
      </w:r>
      <w:r>
        <w:rPr>
          <w:rFonts w:hint="eastAsia" w:ascii="仿宋" w:hAnsi="仿宋" w:eastAsia="仿宋" w:cs="仿宋"/>
          <w:sz w:val="24"/>
          <w:szCs w:val="24"/>
          <w:highlight w:val="none"/>
          <w:lang w:val="en-US"/>
        </w:rPr>
        <w:t>规格由甲方规定</w:t>
      </w:r>
      <w:r>
        <w:rPr>
          <w:rFonts w:hint="eastAsia" w:ascii="仿宋" w:hAnsi="仿宋" w:eastAsia="仿宋" w:cs="仿宋"/>
          <w:sz w:val="24"/>
          <w:szCs w:val="24"/>
          <w:highlight w:val="none"/>
          <w:lang w:val="en-GB"/>
        </w:rPr>
        <w:t>，不</w:t>
      </w:r>
      <w:r>
        <w:rPr>
          <w:rFonts w:hint="eastAsia" w:ascii="仿宋" w:hAnsi="仿宋" w:eastAsia="仿宋" w:cs="仿宋"/>
          <w:sz w:val="24"/>
          <w:szCs w:val="24"/>
          <w:highlight w:val="none"/>
          <w:lang w:val="en-US"/>
        </w:rPr>
        <w:t>可</w:t>
      </w:r>
      <w:r>
        <w:rPr>
          <w:rFonts w:hint="eastAsia" w:ascii="仿宋" w:hAnsi="仿宋" w:eastAsia="仿宋" w:cs="仿宋"/>
          <w:sz w:val="24"/>
          <w:szCs w:val="24"/>
          <w:highlight w:val="none"/>
          <w:lang w:val="en-GB"/>
        </w:rPr>
        <w:t>随意调换。</w:t>
      </w:r>
      <w:r>
        <w:rPr>
          <w:rFonts w:hint="eastAsia" w:ascii="仿宋" w:hAnsi="仿宋" w:eastAsia="仿宋" w:cs="仿宋"/>
          <w:sz w:val="24"/>
          <w:szCs w:val="24"/>
          <w:highlight w:val="none"/>
          <w:lang w:val="en-US" w:eastAsia="zh-CN"/>
        </w:rPr>
        <w:t>外包装</w:t>
      </w:r>
      <w:r>
        <w:rPr>
          <w:rFonts w:hint="eastAsia" w:ascii="仿宋" w:hAnsi="仿宋" w:eastAsia="仿宋" w:cs="仿宋"/>
          <w:sz w:val="24"/>
          <w:szCs w:val="24"/>
          <w:highlight w:val="none"/>
          <w:lang w:val="en-GB"/>
        </w:rPr>
        <w:t>有明显生产企业及产品成分说明，小包装，商品饱满，个头均匀，袋内无杂物，无破损，无漏气，外包装箱装且完好，有明显生产日期和保质期，内透明塑料袋封闭包装，密封完好，包装袋上印有生产日期和保质期，食品安全的各项指标符合国家食品包装安全认证要求。</w:t>
      </w:r>
    </w:p>
    <w:p>
      <w:pPr>
        <w:spacing w:line="540" w:lineRule="exact"/>
        <w:ind w:right="560"/>
        <w:jc w:val="left"/>
        <w:rPr>
          <w:rFonts w:hint="eastAsia" w:ascii="仿宋" w:hAnsi="仿宋" w:eastAsia="仿宋" w:cs="仿宋"/>
          <w:sz w:val="24"/>
          <w:szCs w:val="24"/>
          <w:highlight w:val="none"/>
          <w:lang w:val="en-GB"/>
        </w:rPr>
      </w:pPr>
      <w:r>
        <w:rPr>
          <w:rFonts w:hint="eastAsia" w:ascii="仿宋" w:hAnsi="仿宋" w:eastAsia="仿宋" w:cs="仿宋"/>
          <w:sz w:val="24"/>
          <w:szCs w:val="24"/>
          <w:highlight w:val="none"/>
          <w:lang w:val="en-US"/>
        </w:rPr>
        <w:t>2.送货单须按照甲方统一样表用电脑打印，手写送货单无效，甲方将不予对账。</w:t>
      </w:r>
    </w:p>
    <w:p>
      <w:pPr>
        <w:spacing w:line="540" w:lineRule="exact"/>
        <w:ind w:right="560"/>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3.每学期必须向甲方提供由第三方相关部门对产品检测合格的报告，加盖供应商公司公章，用于向市场监督管理局提供检查依据。</w:t>
      </w:r>
    </w:p>
    <w:p>
      <w:pPr>
        <w:spacing w:line="540" w:lineRule="exact"/>
        <w:ind w:right="560"/>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4.此类物资招标单价，合同期为一年，期间不可调价，更换规格。</w:t>
      </w:r>
    </w:p>
    <w:p>
      <w:pPr>
        <w:spacing w:line="360" w:lineRule="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5.如出现故意或无意不提供相关合格证明的情况，验收人员有权当场拒收物资或拒付当批次货款。一年度累计三次不提供相关证明文件，甲方有权终止其供货资格。</w:t>
      </w:r>
    </w:p>
    <w:p>
      <w:pPr>
        <w:pStyle w:val="2"/>
        <w:rPr>
          <w:rFonts w:hint="eastAsia" w:ascii="仿宋" w:hAnsi="仿宋" w:eastAsia="仿宋" w:cs="仿宋"/>
          <w:highlight w:val="none"/>
          <w:lang w:val="en-US"/>
        </w:rPr>
      </w:pPr>
    </w:p>
    <w:p>
      <w:pPr>
        <w:numPr>
          <w:ilvl w:val="0"/>
          <w:numId w:val="9"/>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主要商务要求：</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合同履约期限：</w:t>
      </w:r>
      <w:r>
        <w:rPr>
          <w:rFonts w:hint="eastAsia" w:ascii="仿宋" w:hAnsi="仿宋" w:eastAsia="仿宋" w:cs="仿宋"/>
          <w:kern w:val="2"/>
          <w:sz w:val="24"/>
          <w:szCs w:val="24"/>
          <w:highlight w:val="none"/>
          <w:lang w:val="en-US" w:eastAsia="zh-CN" w:bidi="ar"/>
        </w:rPr>
        <w:t>合同签订之日起一年</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标的提供的地点：</w:t>
      </w:r>
      <w:r>
        <w:rPr>
          <w:rFonts w:hint="eastAsia" w:ascii="仿宋" w:hAnsi="仿宋" w:eastAsia="仿宋" w:cs="仿宋"/>
          <w:kern w:val="2"/>
          <w:sz w:val="24"/>
          <w:szCs w:val="24"/>
          <w:highlight w:val="none"/>
          <w:lang w:val="en-US" w:eastAsia="zh-CN" w:bidi="ar"/>
        </w:rPr>
        <w:t>新疆师范大学</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付款方式：</w:t>
      </w:r>
      <w:r>
        <w:rPr>
          <w:rFonts w:hint="eastAsia" w:ascii="仿宋" w:hAnsi="仿宋" w:eastAsia="仿宋" w:cs="仿宋"/>
          <w:kern w:val="2"/>
          <w:sz w:val="24"/>
          <w:szCs w:val="24"/>
          <w:highlight w:val="none"/>
          <w:lang w:val="en-US" w:eastAsia="zh-CN" w:bidi="ar"/>
        </w:rPr>
        <w:t>结账采用先使用后结账的方式，中标供应商按采购人要求完成当月供货，在餐厅正常使用并向中心反馈无质量问题后，次月20日结算上月货款，如遇节假日，寒暑假等特殊情况，另行通知。</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验收要求：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4.1 按本需求书的质量要求及验收标准进行验收。</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4.2 双方对质量有争议，如需将货物送至具有资质的质量检测机构检测的，若检测结果合格，检测费用由采购人支付。若检测结果不合格，则检测费用由中标供应商支付，采购人将该批次货物退货，中标供应商除重新配送合格物资外，同时扣除30%履约保证金。</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4.3 合同期内，采购人对货物质量进行日常任意抽查，若发现货物质量（含包装）不合格，中标供应商必对该批次产品作出更换、退货，并扣除20%履约保证金，情节严重的按解除合同等方式处理。合同期内两次抽查发现不合格的（可为相同或不同货物），则扣除全部履约保证金并解除合同。</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报价要求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5.1 投标报价包含产品价格、运输、装卸、售后服务、保险、搬运费、税金等</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一切费用。</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5.2  冻货物资采用参照物资单价最高限价投报“单价”的方式，投标人若中标，其所报的单价将作为结算依据。</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5.3 投标人报价时应充分考虑合同期内因原材料、人员工资、运输等成本上涨所带来的风险，以及本项目配送地点所带来的运输成本。</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配送要求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（一）全部货物由中标供应商按照采购计划清单要求，将货物送至新疆师范大学指定地点并负责卸货，卸货完毕后将卸货点卫生清理干净。</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二）首次供应时，应提供中标供应商的《营业执照》、配送人员的身份证复印件、健康证等证照复印件予采购人存档。每次供应时应向采购人提供加盖公章的货物清单（送货单），每学期必须向甲方提供由第三方相关部门对产品检测合格的报告，加盖供应商公司公章。</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（三）运输要求：冷链车或冷藏（保鲜）车不少于2辆，整个过程应科学合理，运输必须采用符合卫生要求的外包装和运载工具，并且要保持清洁和定其他期消毒，车厢内无不良气味、异味。</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（四）商品包装要求：容器(框、箱、袋、桶)要求清洁、干燥、牢固、无异味、无霉变现象，食品包装符合国家有关法规、标准的要求，包装完好无破损。</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五）送货时间：合同签订所有物资按采购人要求供应。采购人根据实际需求，副食品提前一天，以微信、电话等方式将需求计划通知中标供应商，第二天下午16：30-18：30卸货，由中标供应商送至餐厅或中心冷库。经中心验收后入库，交货时提供每批货物动检手续合格的各类相关手续及文件。对采购人临时性的供货要求需随订随送，并须在接到电话后2个小时内响应。中标供应商在接到通知后备齐货物，按时送达交货地点。中标供应商除不可抗力，不得因其他任何理由延迟送货。采购人如遇特殊情况需推迟送货，应提前通知中标供应商。中标供应商不能按时、按质、按量供货，导致采购人无法正常供应伙食的，采购人有权自行采购同等质量的货物，由此造成的经济损失和责任均由中标供应商承担，并承担违约责任。</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中标供应商的管理要求</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必须依据国家有关法律法规要求建立健全各项管理制度，保证食品安全，有明确的食品安全责任人。因所供货物质量原因导致采购人发生食品安全事故，除解除合同、扣除全部履约保证金外，中标供应商还需赔偿采购人救治经费及误工损失。</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按合同约定的标的供货，中标供应商不得转包、分包，否则采购人有权单方面终止合同，项目另行处理，中标供应商须承担由此造成的经济损失，且履约保证金不退还。</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中标供应商应严格按合同要求（含品牌、规格、品种、质量等）供应，不得变更供应商品，否则，采购人有权退货。</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采购人按合同对商品进行严格验收，对不符合规格要求的商品，供应商必须无条件退货或更换。</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中标供应商须按供应商品的销售额开具国家正式发票。</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 xml:space="preserve">食品溯源要求。食品供应链必须明确，所有食品的来源必须清晰，来源应当是受到地方政府部门监管的流通市场，生产食品的源头与供应商要有固定的合法的供应关系。供应商应保存以下资料： 1.供应商与生产企业的销售合同； 2.生产企业的送货单和销售发票； 3.供应商与采购方的采购合同及送货单据、销售发票、检疫合格证明文件。 </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索赔：</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1．经采购人及中标供应商双方现场确认后，采购人对中标供应商供应的食品质量有异议，采购人有权根据有关政府部门的检验结果向中标供应商提出索赔。</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2.中标供应商在供应过程中，如果出现质量问题或造成食物中毒等情况，经查实后确属中标供应商责任，中标供应商应承担由此造成的全部法律责任及经济赔偿损失（包括但不限于食物中毒人员医疗费、误工费、事故处理费等）</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3.如果在采购人发出索赔通知后30天内，中标供应商未作答复，上述索赔应视为已被中标供应商接受。采购人将从合同款项中扣回索赔金额。如果这些金额不足以补偿索赔金额，采购人有权向中标供应商提出不足部分的补偿。</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由于学校工作的特殊性，中标供应商及外来送货人员须无条件服从并遵守好学校的最新疫情防控措施和其他相关管理规定，配合好学校疫情防控工作，违反相关防疫规定所造成的一切后果均由中标供应商承担相应责任。</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5"/>
        <w:rPr>
          <w:rFonts w:hint="eastAsia" w:ascii="仿宋" w:hAnsi="仿宋" w:eastAsia="仿宋" w:cs="仿宋"/>
          <w:highlight w:val="none"/>
          <w:lang w:val="en-US" w:eastAsia="zh-CN"/>
        </w:rPr>
      </w:pPr>
    </w:p>
    <w:p>
      <w:pPr>
        <w:pStyle w:val="3"/>
        <w:numPr>
          <w:ilvl w:val="0"/>
          <w:numId w:val="1"/>
        </w:numPr>
        <w:bidi w:val="0"/>
        <w:jc w:val="center"/>
        <w:rPr>
          <w:rFonts w:hint="eastAsia" w:ascii="仿宋" w:hAnsi="仿宋" w:eastAsia="仿宋" w:cs="仿宋"/>
          <w:sz w:val="32"/>
          <w:szCs w:val="32"/>
          <w:highlight w:val="none"/>
          <w:lang w:val="en-US" w:eastAsia="zh-CN"/>
        </w:rPr>
      </w:pPr>
      <w:bookmarkStart w:id="27" w:name="_Toc21893"/>
      <w:r>
        <w:rPr>
          <w:rFonts w:hint="eastAsia" w:ascii="仿宋" w:hAnsi="仿宋" w:eastAsia="仿宋" w:cs="仿宋"/>
          <w:sz w:val="32"/>
          <w:szCs w:val="32"/>
          <w:highlight w:val="none"/>
          <w:lang w:val="en-US" w:eastAsia="zh-CN"/>
        </w:rPr>
        <w:t>评标程序、评标方法和评标标准</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lang w:val="en-US" w:eastAsia="zh-CN"/>
        </w:rPr>
      </w:pPr>
      <w:bookmarkStart w:id="28" w:name="_Toc27440"/>
      <w:r>
        <w:rPr>
          <w:rFonts w:hint="eastAsia" w:ascii="仿宋" w:hAnsi="仿宋" w:eastAsia="仿宋" w:cs="仿宋"/>
          <w:b/>
          <w:bCs/>
          <w:sz w:val="24"/>
          <w:szCs w:val="24"/>
          <w:highlight w:val="none"/>
          <w:lang w:val="en-US" w:eastAsia="zh-CN"/>
        </w:rPr>
        <w:t>评标方法</w:t>
      </w:r>
      <w:bookmarkEnd w:id="28"/>
      <w:r>
        <w:rPr>
          <w:rFonts w:hint="eastAsia" w:ascii="仿宋" w:hAnsi="仿宋" w:eastAsia="仿宋" w:cs="仿宋"/>
          <w:b/>
          <w:bCs/>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9" w:name="_Toc12617"/>
      <w:r>
        <w:rPr>
          <w:rFonts w:hint="eastAsia" w:ascii="仿宋" w:hAnsi="仿宋" w:eastAsia="仿宋" w:cs="仿宋"/>
          <w:b/>
          <w:bCs/>
          <w:sz w:val="24"/>
          <w:szCs w:val="24"/>
          <w:highlight w:val="none"/>
          <w:lang w:val="en-US" w:eastAsia="zh-CN"/>
        </w:rPr>
        <w:t>评标原则</w:t>
      </w:r>
      <w:bookmarkEnd w:id="29"/>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评标活动遵循公平、公正、科学和择优的原则，以招标文件和投标文件为评标的基本依据，并按照招标文件规定的评标方法和评标标准进行评标。</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0" w:name="_Toc6046"/>
      <w:r>
        <w:rPr>
          <w:rFonts w:hint="eastAsia" w:ascii="仿宋" w:hAnsi="仿宋" w:eastAsia="仿宋" w:cs="仿宋"/>
          <w:b/>
          <w:bCs/>
          <w:sz w:val="24"/>
          <w:szCs w:val="24"/>
          <w:highlight w:val="none"/>
          <w:lang w:val="en-US" w:eastAsia="zh-CN"/>
        </w:rPr>
        <w:t>资格审查</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处理，不进入符合性审查。资格审查要求如下：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1.须提供投标文件递交截止日期之前六个月内任何一期的纳税记录或证明文件原件或复印件加盖公章（依法免税的应提供相应文件说明）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查询渠道：信用中国网站和中国政府采购网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查询时间：投标截止时间后至资格审查阶段完成；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的资格要求</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要求获得采购合同的供应商将不低于 40 %比例分包给一家或者多家中小企业（其中，不低于60%需分包给一家或多家小微企业）。 潜在供应商需承诺如成交将按照部分预留方式与采购人签订合同（需提供中小企业声明函及分包意向协议）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请根据要求单独上传《中小企业声明函》。格式以采购文件要求为准。</w:t>
            </w:r>
          </w:p>
          <w:p>
            <w:pPr>
              <w:spacing w:line="240" w:lineRule="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请根据要求单独上传《分包意向协议》，并在分包意向协议中进行相关比例说明。格式以采购文件要求为准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1" w:name="_Toc4337"/>
      <w:r>
        <w:rPr>
          <w:rFonts w:hint="eastAsia" w:ascii="仿宋" w:hAnsi="仿宋" w:eastAsia="仿宋" w:cs="仿宋"/>
          <w:b/>
          <w:bCs/>
          <w:sz w:val="24"/>
          <w:szCs w:val="24"/>
          <w:highlight w:val="none"/>
          <w:lang w:val="en-US" w:eastAsia="zh-CN"/>
        </w:rPr>
        <w:t>符合性审查</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采购需求的响应</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投标文件满足招标文件中※号条款要求的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投标文件中不存在违反国家法律、法规和招标文件规定的其他无效情形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2" w:name="_Toc23924"/>
      <w:r>
        <w:rPr>
          <w:rFonts w:hint="eastAsia" w:ascii="仿宋" w:hAnsi="仿宋" w:eastAsia="仿宋" w:cs="仿宋"/>
          <w:b/>
          <w:bCs/>
          <w:sz w:val="24"/>
          <w:szCs w:val="24"/>
          <w:highlight w:val="none"/>
          <w:lang w:val="en-US" w:eastAsia="zh-CN"/>
        </w:rPr>
        <w:t>投标文件有关事项的澄清或者说明</w:t>
      </w:r>
      <w:bookmarkEnd w:id="32"/>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评标委员会不接受投标人主动提出的澄清、说明或补正。</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评标委员会对投标人提交的澄清、说明或补正有疑问的，可以要求投标人进一步澄清、说明或补正。</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对报价的计算错误按以下原则修正：</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3" w:name="_Toc22049"/>
      <w:r>
        <w:rPr>
          <w:rFonts w:hint="eastAsia" w:ascii="仿宋" w:hAnsi="仿宋" w:eastAsia="仿宋" w:cs="仿宋"/>
          <w:b/>
          <w:bCs/>
          <w:sz w:val="24"/>
          <w:szCs w:val="24"/>
          <w:highlight w:val="none"/>
          <w:lang w:val="en-US" w:eastAsia="zh-CN"/>
        </w:rPr>
        <w:t>详细评审</w:t>
      </w:r>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详细评审标准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843" w:type="dxa"/>
            <w:vAlign w:val="center"/>
          </w:tcPr>
          <w:p>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454" w:type="dxa"/>
            <w:gridSpan w:val="2"/>
            <w:vAlign w:val="center"/>
          </w:tcPr>
          <w:p>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0.0分</w:t>
            </w:r>
          </w:p>
          <w:p>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5</w:t>
            </w:r>
            <w:r>
              <w:rPr>
                <w:rFonts w:hint="eastAsia" w:ascii="仿宋" w:hAnsi="仿宋" w:eastAsia="仿宋" w:cs="仿宋"/>
                <w:b w:val="0"/>
                <w:bCs/>
                <w:color w:val="auto"/>
                <w:kern w:val="0"/>
                <w:sz w:val="21"/>
                <w:szCs w:val="21"/>
                <w:highlight w:val="none"/>
              </w:rPr>
              <w:t>0.0分</w:t>
            </w:r>
          </w:p>
          <w:p>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4</w:t>
            </w:r>
            <w:r>
              <w:rPr>
                <w:rFonts w:hint="eastAsia" w:ascii="仿宋" w:hAnsi="仿宋" w:eastAsia="仿宋" w:cs="仿宋"/>
                <w:b w:val="0"/>
                <w:bCs/>
                <w:color w:val="auto"/>
                <w:kern w:val="0"/>
                <w:sz w:val="21"/>
                <w:szCs w:val="21"/>
                <w:highlight w:val="none"/>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pPr>
              <w:pStyle w:val="2"/>
              <w:spacing w:line="240" w:lineRule="auto"/>
              <w:ind w:right="8"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报价</w:t>
            </w:r>
            <w:r>
              <w:rPr>
                <w:rFonts w:hint="eastAsia" w:ascii="仿宋" w:hAnsi="仿宋" w:eastAsia="仿宋" w:cs="仿宋"/>
                <w:sz w:val="21"/>
                <w:szCs w:val="21"/>
                <w:highlight w:val="none"/>
                <w:vertAlign w:val="baseline"/>
              </w:rPr>
              <w:t>部分（</w:t>
            </w:r>
            <w:r>
              <w:rPr>
                <w:rFonts w:hint="eastAsia" w:ascii="仿宋" w:hAnsi="仿宋" w:eastAsia="仿宋" w:cs="仿宋"/>
                <w:sz w:val="21"/>
                <w:szCs w:val="21"/>
                <w:highlight w:val="none"/>
                <w:vertAlign w:val="baseline"/>
                <w:lang w:val="en-US" w:eastAsia="zh-CN"/>
              </w:rPr>
              <w:t>4</w:t>
            </w:r>
            <w:r>
              <w:rPr>
                <w:rFonts w:hint="eastAsia" w:ascii="仿宋" w:hAnsi="仿宋" w:eastAsia="仿宋" w:cs="仿宋"/>
                <w:sz w:val="21"/>
                <w:szCs w:val="21"/>
                <w:highlight w:val="none"/>
                <w:vertAlign w:val="baseline"/>
              </w:rPr>
              <w:t>0 分）</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40</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满足招标文件要求且报价单价合计最低的投标人的价格为评标基准价,其价格为40 分。其他供应商的价格分统一按照下列公式计算：投标报价得分=(评标基准价/投标报价)×40。有效投标报价为通过初步审查的供应商报价。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074" w:type="dxa"/>
            <w:vMerge w:val="restart"/>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商务部分(1</w:t>
            </w:r>
            <w:r>
              <w:rPr>
                <w:rFonts w:hint="eastAsia" w:ascii="仿宋" w:hAnsi="仿宋" w:eastAsia="仿宋" w:cs="仿宋"/>
                <w:sz w:val="21"/>
                <w:szCs w:val="21"/>
                <w:highlight w:val="none"/>
                <w:vertAlign w:val="baseline"/>
                <w:lang w:val="en-US" w:eastAsia="zh-CN"/>
              </w:rPr>
              <w:t>0</w:t>
            </w:r>
            <w:r>
              <w:rPr>
                <w:rFonts w:hint="eastAsia" w:ascii="仿宋" w:hAnsi="仿宋" w:eastAsia="仿宋" w:cs="仿宋"/>
                <w:sz w:val="21"/>
                <w:szCs w:val="21"/>
                <w:highlight w:val="none"/>
                <w:vertAlign w:val="baseline"/>
              </w:rPr>
              <w:t xml:space="preserve"> 分)</w:t>
            </w: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类似项目业绩</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自 20</w:t>
            </w:r>
            <w:r>
              <w:rPr>
                <w:rFonts w:hint="eastAsia" w:ascii="仿宋" w:hAnsi="仿宋" w:eastAsia="仿宋" w:cs="仿宋"/>
                <w:sz w:val="21"/>
                <w:szCs w:val="21"/>
                <w:highlight w:val="none"/>
                <w:vertAlign w:val="baseline"/>
                <w:lang w:val="en-US" w:eastAsia="zh-CN"/>
              </w:rPr>
              <w:t>20</w:t>
            </w:r>
            <w:r>
              <w:rPr>
                <w:rFonts w:hint="eastAsia" w:ascii="仿宋" w:hAnsi="仿宋" w:eastAsia="仿宋" w:cs="仿宋"/>
                <w:sz w:val="21"/>
                <w:szCs w:val="21"/>
                <w:highlight w:val="none"/>
                <w:vertAlign w:val="baseline"/>
              </w:rPr>
              <w:t xml:space="preserve">年 </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 月 1 日至投标截止日止（以合同签订合同时间为准）独立承担的类似项目，每提供 1 份有效的业绩资料</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得 </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 分，满分 </w:t>
            </w:r>
            <w:r>
              <w:rPr>
                <w:rFonts w:hint="eastAsia" w:ascii="仿宋" w:hAnsi="仿宋" w:eastAsia="仿宋" w:cs="仿宋"/>
                <w:sz w:val="21"/>
                <w:szCs w:val="21"/>
                <w:highlight w:val="none"/>
                <w:vertAlign w:val="baseline"/>
                <w:lang w:val="en-US" w:eastAsia="zh-CN"/>
              </w:rPr>
              <w:t>7</w:t>
            </w:r>
            <w:r>
              <w:rPr>
                <w:rFonts w:hint="eastAsia" w:ascii="仿宋" w:hAnsi="仿宋" w:eastAsia="仿宋" w:cs="仿宋"/>
                <w:sz w:val="21"/>
                <w:szCs w:val="21"/>
                <w:highlight w:val="none"/>
                <w:vertAlign w:val="baseline"/>
              </w:rPr>
              <w:t xml:space="preserve"> 分。</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注：1.须提供业绩合同关键页（含：首页、</w:t>
            </w:r>
            <w:r>
              <w:rPr>
                <w:rFonts w:hint="eastAsia" w:ascii="仿宋" w:hAnsi="仿宋" w:eastAsia="仿宋" w:cs="仿宋"/>
                <w:sz w:val="21"/>
                <w:szCs w:val="21"/>
                <w:highlight w:val="none"/>
                <w:vertAlign w:val="baseline"/>
                <w:lang w:val="en-US" w:eastAsia="zh-CN"/>
              </w:rPr>
              <w:t>货物和</w:t>
            </w:r>
            <w:r>
              <w:rPr>
                <w:rFonts w:hint="eastAsia" w:ascii="仿宋" w:hAnsi="仿宋" w:eastAsia="仿宋" w:cs="仿宋"/>
                <w:sz w:val="21"/>
                <w:szCs w:val="21"/>
                <w:highlight w:val="none"/>
                <w:vertAlign w:val="baseline"/>
              </w:rPr>
              <w:t>服务内容信息页、合同金额页、签字盖章页）。复印件加盖公章，时间以合同签订日期为准。不符合上述要求或未按要求提供有效证明文件的业绩在评审时将不予承认。</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eastAsia="zh-CN"/>
              </w:rPr>
              <w:t>投标人</w:t>
            </w:r>
            <w:r>
              <w:rPr>
                <w:rFonts w:hint="eastAsia" w:ascii="仿宋" w:hAnsi="仿宋" w:eastAsia="仿宋" w:cs="仿宋"/>
                <w:sz w:val="21"/>
                <w:szCs w:val="21"/>
                <w:highlight w:val="none"/>
                <w:vertAlign w:val="baseline"/>
              </w:rPr>
              <w:t>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质量、安全、环境管理体系证书</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lang w:val="en-US" w:eastAsia="zh-CN"/>
              </w:rPr>
            </w:pPr>
            <w:bookmarkStart w:id="34" w:name="_Toc16348"/>
            <w:r>
              <w:rPr>
                <w:rFonts w:hint="eastAsia" w:ascii="仿宋" w:hAnsi="仿宋" w:eastAsia="仿宋" w:cs="仿宋"/>
                <w:sz w:val="21"/>
                <w:szCs w:val="21"/>
                <w:highlight w:val="none"/>
                <w:vertAlign w:val="baseline"/>
                <w:lang w:val="en-US" w:eastAsia="zh-CN"/>
              </w:rPr>
              <w:t>投标人具有ISO9001质量管理体系认证证书得1分，未提供不得分；</w:t>
            </w:r>
            <w:bookmarkEnd w:id="34"/>
          </w:p>
          <w:p>
            <w:pPr>
              <w:pStyle w:val="2"/>
              <w:spacing w:line="240" w:lineRule="auto"/>
              <w:ind w:right="-31" w:rightChars="-15"/>
              <w:rPr>
                <w:rFonts w:hint="eastAsia" w:ascii="仿宋" w:hAnsi="仿宋" w:eastAsia="仿宋" w:cs="仿宋"/>
                <w:sz w:val="21"/>
                <w:szCs w:val="21"/>
                <w:highlight w:val="none"/>
                <w:vertAlign w:val="baseline"/>
                <w:lang w:val="en-US" w:eastAsia="zh-CN"/>
              </w:rPr>
            </w:pPr>
            <w:bookmarkStart w:id="35" w:name="_Toc21690"/>
            <w:r>
              <w:rPr>
                <w:rFonts w:hint="eastAsia" w:ascii="仿宋" w:hAnsi="仿宋" w:eastAsia="仿宋" w:cs="仿宋"/>
                <w:sz w:val="21"/>
                <w:szCs w:val="21"/>
                <w:highlight w:val="none"/>
                <w:vertAlign w:val="baseline"/>
                <w:lang w:val="en-US" w:eastAsia="zh-CN"/>
              </w:rPr>
              <w:t>投标人具有职业健康安全管理体系认证证书得1分，未提供不得分；</w:t>
            </w:r>
            <w:bookmarkEnd w:id="35"/>
          </w:p>
          <w:p>
            <w:pPr>
              <w:pStyle w:val="2"/>
              <w:spacing w:line="240" w:lineRule="auto"/>
              <w:ind w:right="-31" w:rightChars="-15"/>
              <w:rPr>
                <w:rFonts w:hint="eastAsia" w:ascii="仿宋" w:hAnsi="仿宋" w:eastAsia="仿宋" w:cs="仿宋"/>
                <w:sz w:val="21"/>
                <w:szCs w:val="21"/>
                <w:highlight w:val="none"/>
                <w:vertAlign w:val="baseline"/>
              </w:rPr>
            </w:pPr>
            <w:bookmarkStart w:id="36" w:name="_Toc355"/>
            <w:r>
              <w:rPr>
                <w:rFonts w:hint="eastAsia" w:ascii="仿宋" w:hAnsi="仿宋" w:eastAsia="仿宋" w:cs="仿宋"/>
                <w:sz w:val="21"/>
                <w:szCs w:val="21"/>
                <w:highlight w:val="none"/>
                <w:vertAlign w:val="baseline"/>
                <w:lang w:val="en-US" w:eastAsia="zh-CN"/>
              </w:rPr>
              <w:t>投标人具有ISO14000环境管理体系认证证书得1分，未提供不得分</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技术部分 (</w:t>
            </w:r>
            <w:r>
              <w:rPr>
                <w:rFonts w:hint="eastAsia" w:ascii="仿宋" w:hAnsi="仿宋" w:eastAsia="仿宋" w:cs="仿宋"/>
                <w:sz w:val="21"/>
                <w:szCs w:val="21"/>
                <w:highlight w:val="none"/>
                <w:vertAlign w:val="baseline"/>
                <w:lang w:val="en-US" w:eastAsia="zh-CN"/>
              </w:rPr>
              <w:t>50</w:t>
            </w:r>
            <w:r>
              <w:rPr>
                <w:rFonts w:hint="eastAsia" w:ascii="仿宋" w:hAnsi="仿宋" w:eastAsia="仿宋" w:cs="仿宋"/>
                <w:sz w:val="21"/>
                <w:szCs w:val="21"/>
                <w:highlight w:val="none"/>
                <w:vertAlign w:val="baseline"/>
              </w:rPr>
              <w:t>分)</w:t>
            </w: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对</w:t>
            </w: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rPr>
              <w:t>技术规格要求的响应程度</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技术参数及要求中一般技术要求，全部满足得</w:t>
            </w:r>
            <w:r>
              <w:rPr>
                <w:rFonts w:hint="eastAsia" w:ascii="仿宋" w:hAnsi="仿宋" w:eastAsia="仿宋" w:cs="仿宋"/>
                <w:sz w:val="21"/>
                <w:szCs w:val="21"/>
                <w:highlight w:val="none"/>
                <w:vertAlign w:val="baseline"/>
                <w:lang w:val="en-US" w:eastAsia="zh-CN"/>
              </w:rPr>
              <w:t>5</w:t>
            </w:r>
            <w:r>
              <w:rPr>
                <w:rFonts w:hint="eastAsia" w:ascii="仿宋" w:hAnsi="仿宋" w:eastAsia="仿宋" w:cs="仿宋"/>
                <w:sz w:val="21"/>
                <w:szCs w:val="21"/>
                <w:highlight w:val="none"/>
                <w:vertAlign w:val="baseline"/>
              </w:rPr>
              <w:t>分，一项不满足扣</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分，扣完为止。 </w:t>
            </w:r>
          </w:p>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注：</w:t>
            </w: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须对本</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文件技术要求进行点对点应答，必须在引用本采购文件的基础上,进行逐条逐项答复、说明和解释,特别对有具体参数要求的指标，</w:t>
            </w: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必须提供所投</w:t>
            </w:r>
            <w:r>
              <w:rPr>
                <w:rFonts w:hint="eastAsia" w:ascii="仿宋" w:hAnsi="仿宋" w:eastAsia="仿宋" w:cs="仿宋"/>
                <w:sz w:val="21"/>
                <w:szCs w:val="21"/>
                <w:highlight w:val="none"/>
                <w:vertAlign w:val="baseline"/>
                <w:lang w:val="en-US" w:eastAsia="zh-CN"/>
              </w:rPr>
              <w:t>货物</w:t>
            </w:r>
            <w:r>
              <w:rPr>
                <w:rFonts w:hint="eastAsia" w:ascii="仿宋" w:hAnsi="仿宋" w:eastAsia="仿宋" w:cs="仿宋"/>
                <w:sz w:val="21"/>
                <w:szCs w:val="21"/>
                <w:highlight w:val="none"/>
                <w:vertAlign w:val="baseline"/>
              </w:rPr>
              <w:t>的具体参数值。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整体服务方案</w:t>
            </w:r>
          </w:p>
          <w:p>
            <w:pPr>
              <w:pStyle w:val="2"/>
              <w:spacing w:line="240" w:lineRule="auto"/>
              <w:ind w:right="31" w:rightChars="15"/>
              <w:jc w:val="center"/>
              <w:rPr>
                <w:rFonts w:hint="eastAsia" w:ascii="仿宋" w:hAnsi="仿宋" w:eastAsia="仿宋" w:cs="仿宋"/>
                <w:sz w:val="21"/>
                <w:szCs w:val="21"/>
                <w:highlight w:val="none"/>
                <w:vertAlign w:val="baseline"/>
              </w:rPr>
            </w:pP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20</w:t>
            </w:r>
          </w:p>
        </w:tc>
        <w:tc>
          <w:tcPr>
            <w:tcW w:w="5611" w:type="dxa"/>
          </w:tcPr>
          <w:p>
            <w:pPr>
              <w:pStyle w:val="2"/>
              <w:numPr>
                <w:ilvl w:val="0"/>
                <w:numId w:val="13"/>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货品配送方案（8分）: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（1）投标人对本项目的配送服务方案全面、科学、合理、针对性强，得8分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（2）投标人对本项目的配送服务方案基本全面、科学、合理，针对性一般，得5分；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（3）投标人对本项目的配送服务方案不够全面、科学、合理，针对性不强，得3分；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（4）没有项目配送服务方案不得分。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p>
          <w:p>
            <w:pPr>
              <w:pStyle w:val="2"/>
              <w:numPr>
                <w:ilvl w:val="0"/>
                <w:numId w:val="13"/>
              </w:numPr>
              <w:spacing w:line="240" w:lineRule="auto"/>
              <w:ind w:left="0" w:leftChars="0" w:right="-31" w:rightChars="-15" w:firstLine="0" w:firstLineChars="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拟投入本项目团队人员情况（6分）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（1）项目团队人员工作经验丰富，职责分工详细明确，岗位设置安排科学合理，后备人员力量充足得6分；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（2）项目团队人员具备一定工作经验，职责分工基本明确，岗位设置安排基本合理，后备人员力量仅满足需求得4分；；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（3）项目团队人员职责分工模糊不清，岗位设置欠合理，无后备人员得2分；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注：需提供拟派项目团队人员及后备人员的健康证、劳动合同及近六个月内任意一期的社保缴纳证明材料加盖公章，未提供不得分。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p>
          <w:p>
            <w:pPr>
              <w:pStyle w:val="2"/>
              <w:numPr>
                <w:ilvl w:val="0"/>
                <w:numId w:val="13"/>
              </w:numPr>
              <w:spacing w:line="240" w:lineRule="auto"/>
              <w:ind w:left="0" w:leftChars="0" w:right="-31" w:rightChars="-15" w:firstLine="0" w:firstLineChars="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工作流程及内部管理制度（6分）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（1）投标人对本项目的工作流程及内部管理制度全面、科学、合理、针对性强，得6分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（2）投标人对本项目的工作流程及内部管理制度基本全面、科学、合理，针对性一般，得4分；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（3）投标人对本项目的工作流程及内部管理制度不够全面、科学、合理，针对性不强，得2分；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（4）没有项目工作流程及内部管理制度不得分。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8"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服务保障措施</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w:t>
            </w:r>
          </w:p>
        </w:tc>
        <w:tc>
          <w:tcPr>
            <w:tcW w:w="5611" w:type="dxa"/>
          </w:tcPr>
          <w:p>
            <w:pPr>
              <w:pStyle w:val="2"/>
              <w:numPr>
                <w:ilvl w:val="0"/>
                <w:numId w:val="14"/>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货物保鲜储存能力（5分）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投标人具有自有/租赁的保鲜冷藏库得5分，无或其他不得分。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注：投标人自有冷库的：须同时提供冷库产权证明（或能证明冷库是投标人自有的相关证明文件）和冷库实地图片加盖投标人公章； 2、投标人租赁冷库的：须同时提供冷库租赁协议或合同【其中租赁协议/合同需在有效期内的（有效</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期须包含本项目合同期限），且是以投标人名义签订的】复印件、租金转账记录凭证或租赁发票和租赁冷库实地图片加盖投标人公章； 3、未提供或专家无法认定的不得分。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2、应急处理预案及措施（5分）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（1）各环节的预案计划措施全面、科学、合理、针对性强，得5分。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（2）各环节的预案计划措施较全面、科学、合理，针对性一般，得3分。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（3）各环节的预案计划措施不全面、不科学、不合理，无针对性，得1分。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（4）没有提供各环节的预案计划措施的，不得分。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3、运输配送车辆（5分）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项目要求提供物流车辆清单满足采购需求，得5分，投标人须提供包括车辆照片，自有车辆提供购车发票和机动车登记证书复印件加盖投标人公章，对于租赁车辆提供租赁协议或合同【其中租赁协议/合同需在有效期内的（有效期须包含本项目合同期限），且是以投标人名义签订的】复印件加盖投标人公章、车辆行驶证和租金转账记录或租金发票复印件加盖投标人公章。未提供或专家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质量及安全保证措施</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对投标人的质量及安全保证措施（包括但不限于投标产品的来源、储存、运输、验收各环节的质量保证及安全措施）进行评审：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1、来源清晰具体、验收方案全面，质量及安全保证各环节措施详细、完善，针对性、可行性强，完全符合采购需求，得5分；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2、来源清晰较具体、验收方案较全面，质量及安全保证措施完整、各环节基本合理、完善，针对性、可行性较强，基本符合采购需求，得4分；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3、来源不够清晰、验收方案不够全面，质量及安全保证各环节措施不够具体、完善，针对性、可行性一般，得3分； 4、来源不清晰、验收方案有明显的缺漏，质量及安全保证各环节措施不完整，针对性、可行性较差，得1分。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出现产品质量问题退换货方案</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本项目产品质量问题退换货方案内容包括但不限于：退换货流程、退换货便利性说明及相关承诺。</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退换货流程清晰，便利程度高，退换货承诺全面、具体、合理，得5分；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退换货流程较清晰，便利程度较高，退换货承诺基本合理和详细，得3分；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退换货流程基本清晰，便利程度一般，退换货承诺不够充分合理，得1分。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未提供方案 0 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落实中小企业政府采购政策的价格调整：</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highlight w:val="none"/>
          <w:u w:val="single"/>
          <w:lang w:val="en-US" w:eastAsia="zh-CN"/>
        </w:rPr>
        <w:t xml:space="preserve"> 10 % </w:t>
      </w:r>
      <w:r>
        <w:rPr>
          <w:rFonts w:hint="eastAsia" w:ascii="仿宋" w:hAnsi="仿宋" w:eastAsia="仿宋" w:cs="仿宋"/>
          <w:b w:val="0"/>
          <w:bCs w:val="0"/>
          <w:sz w:val="24"/>
          <w:szCs w:val="24"/>
          <w:highlight w:val="none"/>
          <w:lang w:val="en-US" w:eastAsia="zh-CN"/>
        </w:rPr>
        <w:t>后参与评审。对于同时属于小微企业、监狱企业或残疾人福利性单位的，不重复进行投标报价扣除。</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highlight w:val="none"/>
          <w:lang w:val="en-US" w:eastAsia="zh-CN"/>
        </w:rPr>
        <w:t>的扣除，用扣除后的价格参加评审。</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价格扣除比例对小型企业和微型企业同等对待，不作区分。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监狱企业提供了由省级以上监狱管理局、戒毒管理局（含新疆生产建设兵团）出具的属于监狱企业的证明文件的，视同小微企业。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残疾人福利性单位按招标文件要求提供了《残疾人福利性单位声明函》（见附件）的，视同小微企业。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若投标人同时属于小型或微型企业、监狱企业、残疾人福利性单位中的两种及以上，将不重复享受小微企业价格扣减的优惠政策。</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highlight w:val="none"/>
          <w:u w:val="none"/>
          <w:lang w:val="en-US" w:eastAsia="zh-CN"/>
        </w:rPr>
        <w:t>无效投标</w:t>
      </w:r>
      <w:r>
        <w:rPr>
          <w:rFonts w:hint="eastAsia" w:ascii="仿宋" w:hAnsi="仿宋" w:eastAsia="仿宋" w:cs="仿宋"/>
          <w:b w:val="0"/>
          <w:bCs w:val="0"/>
          <w:sz w:val="24"/>
          <w:szCs w:val="24"/>
          <w:highlight w:val="none"/>
          <w:u w:val="none"/>
          <w:lang w:val="en-US" w:eastAsia="zh-CN"/>
        </w:rPr>
        <w:t>被拒绝。</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 。</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同品牌处理办法：</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如采用最低评标办法，则：</w:t>
      </w:r>
      <w:r>
        <w:rPr>
          <w:rFonts w:hint="eastAsia" w:ascii="仿宋" w:hAnsi="仿宋" w:eastAsia="仿宋" w:cs="仿宋"/>
          <w:b w:val="0"/>
          <w:bCs w:val="0"/>
          <w:sz w:val="24"/>
          <w:szCs w:val="24"/>
          <w:highlight w:val="none"/>
          <w:u w:val="single"/>
          <w:lang w:val="en-US" w:eastAsia="zh-CN"/>
        </w:rPr>
        <w:t>提供相同品牌产品的不同投标人以其中通过资格审查、符合性审查且报价最低的参加评标；报价相同的，由评标委员会采取随机抽取方式确定，其他同品牌投标人不作为中标候选人。</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如采用综合评标法，则：</w:t>
      </w:r>
      <w:r>
        <w:rPr>
          <w:rFonts w:hint="eastAsia" w:ascii="仿宋" w:hAnsi="仿宋" w:eastAsia="仿宋" w:cs="仿宋"/>
          <w:b w:val="0"/>
          <w:bCs w:val="0"/>
          <w:sz w:val="24"/>
          <w:szCs w:val="24"/>
          <w:highlight w:val="none"/>
          <w:u w:val="single"/>
          <w:lang w:val="en-US" w:eastAsia="zh-CN"/>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r>
        <w:rPr>
          <w:rFonts w:hint="eastAsia" w:ascii="仿宋" w:hAnsi="仿宋" w:eastAsia="仿宋" w:cs="仿宋"/>
          <w:b w:val="0"/>
          <w:bCs w:val="0"/>
          <w:sz w:val="24"/>
          <w:szCs w:val="24"/>
          <w:highlight w:val="none"/>
          <w:u w:val="none"/>
          <w:lang w:val="en-US" w:eastAsia="zh-CN"/>
        </w:rPr>
        <w:t>。</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如一个分包内包含多种产品的，采购人或采购代理机构将在</w:t>
      </w:r>
      <w:r>
        <w:rPr>
          <w:rFonts w:hint="eastAsia" w:ascii="仿宋" w:hAnsi="仿宋" w:eastAsia="仿宋" w:cs="仿宋"/>
          <w:b w:val="0"/>
          <w:bCs w:val="0"/>
          <w:sz w:val="24"/>
          <w:szCs w:val="24"/>
          <w:highlight w:val="none"/>
          <w:u w:val="single"/>
          <w:lang w:val="en-US" w:eastAsia="zh-CN"/>
        </w:rPr>
        <w:t>投标人须知前附表</w:t>
      </w:r>
      <w:r>
        <w:rPr>
          <w:rFonts w:hint="eastAsia" w:ascii="仿宋" w:hAnsi="仿宋" w:eastAsia="仿宋" w:cs="仿宋"/>
          <w:b w:val="0"/>
          <w:bCs w:val="0"/>
          <w:sz w:val="24"/>
          <w:szCs w:val="24"/>
          <w:highlight w:val="none"/>
          <w:u w:val="none"/>
          <w:lang w:val="en-US" w:eastAsia="zh-CN"/>
        </w:rPr>
        <w:t xml:space="preserve">中载明核心产品，多家投标人提供的所有核心产品品牌均相同的，按第六章  评标程序、评标方法和评标标准第6.6条规定处理。 </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确定中标候选人名单</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综合评分法时，评标结果按评审后得分由高到低顺序排列。评审得分最高的投标人为排名第一的中标候选人。综合评审得分相同的,投标报价最低优先，如报价相同则技术部分得分最高优先，投标报价相同且技术部分得分也相同的，由评标委员会现场采取随机抽取方式确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采用最低评标价法时，评标结果按投标报价由低到高顺序排列。投标文件满足招标文件全部实质性要求且投标报价最低的投标人为排名第一的中标候选人。投标报价相同的评标委员会随机抽取的方式确定排名。</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评标委员会将根据各投标人的评标排序，依次推荐本项目（各采购包）的中标候选人，起草并签署评标报告。本项目（各采购包）评标委员会共（各）推荐三名中标候选人。</w:t>
      </w:r>
    </w:p>
    <w:p>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37" w:name="_Toc31337"/>
      <w:r>
        <w:rPr>
          <w:rFonts w:hint="eastAsia" w:ascii="仿宋" w:hAnsi="仿宋" w:eastAsia="仿宋" w:cs="仿宋"/>
          <w:sz w:val="32"/>
          <w:szCs w:val="32"/>
          <w:highlight w:val="none"/>
          <w:lang w:val="en-US" w:eastAsia="zh-CN"/>
        </w:rPr>
        <w:t>投标文件格式</w:t>
      </w:r>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投标人编制文件须知</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为保证评标工作的顺利进行，各投标人需参照如下的格式，认真进行投标文件的编写工作。需建立详细的目录。</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各投标人提交文件中涉及商业机密的，应明确标明，采购人及最终用户将给予保密处理，否则视为公开资料。</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全部声明和问题的回答及所附材料必须是真实的、准确的和完整的。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u w:val="none"/>
          <w:lang w:val="en-US" w:eastAsia="zh-CN"/>
        </w:rPr>
      </w:pPr>
    </w:p>
    <w:p>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pPr>
        <w:keepNext w:val="0"/>
        <w:keepLines w:val="0"/>
        <w:widowControl/>
        <w:suppressLineNumbers w:val="0"/>
        <w:jc w:val="left"/>
        <w:rPr>
          <w:rFonts w:hint="eastAsia" w:ascii="仿宋" w:hAnsi="仿宋" w:eastAsia="仿宋" w:cs="仿宋"/>
          <w:b/>
          <w:bCs/>
          <w:color w:val="000000"/>
          <w:kern w:val="0"/>
          <w:sz w:val="24"/>
          <w:szCs w:val="24"/>
          <w:highlight w:val="none"/>
          <w:lang w:val="en-US" w:eastAsia="zh-CN" w:bidi="ar"/>
        </w:rPr>
      </w:pPr>
    </w:p>
    <w:p>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38" w:name="_Toc10196"/>
      <w:r>
        <w:rPr>
          <w:rFonts w:hint="eastAsia" w:ascii="仿宋" w:hAnsi="仿宋" w:eastAsia="仿宋" w:cs="仿宋"/>
          <w:b/>
          <w:bCs/>
          <w:color w:val="000000"/>
          <w:kern w:val="0"/>
          <w:sz w:val="24"/>
          <w:szCs w:val="24"/>
          <w:highlight w:val="none"/>
          <w:lang w:val="en-US" w:eastAsia="zh-CN" w:bidi="ar"/>
        </w:rPr>
        <w:t>投标文件封面（参考格式）</w:t>
      </w:r>
      <w:bookmarkEnd w:id="38"/>
    </w:p>
    <w:p>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投标文件</w:t>
      </w:r>
    </w:p>
    <w:p>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项目编号/包号： </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投标人名称（盖公章）：</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法定代表人或其授权代表签字（或签章）：</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9" w:name="_Toc16703"/>
      <w:r>
        <w:rPr>
          <w:rFonts w:hint="eastAsia" w:ascii="仿宋" w:hAnsi="仿宋" w:eastAsia="仿宋" w:cs="仿宋"/>
          <w:color w:val="000000"/>
          <w:kern w:val="0"/>
          <w:sz w:val="24"/>
          <w:highlight w:val="none"/>
          <w:u w:val="none"/>
          <w:lang w:bidi="ar"/>
        </w:rPr>
        <w:t>1、复印件并加盖本单位公章</w:t>
      </w:r>
      <w:bookmarkEnd w:id="39"/>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0" w:name="_Toc32425"/>
      <w:r>
        <w:rPr>
          <w:rFonts w:hint="eastAsia" w:ascii="仿宋" w:hAnsi="仿宋" w:eastAsia="仿宋" w:cs="仿宋"/>
          <w:color w:val="000000"/>
          <w:kern w:val="0"/>
          <w:sz w:val="24"/>
          <w:highlight w:val="none"/>
          <w:u w:val="none"/>
          <w:lang w:bidi="ar"/>
        </w:rPr>
        <w:t>3、如果是联合体投标，联合体各方均需提供上述证明。</w:t>
      </w:r>
      <w:bookmarkEnd w:id="4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1" w:name="_Toc7512"/>
      <w:r>
        <w:rPr>
          <w:rFonts w:hint="eastAsia" w:ascii="仿宋" w:hAnsi="仿宋" w:eastAsia="仿宋" w:cs="仿宋"/>
          <w:color w:val="000000"/>
          <w:kern w:val="0"/>
          <w:sz w:val="24"/>
          <w:highlight w:val="none"/>
          <w:u w:val="none"/>
          <w:lang w:bidi="ar"/>
        </w:rPr>
        <w:t>1、复印件并加盖本单位公章</w:t>
      </w:r>
      <w:bookmarkEnd w:id="41"/>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2" w:name="_Toc8376"/>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42"/>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3" w:name="_Toc3006"/>
      <w:r>
        <w:rPr>
          <w:rFonts w:hint="eastAsia" w:ascii="仿宋" w:hAnsi="仿宋" w:eastAsia="仿宋" w:cs="仿宋"/>
          <w:color w:val="000000"/>
          <w:kern w:val="0"/>
          <w:sz w:val="24"/>
          <w:highlight w:val="none"/>
          <w:u w:val="none"/>
          <w:lang w:bidi="ar"/>
        </w:rPr>
        <w:t>1、复印件并加盖本单位公章</w:t>
      </w:r>
      <w:bookmarkEnd w:id="43"/>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4" w:name="_Toc28907"/>
      <w:r>
        <w:rPr>
          <w:rFonts w:hint="eastAsia" w:ascii="仿宋" w:hAnsi="仿宋" w:eastAsia="仿宋" w:cs="仿宋"/>
          <w:color w:val="000000"/>
          <w:kern w:val="0"/>
          <w:sz w:val="24"/>
          <w:highlight w:val="none"/>
          <w:u w:val="none"/>
          <w:lang w:bidi="ar"/>
        </w:rPr>
        <w:t>3、如果是联合体投标，联合体各方均需提供上述证明。</w:t>
      </w:r>
      <w:bookmarkEnd w:id="44"/>
    </w:p>
    <w:p>
      <w:pPr>
        <w:rPr>
          <w:rFonts w:hint="eastAsia" w:ascii="仿宋" w:hAnsi="仿宋" w:eastAsia="仿宋" w:cs="仿宋"/>
          <w:color w:val="000000"/>
          <w:kern w:val="0"/>
          <w:sz w:val="24"/>
          <w:highlight w:val="none"/>
          <w:u w:val="none"/>
          <w:lang w:bidi="ar"/>
        </w:rPr>
      </w:pP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pPr>
        <w:rPr>
          <w:rFonts w:hint="eastAsia" w:ascii="仿宋" w:hAnsi="仿宋" w:eastAsia="仿宋" w:cs="仿宋"/>
          <w:color w:val="000000"/>
          <w:kern w:val="0"/>
          <w:sz w:val="24"/>
          <w:highlight w:val="none"/>
          <w:u w:val="none"/>
          <w:lang w:bidi="ar"/>
        </w:rPr>
      </w:pPr>
    </w:p>
    <w:p>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在参与本次项目投标中，我单位承诺：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（签字或签章）</w:t>
      </w:r>
      <w:r>
        <w:rPr>
          <w:rFonts w:hint="eastAsia" w:ascii="仿宋" w:hAnsi="仿宋" w:eastAsia="仿宋" w:cs="仿宋"/>
          <w:color w:val="000000"/>
          <w:kern w:val="0"/>
          <w:sz w:val="24"/>
          <w:szCs w:val="24"/>
          <w:highlight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说明：供应商承诺不实的，依据《政府采购法》第七十七条“提供虚假材料谋取中标、成交的”有关规定予以处理。</w:t>
      </w:r>
    </w:p>
    <w:p>
      <w:pPr>
        <w:rPr>
          <w:rFonts w:hint="eastAsia" w:ascii="仿宋" w:hAnsi="仿宋" w:eastAsia="仿宋" w:cs="仿宋"/>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5" w:name="_Toc32152"/>
      <w:r>
        <w:rPr>
          <w:rFonts w:hint="eastAsia" w:ascii="仿宋" w:hAnsi="仿宋" w:eastAsia="仿宋" w:cs="仿宋"/>
          <w:color w:val="000000"/>
          <w:kern w:val="0"/>
          <w:sz w:val="24"/>
          <w:szCs w:val="24"/>
          <w:highlight w:val="none"/>
          <w:lang w:val="en-US" w:eastAsia="zh-CN" w:bidi="ar"/>
        </w:rPr>
        <w:t>2 落实政府采购政策需满足的资格要求（如有）</w:t>
      </w:r>
      <w:bookmarkEnd w:id="45"/>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（2）如本项目（包）专门面向中小/小微企业采购，须提供《中小企业声明函》，申明函格式不得修改，否则不得享受相关中小企业扶持政策。投标人根据项目属性选择申明函格式。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项目名称”部分标明联合体中中小企业承担的具体内容或者中小企业的具体分包内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3）对于多标的的采购项目，投标人应充分、准确地了解所投产品制造企业信息。对相关情况了解不清楚的，不建议填报本声明函。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2"/>
          <w:rFonts w:hint="eastAsia" w:ascii="仿宋" w:hAnsi="仿宋" w:eastAsia="仿宋" w:cs="仿宋"/>
          <w:i w:val="0"/>
          <w:iCs w:val="0"/>
          <w:caps w:val="0"/>
          <w:color w:val="000000"/>
          <w:spacing w:val="0"/>
          <w:sz w:val="32"/>
          <w:szCs w:val="32"/>
          <w:highlight w:val="none"/>
        </w:rPr>
        <w:t>中小企业声明函</w:t>
      </w:r>
      <w:r>
        <w:rPr>
          <w:rStyle w:val="22"/>
          <w:rFonts w:hint="eastAsia" w:ascii="仿宋" w:hAnsi="仿宋" w:eastAsia="仿宋" w:cs="仿宋"/>
          <w:i w:val="0"/>
          <w:iCs w:val="0"/>
          <w:caps w:val="0"/>
          <w:color w:val="000000"/>
          <w:spacing w:val="0"/>
          <w:sz w:val="32"/>
          <w:szCs w:val="32"/>
          <w:highlight w:val="none"/>
          <w:lang w:eastAsia="zh-CN"/>
        </w:rPr>
        <w:t>（</w:t>
      </w:r>
      <w:r>
        <w:rPr>
          <w:rStyle w:val="22"/>
          <w:rFonts w:hint="eastAsia" w:ascii="仿宋" w:hAnsi="仿宋" w:eastAsia="仿宋" w:cs="仿宋"/>
          <w:i w:val="0"/>
          <w:iCs w:val="0"/>
          <w:caps w:val="0"/>
          <w:color w:val="000000"/>
          <w:spacing w:val="0"/>
          <w:sz w:val="32"/>
          <w:szCs w:val="32"/>
          <w:highlight w:val="none"/>
        </w:rPr>
        <w:t>货物</w:t>
      </w:r>
      <w:r>
        <w:rPr>
          <w:rStyle w:val="22"/>
          <w:rFonts w:hint="eastAsia" w:ascii="仿宋" w:hAnsi="仿宋" w:eastAsia="仿宋" w:cs="仿宋"/>
          <w:i w:val="0"/>
          <w:iCs w:val="0"/>
          <w:caps w:val="0"/>
          <w:color w:val="000000"/>
          <w:spacing w:val="0"/>
          <w:sz w:val="32"/>
          <w:szCs w:val="32"/>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2-2 拟分包情况说明及分包意向协议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（填写包号） </w:t>
      </w:r>
      <w:r>
        <w:rPr>
          <w:rFonts w:hint="eastAsia" w:ascii="仿宋" w:hAnsi="仿宋" w:eastAsia="仿宋" w:cs="仿宋"/>
          <w:color w:val="000000"/>
          <w:kern w:val="0"/>
          <w:sz w:val="24"/>
          <w:szCs w:val="24"/>
          <w:highlight w:val="none"/>
          <w:lang w:val="en-US" w:eastAsia="zh-CN" w:bidi="ar"/>
        </w:rPr>
        <w:t xml:space="preserve">包的投标。拟签订分包合同的单位情况如下表所示，我单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32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3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112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5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42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合计</w:t>
            </w: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（3）投标人与上述拟分包承担主体签署的《分包意向协议》后附。</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（采购项目名称）（项目编号/包号为：     </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6"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6"/>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说明：投标人须与所有拟分包单位分别签订《分包意向协议》，每单位签订一份，并在投标文件中提交全部协议原件，否则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投标保证金凭证/交款单据电子件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（项目名称，项目编号/包号）</w:t>
      </w:r>
      <w:r>
        <w:rPr>
          <w:rFonts w:hint="eastAsia" w:ascii="仿宋" w:hAnsi="仿宋" w:eastAsia="仿宋" w:cs="仿宋"/>
          <w:color w:val="000000"/>
          <w:kern w:val="0"/>
          <w:sz w:val="24"/>
          <w:szCs w:val="24"/>
          <w:highlight w:val="none"/>
          <w:lang w:val="en-US" w:eastAsia="zh-CN" w:bidi="ar"/>
        </w:rPr>
        <w:t xml:space="preserve">组织的招标活动，并对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此项目进行投标。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7"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47"/>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8"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8"/>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9" w:name="_Toc6076"/>
      <w:r>
        <w:rPr>
          <w:rFonts w:hint="eastAsia" w:ascii="仿宋" w:hAnsi="仿宋" w:eastAsia="仿宋" w:cs="仿宋"/>
          <w:color w:val="000000"/>
          <w:kern w:val="0"/>
          <w:sz w:val="24"/>
          <w:szCs w:val="24"/>
          <w:highlight w:val="none"/>
          <w:lang w:val="en-US" w:eastAsia="zh-CN" w:bidi="ar"/>
        </w:rPr>
        <w:t>6  授权委托书</w:t>
      </w:r>
      <w:bookmarkEnd w:id="49"/>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法定代表人（单位负责人）（签字、签章或印鉴）：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50" w:name="_Toc18807"/>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50"/>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法定代表人（单位负责人）（签字、签章或印鉴）：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outlineLvl w:val="1"/>
        <w:rPr>
          <w:rFonts w:hint="eastAsia" w:ascii="仿宋" w:hAnsi="仿宋" w:eastAsia="仿宋" w:cs="仿宋"/>
          <w:sz w:val="24"/>
          <w:szCs w:val="24"/>
          <w:highlight w:val="none"/>
          <w:lang w:val="en-US" w:eastAsia="zh-CN"/>
        </w:rPr>
      </w:pPr>
      <w:bookmarkStart w:id="51" w:name="_Toc23107"/>
      <w:r>
        <w:rPr>
          <w:rFonts w:hint="eastAsia" w:ascii="仿宋" w:hAnsi="仿宋" w:eastAsia="仿宋" w:cs="仿宋"/>
          <w:sz w:val="24"/>
          <w:szCs w:val="24"/>
          <w:highlight w:val="none"/>
          <w:lang w:val="en-US" w:eastAsia="zh-CN"/>
        </w:rPr>
        <w:t>7  开标一览表</w:t>
      </w:r>
      <w:bookmarkEnd w:id="51"/>
    </w:p>
    <w:p>
      <w:pPr>
        <w:rPr>
          <w:rFonts w:hint="eastAsia" w:ascii="仿宋" w:hAnsi="仿宋" w:eastAsia="仿宋" w:cs="仿宋"/>
          <w:highlight w:val="none"/>
          <w:lang w:val="en-US" w:eastAsia="zh-CN"/>
        </w:r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项目名称：</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18"/>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序号</w:t>
            </w:r>
          </w:p>
        </w:tc>
        <w:tc>
          <w:tcPr>
            <w:tcW w:w="2130" w:type="dxa"/>
            <w:vMerge w:val="restart"/>
            <w:vAlign w:val="center"/>
          </w:tcPr>
          <w:p>
            <w:pPr>
              <w:pStyle w:val="18"/>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投标人名称</w:t>
            </w:r>
          </w:p>
        </w:tc>
        <w:tc>
          <w:tcPr>
            <w:tcW w:w="4262" w:type="dxa"/>
            <w:gridSpan w:val="2"/>
            <w:vAlign w:val="center"/>
          </w:tcPr>
          <w:p>
            <w:pPr>
              <w:pStyle w:val="18"/>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pStyle w:val="18"/>
              <w:jc w:val="center"/>
              <w:rPr>
                <w:rFonts w:hint="eastAsia" w:ascii="仿宋" w:hAnsi="仿宋" w:eastAsia="仿宋" w:cs="仿宋"/>
                <w:b/>
                <w:bCs/>
                <w:highlight w:val="none"/>
                <w:vertAlign w:val="baseline"/>
                <w:lang w:val="en-US" w:eastAsia="zh-CN"/>
              </w:rPr>
            </w:pPr>
          </w:p>
        </w:tc>
        <w:tc>
          <w:tcPr>
            <w:tcW w:w="2130" w:type="dxa"/>
            <w:vMerge w:val="continue"/>
            <w:vAlign w:val="center"/>
          </w:tcPr>
          <w:p>
            <w:pPr>
              <w:pStyle w:val="18"/>
              <w:jc w:val="center"/>
              <w:rPr>
                <w:rFonts w:hint="eastAsia" w:ascii="仿宋" w:hAnsi="仿宋" w:eastAsia="仿宋" w:cs="仿宋"/>
                <w:b/>
                <w:bCs/>
                <w:highlight w:val="none"/>
                <w:vertAlign w:val="baseline"/>
                <w:lang w:val="en-US" w:eastAsia="zh-CN"/>
              </w:rPr>
            </w:pPr>
          </w:p>
        </w:tc>
        <w:tc>
          <w:tcPr>
            <w:tcW w:w="2131" w:type="dxa"/>
            <w:vAlign w:val="center"/>
          </w:tcPr>
          <w:p>
            <w:pPr>
              <w:pStyle w:val="18"/>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大写</w:t>
            </w:r>
          </w:p>
        </w:tc>
        <w:tc>
          <w:tcPr>
            <w:tcW w:w="2131" w:type="dxa"/>
            <w:vAlign w:val="center"/>
          </w:tcPr>
          <w:p>
            <w:pPr>
              <w:pStyle w:val="18"/>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pPr>
              <w:pStyle w:val="18"/>
              <w:jc w:val="center"/>
              <w:rPr>
                <w:rFonts w:hint="eastAsia" w:ascii="仿宋" w:hAnsi="仿宋" w:eastAsia="仿宋" w:cs="仿宋"/>
                <w:highlight w:val="none"/>
                <w:vertAlign w:val="baseline"/>
                <w:lang w:val="en-US" w:eastAsia="zh-CN"/>
              </w:rPr>
            </w:pPr>
          </w:p>
        </w:tc>
        <w:tc>
          <w:tcPr>
            <w:tcW w:w="2130" w:type="dxa"/>
            <w:vAlign w:val="center"/>
          </w:tcPr>
          <w:p>
            <w:pPr>
              <w:pStyle w:val="18"/>
              <w:jc w:val="center"/>
              <w:rPr>
                <w:rFonts w:hint="eastAsia" w:ascii="仿宋" w:hAnsi="仿宋" w:eastAsia="仿宋" w:cs="仿宋"/>
                <w:highlight w:val="none"/>
                <w:vertAlign w:val="baseline"/>
                <w:lang w:val="en-US" w:eastAsia="zh-CN"/>
              </w:rPr>
            </w:pPr>
          </w:p>
        </w:tc>
        <w:tc>
          <w:tcPr>
            <w:tcW w:w="2131" w:type="dxa"/>
            <w:vAlign w:val="center"/>
          </w:tcPr>
          <w:p>
            <w:pPr>
              <w:pStyle w:val="18"/>
              <w:jc w:val="center"/>
              <w:rPr>
                <w:rFonts w:hint="eastAsia" w:ascii="仿宋" w:hAnsi="仿宋" w:eastAsia="仿宋" w:cs="仿宋"/>
                <w:highlight w:val="none"/>
                <w:vertAlign w:val="baseline"/>
                <w:lang w:val="en-US" w:eastAsia="zh-CN"/>
              </w:rPr>
            </w:pPr>
          </w:p>
        </w:tc>
        <w:tc>
          <w:tcPr>
            <w:tcW w:w="2131" w:type="dxa"/>
            <w:vAlign w:val="center"/>
          </w:tcPr>
          <w:p>
            <w:pPr>
              <w:pStyle w:val="18"/>
              <w:jc w:val="center"/>
              <w:rPr>
                <w:rFonts w:hint="eastAsia" w:ascii="仿宋" w:hAnsi="仿宋" w:eastAsia="仿宋" w:cs="仿宋"/>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pPr>
              <w:pStyle w:val="18"/>
              <w:jc w:val="left"/>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备注：投标报价为所投货物单价合计</w:t>
            </w:r>
          </w:p>
        </w:tc>
      </w:tr>
    </w:tbl>
    <w:p>
      <w:pPr>
        <w:pStyle w:val="17"/>
        <w:rPr>
          <w:rFonts w:hint="eastAsia" w:ascii="仿宋" w:hAnsi="仿宋" w:eastAsia="仿宋" w:cs="仿宋"/>
          <w:highlight w:val="none"/>
          <w:lang w:val="en-US" w:eastAsia="zh-CN"/>
        </w:rPr>
      </w:pPr>
    </w:p>
    <w:p>
      <w:pPr>
        <w:pStyle w:val="17"/>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pPr>
        <w:pStyle w:val="17"/>
        <w:outlineLvl w:val="1"/>
        <w:rPr>
          <w:rFonts w:hint="eastAsia" w:ascii="仿宋" w:hAnsi="仿宋" w:eastAsia="仿宋" w:cs="仿宋"/>
          <w:highlight w:val="none"/>
          <w:lang w:val="en-US" w:eastAsia="zh-CN"/>
        </w:rPr>
      </w:pPr>
      <w:bookmarkStart w:id="52" w:name="_Toc31128"/>
      <w:r>
        <w:rPr>
          <w:rFonts w:hint="eastAsia" w:ascii="仿宋" w:hAnsi="仿宋" w:eastAsia="仿宋" w:cs="仿宋"/>
          <w:highlight w:val="none"/>
          <w:lang w:val="en-US" w:eastAsia="zh-CN"/>
        </w:rPr>
        <w:t>2.本表必须按包分别填写。</w:t>
      </w:r>
      <w:bookmarkEnd w:id="52"/>
    </w:p>
    <w:p>
      <w:pPr>
        <w:pStyle w:val="17"/>
        <w:rPr>
          <w:rFonts w:hint="eastAsia" w:ascii="仿宋" w:hAnsi="仿宋" w:eastAsia="仿宋" w:cs="仿宋"/>
          <w:highlight w:val="none"/>
          <w:lang w:val="en-US" w:eastAsia="zh-CN"/>
        </w:rPr>
      </w:pPr>
    </w:p>
    <w:p>
      <w:pPr>
        <w:pStyle w:val="1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w:t>
      </w:r>
      <w:r>
        <w:rPr>
          <w:rFonts w:hint="eastAsia" w:ascii="仿宋" w:hAnsi="仿宋" w:eastAsia="仿宋" w:cs="仿宋"/>
          <w:sz w:val="24"/>
          <w:szCs w:val="24"/>
          <w:highlight w:val="none"/>
          <w:u w:val="single"/>
          <w:lang w:val="en-US" w:eastAsia="zh-CN"/>
        </w:rPr>
        <w:t xml:space="preserve">             </w:t>
      </w:r>
    </w:p>
    <w:p>
      <w:pPr>
        <w:pStyle w:val="1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pStyle w:val="1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8"/>
        <w:ind w:left="0" w:leftChars="0" w:firstLine="0" w:firstLineChars="0"/>
        <w:outlineLvl w:val="1"/>
        <w:rPr>
          <w:rFonts w:hint="eastAsia" w:ascii="仿宋" w:hAnsi="仿宋" w:eastAsia="仿宋" w:cs="仿宋"/>
          <w:sz w:val="24"/>
          <w:szCs w:val="24"/>
          <w:highlight w:val="none"/>
          <w:lang w:val="en-US" w:eastAsia="zh-CN"/>
        </w:rPr>
      </w:pPr>
      <w:bookmarkStart w:id="53" w:name="_Toc7007"/>
      <w:r>
        <w:rPr>
          <w:rFonts w:hint="eastAsia" w:ascii="仿宋" w:hAnsi="仿宋" w:eastAsia="仿宋" w:cs="仿宋"/>
          <w:sz w:val="24"/>
          <w:szCs w:val="24"/>
          <w:highlight w:val="none"/>
          <w:lang w:val="en-US" w:eastAsia="zh-CN"/>
        </w:rPr>
        <w:t>7  投标分项报价表</w:t>
      </w:r>
      <w:bookmarkEnd w:id="53"/>
    </w:p>
    <w:p>
      <w:pPr>
        <w:pStyle w:val="18"/>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投标分项报价表</w:t>
      </w:r>
    </w:p>
    <w:p>
      <w:pPr>
        <w:pStyle w:val="18"/>
        <w:ind w:left="0" w:leftChars="0" w:firstLine="0" w:firstLineChars="0"/>
        <w:jc w:val="center"/>
        <w:rPr>
          <w:rFonts w:hint="eastAsia" w:ascii="仿宋" w:hAnsi="仿宋" w:eastAsia="仿宋" w:cs="仿宋"/>
          <w:highlight w:val="none"/>
          <w:lang w:val="en-US" w:eastAsia="zh-CN"/>
        </w:rPr>
      </w:pPr>
    </w:p>
    <w:p>
      <w:pPr>
        <w:pStyle w:val="18"/>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报价单位：人民币元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76"/>
        <w:gridCol w:w="1787"/>
        <w:gridCol w:w="1659"/>
        <w:gridCol w:w="153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54"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276"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分项名称</w:t>
            </w:r>
          </w:p>
        </w:tc>
        <w:tc>
          <w:tcPr>
            <w:tcW w:w="1787"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品牌/型号</w:t>
            </w:r>
          </w:p>
        </w:tc>
        <w:tc>
          <w:tcPr>
            <w:tcW w:w="1659"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产地</w:t>
            </w:r>
          </w:p>
        </w:tc>
        <w:tc>
          <w:tcPr>
            <w:tcW w:w="1533"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单价（元）</w:t>
            </w:r>
          </w:p>
        </w:tc>
        <w:tc>
          <w:tcPr>
            <w:tcW w:w="1548"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4"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787"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659"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33"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48"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4"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787"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659"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33"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48"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4"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787"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659"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33"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48"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4"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787"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659"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33"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548"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09" w:type="dxa"/>
            <w:gridSpan w:val="5"/>
            <w:vAlign w:val="center"/>
          </w:tcPr>
          <w:p>
            <w:pPr>
              <w:pStyle w:val="17"/>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总价（元）</w:t>
            </w:r>
          </w:p>
        </w:tc>
        <w:tc>
          <w:tcPr>
            <w:tcW w:w="1548" w:type="dxa"/>
            <w:vAlign w:val="center"/>
          </w:tcPr>
          <w:p>
            <w:pPr>
              <w:pStyle w:val="17"/>
              <w:jc w:val="center"/>
              <w:rPr>
                <w:rFonts w:hint="eastAsia" w:ascii="仿宋" w:hAnsi="仿宋" w:eastAsia="仿宋" w:cs="仿宋"/>
                <w:sz w:val="21"/>
                <w:szCs w:val="21"/>
                <w:highlight w:val="none"/>
                <w:vertAlign w:val="baseline"/>
                <w:lang w:val="en-US" w:eastAsia="zh-CN"/>
              </w:rPr>
            </w:pPr>
          </w:p>
        </w:tc>
      </w:tr>
    </w:tbl>
    <w:p>
      <w:pPr>
        <w:pStyle w:val="17"/>
        <w:ind w:left="0" w:leftChars="0" w:firstLine="0" w:firstLineChars="0"/>
        <w:rPr>
          <w:rFonts w:hint="eastAsia" w:ascii="仿宋" w:hAnsi="仿宋" w:eastAsia="仿宋" w:cs="仿宋"/>
          <w:highlight w:val="none"/>
          <w:lang w:val="en-US" w:eastAsia="zh-CN"/>
        </w:rPr>
      </w:pPr>
    </w:p>
    <w:p>
      <w:pPr>
        <w:pStyle w:val="14"/>
        <w:rPr>
          <w:rFonts w:hint="eastAsia" w:ascii="仿宋" w:hAnsi="仿宋" w:eastAsia="仿宋" w:cs="仿宋"/>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2.如果不提供分项报价将视为没有实质性响应招标文件。</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pStyle w:val="18"/>
        <w:rPr>
          <w:rFonts w:hint="eastAsia" w:ascii="仿宋" w:hAnsi="仿宋" w:eastAsia="仿宋" w:cs="仿宋"/>
          <w:sz w:val="24"/>
          <w:szCs w:val="24"/>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4"/>
        <w:ind w:left="0" w:leftChars="0" w:firstLine="0" w:firstLineChars="0"/>
        <w:jc w:val="left"/>
        <w:outlineLvl w:val="1"/>
        <w:rPr>
          <w:rFonts w:hint="eastAsia" w:ascii="仿宋" w:hAnsi="仿宋" w:eastAsia="仿宋" w:cs="仿宋"/>
          <w:sz w:val="24"/>
          <w:szCs w:val="24"/>
          <w:highlight w:val="none"/>
          <w:lang w:val="en-US" w:eastAsia="zh-CN"/>
        </w:rPr>
      </w:pPr>
      <w:bookmarkStart w:id="54" w:name="_Toc6119"/>
      <w:r>
        <w:rPr>
          <w:rFonts w:hint="eastAsia" w:ascii="仿宋" w:hAnsi="仿宋" w:eastAsia="仿宋" w:cs="仿宋"/>
          <w:sz w:val="24"/>
          <w:szCs w:val="24"/>
          <w:highlight w:val="none"/>
          <w:lang w:val="en-US" w:eastAsia="zh-CN"/>
        </w:rPr>
        <w:t>8  商务条款偏离表</w:t>
      </w:r>
      <w:bookmarkEnd w:id="54"/>
    </w:p>
    <w:p>
      <w:pPr>
        <w:pStyle w:val="14"/>
        <w:ind w:left="0" w:leftChars="0" w:firstLine="0" w:firstLineChars="0"/>
        <w:jc w:val="center"/>
        <w:rPr>
          <w:rFonts w:hint="eastAsia" w:ascii="仿宋" w:hAnsi="仿宋" w:eastAsia="仿宋" w:cs="仿宋"/>
          <w:sz w:val="32"/>
          <w:szCs w:val="32"/>
          <w:highlight w:val="none"/>
          <w:lang w:val="en-US" w:eastAsia="zh-CN"/>
        </w:rPr>
      </w:pPr>
    </w:p>
    <w:p>
      <w:pPr>
        <w:pStyle w:val="14"/>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pPr>
        <w:rPr>
          <w:rFonts w:hint="eastAsia" w:ascii="仿宋" w:hAnsi="仿宋" w:eastAsia="仿宋" w:cs="仿宋"/>
          <w:highlight w:val="none"/>
          <w:lang w:val="en-US" w:eastAsia="zh-CN"/>
        </w:rPr>
      </w:pPr>
    </w:p>
    <w:p>
      <w:pPr>
        <w:pStyle w:val="14"/>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对本项目商务条款的偏离情况（请进行勾选）：</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（如无偏离，仅勾选无偏离即可）</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对商务条款中的所有要求，除本表所列明的所有偏离外，均视作供应商已对之理解和响应。</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5" w:name="_Toc6441"/>
      <w:r>
        <w:rPr>
          <w:rFonts w:hint="eastAsia" w:ascii="仿宋" w:hAnsi="仿宋" w:eastAsia="仿宋" w:cs="仿宋"/>
          <w:sz w:val="24"/>
          <w:szCs w:val="24"/>
          <w:highlight w:val="none"/>
          <w:lang w:val="en-US" w:eastAsia="zh-CN"/>
        </w:rPr>
        <w:t>2. “偏离情况”列应据实填写“正偏离”或“负偏离”。</w:t>
      </w:r>
      <w:bookmarkEnd w:id="55"/>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投标人名称（加盖公章）：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pPr>
        <w:pStyle w:val="18"/>
        <w:rPr>
          <w:rFonts w:hint="eastAsia" w:ascii="仿宋" w:hAnsi="仿宋" w:eastAsia="仿宋" w:cs="仿宋"/>
          <w:sz w:val="24"/>
          <w:szCs w:val="24"/>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4"/>
        <w:ind w:left="0" w:leftChars="0" w:firstLine="0" w:firstLineChars="0"/>
        <w:outlineLvl w:val="1"/>
        <w:rPr>
          <w:rFonts w:hint="eastAsia" w:ascii="仿宋" w:hAnsi="仿宋" w:eastAsia="仿宋" w:cs="仿宋"/>
          <w:sz w:val="24"/>
          <w:szCs w:val="24"/>
          <w:highlight w:val="none"/>
          <w:lang w:val="en-US" w:eastAsia="zh-CN"/>
        </w:rPr>
      </w:pPr>
      <w:bookmarkStart w:id="56" w:name="_Toc7042"/>
      <w:r>
        <w:rPr>
          <w:rFonts w:hint="eastAsia" w:ascii="仿宋" w:hAnsi="仿宋" w:eastAsia="仿宋" w:cs="仿宋"/>
          <w:sz w:val="24"/>
          <w:szCs w:val="24"/>
          <w:highlight w:val="none"/>
          <w:lang w:val="en-US" w:eastAsia="zh-CN"/>
        </w:rPr>
        <w:t>9  技术要求偏离表</w:t>
      </w:r>
      <w:bookmarkEnd w:id="56"/>
    </w:p>
    <w:p>
      <w:pPr>
        <w:pStyle w:val="14"/>
        <w:ind w:left="0" w:leftChars="0" w:firstLine="0" w:firstLineChars="0"/>
        <w:rPr>
          <w:rFonts w:hint="eastAsia" w:ascii="仿宋" w:hAnsi="仿宋" w:eastAsia="仿宋" w:cs="仿宋"/>
          <w:sz w:val="24"/>
          <w:szCs w:val="24"/>
          <w:highlight w:val="none"/>
          <w:lang w:val="en-US" w:eastAsia="zh-CN"/>
        </w:rPr>
      </w:pPr>
    </w:p>
    <w:p>
      <w:pPr>
        <w:pStyle w:val="14"/>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pPr>
        <w:pStyle w:val="14"/>
        <w:ind w:left="0" w:leftChars="0" w:firstLine="0" w:firstLineChars="0"/>
        <w:rPr>
          <w:rFonts w:hint="eastAsia" w:ascii="仿宋" w:hAnsi="仿宋" w:eastAsia="仿宋" w:cs="仿宋"/>
          <w:sz w:val="24"/>
          <w:szCs w:val="24"/>
          <w:highlight w:val="none"/>
          <w:lang w:val="en-US" w:eastAsia="zh-CN"/>
        </w:rPr>
      </w:pPr>
    </w:p>
    <w:p>
      <w:pPr>
        <w:pStyle w:val="14"/>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项目编号/包号：                 项目名称：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对招标文件中的所有商务、技术要求，除本表所列明的所有偏离情况外，均视作供应商已对之理解和响应。此表中若无任何文字说明，内容为空白，投标无效。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2.“偏离情况”列应据实填写“正偏离”、“负偏离”或“无偏离”。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 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7"/>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招标文件要求提供或投标人认为应附的其他材料</w:t>
      </w:r>
    </w:p>
    <w:p>
      <w:pPr>
        <w:pStyle w:val="1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57" w:name="_Toc480942355"/>
      <w:bookmarkStart w:id="58" w:name="_Toc216582819"/>
      <w:bookmarkStart w:id="59" w:name="_Toc520356224"/>
      <w:bookmarkStart w:id="60" w:name="_Ref467988543"/>
      <w:bookmarkStart w:id="61" w:name="_Toc522"/>
      <w:bookmarkStart w:id="62" w:name="_Toc507399535"/>
      <w:bookmarkStart w:id="63" w:name="_Toc17143"/>
      <w:bookmarkStart w:id="64" w:name="_Toc15963"/>
      <w:bookmarkStart w:id="65" w:name="_Toc4183"/>
      <w:bookmarkStart w:id="66" w:name="_Toc9592"/>
      <w:bookmarkStart w:id="67" w:name="_Toc20238"/>
      <w:bookmarkStart w:id="68" w:name="_Toc21320"/>
      <w:bookmarkStart w:id="69" w:name="_Toc3420"/>
      <w:bookmarkStart w:id="70" w:name="_Toc8281"/>
      <w:r>
        <w:rPr>
          <w:rFonts w:hint="eastAsia" w:ascii="仿宋" w:hAnsi="仿宋" w:eastAsia="仿宋" w:cs="仿宋"/>
          <w:b/>
          <w:bCs/>
          <w:kern w:val="2"/>
          <w:sz w:val="24"/>
          <w:szCs w:val="32"/>
          <w:highlight w:val="none"/>
          <w:lang w:val="en-US" w:eastAsia="zh-CN" w:bidi="ar-SA"/>
        </w:rPr>
        <w:t xml:space="preserve">11   </w:t>
      </w:r>
      <w:bookmarkEnd w:id="57"/>
      <w:bookmarkEnd w:id="58"/>
      <w:bookmarkEnd w:id="59"/>
      <w:bookmarkEnd w:id="60"/>
      <w:bookmarkStart w:id="71" w:name="_Hlt520350957"/>
      <w:bookmarkEnd w:id="71"/>
      <w:bookmarkStart w:id="72" w:name="_Hlt520273973"/>
      <w:bookmarkEnd w:id="72"/>
      <w:bookmarkStart w:id="73" w:name="_Hlt520271212"/>
      <w:bookmarkEnd w:id="73"/>
      <w:bookmarkStart w:id="74" w:name="_Hlt520274393"/>
      <w:bookmarkEnd w:id="74"/>
      <w:bookmarkStart w:id="75" w:name="_Hlt520274407"/>
      <w:bookmarkEnd w:id="75"/>
      <w:bookmarkStart w:id="76" w:name="_Hlt520343000"/>
      <w:bookmarkEnd w:id="76"/>
      <w:bookmarkStart w:id="77" w:name="_Hlt520273711"/>
      <w:bookmarkEnd w:id="77"/>
      <w:bookmarkStart w:id="78" w:name="_Hlt520343392"/>
      <w:bookmarkEnd w:id="78"/>
      <w:bookmarkStart w:id="79" w:name="_Hlt520274911"/>
      <w:bookmarkEnd w:id="79"/>
      <w:bookmarkStart w:id="80" w:name="_Hlt520274065"/>
      <w:bookmarkEnd w:id="80"/>
      <w:bookmarkStart w:id="81" w:name="_Hlt520350918"/>
      <w:bookmarkEnd w:id="81"/>
      <w:bookmarkStart w:id="82" w:name="_Toc216513801"/>
      <w:bookmarkStart w:id="83" w:name="_Toc216582821"/>
      <w:r>
        <w:rPr>
          <w:rFonts w:hint="eastAsia" w:ascii="仿宋" w:hAnsi="仿宋" w:eastAsia="仿宋" w:cs="仿宋"/>
          <w:b/>
          <w:bCs/>
          <w:kern w:val="2"/>
          <w:sz w:val="24"/>
          <w:szCs w:val="32"/>
          <w:highlight w:val="none"/>
          <w:lang w:val="en-US" w:eastAsia="zh-CN" w:bidi="ar-SA"/>
        </w:rPr>
        <w:t>中标服务费承诺书</w:t>
      </w:r>
      <w:bookmarkEnd w:id="61"/>
      <w:bookmarkEnd w:id="62"/>
      <w:bookmarkEnd w:id="63"/>
      <w:bookmarkEnd w:id="64"/>
      <w:bookmarkEnd w:id="65"/>
      <w:bookmarkEnd w:id="66"/>
      <w:bookmarkEnd w:id="67"/>
      <w:bookmarkEnd w:id="68"/>
    </w:p>
    <w:p>
      <w:pPr>
        <w:spacing w:line="240" w:lineRule="atLeast"/>
        <w:ind w:left="1080" w:leftChars="257" w:hanging="540"/>
        <w:rPr>
          <w:rFonts w:hint="eastAsia" w:ascii="仿宋" w:hAnsi="仿宋" w:eastAsia="仿宋" w:cs="仿宋"/>
          <w:b/>
          <w:sz w:val="24"/>
          <w:highlight w:val="none"/>
        </w:rPr>
      </w:pPr>
    </w:p>
    <w:p>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pPr>
        <w:spacing w:line="440" w:lineRule="exact"/>
        <w:ind w:left="1080" w:hanging="108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pPr>
        <w:spacing w:line="440" w:lineRule="exact"/>
        <w:ind w:left="1080" w:leftChars="257" w:hanging="540"/>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（承诺方盖章）</w:t>
      </w:r>
    </w:p>
    <w:p>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2"/>
      <w:bookmarkEnd w:id="83"/>
    </w:p>
    <w:p>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pPr>
        <w:widowControl w:val="0"/>
        <w:spacing w:before="1"/>
        <w:jc w:val="both"/>
        <w:outlineLvl w:val="1"/>
        <w:rPr>
          <w:rFonts w:hint="eastAsia" w:ascii="仿宋" w:hAnsi="仿宋" w:eastAsia="仿宋" w:cs="仿宋"/>
          <w:b w:val="0"/>
          <w:bCs w:val="0"/>
          <w:kern w:val="2"/>
          <w:sz w:val="24"/>
          <w:szCs w:val="24"/>
          <w:highlight w:val="none"/>
          <w:lang w:val="zh-CN" w:eastAsia="zh-CN" w:bidi="zh-CN"/>
        </w:rPr>
      </w:pPr>
      <w:bookmarkStart w:id="84" w:name="_Toc17899"/>
      <w:bookmarkStart w:id="85" w:name="_Toc8649"/>
      <w:bookmarkStart w:id="86" w:name="_Toc24678"/>
      <w:bookmarkStart w:id="87" w:name="_Toc20782"/>
      <w:bookmarkStart w:id="88" w:name="_Toc15106"/>
      <w:r>
        <w:rPr>
          <w:rFonts w:hint="eastAsia" w:ascii="仿宋" w:hAnsi="仿宋" w:eastAsia="仿宋" w:cs="仿宋"/>
          <w:b w:val="0"/>
          <w:bCs w:val="0"/>
          <w:kern w:val="2"/>
          <w:sz w:val="24"/>
          <w:szCs w:val="24"/>
          <w:highlight w:val="none"/>
          <w:lang w:val="en-US" w:eastAsia="zh-CN" w:bidi="zh-CN"/>
        </w:rPr>
        <w:t xml:space="preserve">12   </w:t>
      </w:r>
      <w:r>
        <w:rPr>
          <w:rFonts w:hint="eastAsia" w:ascii="仿宋" w:hAnsi="仿宋" w:eastAsia="仿宋" w:cs="仿宋"/>
          <w:b w:val="0"/>
          <w:bCs w:val="0"/>
          <w:kern w:val="2"/>
          <w:sz w:val="24"/>
          <w:szCs w:val="24"/>
          <w:highlight w:val="none"/>
          <w:lang w:val="zh-CN" w:eastAsia="zh-CN" w:bidi="zh-CN"/>
        </w:rPr>
        <w:t>保证金信息表</w:t>
      </w:r>
      <w:bookmarkEnd w:id="69"/>
      <w:bookmarkEnd w:id="70"/>
      <w:r>
        <w:rPr>
          <w:rFonts w:hint="eastAsia" w:ascii="仿宋" w:hAnsi="仿宋" w:eastAsia="仿宋" w:cs="仿宋"/>
          <w:b w:val="0"/>
          <w:bCs w:val="0"/>
          <w:kern w:val="2"/>
          <w:sz w:val="24"/>
          <w:szCs w:val="24"/>
          <w:highlight w:val="none"/>
          <w:lang w:val="zh-CN" w:eastAsia="zh-CN" w:bidi="zh-CN"/>
        </w:rPr>
        <w:t>（</w:t>
      </w:r>
      <w:r>
        <w:rPr>
          <w:rFonts w:hint="eastAsia" w:ascii="仿宋" w:hAnsi="仿宋" w:eastAsia="仿宋" w:cs="仿宋"/>
          <w:b w:val="0"/>
          <w:bCs w:val="0"/>
          <w:kern w:val="2"/>
          <w:sz w:val="24"/>
          <w:szCs w:val="24"/>
          <w:highlight w:val="none"/>
          <w:lang w:val="en-US" w:eastAsia="zh-CN" w:bidi="zh-CN"/>
        </w:rPr>
        <w:t>保函方式提交的无需提供</w:t>
      </w:r>
      <w:r>
        <w:rPr>
          <w:rFonts w:hint="eastAsia" w:ascii="仿宋" w:hAnsi="仿宋" w:eastAsia="仿宋" w:cs="仿宋"/>
          <w:b w:val="0"/>
          <w:bCs w:val="0"/>
          <w:kern w:val="2"/>
          <w:sz w:val="24"/>
          <w:szCs w:val="24"/>
          <w:highlight w:val="none"/>
          <w:lang w:val="zh-CN" w:eastAsia="zh-CN" w:bidi="zh-CN"/>
        </w:rPr>
        <w:t>）</w:t>
      </w:r>
      <w:bookmarkEnd w:id="84"/>
      <w:bookmarkEnd w:id="85"/>
      <w:bookmarkEnd w:id="86"/>
      <w:bookmarkEnd w:id="87"/>
      <w:bookmarkEnd w:id="88"/>
    </w:p>
    <w:p>
      <w:pPr>
        <w:pStyle w:val="2"/>
        <w:spacing w:line="440" w:lineRule="exact"/>
        <w:jc w:val="center"/>
        <w:outlineLvl w:val="9"/>
        <w:rPr>
          <w:rFonts w:hint="eastAsia" w:ascii="仿宋" w:hAnsi="仿宋" w:eastAsia="仿宋" w:cs="仿宋"/>
          <w:b/>
          <w:sz w:val="32"/>
          <w:szCs w:val="32"/>
          <w:highlight w:val="none"/>
        </w:rPr>
      </w:pPr>
    </w:p>
    <w:p>
      <w:pPr>
        <w:pStyle w:val="2"/>
        <w:spacing w:line="440" w:lineRule="exact"/>
        <w:jc w:val="center"/>
        <w:outlineLvl w:val="0"/>
        <w:rPr>
          <w:rFonts w:hint="eastAsia" w:ascii="仿宋" w:hAnsi="仿宋" w:eastAsia="仿宋" w:cs="仿宋"/>
          <w:b/>
          <w:sz w:val="32"/>
          <w:szCs w:val="32"/>
          <w:highlight w:val="none"/>
        </w:rPr>
      </w:pPr>
      <w:bookmarkStart w:id="89" w:name="_Toc31463"/>
      <w:bookmarkStart w:id="90" w:name="_Toc14307"/>
      <w:bookmarkStart w:id="91" w:name="_Toc4940"/>
      <w:bookmarkStart w:id="92" w:name="_Toc25967"/>
      <w:bookmarkStart w:id="93" w:name="_Toc28181"/>
      <w:bookmarkStart w:id="94" w:name="_Toc16938"/>
      <w:bookmarkStart w:id="95" w:name="_Toc27316"/>
      <w:r>
        <w:rPr>
          <w:rFonts w:hint="eastAsia" w:ascii="仿宋" w:hAnsi="仿宋" w:eastAsia="仿宋" w:cs="仿宋"/>
          <w:b/>
          <w:sz w:val="24"/>
          <w:szCs w:val="24"/>
          <w:highlight w:val="none"/>
        </w:rPr>
        <w:t>退还保证金申请函</w:t>
      </w:r>
      <w:bookmarkEnd w:id="89"/>
      <w:bookmarkEnd w:id="90"/>
      <w:bookmarkEnd w:id="91"/>
      <w:bookmarkEnd w:id="92"/>
      <w:bookmarkEnd w:id="93"/>
      <w:bookmarkEnd w:id="94"/>
      <w:bookmarkEnd w:id="95"/>
    </w:p>
    <w:p>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adjustRightInd w:val="0"/>
        <w:snapToGrid w:val="0"/>
        <w:spacing w:line="360" w:lineRule="auto"/>
        <w:rPr>
          <w:rFonts w:hint="eastAsia" w:ascii="仿宋" w:hAnsi="仿宋" w:eastAsia="仿宋" w:cs="仿宋"/>
          <w:color w:val="000000"/>
          <w:sz w:val="21"/>
          <w:szCs w:val="21"/>
          <w:highlight w:val="none"/>
        </w:rPr>
      </w:pP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法定代表人（或法定代表人授权代表）签字：</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名称（加盖公章）：</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2"/>
        <w:spacing w:line="440" w:lineRule="exact"/>
        <w:jc w:val="both"/>
        <w:rPr>
          <w:rFonts w:hint="eastAsia" w:ascii="仿宋" w:hAnsi="仿宋" w:eastAsia="仿宋" w:cs="仿宋"/>
          <w:bCs/>
          <w:sz w:val="21"/>
          <w:szCs w:val="21"/>
          <w:highlight w:val="none"/>
        </w:rPr>
      </w:pPr>
    </w:p>
    <w:p>
      <w:pPr>
        <w:pStyle w:val="2"/>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认真填写此函信息，并后附转帐或汇款的银行凭证复印件。</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pPr>
        <w:pStyle w:val="9"/>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widowControl w:val="0"/>
        <w:tabs>
          <w:tab w:val="left" w:pos="1325"/>
        </w:tabs>
        <w:spacing w:before="90"/>
        <w:jc w:val="both"/>
        <w:outlineLvl w:val="1"/>
        <w:rPr>
          <w:rFonts w:hint="eastAsia" w:ascii="仿宋" w:hAnsi="仿宋" w:eastAsia="仿宋" w:cs="仿宋"/>
          <w:b w:val="0"/>
          <w:bCs w:val="0"/>
          <w:kern w:val="2"/>
          <w:sz w:val="24"/>
          <w:szCs w:val="24"/>
          <w:highlight w:val="none"/>
          <w:lang w:val="zh-CN" w:eastAsia="zh-CN" w:bidi="zh-CN"/>
        </w:rPr>
      </w:pPr>
      <w:bookmarkStart w:id="96" w:name="_Toc8651"/>
      <w:bookmarkStart w:id="97" w:name="_Toc2994"/>
      <w:bookmarkStart w:id="98" w:name="_Toc28409"/>
      <w:bookmarkStart w:id="99" w:name="_Toc8576"/>
      <w:bookmarkStart w:id="100" w:name="_Toc19434"/>
      <w:bookmarkStart w:id="101" w:name="_Toc21100"/>
      <w:bookmarkStart w:id="102" w:name="_Toc17857"/>
      <w:r>
        <w:rPr>
          <w:rFonts w:hint="eastAsia" w:ascii="仿宋" w:hAnsi="仿宋" w:eastAsia="仿宋" w:cs="仿宋"/>
          <w:b w:val="0"/>
          <w:bCs w:val="0"/>
          <w:kern w:val="2"/>
          <w:sz w:val="24"/>
          <w:szCs w:val="24"/>
          <w:highlight w:val="none"/>
          <w:lang w:val="en-US" w:eastAsia="zh-CN" w:bidi="zh-CN"/>
        </w:rPr>
        <w:t>13   开票信息</w:t>
      </w:r>
      <w:r>
        <w:rPr>
          <w:rFonts w:hint="eastAsia" w:ascii="仿宋" w:hAnsi="仿宋" w:eastAsia="仿宋" w:cs="仿宋"/>
          <w:b w:val="0"/>
          <w:bCs w:val="0"/>
          <w:kern w:val="2"/>
          <w:sz w:val="24"/>
          <w:szCs w:val="24"/>
          <w:highlight w:val="none"/>
          <w:lang w:val="zh-CN" w:eastAsia="zh-CN" w:bidi="zh-CN"/>
        </w:rPr>
        <w:t>（统一格式）</w:t>
      </w:r>
      <w:bookmarkEnd w:id="96"/>
      <w:bookmarkEnd w:id="97"/>
      <w:bookmarkEnd w:id="98"/>
      <w:bookmarkEnd w:id="99"/>
      <w:bookmarkEnd w:id="100"/>
      <w:bookmarkEnd w:id="101"/>
      <w:bookmarkEnd w:id="102"/>
    </w:p>
    <w:p>
      <w:pPr>
        <w:pStyle w:val="2"/>
        <w:spacing w:line="440" w:lineRule="exact"/>
        <w:ind w:firstLine="480" w:firstLineChars="200"/>
        <w:jc w:val="both"/>
        <w:rPr>
          <w:rFonts w:hint="eastAsia" w:ascii="仿宋" w:hAnsi="仿宋" w:eastAsia="仿宋" w:cs="仿宋"/>
          <w:bCs/>
          <w:sz w:val="24"/>
          <w:highlight w:val="none"/>
        </w:rPr>
      </w:pP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新疆世纪星工程咨询有限公司</w:t>
      </w:r>
      <w:r>
        <w:rPr>
          <w:rFonts w:hint="eastAsia" w:ascii="仿宋" w:hAnsi="仿宋" w:eastAsia="仿宋" w:cs="仿宋"/>
          <w:bCs/>
          <w:sz w:val="21"/>
          <w:szCs w:val="21"/>
          <w:highlight w:val="none"/>
        </w:rPr>
        <w:t>：</w:t>
      </w:r>
    </w:p>
    <w:p>
      <w:pPr>
        <w:pStyle w:val="2"/>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rPr>
        <w:t xml:space="preserve">  </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招标，我司缴纳标书费和代理服务费后开具发票的事宜，我司声明如下： </w:t>
      </w:r>
    </w:p>
    <w:p>
      <w:pPr>
        <w:pStyle w:val="2"/>
        <w:spacing w:line="440" w:lineRule="exact"/>
        <w:ind w:firstLine="420" w:firstLineChars="200"/>
        <w:jc w:val="both"/>
        <w:rPr>
          <w:rFonts w:hint="eastAsia" w:ascii="仿宋" w:hAnsi="仿宋" w:eastAsia="仿宋" w:cs="仿宋"/>
          <w:sz w:val="21"/>
          <w:szCs w:val="21"/>
          <w:highlight w:val="none"/>
        </w:rPr>
      </w:pPr>
    </w:p>
    <w:tbl>
      <w:tblPr>
        <w:tblStyle w:val="2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472" w:type="dxa"/>
            <w:gridSpan w:val="3"/>
            <w:vAlign w:val="center"/>
          </w:tcPr>
          <w:p>
            <w:pPr>
              <w:pStyle w:val="2"/>
              <w:spacing w:line="44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472" w:type="dxa"/>
            <w:gridSpan w:val="3"/>
            <w:vAlign w:val="center"/>
          </w:tcPr>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2"/>
        <w:spacing w:line="440" w:lineRule="exact"/>
        <w:jc w:val="both"/>
        <w:rPr>
          <w:rFonts w:hint="eastAsia" w:ascii="仿宋" w:hAnsi="仿宋" w:eastAsia="仿宋" w:cs="仿宋"/>
          <w:bCs/>
          <w:sz w:val="21"/>
          <w:szCs w:val="21"/>
          <w:highlight w:val="none"/>
        </w:rPr>
      </w:pPr>
    </w:p>
    <w:p>
      <w:pPr>
        <w:pStyle w:val="2"/>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开户许可证、一般纳税人认定文件的清晰复印件加盖公章，以及开票信息（见上表）。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2"/>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法定代表人（或法定代表人授权代表）签字：</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名称（加盖公章）：</w:t>
      </w:r>
    </w:p>
    <w:p>
      <w:pPr>
        <w:pStyle w:val="2"/>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49D094B-6745-4B5B-B480-F2E649F1CB56}"/>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2B92107E-E003-4474-AF0B-410C184E5F39}"/>
  </w:font>
  <w:font w:name="仿宋_GB2312">
    <w:panose1 w:val="02010609030101010101"/>
    <w:charset w:val="86"/>
    <w:family w:val="auto"/>
    <w:pitch w:val="default"/>
    <w:sig w:usb0="00000001" w:usb1="080E0000" w:usb2="00000000" w:usb3="00000000" w:csb0="00040000" w:csb1="00000000"/>
    <w:embedRegular r:id="rId3" w:fontKey="{2B286A4B-C4CC-4A11-B441-080EE565A285}"/>
  </w:font>
  <w:font w:name="Microsoft JhengHei UI">
    <w:panose1 w:val="020B0604030504040204"/>
    <w:charset w:val="88"/>
    <w:family w:val="auto"/>
    <w:pitch w:val="default"/>
    <w:sig w:usb0="000002A7" w:usb1="28CF4400" w:usb2="00000016" w:usb3="00000000" w:csb0="00100009" w:csb1="00000000"/>
    <w:embedRegular r:id="rId4" w:fontKey="{1F19FB98-3450-4831-8A8D-1690BDFBFB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pPr>
      <w:pStyle w:val="13"/>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9A0F5DC4"/>
    <w:multiLevelType w:val="multilevel"/>
    <w:tmpl w:val="9A0F5DC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0E8ECBD"/>
    <w:multiLevelType w:val="singleLevel"/>
    <w:tmpl w:val="B0E8ECBD"/>
    <w:lvl w:ilvl="0" w:tentative="0">
      <w:start w:val="1"/>
      <w:numFmt w:val="decimal"/>
      <w:suff w:val="nothing"/>
      <w:lvlText w:val="%1、"/>
      <w:lvlJc w:val="left"/>
    </w:lvl>
  </w:abstractNum>
  <w:abstractNum w:abstractNumId="4">
    <w:nsid w:val="C4A1AF0A"/>
    <w:multiLevelType w:val="singleLevel"/>
    <w:tmpl w:val="C4A1AF0A"/>
    <w:lvl w:ilvl="0" w:tentative="0">
      <w:start w:val="4"/>
      <w:numFmt w:val="chineseCounting"/>
      <w:suff w:val="nothing"/>
      <w:lvlText w:val="%1、"/>
      <w:lvlJc w:val="left"/>
      <w:rPr>
        <w:rFonts w:hint="eastAsia"/>
      </w:rPr>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0A565840"/>
    <w:multiLevelType w:val="singleLevel"/>
    <w:tmpl w:val="0A565840"/>
    <w:lvl w:ilvl="0" w:tentative="0">
      <w:start w:val="1"/>
      <w:numFmt w:val="decimal"/>
      <w:suff w:val="nothing"/>
      <w:lvlText w:val="%1、"/>
      <w:lvlJc w:val="left"/>
    </w:lvl>
  </w:abstractNum>
  <w:abstractNum w:abstractNumId="10">
    <w:nsid w:val="2AC7103C"/>
    <w:multiLevelType w:val="multilevel"/>
    <w:tmpl w:val="2AC7103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5"/>
  </w:num>
  <w:num w:numId="6">
    <w:abstractNumId w:val="12"/>
  </w:num>
  <w:num w:numId="7">
    <w:abstractNumId w:val="1"/>
  </w:num>
  <w:num w:numId="8">
    <w:abstractNumId w:val="8"/>
  </w:num>
  <w:num w:numId="9">
    <w:abstractNumId w:val="4"/>
  </w:num>
  <w:num w:numId="10">
    <w:abstractNumId w:val="2"/>
  </w:num>
  <w:num w:numId="11">
    <w:abstractNumId w:val="10"/>
  </w:num>
  <w:num w:numId="12">
    <w:abstractNumId w:val="13"/>
  </w:num>
  <w:num w:numId="13">
    <w:abstractNumId w:val="3"/>
  </w:num>
  <w:num w:numId="14">
    <w:abstractNumId w:val="9"/>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s>
  <w:rsids>
    <w:rsidRoot w:val="00000000"/>
    <w:rsid w:val="01D86637"/>
    <w:rsid w:val="02D36DFE"/>
    <w:rsid w:val="04716A65"/>
    <w:rsid w:val="04A22F2C"/>
    <w:rsid w:val="04D836CC"/>
    <w:rsid w:val="04DF1A8A"/>
    <w:rsid w:val="052E656D"/>
    <w:rsid w:val="06A64F55"/>
    <w:rsid w:val="07AF3996"/>
    <w:rsid w:val="083500E3"/>
    <w:rsid w:val="08B374B6"/>
    <w:rsid w:val="08FE75D7"/>
    <w:rsid w:val="09322AD0"/>
    <w:rsid w:val="0A3C063D"/>
    <w:rsid w:val="0A4D7496"/>
    <w:rsid w:val="0A700227"/>
    <w:rsid w:val="0A7D5FCD"/>
    <w:rsid w:val="0AEE219D"/>
    <w:rsid w:val="0B3A5C6C"/>
    <w:rsid w:val="0CB97065"/>
    <w:rsid w:val="0D166265"/>
    <w:rsid w:val="0D2F0B75"/>
    <w:rsid w:val="0D3861DB"/>
    <w:rsid w:val="0D5D1B80"/>
    <w:rsid w:val="0D971B74"/>
    <w:rsid w:val="0E3D7B44"/>
    <w:rsid w:val="0FAC4A5B"/>
    <w:rsid w:val="10115A12"/>
    <w:rsid w:val="10294642"/>
    <w:rsid w:val="108571AB"/>
    <w:rsid w:val="10EC6CF5"/>
    <w:rsid w:val="112436FE"/>
    <w:rsid w:val="11ED63EA"/>
    <w:rsid w:val="12371157"/>
    <w:rsid w:val="12986F2D"/>
    <w:rsid w:val="13860617"/>
    <w:rsid w:val="147C72F5"/>
    <w:rsid w:val="15673B02"/>
    <w:rsid w:val="15E348F4"/>
    <w:rsid w:val="16651E05"/>
    <w:rsid w:val="1890336F"/>
    <w:rsid w:val="197C38F4"/>
    <w:rsid w:val="1AB53523"/>
    <w:rsid w:val="1AC00AF1"/>
    <w:rsid w:val="1B0B572D"/>
    <w:rsid w:val="1C80130B"/>
    <w:rsid w:val="1D331864"/>
    <w:rsid w:val="1D8B7ED2"/>
    <w:rsid w:val="1DE91501"/>
    <w:rsid w:val="1E4C7D38"/>
    <w:rsid w:val="1E88173F"/>
    <w:rsid w:val="20370574"/>
    <w:rsid w:val="207B66B3"/>
    <w:rsid w:val="20C86568"/>
    <w:rsid w:val="21A0479F"/>
    <w:rsid w:val="22C96D6A"/>
    <w:rsid w:val="243169FD"/>
    <w:rsid w:val="252217F3"/>
    <w:rsid w:val="262319BC"/>
    <w:rsid w:val="26B446CD"/>
    <w:rsid w:val="26DB2065"/>
    <w:rsid w:val="270E64D3"/>
    <w:rsid w:val="28292E99"/>
    <w:rsid w:val="28560F12"/>
    <w:rsid w:val="28BE1833"/>
    <w:rsid w:val="29001E4B"/>
    <w:rsid w:val="29361D11"/>
    <w:rsid w:val="293715E5"/>
    <w:rsid w:val="2A331DAD"/>
    <w:rsid w:val="2A5D4A33"/>
    <w:rsid w:val="2AF07C9E"/>
    <w:rsid w:val="2B1E1887"/>
    <w:rsid w:val="2E393998"/>
    <w:rsid w:val="2E4072A5"/>
    <w:rsid w:val="2F835584"/>
    <w:rsid w:val="2FFD5337"/>
    <w:rsid w:val="30007685"/>
    <w:rsid w:val="3070265D"/>
    <w:rsid w:val="32393423"/>
    <w:rsid w:val="32EE0512"/>
    <w:rsid w:val="33380434"/>
    <w:rsid w:val="337C0B48"/>
    <w:rsid w:val="33B01385"/>
    <w:rsid w:val="341A78AC"/>
    <w:rsid w:val="343926B5"/>
    <w:rsid w:val="35B368DC"/>
    <w:rsid w:val="3671332B"/>
    <w:rsid w:val="37E62B54"/>
    <w:rsid w:val="37EF2B28"/>
    <w:rsid w:val="38C500B3"/>
    <w:rsid w:val="39317DFF"/>
    <w:rsid w:val="3A2F6C77"/>
    <w:rsid w:val="3AA26A92"/>
    <w:rsid w:val="3AE03859"/>
    <w:rsid w:val="3C2E6878"/>
    <w:rsid w:val="3CFB4C5D"/>
    <w:rsid w:val="3DC56D68"/>
    <w:rsid w:val="3E06026B"/>
    <w:rsid w:val="3E1F44C5"/>
    <w:rsid w:val="3E502AD5"/>
    <w:rsid w:val="3E895FE7"/>
    <w:rsid w:val="3F7647BE"/>
    <w:rsid w:val="3F942E96"/>
    <w:rsid w:val="3FC90D91"/>
    <w:rsid w:val="3FF35CA9"/>
    <w:rsid w:val="40022408"/>
    <w:rsid w:val="40BB6A08"/>
    <w:rsid w:val="412C57DD"/>
    <w:rsid w:val="4149282A"/>
    <w:rsid w:val="41E910AE"/>
    <w:rsid w:val="4206121C"/>
    <w:rsid w:val="43064193"/>
    <w:rsid w:val="445D7CFA"/>
    <w:rsid w:val="44B638CC"/>
    <w:rsid w:val="44F3065E"/>
    <w:rsid w:val="456F23DB"/>
    <w:rsid w:val="4597548E"/>
    <w:rsid w:val="45CF4C28"/>
    <w:rsid w:val="47190850"/>
    <w:rsid w:val="475573AE"/>
    <w:rsid w:val="48943F06"/>
    <w:rsid w:val="49771967"/>
    <w:rsid w:val="49C5081B"/>
    <w:rsid w:val="4A4A2027"/>
    <w:rsid w:val="4BD71EB9"/>
    <w:rsid w:val="4C0E2F1B"/>
    <w:rsid w:val="4CC03516"/>
    <w:rsid w:val="50EC48E0"/>
    <w:rsid w:val="51085492"/>
    <w:rsid w:val="536942B6"/>
    <w:rsid w:val="5465151F"/>
    <w:rsid w:val="549718E4"/>
    <w:rsid w:val="54E35FFA"/>
    <w:rsid w:val="550C692B"/>
    <w:rsid w:val="55D65293"/>
    <w:rsid w:val="55F93D86"/>
    <w:rsid w:val="5690421D"/>
    <w:rsid w:val="56AD4B11"/>
    <w:rsid w:val="56C703BD"/>
    <w:rsid w:val="57807D09"/>
    <w:rsid w:val="57F86260"/>
    <w:rsid w:val="58A106A5"/>
    <w:rsid w:val="5B4D241F"/>
    <w:rsid w:val="5B9B762E"/>
    <w:rsid w:val="5F182D44"/>
    <w:rsid w:val="61170069"/>
    <w:rsid w:val="62347F47"/>
    <w:rsid w:val="627C4C03"/>
    <w:rsid w:val="62F31AFE"/>
    <w:rsid w:val="63293771"/>
    <w:rsid w:val="635B76A3"/>
    <w:rsid w:val="63C96D02"/>
    <w:rsid w:val="64320204"/>
    <w:rsid w:val="646903EE"/>
    <w:rsid w:val="64CD45D0"/>
    <w:rsid w:val="65085608"/>
    <w:rsid w:val="65766A16"/>
    <w:rsid w:val="65907AD8"/>
    <w:rsid w:val="65CC72F3"/>
    <w:rsid w:val="671E1113"/>
    <w:rsid w:val="672E75A8"/>
    <w:rsid w:val="674C5C80"/>
    <w:rsid w:val="67902011"/>
    <w:rsid w:val="67B65075"/>
    <w:rsid w:val="67BB4BB4"/>
    <w:rsid w:val="67ED07E2"/>
    <w:rsid w:val="67F5726C"/>
    <w:rsid w:val="68831B76"/>
    <w:rsid w:val="69FF522C"/>
    <w:rsid w:val="6A07121D"/>
    <w:rsid w:val="6AA819B9"/>
    <w:rsid w:val="6B013226"/>
    <w:rsid w:val="6B7E03D2"/>
    <w:rsid w:val="6C025233"/>
    <w:rsid w:val="6C163F72"/>
    <w:rsid w:val="6CFA1CDB"/>
    <w:rsid w:val="6D710CFE"/>
    <w:rsid w:val="6FC54073"/>
    <w:rsid w:val="7064403B"/>
    <w:rsid w:val="71445C1A"/>
    <w:rsid w:val="71527F65"/>
    <w:rsid w:val="716A5681"/>
    <w:rsid w:val="71C51DA1"/>
    <w:rsid w:val="71DE7825"/>
    <w:rsid w:val="728118F5"/>
    <w:rsid w:val="72E21C2D"/>
    <w:rsid w:val="73F6541C"/>
    <w:rsid w:val="74BB2697"/>
    <w:rsid w:val="752B5127"/>
    <w:rsid w:val="75F776FF"/>
    <w:rsid w:val="778E4093"/>
    <w:rsid w:val="77E06D61"/>
    <w:rsid w:val="788B1CC4"/>
    <w:rsid w:val="790A14F7"/>
    <w:rsid w:val="79A951B4"/>
    <w:rsid w:val="7A401675"/>
    <w:rsid w:val="7B2014A6"/>
    <w:rsid w:val="7D5B6550"/>
    <w:rsid w:val="7E66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5">
    <w:name w:val="Normal Indent"/>
    <w:basedOn w:val="1"/>
    <w:qFormat/>
    <w:uiPriority w:val="0"/>
    <w:pPr>
      <w:adjustRightInd w:val="0"/>
      <w:ind w:firstLine="420"/>
    </w:pPr>
    <w:rPr>
      <w:rFonts w:ascii="宋体"/>
      <w:sz w:val="24"/>
      <w:szCs w:val="20"/>
    </w:rPr>
  </w:style>
  <w:style w:type="paragraph" w:styleId="8">
    <w:name w:val="annotation text"/>
    <w:basedOn w:val="1"/>
    <w:qFormat/>
    <w:uiPriority w:val="0"/>
    <w:pPr>
      <w:jc w:val="left"/>
    </w:pPr>
  </w:style>
  <w:style w:type="paragraph" w:styleId="9">
    <w:name w:val="Body Text"/>
    <w:qFormat/>
    <w:uiPriority w:val="1"/>
    <w:pPr>
      <w:widowControl w:val="0"/>
      <w:jc w:val="both"/>
    </w:pPr>
    <w:rPr>
      <w:rFonts w:ascii="楷体" w:hAnsi="楷体" w:eastAsia="楷体" w:cs="楷体"/>
      <w:kern w:val="2"/>
      <w:sz w:val="24"/>
      <w:szCs w:val="24"/>
      <w:lang w:val="zh-CN" w:eastAsia="zh-CN" w:bidi="zh-CN"/>
    </w:rPr>
  </w:style>
  <w:style w:type="paragraph" w:styleId="10">
    <w:name w:val="Body Text Indent"/>
    <w:next w:val="1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1">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2">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5">
    <w:name w:val="HTML Preformatted"/>
    <w:basedOn w:val="1"/>
    <w:unhideWhenUsed/>
    <w:qFormat/>
    <w:uiPriority w:val="0"/>
    <w:rPr>
      <w:rFonts w:ascii="Courier New" w:hAnsi="Courier New" w:cs="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next w:val="14"/>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8">
    <w:name w:val="Body Text First Indent 2"/>
    <w:next w:val="17"/>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正文缩进_2"/>
    <w:basedOn w:val="30"/>
    <w:unhideWhenUsed/>
    <w:qFormat/>
    <w:uiPriority w:val="0"/>
    <w:pPr>
      <w:ind w:firstLine="420" w:firstLineChars="200"/>
    </w:pPr>
    <w:rPr>
      <w:rFonts w:ascii="Calibri" w:hAnsi="Calibri"/>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36714</Words>
  <Characters>39536</Characters>
  <Lines>0</Lines>
  <Paragraphs>0</Paragraphs>
  <TotalTime>27</TotalTime>
  <ScaleCrop>false</ScaleCrop>
  <LinksUpToDate>false</LinksUpToDate>
  <CharactersWithSpaces>41309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李梦媛</cp:lastModifiedBy>
  <dcterms:modified xsi:type="dcterms:W3CDTF">2023-07-20T08:07:21Z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300406741D4A48B9BD5D0018E97CEBDE_13</vt:lpwstr>
  </property>
</Properties>
</file>