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highlight w:val="none"/>
        </w:rPr>
      </w:pPr>
      <w:r>
        <w:rPr>
          <w:rFonts w:hint="eastAsia" w:ascii="仿宋" w:hAnsi="仿宋" w:eastAsia="仿宋" w:cs="仿宋"/>
          <w:sz w:val="21"/>
          <w:highlight w:val="none"/>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2023年新疆师范大学后勤服务中心采购大宗物资-肉类（二次）</w:t>
                            </w:r>
                          </w:p>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第1包猪肉及猪肉辅助类产品物资采购</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lang w:val="en-US" w:eastAsia="zh-CN"/>
                              </w:rPr>
                            </w:pPr>
                            <w:r>
                              <w:rPr>
                                <w:rFonts w:hint="eastAsia" w:ascii="微软雅黑" w:hAnsi="微软雅黑" w:eastAsia="微软雅黑" w:cs="微软雅黑"/>
                                <w:b/>
                                <w:bCs/>
                                <w:color w:val="237085"/>
                                <w:sz w:val="28"/>
                                <w:szCs w:val="28"/>
                                <w:lang w:val="en-US" w:eastAsia="zh-CN"/>
                              </w:rPr>
                              <w:t>（项目编号：SJX-2023-211（02））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（标段编号：01）</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1312;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2023年新疆师范大学后勤服务中心采购大宗物资-肉类（二次）</w:t>
                      </w:r>
                    </w:p>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第1包猪肉及猪肉辅助类产品物资采购</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lang w:val="en-US" w:eastAsia="zh-CN"/>
                        </w:rPr>
                      </w:pPr>
                      <w:r>
                        <w:rPr>
                          <w:rFonts w:hint="eastAsia" w:ascii="微软雅黑" w:hAnsi="微软雅黑" w:eastAsia="微软雅黑" w:cs="微软雅黑"/>
                          <w:b/>
                          <w:bCs/>
                          <w:color w:val="237085"/>
                          <w:sz w:val="28"/>
                          <w:szCs w:val="28"/>
                          <w:lang w:val="en-US" w:eastAsia="zh-CN"/>
                        </w:rPr>
                        <w:t>（项目编号：SJX-2023-211（02））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（标段编号：01）</w:t>
                      </w:r>
                    </w:p>
                    <w:p>
                      <w:pPr>
                        <w:rPr>
                          <w:rFonts w:hint="default"/>
                          <w:lang w:val="en-US" w:eastAsia="zh-CN"/>
                        </w:rPr>
                      </w:pPr>
                    </w:p>
                  </w:txbxContent>
                </v:textbox>
              </v:shape>
            </w:pict>
          </mc:Fallback>
        </mc:AlternateContent>
      </w:r>
      <w:r>
        <w:rPr>
          <w:rFonts w:hint="eastAsia" w:ascii="仿宋" w:hAnsi="仿宋" w:eastAsia="仿宋" w:cs="仿宋"/>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p>
    <w:p>
      <w:pPr>
        <w:rPr>
          <w:rFonts w:hint="eastAsia" w:ascii="仿宋" w:hAnsi="仿宋" w:eastAsia="仿宋" w:cs="仿宋"/>
          <w:highlight w:val="none"/>
        </w:rPr>
      </w:pPr>
    </w:p>
    <w:p>
      <w:pPr>
        <w:jc w:val="center"/>
        <w:rPr>
          <w:rFonts w:hint="eastAsia" w:ascii="仿宋" w:hAnsi="仿宋" w:eastAsia="仿宋" w:cs="仿宋"/>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pPr>
                        <w:pStyle w:val="18"/>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rFonts w:hint="eastAsia" w:ascii="仿宋" w:hAnsi="仿宋" w:eastAsia="仿宋" w:cs="仿宋"/>
          <w:highlight w:val="none"/>
          <w:lang w:eastAsia="zh-CN"/>
        </w:rPr>
        <w:drawing>
          <wp:anchor distT="0" distB="0" distL="114300" distR="114300" simplePos="0" relativeHeight="251665408" behindDoc="0" locked="0" layoutInCell="1" allowOverlap="1">
            <wp:simplePos x="0" y="0"/>
            <wp:positionH relativeFrom="column">
              <wp:posOffset>2974975</wp:posOffset>
            </wp:positionH>
            <wp:positionV relativeFrom="page">
              <wp:posOffset>7449185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7"/>
                    <a:srcRect l="22113" t="29394" r="21666" b="28715"/>
                    <a:stretch>
                      <a:fillRect/>
                    </a:stretch>
                  </pic:blipFill>
                  <pic:spPr>
                    <a:xfrm>
                      <a:off x="0" y="0"/>
                      <a:ext cx="1417320" cy="1410970"/>
                    </a:xfrm>
                    <a:prstGeom prst="rect">
                      <a:avLst/>
                    </a:prstGeom>
                  </pic:spPr>
                </pic:pic>
              </a:graphicData>
            </a:graphic>
          </wp:anchor>
        </w:drawing>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采购人：新疆师范大学（盖章）</w:t>
                            </w:r>
                          </w:p>
                          <w:p>
                            <w:pPr>
                              <w:jc w:val="left"/>
                              <w:rPr>
                                <w:rFonts w:hint="eastAsia" w:ascii="微软雅黑" w:hAnsi="微软雅黑" w:eastAsia="微软雅黑" w:cs="微软雅黑"/>
                                <w:b/>
                                <w:bCs/>
                                <w:color w:val="237085"/>
                                <w:sz w:val="32"/>
                                <w:szCs w:val="32"/>
                                <w:lang w:val="en-US" w:eastAsia="zh-CN"/>
                              </w:rPr>
                            </w:pPr>
                          </w:p>
                          <w:p>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pPr>
                              <w:jc w:val="center"/>
                              <w:rPr>
                                <w:rFonts w:hint="eastAsia" w:ascii="微软雅黑" w:hAnsi="微软雅黑" w:eastAsia="微软雅黑" w:cs="微软雅黑"/>
                                <w:b/>
                                <w:bCs/>
                                <w:color w:val="237085"/>
                                <w:sz w:val="32"/>
                                <w:szCs w:val="32"/>
                                <w:lang w:val="en-US" w:eastAsia="zh-CN"/>
                              </w:rPr>
                            </w:pPr>
                          </w:p>
                          <w:p>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日期：2023年07月20日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采购人：新疆师范大学（盖章）</w:t>
                      </w:r>
                    </w:p>
                    <w:p>
                      <w:pPr>
                        <w:jc w:val="left"/>
                        <w:rPr>
                          <w:rFonts w:hint="eastAsia" w:ascii="微软雅黑" w:hAnsi="微软雅黑" w:eastAsia="微软雅黑" w:cs="微软雅黑"/>
                          <w:b/>
                          <w:bCs/>
                          <w:color w:val="237085"/>
                          <w:sz w:val="32"/>
                          <w:szCs w:val="32"/>
                          <w:lang w:val="en-US" w:eastAsia="zh-CN"/>
                        </w:rPr>
                      </w:pPr>
                    </w:p>
                    <w:p>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pPr>
                        <w:jc w:val="center"/>
                        <w:rPr>
                          <w:rFonts w:hint="eastAsia" w:ascii="微软雅黑" w:hAnsi="微软雅黑" w:eastAsia="微软雅黑" w:cs="微软雅黑"/>
                          <w:b/>
                          <w:bCs/>
                          <w:color w:val="237085"/>
                          <w:sz w:val="32"/>
                          <w:szCs w:val="32"/>
                          <w:lang w:val="en-US" w:eastAsia="zh-CN"/>
                        </w:rPr>
                      </w:pPr>
                    </w:p>
                    <w:p>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日期：2023年07月20日</w:t>
                      </w:r>
                    </w:p>
                  </w:txbxContent>
                </v:textbox>
              </v:shape>
            </w:pict>
          </mc:Fallback>
        </mc:AlternateContent>
      </w:r>
    </w:p>
    <w:p>
      <w:pPr>
        <w:jc w:val="center"/>
        <w:rPr>
          <w:rFonts w:hint="eastAsia" w:ascii="仿宋" w:hAnsi="仿宋" w:eastAsia="仿宋" w:cs="仿宋"/>
          <w:sz w:val="32"/>
          <w:szCs w:val="32"/>
          <w:highlight w:val="none"/>
        </w:rPr>
      </w:pPr>
    </w:p>
    <w:tbl>
      <w:tblPr>
        <w:tblStyle w:val="19"/>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noWrap w:val="0"/>
            <w:vAlign w:val="top"/>
          </w:tcPr>
          <w:p>
            <w:pPr>
              <w:rPr>
                <w:rFonts w:hint="eastAsia" w:ascii="仿宋" w:hAnsi="仿宋" w:eastAsia="仿宋" w:cs="仿宋"/>
                <w:b/>
                <w:bCs/>
                <w:sz w:val="32"/>
                <w:szCs w:val="32"/>
                <w:highlight w:val="none"/>
              </w:rPr>
            </w:pPr>
            <w:r>
              <w:rPr>
                <w:rFonts w:hint="eastAsia" w:ascii="仿宋" w:hAnsi="仿宋" w:eastAsia="仿宋" w:cs="仿宋"/>
                <w:sz w:val="32"/>
                <w:szCs w:val="32"/>
                <w:highlight w:val="none"/>
              </w:rPr>
              <w:br w:type="page"/>
            </w:r>
          </w:p>
          <w:p>
            <w:pPr>
              <w:spacing w:line="360" w:lineRule="auto"/>
              <w:ind w:right="31" w:rightChars="15"/>
              <w:jc w:val="center"/>
              <w:rPr>
                <w:rFonts w:hint="eastAsia" w:ascii="仿宋" w:hAnsi="仿宋" w:eastAsia="仿宋" w:cs="仿宋"/>
                <w:b/>
                <w:bCs/>
                <w:sz w:val="32"/>
                <w:szCs w:val="32"/>
                <w:highlight w:val="none"/>
              </w:rPr>
            </w:pPr>
          </w:p>
          <w:p>
            <w:pPr>
              <w:spacing w:line="360" w:lineRule="auto"/>
              <w:ind w:right="31" w:rightChars="15"/>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招标文件确认</w:t>
            </w:r>
            <w:r>
              <w:rPr>
                <w:rFonts w:hint="eastAsia" w:ascii="仿宋" w:hAnsi="仿宋" w:eastAsia="仿宋" w:cs="仿宋"/>
                <w:b/>
                <w:bCs/>
                <w:sz w:val="32"/>
                <w:szCs w:val="32"/>
                <w:highlight w:val="none"/>
                <w:lang w:val="en-US" w:eastAsia="zh-CN"/>
              </w:rPr>
              <w:t>表</w:t>
            </w:r>
          </w:p>
          <w:p>
            <w:pPr>
              <w:spacing w:line="360" w:lineRule="auto"/>
              <w:ind w:firstLine="720" w:firstLineChars="300"/>
              <w:jc w:val="both"/>
              <w:rPr>
                <w:rFonts w:hint="eastAsia" w:ascii="仿宋" w:hAnsi="仿宋" w:eastAsia="仿宋" w:cs="仿宋"/>
                <w:sz w:val="24"/>
                <w:szCs w:val="24"/>
                <w:highlight w:val="none"/>
                <w:lang w:val="en-US" w:eastAsia="zh-CN"/>
              </w:rPr>
            </w:pPr>
          </w:p>
          <w:p>
            <w:pPr>
              <w:spacing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新疆世纪星工程咨询有限公司：</w:t>
            </w:r>
          </w:p>
          <w:p>
            <w:pPr>
              <w:spacing w:line="360" w:lineRule="auto"/>
              <w:ind w:firstLine="840" w:firstLineChars="3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single"/>
                <w:lang w:val="en-US" w:eastAsia="zh-CN"/>
              </w:rPr>
              <w:t>（2023年新疆师范大学后勤服务中心采购大宗物资-肉类（二次））（项目编号：SJX-2023-211（02））</w:t>
            </w:r>
            <w:r>
              <w:rPr>
                <w:rFonts w:hint="eastAsia" w:ascii="仿宋" w:hAnsi="仿宋" w:eastAsia="仿宋" w:cs="仿宋"/>
                <w:sz w:val="28"/>
                <w:szCs w:val="28"/>
                <w:highlight w:val="none"/>
                <w:lang w:val="en-US" w:eastAsia="zh-CN"/>
              </w:rPr>
              <w:t>招标文件，经我单位审核符合我单位提出的招标要求，同意对外发布。</w:t>
            </w:r>
          </w:p>
          <w:p>
            <w:pPr>
              <w:spacing w:line="360" w:lineRule="auto"/>
              <w:jc w:val="both"/>
              <w:rPr>
                <w:rFonts w:hint="eastAsia" w:ascii="仿宋" w:hAnsi="仿宋" w:eastAsia="仿宋" w:cs="仿宋"/>
                <w:sz w:val="28"/>
                <w:szCs w:val="28"/>
                <w:highlight w:val="none"/>
              </w:rPr>
            </w:pPr>
          </w:p>
          <w:p>
            <w:pPr>
              <w:spacing w:line="360" w:lineRule="auto"/>
              <w:ind w:right="240"/>
              <w:jc w:val="both"/>
              <w:rPr>
                <w:rFonts w:hint="eastAsia" w:ascii="仿宋" w:hAnsi="仿宋" w:eastAsia="仿宋" w:cs="仿宋"/>
                <w:sz w:val="28"/>
                <w:szCs w:val="28"/>
                <w:highlight w:val="none"/>
              </w:rPr>
            </w:pPr>
          </w:p>
          <w:p>
            <w:pPr>
              <w:spacing w:line="360" w:lineRule="auto"/>
              <w:ind w:right="240"/>
              <w:jc w:val="both"/>
              <w:rPr>
                <w:rFonts w:hint="eastAsia" w:ascii="仿宋" w:hAnsi="仿宋" w:eastAsia="仿宋" w:cs="仿宋"/>
                <w:sz w:val="28"/>
                <w:szCs w:val="28"/>
                <w:highlight w:val="none"/>
              </w:rPr>
            </w:pPr>
          </w:p>
          <w:p>
            <w:pPr>
              <w:spacing w:line="360" w:lineRule="auto"/>
              <w:ind w:right="84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采购人</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val="en-US" w:eastAsia="zh-CN"/>
              </w:rPr>
              <w:t xml:space="preserve">：  </w:t>
            </w:r>
          </w:p>
          <w:p>
            <w:pPr>
              <w:spacing w:line="360" w:lineRule="auto"/>
              <w:ind w:right="960"/>
              <w:jc w:val="both"/>
              <w:rPr>
                <w:rFonts w:hint="eastAsia" w:ascii="仿宋" w:hAnsi="仿宋" w:eastAsia="仿宋" w:cs="仿宋"/>
                <w:b/>
                <w:sz w:val="40"/>
                <w:szCs w:val="32"/>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2023</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07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w:t>
            </w:r>
          </w:p>
        </w:tc>
      </w:tr>
    </w:tbl>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目  录</w:t>
      </w:r>
    </w:p>
    <w:sdt>
      <w:sdtPr>
        <w:rPr>
          <w:rFonts w:hint="eastAsia" w:ascii="仿宋" w:hAnsi="仿宋" w:eastAsia="仿宋" w:cs="仿宋"/>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pPr>
            <w:pStyle w:val="27"/>
            <w:tabs>
              <w:tab w:val="right" w:leader="dot" w:pos="8306"/>
            </w:tabs>
            <w:rPr>
              <w:rFonts w:hint="eastAsia" w:ascii="仿宋" w:hAnsi="仿宋" w:eastAsia="仿宋" w:cs="仿宋"/>
              <w:b/>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_Toc11868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 xml:space="preserve">第一章 </w:t>
          </w:r>
          <w:r>
            <w:rPr>
              <w:rFonts w:hint="eastAsia" w:ascii="仿宋" w:hAnsi="仿宋" w:eastAsia="仿宋" w:cs="仿宋"/>
              <w:b/>
              <w:sz w:val="24"/>
              <w:szCs w:val="24"/>
              <w:highlight w:val="none"/>
              <w:lang w:val="en-US" w:eastAsia="zh-CN"/>
            </w:rPr>
            <w:t>公开招标公告</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_Toc11868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1</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_Toc21739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一、项目基本情况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_Toc15364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二、申请人的资格要求：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_Toc15364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_Toc29084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三、获取招标文件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_Toc29084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_Toc24224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四、提交投标文件截止时间、开标时间和地点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_Toc24224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_Toc17115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五、公告期限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_Toc17115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六、其他补充事宜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_Toc21999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七、对本次采购提出询问，请按以下方式联系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_Toc21999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_Toc31403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第二章 投标须知前附表</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_Toc31403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4</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_Toc27881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第三章 投标人须知</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_Toc27881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9</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_Toc20936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 说 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_Toc20936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_Toc6547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二、 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_Toc6547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_Toc9070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三、 投标文件的编制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_Toc9070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_Toc21719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四、 投标文件的提交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_Toc21719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_Toc15263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五、 开标、资格审查及评标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_Toc15263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_Toc7787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六、 确定中标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_Toc7787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_Toc22543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第四章 政府采购合同</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_Toc22543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26</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_Toc20159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第五章 采购需求</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_Toc20159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27</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_Toc21893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第六章 评标程序、评标方法和评标标准</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_Toc21893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28</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_Toc27440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1.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_Toc27440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_Toc12617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2. 评标原则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_Toc12617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_Toc6046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3. 资格审查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_Toc6046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_Toc4337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4. 符合性审查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_Toc4337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_Toc23924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5. 投标文件有关事项的澄清或者说明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_Toc23924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_Toc22049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6. 详细评审</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HYPERLINK \l _Toc31337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lang w:val="en-US" w:eastAsia="zh-CN"/>
            </w:rPr>
            <w:t>第七章 投标文件格式</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_Toc31337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36</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28"/>
            <w:tabs>
              <w:tab w:val="right" w:leader="dot" w:pos="8306"/>
            </w:tabs>
            <w:rPr>
              <w:rFonts w:hint="eastAsia" w:ascii="仿宋" w:hAnsi="仿宋" w:eastAsia="仿宋" w:cs="仿宋"/>
              <w:highlight w:val="none"/>
            </w:rPr>
          </w:pPr>
        </w:p>
        <w:p>
          <w:pPr>
            <w:jc w:val="both"/>
            <w:rPr>
              <w:rFonts w:hint="eastAsia" w:ascii="仿宋" w:hAnsi="仿宋" w:eastAsia="仿宋" w:cs="仿宋"/>
              <w:sz w:val="32"/>
              <w:szCs w:val="32"/>
              <w:highlight w:val="none"/>
            </w:rPr>
          </w:pPr>
          <w:r>
            <w:rPr>
              <w:rFonts w:hint="eastAsia" w:ascii="仿宋" w:hAnsi="仿宋" w:eastAsia="仿宋" w:cs="仿宋"/>
              <w:b/>
              <w:szCs w:val="32"/>
              <w:highlight w:val="none"/>
            </w:rPr>
            <w:fldChar w:fldCharType="end"/>
          </w:r>
        </w:p>
      </w:sdtContent>
    </w:sdt>
    <w:p>
      <w:pPr>
        <w:pStyle w:val="3"/>
        <w:numPr>
          <w:ilvl w:val="0"/>
          <w:numId w:val="1"/>
        </w:numPr>
        <w:bidi w:val="0"/>
        <w:jc w:val="center"/>
        <w:rPr>
          <w:rFonts w:hint="eastAsia" w:ascii="仿宋" w:hAnsi="仿宋" w:eastAsia="仿宋" w:cs="仿宋"/>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pPr>
        <w:pStyle w:val="3"/>
        <w:numPr>
          <w:ilvl w:val="0"/>
          <w:numId w:val="1"/>
        </w:numPr>
        <w:bidi w:val="0"/>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公开招标</w:t>
      </w:r>
      <w:r>
        <w:rPr>
          <w:rFonts w:hint="eastAsia" w:ascii="仿宋" w:hAnsi="仿宋" w:eastAsia="仿宋" w:cs="仿宋"/>
          <w:sz w:val="32"/>
          <w:szCs w:val="32"/>
          <w:highlight w:val="none"/>
        </w:rPr>
        <w:t>公告</w:t>
      </w:r>
      <w:bookmarkEnd w:id="0"/>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1" w:name="_Toc21739"/>
      <w:r>
        <w:rPr>
          <w:rFonts w:hint="eastAsia" w:ascii="仿宋" w:hAnsi="仿宋" w:eastAsia="仿宋" w:cs="仿宋"/>
          <w:b/>
          <w:bCs/>
          <w:sz w:val="24"/>
          <w:szCs w:val="24"/>
          <w:highlight w:val="none"/>
        </w:rPr>
        <w:t>一、项目基本情况</w:t>
      </w:r>
      <w:bookmarkEnd w:id="1"/>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SJX-2023-211（02）</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2023年新疆师范大学后勤服务中心采购大宗物资-肉类（二次）</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采购方式：公开招标</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万</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万</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新疆师范大学后勤服务中心饮食服务部</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年肉类</w:t>
      </w:r>
      <w:r>
        <w:rPr>
          <w:rFonts w:hint="eastAsia" w:ascii="仿宋" w:hAnsi="仿宋" w:eastAsia="仿宋" w:cs="仿宋"/>
          <w:sz w:val="24"/>
          <w:szCs w:val="24"/>
          <w:highlight w:val="none"/>
          <w:lang w:val="en-US" w:eastAsia="zh-CN"/>
        </w:rPr>
        <w:t>物资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具体详见本项目采购需求。</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pPr>
        <w:pStyle w:val="2"/>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标项</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第1包猪肉及猪肉辅助类产品物资采购</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一批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1000000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猪肉及猪肉辅助类产品物资采购，具体详见采购需求</w:t>
      </w:r>
    </w:p>
    <w:p>
      <w:pPr>
        <w:pStyle w:val="2"/>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合同履约期限：</w:t>
      </w:r>
      <w:r>
        <w:rPr>
          <w:rFonts w:hint="eastAsia" w:ascii="仿宋" w:hAnsi="仿宋" w:eastAsia="仿宋" w:cs="仿宋"/>
          <w:sz w:val="24"/>
          <w:szCs w:val="24"/>
          <w:highlight w:val="none"/>
          <w:lang w:val="en-US" w:eastAsia="zh-CN"/>
        </w:rPr>
        <w:t>自合同签订之日起壹年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2" w:name="_Toc15364"/>
      <w:r>
        <w:rPr>
          <w:rFonts w:hint="eastAsia" w:ascii="仿宋" w:hAnsi="仿宋" w:eastAsia="仿宋" w:cs="仿宋"/>
          <w:b/>
          <w:bCs/>
          <w:sz w:val="24"/>
          <w:szCs w:val="24"/>
          <w:highlight w:val="none"/>
        </w:rPr>
        <w:t>二、申请人的资格要求：</w:t>
      </w:r>
      <w:bookmarkEnd w:id="2"/>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2.落实政府采购政策需满足的资格要求：要求获得采购合同的供应商将不低于 40 %比例分包给一家或者多家中小企业（其中，</w:t>
      </w:r>
      <w:r>
        <w:rPr>
          <w:rFonts w:hint="eastAsia" w:ascii="仿宋" w:hAnsi="仿宋" w:eastAsia="仿宋" w:cs="仿宋"/>
          <w:sz w:val="24"/>
          <w:szCs w:val="24"/>
          <w:highlight w:val="none"/>
          <w:lang w:val="en-US" w:eastAsia="zh-CN"/>
        </w:rPr>
        <w:t>不低于</w:t>
      </w:r>
      <w:r>
        <w:rPr>
          <w:rFonts w:hint="eastAsia" w:ascii="仿宋" w:hAnsi="仿宋" w:eastAsia="仿宋" w:cs="仿宋"/>
          <w:sz w:val="24"/>
          <w:szCs w:val="24"/>
          <w:highlight w:val="none"/>
        </w:rPr>
        <w:t>60%需分包给一家或多家小微企业）。 潜在供应商需承诺如成交将按照部分预留方式与采购人签订合同（需提供中小企业声明函及分包意向协议）</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3.本项目的特定资格要求：</w:t>
      </w:r>
      <w:r>
        <w:rPr>
          <w:rFonts w:hint="eastAsia" w:ascii="仿宋" w:hAnsi="仿宋" w:eastAsia="仿宋" w:cs="仿宋"/>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3" w:name="_Toc29084"/>
      <w:r>
        <w:rPr>
          <w:rFonts w:hint="eastAsia" w:ascii="仿宋" w:hAnsi="仿宋" w:eastAsia="仿宋" w:cs="仿宋"/>
          <w:b/>
          <w:bCs/>
          <w:sz w:val="24"/>
          <w:szCs w:val="24"/>
          <w:highlight w:val="none"/>
        </w:rPr>
        <w:t>三、获取招标文件</w:t>
      </w:r>
      <w:bookmarkEnd w:id="3"/>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时间：2023年0</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日至2023年0</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日，每天上午0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:00至12:00，下午12:00至</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59</w:t>
      </w:r>
      <w:r>
        <w:rPr>
          <w:rFonts w:hint="eastAsia" w:ascii="仿宋" w:hAnsi="仿宋" w:eastAsia="仿宋" w:cs="仿宋"/>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地点：政采云平台（https://www.zcygov.cn/）</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方式：供应商登录政采云平台https://www.zcygov.cn/在线申请获取采购文件（进入“项目采购”应用，在获取采购文件菜单中选择项目，申请获取采购文件）本次招标不提供纸质版招标文件。</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售价（元）：0元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4" w:name="_Toc24224"/>
      <w:r>
        <w:rPr>
          <w:rFonts w:hint="eastAsia" w:ascii="仿宋" w:hAnsi="仿宋" w:eastAsia="仿宋" w:cs="仿宋"/>
          <w:b/>
          <w:bCs/>
          <w:sz w:val="24"/>
          <w:szCs w:val="24"/>
          <w:highlight w:val="none"/>
        </w:rPr>
        <w:t>四、提交投标文件截止时间、开标时间和地点</w:t>
      </w:r>
      <w:bookmarkEnd w:id="4"/>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提交投标文件截止时间：2023年</w:t>
      </w:r>
      <w:r>
        <w:rPr>
          <w:rFonts w:hint="eastAsia" w:ascii="仿宋" w:hAnsi="仿宋" w:eastAsia="仿宋" w:cs="仿宋"/>
          <w:sz w:val="24"/>
          <w:szCs w:val="24"/>
          <w:highlight w:val="none"/>
          <w:lang w:val="en-US" w:eastAsia="zh-CN"/>
        </w:rPr>
        <w:t>08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10 </w:t>
      </w:r>
      <w:r>
        <w:rPr>
          <w:rFonts w:hint="eastAsia" w:ascii="仿宋" w:hAnsi="仿宋" w:eastAsia="仿宋" w:cs="仿宋"/>
          <w:sz w:val="24"/>
          <w:szCs w:val="24"/>
          <w:highlight w:val="none"/>
        </w:rPr>
        <w:t>日 11:00（北京时间）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投标地点：政采云平台（https://www.zcygov.cn/），本项目采用不见面开标，加密的电子投标文件在投标截止时间前在政采云平台上传。</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开标时间：2023年0</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10 </w:t>
      </w:r>
      <w:r>
        <w:rPr>
          <w:rFonts w:hint="eastAsia" w:ascii="仿宋" w:hAnsi="仿宋" w:eastAsia="仿宋" w:cs="仿宋"/>
          <w:sz w:val="24"/>
          <w:szCs w:val="24"/>
          <w:highlight w:val="none"/>
        </w:rPr>
        <w:t>日 11:00（北京时间）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开标地点：政采云平台（https://www.zcygov.cn/）不见面开标系统</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5" w:name="_Toc17115"/>
      <w:r>
        <w:rPr>
          <w:rFonts w:hint="eastAsia" w:ascii="仿宋" w:hAnsi="仿宋" w:eastAsia="仿宋" w:cs="仿宋"/>
          <w:b/>
          <w:bCs/>
          <w:sz w:val="24"/>
          <w:szCs w:val="24"/>
          <w:highlight w:val="none"/>
        </w:rPr>
        <w:t>五、公告期限</w:t>
      </w:r>
      <w:bookmarkEnd w:id="5"/>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6" w:name="_Toc22084"/>
      <w:r>
        <w:rPr>
          <w:rFonts w:hint="eastAsia" w:ascii="仿宋" w:hAnsi="仿宋" w:eastAsia="仿宋" w:cs="仿宋"/>
          <w:b/>
          <w:bCs/>
          <w:sz w:val="24"/>
          <w:szCs w:val="24"/>
          <w:highlight w:val="none"/>
        </w:rPr>
        <w:t>六、其他补充事宜</w:t>
      </w:r>
      <w:bookmarkEnd w:id="6"/>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1、关于本项目所有公告、公示在新疆政府采购网发布。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2、请投标单位随时关注本项目的澄清、答疑、变更事项。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4、各供应商应在开标前确保成为</w:t>
      </w:r>
      <w:r>
        <w:rPr>
          <w:rFonts w:hint="eastAsia" w:ascii="仿宋" w:hAnsi="仿宋" w:eastAsia="仿宋" w:cs="仿宋"/>
          <w:b/>
          <w:bCs/>
          <w:sz w:val="24"/>
          <w:szCs w:val="24"/>
          <w:highlight w:val="none"/>
        </w:rPr>
        <w:t>新疆政府采购网</w:t>
      </w:r>
      <w:r>
        <w:rPr>
          <w:rFonts w:hint="eastAsia" w:ascii="仿宋" w:hAnsi="仿宋" w:eastAsia="仿宋" w:cs="仿宋"/>
          <w:sz w:val="24"/>
          <w:szCs w:val="24"/>
          <w:highlight w:val="none"/>
        </w:rPr>
        <w:t>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7" w:name="_Toc21999"/>
      <w:r>
        <w:rPr>
          <w:rFonts w:hint="eastAsia" w:ascii="仿宋" w:hAnsi="仿宋" w:eastAsia="仿宋" w:cs="仿宋"/>
          <w:b/>
          <w:bCs/>
          <w:sz w:val="24"/>
          <w:szCs w:val="24"/>
          <w:highlight w:val="none"/>
        </w:rPr>
        <w:t>七、对本次采购提出询问，请按以下方式联系</w:t>
      </w:r>
      <w:bookmarkEnd w:id="7"/>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bookmarkStart w:id="8" w:name="_Toc28359096"/>
      <w:bookmarkStart w:id="9" w:name="_Toc35393637"/>
      <w:bookmarkStart w:id="10" w:name="_Toc35393806"/>
      <w:bookmarkStart w:id="11" w:name="_Toc28359019"/>
      <w:r>
        <w:rPr>
          <w:rFonts w:hint="eastAsia" w:ascii="仿宋" w:hAnsi="仿宋" w:eastAsia="仿宋" w:cs="仿宋"/>
          <w:sz w:val="24"/>
          <w:szCs w:val="24"/>
          <w:highlight w:val="none"/>
        </w:rPr>
        <w:t>1.采购人信息</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bookmarkStart w:id="12" w:name="_Toc35393807"/>
      <w:bookmarkStart w:id="13" w:name="_Toc28359097"/>
      <w:bookmarkStart w:id="14" w:name="_Toc28359020"/>
      <w:bookmarkStart w:id="15" w:name="_Toc35393638"/>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rPr>
        <w:t>新疆师范大学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址：新疆维吾尔自治区乌鲁木齐市水磨沟区观园路100号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rPr>
        <w:t>王老师  0991-4112288</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rPr>
        <w:t>新疆世纪星工程咨询有限公司</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rPr>
        <w:t>乌鲁木齐市黄山街一品九点阳光德港大厦B座20楼招标部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联</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val="en-US"/>
        </w:rPr>
        <w:t>李梦媛、李航、杜萍、龚凡</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联系方式：0991-3678303</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邮    箱：415485763@qq.com</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rPr>
        <w:t>李梦媛、李航、杜萍、龚凡</w:t>
      </w:r>
      <w:bookmarkStart w:id="103" w:name="_GoBack"/>
      <w:bookmarkEnd w:id="103"/>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话：0991-3678303</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pPr>
        <w:pStyle w:val="3"/>
        <w:numPr>
          <w:ilvl w:val="0"/>
          <w:numId w:val="1"/>
        </w:numPr>
        <w:bidi w:val="0"/>
        <w:jc w:val="center"/>
        <w:rPr>
          <w:rFonts w:hint="eastAsia" w:ascii="仿宋" w:hAnsi="仿宋" w:eastAsia="仿宋" w:cs="仿宋"/>
          <w:sz w:val="32"/>
          <w:szCs w:val="32"/>
          <w:highlight w:val="none"/>
        </w:rPr>
      </w:pPr>
      <w:bookmarkStart w:id="16" w:name="_Toc31403"/>
      <w:r>
        <w:rPr>
          <w:rFonts w:hint="eastAsia" w:ascii="仿宋" w:hAnsi="仿宋" w:eastAsia="仿宋" w:cs="仿宋"/>
          <w:sz w:val="32"/>
          <w:szCs w:val="32"/>
          <w:highlight w:val="none"/>
        </w:rPr>
        <w:t>投标须知前附表</w:t>
      </w:r>
      <w:bookmarkEnd w:id="16"/>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本表是本招标项目的具体资料，是对投标人须知的具体补充和修改，如有矛盾，应以本前附表为准。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sz w:val="24"/>
          <w:szCs w:val="24"/>
          <w:highlight w:val="none"/>
        </w:rPr>
      </w:pP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条款号</w:t>
            </w:r>
          </w:p>
        </w:tc>
        <w:tc>
          <w:tcPr>
            <w:tcW w:w="665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665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采购人：</w:t>
            </w:r>
            <w:r>
              <w:rPr>
                <w:rFonts w:hint="eastAsia" w:ascii="仿宋" w:hAnsi="仿宋" w:eastAsia="仿宋" w:cs="仿宋"/>
                <w:sz w:val="24"/>
                <w:szCs w:val="24"/>
                <w:highlight w:val="none"/>
                <w:vertAlign w:val="baseline"/>
                <w:lang w:val="en-US"/>
              </w:rPr>
              <w:t>新疆师范大学</w:t>
            </w:r>
          </w:p>
          <w:p>
            <w:pPr>
              <w:adjustRightInd w:val="0"/>
              <w:snapToGrid w:val="0"/>
              <w:spacing w:line="44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rPr>
              <w:tab/>
            </w:r>
            <w:r>
              <w:rPr>
                <w:rFonts w:hint="eastAsia" w:ascii="仿宋" w:hAnsi="仿宋" w:eastAsia="仿宋" w:cs="仿宋"/>
                <w:sz w:val="24"/>
                <w:szCs w:val="24"/>
                <w:highlight w:val="none"/>
              </w:rPr>
              <w:t>址：新疆维吾尔自治区乌鲁木齐市水磨沟区观园路100号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rPr>
              <w:tab/>
            </w:r>
            <w:r>
              <w:rPr>
                <w:rFonts w:hint="eastAsia" w:ascii="仿宋" w:hAnsi="仿宋" w:eastAsia="仿宋" w:cs="仿宋"/>
                <w:sz w:val="24"/>
                <w:szCs w:val="24"/>
                <w:highlight w:val="none"/>
              </w:rPr>
              <w:t>话：</w:t>
            </w:r>
            <w:r>
              <w:rPr>
                <w:rFonts w:hint="eastAsia" w:ascii="仿宋" w:hAnsi="仿宋" w:eastAsia="仿宋" w:cs="仿宋"/>
                <w:sz w:val="24"/>
                <w:szCs w:val="24"/>
                <w:highlight w:val="none"/>
                <w:lang w:val="en-US"/>
              </w:rPr>
              <w:t>王</w:t>
            </w:r>
            <w:r>
              <w:rPr>
                <w:rFonts w:hint="eastAsia" w:ascii="仿宋" w:hAnsi="仿宋" w:eastAsia="仿宋" w:cs="仿宋"/>
                <w:sz w:val="24"/>
                <w:szCs w:val="24"/>
                <w:highlight w:val="none"/>
                <w:lang w:val="en-US" w:eastAsia="zh-CN"/>
              </w:rPr>
              <w:t>老师</w:t>
            </w:r>
            <w:r>
              <w:rPr>
                <w:rFonts w:hint="eastAsia" w:ascii="仿宋" w:hAnsi="仿宋" w:eastAsia="仿宋" w:cs="仿宋"/>
                <w:sz w:val="24"/>
                <w:szCs w:val="24"/>
                <w:highlight w:val="none"/>
                <w:lang w:val="en-US"/>
              </w:rPr>
              <w:t xml:space="preserve">  0991-4112288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采购代理机构：新疆世纪星工程咨询有限公司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地址：乌鲁木齐经济技术开发区二期黄山街一品九点阳光德港大厦B座20楼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业务联系人：</w:t>
            </w:r>
            <w:r>
              <w:rPr>
                <w:rFonts w:hint="eastAsia" w:ascii="仿宋" w:hAnsi="仿宋" w:eastAsia="仿宋" w:cs="仿宋"/>
                <w:sz w:val="24"/>
                <w:szCs w:val="24"/>
                <w:highlight w:val="none"/>
                <w:vertAlign w:val="baseline"/>
                <w:lang w:val="en-US"/>
              </w:rPr>
              <w:t>李梦媛、李航</w:t>
            </w:r>
            <w:r>
              <w:rPr>
                <w:rFonts w:hint="eastAsia" w:ascii="仿宋" w:hAnsi="仿宋" w:eastAsia="仿宋" w:cs="仿宋"/>
                <w:sz w:val="24"/>
                <w:szCs w:val="24"/>
                <w:highlight w:val="none"/>
                <w:vertAlign w:val="baseline"/>
              </w:rPr>
              <w:t xml:space="preserve">    </w:t>
            </w:r>
            <w:r>
              <w:rPr>
                <w:rFonts w:hint="eastAsia" w:ascii="仿宋" w:hAnsi="仿宋" w:eastAsia="仿宋" w:cs="仿宋"/>
                <w:sz w:val="24"/>
                <w:szCs w:val="24"/>
                <w:highlight w:val="none"/>
                <w:vertAlign w:val="baseline"/>
                <w:lang w:val="en-US" w:eastAsia="zh-CN"/>
              </w:rPr>
              <w:t xml:space="preserve">  </w:t>
            </w:r>
            <w:r>
              <w:rPr>
                <w:rFonts w:hint="eastAsia" w:ascii="仿宋" w:hAnsi="仿宋" w:eastAsia="仿宋" w:cs="仿宋"/>
                <w:sz w:val="24"/>
                <w:szCs w:val="24"/>
                <w:highlight w:val="none"/>
                <w:vertAlign w:val="baseline"/>
              </w:rPr>
              <w:t xml:space="preserve">电话：0991-3678303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电子邮箱：</w:t>
            </w:r>
            <w:r>
              <w:rPr>
                <w:rFonts w:hint="eastAsia" w:ascii="仿宋" w:hAnsi="仿宋" w:eastAsia="仿宋" w:cs="仿宋"/>
                <w:sz w:val="24"/>
                <w:szCs w:val="24"/>
                <w:highlight w:val="none"/>
                <w:vertAlign w:val="baseline"/>
                <w:lang w:val="en-US"/>
              </w:rPr>
              <w:t>415485763@qq.com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1.3.3</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合格投标人的其他资格要求：</w:t>
            </w:r>
            <w:r>
              <w:rPr>
                <w:rFonts w:hint="eastAsia" w:ascii="仿宋" w:hAnsi="仿宋" w:eastAsia="仿宋" w:cs="仿宋"/>
                <w:sz w:val="24"/>
                <w:szCs w:val="24"/>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是否允许采购进口产品：否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w:t>
            </w:r>
            <w:r>
              <w:rPr>
                <w:rFonts w:hint="eastAsia" w:ascii="仿宋" w:hAnsi="仿宋" w:eastAsia="仿宋" w:cs="仿宋"/>
                <w:sz w:val="24"/>
                <w:szCs w:val="24"/>
                <w:highlight w:val="none"/>
                <w:vertAlign w:val="baseline"/>
                <w:lang w:val="en-US"/>
              </w:rPr>
              <w:t>猪肉及猪肉辅助类产品</w:t>
            </w:r>
            <w:r>
              <w:rPr>
                <w:rFonts w:hint="eastAsia" w:ascii="仿宋" w:hAnsi="仿宋" w:eastAsia="仿宋" w:cs="仿宋"/>
                <w:sz w:val="24"/>
                <w:szCs w:val="24"/>
                <w:highlight w:val="none"/>
                <w:vertAlign w:val="baseline"/>
              </w:rPr>
              <w:t>）所属行业：农、林、牧、渔业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1.5.2</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是否为专门面向中小企业采购：是</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是否为本项目面向中小企业采购预留份额：是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如为是，未达到下面比例的投标将被认定为</w:t>
            </w:r>
            <w:r>
              <w:rPr>
                <w:rFonts w:hint="eastAsia" w:ascii="仿宋" w:hAnsi="仿宋" w:eastAsia="仿宋" w:cs="仿宋"/>
                <w:b/>
                <w:bCs/>
                <w:sz w:val="24"/>
                <w:szCs w:val="24"/>
                <w:highlight w:val="none"/>
                <w:vertAlign w:val="baseline"/>
                <w:lang w:val="en-US" w:eastAsia="zh-CN"/>
              </w:rPr>
              <w:t>投标无效</w:t>
            </w:r>
            <w:r>
              <w:rPr>
                <w:rFonts w:hint="eastAsia" w:ascii="仿宋" w:hAnsi="仿宋" w:eastAsia="仿宋" w:cs="仿宋"/>
                <w:sz w:val="24"/>
                <w:szCs w:val="24"/>
                <w:highlight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预留份额：</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40%专门面向中小企业</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其中60%专门面向小微企业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要求获得采购合同的投标人将不低于</w:t>
            </w:r>
            <w:r>
              <w:rPr>
                <w:rFonts w:hint="eastAsia" w:ascii="仿宋" w:hAnsi="仿宋" w:eastAsia="仿宋" w:cs="仿宋"/>
                <w:sz w:val="24"/>
                <w:szCs w:val="24"/>
                <w:highlight w:val="none"/>
                <w:u w:val="single"/>
                <w:vertAlign w:val="baseline"/>
                <w:lang w:val="en-US" w:eastAsia="zh-CN"/>
              </w:rPr>
              <w:t>40%</w:t>
            </w:r>
            <w:r>
              <w:rPr>
                <w:rFonts w:hint="eastAsia" w:ascii="仿宋" w:hAnsi="仿宋" w:eastAsia="仿宋" w:cs="仿宋"/>
                <w:sz w:val="24"/>
                <w:szCs w:val="24"/>
                <w:highlight w:val="none"/>
                <w:vertAlign w:val="baseline"/>
                <w:lang w:val="en-US" w:eastAsia="zh-CN"/>
              </w:rPr>
              <w:t>比例分包给 一家或者多家中小企业, 其中预留给小微企业的比例不低于</w:t>
            </w:r>
            <w:r>
              <w:rPr>
                <w:rFonts w:hint="eastAsia" w:ascii="仿宋" w:hAnsi="仿宋" w:eastAsia="仿宋" w:cs="仿宋"/>
                <w:sz w:val="24"/>
                <w:szCs w:val="24"/>
                <w:highlight w:val="none"/>
                <w:u w:val="single"/>
                <w:vertAlign w:val="baseline"/>
                <w:lang w:val="en-US" w:eastAsia="zh-CN"/>
              </w:rPr>
              <w:t xml:space="preserve"> 60%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1.10</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是否允许联合体投标：否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本标项预算金额：100万元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vertAlign w:val="baseline"/>
                <w:lang w:val="en-US" w:eastAsia="zh-CN"/>
              </w:rPr>
              <w:t>最高限价：参照北园春市场中间价报下浮率不低于12%（有效报价区间为：12.00%≤投标下浮率＜100.00%）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是否组织现场考察或者召开答疑会：否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组织现场考察或者召开答疑会相关要求：/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5.7 </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是否需要提供样品：否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提供样品要求包括：</w:t>
            </w:r>
            <w:r>
              <w:rPr>
                <w:rFonts w:hint="eastAsia" w:ascii="仿宋" w:hAnsi="仿宋" w:eastAsia="仿宋" w:cs="仿宋"/>
                <w:sz w:val="24"/>
                <w:szCs w:val="24"/>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7.1 </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保证金形式：电汇或银行转账或投标保函</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保证金数额：</w:t>
            </w:r>
            <w:r>
              <w:rPr>
                <w:rFonts w:hint="eastAsia" w:ascii="仿宋" w:hAnsi="仿宋" w:eastAsia="仿宋" w:cs="仿宋"/>
                <w:sz w:val="24"/>
                <w:szCs w:val="24"/>
                <w:highlight w:val="none"/>
                <w:vertAlign w:val="baseline"/>
                <w:lang w:val="en-US" w:eastAsia="zh-CN"/>
              </w:rPr>
              <w:t>20000</w:t>
            </w:r>
            <w:r>
              <w:rPr>
                <w:rFonts w:hint="eastAsia" w:ascii="仿宋" w:hAnsi="仿宋" w:eastAsia="仿宋" w:cs="仿宋"/>
                <w:sz w:val="24"/>
                <w:szCs w:val="24"/>
                <w:highlight w:val="none"/>
                <w:vertAlign w:val="baseline"/>
              </w:rPr>
              <w:t>元</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人民币贰万圆整</w:t>
            </w:r>
            <w:r>
              <w:rPr>
                <w:rFonts w:hint="eastAsia" w:ascii="仿宋" w:hAnsi="仿宋" w:eastAsia="仿宋" w:cs="仿宋"/>
                <w:sz w:val="24"/>
                <w:szCs w:val="24"/>
                <w:highlight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保证金收款人：新疆世纪星工程咨询有限公司</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保证金收款账号：512090100100073085</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保证收款银行及行号: 兴业银行乌鲁木齐分行营业部309881002010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以电汇或银行转账形式缴纳保证金的投标人注意事项：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在汇款附言（或银行摘要）中，标明项目编号、包号（如分包）。每个项目须按照分包分别提交投标保证金。</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投标保函提交方式：供应商可通过"政采云平台金融服务中心"(https://jinrong.zcygov.cn/)，申请办理投标电子保函，成功出函的等效于缴纳投标保证金。</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bCs/>
                <w:sz w:val="24"/>
                <w:szCs w:val="24"/>
                <w:highlight w:val="none"/>
                <w:vertAlign w:val="baseline"/>
              </w:rPr>
              <w:t>投标保证金（投标电子保函）有效期与投标有效期一致。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val="0"/>
                <w:bCs w:val="0"/>
                <w:sz w:val="24"/>
                <w:szCs w:val="24"/>
                <w:highlight w:val="none"/>
                <w:vertAlign w:val="baseline"/>
              </w:rPr>
              <w:t>投标有效期：90 日历日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投标截止时间：2023年 08 月10 日 11:00（北京时间）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开标时间：同投标截止时间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开标地点：政采云平台（https://www.zcygov.cn/）不见面开标系统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18.1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采购人是否委托评标委员会直接确定中标人：否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提交履约保证金的时间：合同签订后10个工作日内</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履约保证金金额：本包中标金额*10%（最高不超过30万元）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4"/>
                <w:szCs w:val="24"/>
                <w:highlight w:val="none"/>
                <w:vertAlign w:val="baseline"/>
                <w:lang w:val="en-US" w:eastAsia="zh-CN"/>
              </w:rPr>
              <w:t>履约保证金形式：电汇或银行转账或履约保函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39" w:hRule="atLeast"/>
        </w:trPr>
        <w:tc>
          <w:tcPr>
            <w:tcW w:w="1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23.1</w:t>
            </w:r>
          </w:p>
        </w:tc>
        <w:tc>
          <w:tcPr>
            <w:tcW w:w="6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是否由中标人缴纳招标代理费：是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招标代理费：以本包/标项预算金额参照原国家计委计价格【2002】1980 号文下浮</w:t>
            </w:r>
            <w:r>
              <w:rPr>
                <w:rFonts w:hint="eastAsia" w:ascii="仿宋" w:hAnsi="仿宋" w:eastAsia="仿宋" w:cs="仿宋"/>
                <w:b w:val="0"/>
                <w:bCs w:val="0"/>
                <w:sz w:val="24"/>
                <w:szCs w:val="24"/>
                <w:highlight w:val="none"/>
                <w:u w:val="single"/>
                <w:vertAlign w:val="baseline"/>
                <w:lang w:val="en-US" w:eastAsia="zh-CN"/>
              </w:rPr>
              <w:t xml:space="preserve">  70 </w:t>
            </w:r>
            <w:r>
              <w:rPr>
                <w:rFonts w:hint="eastAsia" w:ascii="仿宋" w:hAnsi="仿宋" w:eastAsia="仿宋" w:cs="仿宋"/>
                <w:b w:val="0"/>
                <w:bCs w:val="0"/>
                <w:sz w:val="24"/>
                <w:szCs w:val="24"/>
                <w:highlight w:val="none"/>
                <w:vertAlign w:val="baseline"/>
                <w:lang w:val="en-US" w:eastAsia="zh-CN"/>
              </w:rPr>
              <w:t xml:space="preserve">%的计算方法收取。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支付形式：支票、电汇等形式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870"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6652"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核心产品：五花肉、前腿肉、后腿肉、排骨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6652"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6652" w:type="dxa"/>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项目属性：货物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852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1、关于本项目所有公告、公示在新疆政府采购网发布。</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2、请投标单位随时关注本项目的澄清、答疑、变更事项。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7、供应商在开标前须提前配置好电脑浏览器（建议使用360浏览器或谷歌浏览器），开标时请使用制作加密电子响应文件的CA锁进行解密及报价确认。</w:t>
            </w:r>
            <w:r>
              <w:rPr>
                <w:rFonts w:hint="eastAsia" w:ascii="仿宋" w:hAnsi="仿宋" w:eastAsia="仿宋" w:cs="仿宋"/>
                <w:b/>
                <w:bCs/>
                <w:sz w:val="24"/>
                <w:szCs w:val="24"/>
                <w:highlight w:val="none"/>
                <w:vertAlign w:val="baseline"/>
                <w:lang w:val="en-US" w:eastAsia="zh-CN"/>
              </w:rPr>
              <w:t>本项目投标文件解密时间定为30分钟，如投标人因自身原因导致在规定的时间无法正常解密，视为开标后撤销其投标文件，投标保证金招标人有权不予退还。</w:t>
            </w:r>
          </w:p>
        </w:tc>
      </w:tr>
    </w:tbl>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pStyle w:val="3"/>
        <w:numPr>
          <w:ilvl w:val="0"/>
          <w:numId w:val="1"/>
        </w:numPr>
        <w:bidi w:val="0"/>
        <w:jc w:val="center"/>
        <w:rPr>
          <w:rFonts w:hint="eastAsia" w:ascii="仿宋" w:hAnsi="仿宋" w:eastAsia="仿宋" w:cs="仿宋"/>
          <w:sz w:val="32"/>
          <w:szCs w:val="32"/>
          <w:highlight w:val="none"/>
        </w:rPr>
      </w:pPr>
      <w:bookmarkStart w:id="17" w:name="_Toc27881"/>
      <w:r>
        <w:rPr>
          <w:rFonts w:hint="eastAsia" w:ascii="仿宋" w:hAnsi="仿宋" w:eastAsia="仿宋" w:cs="仿宋"/>
          <w:sz w:val="32"/>
          <w:szCs w:val="32"/>
          <w:highlight w:val="none"/>
        </w:rPr>
        <w:t>投标人须知</w:t>
      </w:r>
      <w:bookmarkEnd w:id="17"/>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sz w:val="24"/>
          <w:szCs w:val="24"/>
          <w:highlight w:val="none"/>
        </w:rPr>
      </w:pPr>
      <w:bookmarkStart w:id="18" w:name="_Toc20936"/>
      <w:r>
        <w:rPr>
          <w:rFonts w:hint="eastAsia" w:ascii="仿宋" w:hAnsi="仿宋" w:eastAsia="仿宋" w:cs="仿宋"/>
          <w:b/>
          <w:bCs/>
          <w:sz w:val="24"/>
          <w:szCs w:val="24"/>
          <w:highlight w:val="none"/>
        </w:rPr>
        <w:t>说 明</w:t>
      </w:r>
      <w:bookmarkEnd w:id="18"/>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采购人、采购代理机构及投标人</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采购人：是指依法进行政府采购的国家机构、事业单位、团体组织。</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采购代理机构：本次招标的采购代理机构为新疆世纪星工程咨询有限公司。</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投标人：是指向采购人提供货物、工程或者服务的法人、其他组织或者自然人。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投标人须满足以下条件：</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具备《中华人民共和国政府采购法》第二十二条关于投标人条件的规定，遵守国家、本项目采购人本级和上级财政部门政府采购的有关规定。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以招标文件规定的方式获得了本项目的招标文件。</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中规定的其他资格要求。</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中未写明允许采购进口产品，如投标人所投产品为进口产品，其投标将作为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 xml:space="preserve">被拒绝。 </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若投标须知前附表中写明专门面向中小企业采购的，如投标人所提供的货物为非中小企业制造或提供的服务、工程为非中小企业承接，其投标将被认定为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。本项目是否面向中小企业采购预留份额、措施及比例见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，未达到上述比例的投标将被认定为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投标人提供的货物、工程或者服务符合下列情形的，享受中小企业扶持政策：</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在货物采购项目中，投标人提供的货物既有中小企业制造货物，也有大型企业制造货物的，不享受中小企业扶持政策。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信息安全产品</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所投产品属于《关于调整信息安全产品强制性认证实施要求的公告》（2009 年第 33 号）范围的，采购经国家认证的信息安全产品，否则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。关于信息安全相关规定依据《关于信息安全产品实施政府采购的通知》（财库〔2010〕48 号）。</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中允许联合体投标，对联合体规定如下：</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两个以上投标人可以组成一个投标联合体，以一个投标人的身份投标。  </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采购人根据采购项目对投标人的特殊要求，联合体中至少应当有一方符合相关规定。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联合体中有同类资质的投标人按照联合体分工承担相同工作的，按照资质等级较低的投标人确定资质等级。</w:t>
      </w:r>
    </w:p>
    <w:p>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资金来源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项目预算金额和最高限价见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投标人报价超过招标文件规定的预算金额或者最高限价的，其投标将被认定为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投标费用</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适用法律</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sz w:val="24"/>
          <w:szCs w:val="24"/>
          <w:highlight w:val="none"/>
          <w:lang w:val="en-US" w:eastAsia="zh-CN"/>
        </w:rPr>
      </w:pPr>
      <w:bookmarkStart w:id="19" w:name="_Toc6547"/>
      <w:r>
        <w:rPr>
          <w:rFonts w:hint="eastAsia" w:ascii="仿宋" w:hAnsi="仿宋" w:eastAsia="仿宋" w:cs="仿宋"/>
          <w:b/>
          <w:bCs/>
          <w:sz w:val="24"/>
          <w:szCs w:val="24"/>
          <w:highlight w:val="none"/>
          <w:lang w:val="en-US" w:eastAsia="zh-CN"/>
        </w:rPr>
        <w:t>招标文件</w:t>
      </w:r>
      <w:bookmarkEnd w:id="19"/>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招标文件构成</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招标文件包括以下部分：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招标公告（投标邀请）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投标须知前附表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投标人须知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投标文件格式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sz w:val="24"/>
          <w:szCs w:val="24"/>
          <w:highlight w:val="none"/>
          <w:u w:val="none"/>
          <w:lang w:val="en-US" w:eastAsia="zh-CN"/>
        </w:rPr>
        <w:t>投标须知前附表</w:t>
      </w:r>
      <w:r>
        <w:rPr>
          <w:rFonts w:hint="eastAsia" w:ascii="仿宋" w:hAnsi="仿宋" w:eastAsia="仿宋" w:cs="仿宋"/>
          <w:b w:val="0"/>
          <w:bCs w:val="0"/>
          <w:sz w:val="24"/>
          <w:szCs w:val="24"/>
          <w:highlight w:val="none"/>
          <w:lang w:val="en-US" w:eastAsia="zh-CN"/>
        </w:rPr>
        <w:t>不涉及的内容，以编排在后的最后描述为准。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投标人自行承担踏勘现场发生的责任、风险和自身费用。</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，对样品的评审方法及评审标准见招标文件第六章《评标程序、评标方法和评标标准》。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招标文件规定投标人提交样品的，样品属于投标文件的组成部分。样品的生产、运输、安装、保全等一切费用由投标人自理。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对招标文件的澄清或修改</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如更正公告有重新发布电子招标文件的，投标人应登录电子招投标平台下载最新发布的电子招标文件制作投标文件。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0" w:name="_Toc9070"/>
      <w:r>
        <w:rPr>
          <w:rFonts w:hint="eastAsia" w:ascii="仿宋" w:hAnsi="仿宋" w:eastAsia="仿宋" w:cs="仿宋"/>
          <w:b/>
          <w:bCs/>
          <w:sz w:val="24"/>
          <w:szCs w:val="24"/>
          <w:highlight w:val="none"/>
          <w:lang w:val="en-US" w:eastAsia="zh-CN"/>
        </w:rPr>
        <w:t>投标文件的编制</w:t>
      </w:r>
      <w:bookmarkEnd w:id="20"/>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投标范围、投标文件中计量单位的使用及投标语言</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投标人可对招标文件中一个或几个分包进行投标，除非在</w:t>
      </w:r>
      <w:r>
        <w:rPr>
          <w:rFonts w:hint="eastAsia" w:ascii="仿宋" w:hAnsi="仿宋" w:eastAsia="仿宋" w:cs="仿宋"/>
          <w:b w:val="0"/>
          <w:bCs w:val="0"/>
          <w:sz w:val="24"/>
          <w:szCs w:val="24"/>
          <w:highlight w:val="none"/>
          <w:u w:val="single"/>
          <w:lang w:val="en-US" w:eastAsia="zh-CN"/>
        </w:rPr>
        <w:t>投标须知前附表中另有规定</w:t>
      </w:r>
      <w:r>
        <w:rPr>
          <w:rFonts w:hint="eastAsia" w:ascii="仿宋" w:hAnsi="仿宋" w:eastAsia="仿宋" w:cs="仿宋"/>
          <w:b w:val="0"/>
          <w:bCs w:val="0"/>
          <w:sz w:val="24"/>
          <w:szCs w:val="24"/>
          <w:highlight w:val="none"/>
          <w:lang w:val="en-US" w:eastAsia="zh-CN"/>
        </w:rPr>
        <w:t xml:space="preserve">。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投标人应当对所投采购包对应第五章《采购需求》所列的全部内容进行投标，如仅响应采购包中的部分内容，其该包投标将被认定为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无论招标文件中是否要求，投标人所投货物或服务均应符合国家强制性标准。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除招标文件有特殊要求外，本项目投标所使用的计量单位，应采用中华人民共和国法定计量单位。</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投标文件构成</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投标人认为应附的其他材料。</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投标报价</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所有投标均以人民币报价。</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报价应当包括满足本次招标全部采购需求所应提供的全部内容。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szCs w:val="24"/>
          <w:highlight w:val="none"/>
          <w:lang w:val="en-US" w:eastAsia="zh-CN"/>
        </w:rPr>
        <w:t>投标被拒绝</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 xml:space="preserve">。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投标保证金</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中规定的金额及要求交纳投标保证金，并作为其投标的一部分。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交纳投标保证金的形式除</w:t>
      </w:r>
      <w:r>
        <w:rPr>
          <w:rFonts w:hint="eastAsia" w:ascii="仿宋" w:hAnsi="仿宋" w:eastAsia="仿宋" w:cs="仿宋"/>
          <w:b w:val="0"/>
          <w:bCs w:val="0"/>
          <w:sz w:val="24"/>
          <w:szCs w:val="24"/>
          <w:highlight w:val="none"/>
          <w:u w:val="single"/>
          <w:lang w:val="en-US" w:eastAsia="zh-CN"/>
        </w:rPr>
        <w:t>投标须知前附表中</w:t>
      </w:r>
      <w:r>
        <w:rPr>
          <w:rFonts w:hint="eastAsia" w:ascii="仿宋" w:hAnsi="仿宋" w:eastAsia="仿宋" w:cs="仿宋"/>
          <w:b w:val="0"/>
          <w:bCs w:val="0"/>
          <w:sz w:val="24"/>
          <w:szCs w:val="24"/>
          <w:highlight w:val="none"/>
          <w:u w:val="none"/>
          <w:lang w:val="en-US" w:eastAsia="zh-CN"/>
        </w:rPr>
        <w:t>另有约定外，</w:t>
      </w:r>
      <w:r>
        <w:rPr>
          <w:rFonts w:hint="eastAsia" w:ascii="仿宋" w:hAnsi="仿宋" w:eastAsia="仿宋" w:cs="仿宋"/>
          <w:b w:val="0"/>
          <w:bCs w:val="0"/>
          <w:sz w:val="24"/>
          <w:szCs w:val="24"/>
          <w:highlight w:val="none"/>
          <w:lang w:val="en-US" w:eastAsia="zh-CN"/>
        </w:rPr>
        <w:t>可采用的形式：政府采购法律法规接受的支票、汇票、本票、网上银行支付或者金融机构、担保机构出具的保函等非现金形式。</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。电子保函与纸质保函具有同样效力。</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投标保证金（保函）有效期同投标有效期。</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联合体投标的，可以由联合体中的一方或者共同提交投标保证金，以一方名义提交投标保证金的，对联合体各方均具有约束力。</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投标人在投标截止时间前撤回已提交的投标文件的，自收到投标人书面撤回通知之日起 5 个工作日内退还已收取的投标保证金。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中标人的投标保证金，自采购合同签订之日起 5 个工作日内退还中标人。 </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未中标投标人的投标保证金，自中标通知书发出之日起 5 个工作日内退还未中标人。</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终止采购活动的项目已经收取投标保证金的，自终止采购活动后 5 个工作日内退还已收取的投标保证金。</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有下列情形之一的，采购人或采购代理机构可以不予退还投标保证金：</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在投标有效期内，投标人撤回投标的；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中标人不按本招标文件的规定与采购人签订合同的；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中标人不按本招标文件的规定提交履约保证金的；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中标人不按本招标文件的规定缴纳中标服务费的；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法律、法规规定的其它情况。 </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投标有效期</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投标文件应在</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中规定的投标有效期内保持有效，投标有效期少于招标文件规定期限的，其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投标文件的制作</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投标人应使用电子招投标平台提供的投标客户端编制、标记、加密投标文件，成功加密后将生成指定格式的电子投标文件和电子备用投标文件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如有对多个采购包投标的，要对每个采购包独立制作电子投标文件。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投标人须对招标文件的对应要求给予唯一的实质性响应，否则将视为</w:t>
      </w:r>
      <w:r>
        <w:rPr>
          <w:rFonts w:hint="eastAsia" w:ascii="仿宋" w:hAnsi="仿宋" w:eastAsia="仿宋" w:cs="仿宋"/>
          <w:b/>
          <w:bCs/>
          <w:sz w:val="24"/>
          <w:szCs w:val="24"/>
          <w:highlight w:val="none"/>
          <w:lang w:val="en-US" w:eastAsia="zh-CN"/>
        </w:rPr>
        <w:t>不响应</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招标文件中，凡标有“※”的地方均为实质性响应条款，投标人若有一项带“※”的条款未响应或不满足，将按无效投标处理。</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1" w:name="_Toc21719"/>
      <w:r>
        <w:rPr>
          <w:rFonts w:hint="eastAsia" w:ascii="仿宋" w:hAnsi="仿宋" w:eastAsia="仿宋" w:cs="仿宋"/>
          <w:b/>
          <w:bCs/>
          <w:sz w:val="24"/>
          <w:szCs w:val="24"/>
          <w:highlight w:val="none"/>
          <w:lang w:val="en-US" w:eastAsia="zh-CN"/>
        </w:rPr>
        <w:t>投标文件的提交</w:t>
      </w:r>
      <w:bookmarkEnd w:id="21"/>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投标文件的提交</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投标人应在</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代理机构对因不可抗力事件造成的投标文件的损坏、丢失的，不承担责任。</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出现下述情形之一，属于未成功提交投标文件，按无效</w:t>
      </w:r>
      <w:r>
        <w:rPr>
          <w:rFonts w:hint="eastAsia" w:ascii="仿宋" w:hAnsi="仿宋" w:eastAsia="仿宋" w:cs="仿宋"/>
          <w:b/>
          <w:bCs/>
          <w:sz w:val="24"/>
          <w:szCs w:val="24"/>
          <w:highlight w:val="none"/>
          <w:lang w:val="en-US" w:eastAsia="zh-CN"/>
        </w:rPr>
        <w:t>投标处理</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至提交投标文件截止时，投标文件未完整上传的。 </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投标文件未按投标格式中注明需签字盖章的要求进行签名（含电子签名）和加盖电子印章，或签名（含电子签名）或电子印章不完整的。</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投标文件损坏或格式不正确的。</w:t>
      </w:r>
    </w:p>
    <w:p>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投标文件的修改、撤回与撤销</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在提交投标文件截止时间后，投标人不得补充、修改和更换投标文件。</w:t>
      </w:r>
      <w:r>
        <w:rPr>
          <w:rFonts w:hint="eastAsia" w:ascii="仿宋" w:hAnsi="仿宋" w:eastAsia="仿宋" w:cs="仿宋"/>
          <w:b/>
          <w:bCs/>
          <w:sz w:val="24"/>
          <w:szCs w:val="24"/>
          <w:highlight w:val="none"/>
          <w:lang w:val="en-US" w:eastAsia="zh-CN"/>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2" w:name="_Toc15263"/>
      <w:r>
        <w:rPr>
          <w:rFonts w:hint="eastAsia" w:ascii="仿宋" w:hAnsi="仿宋" w:eastAsia="仿宋" w:cs="仿宋"/>
          <w:b/>
          <w:bCs/>
          <w:sz w:val="24"/>
          <w:szCs w:val="24"/>
          <w:highlight w:val="none"/>
          <w:lang w:val="en-US" w:eastAsia="zh-CN"/>
        </w:rPr>
        <w:t>开标、资格审查及评标</w:t>
      </w:r>
      <w:bookmarkEnd w:id="22"/>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sz w:val="24"/>
          <w:szCs w:val="24"/>
          <w:highlight w:val="none"/>
          <w:lang w:val="en-US" w:eastAsia="zh-CN"/>
        </w:rPr>
        <w:t>投标处理</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投标截止时间后，投标人不足3家的，不得开标。同时，本次采购活动结束。</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开标时出现下列情况的，视为</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处理：</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因投标人自身原因，未在规定时间内完成电子投标文件解密的；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采购人或采购代理机构将对开标过程进行记录，由参加开标的各投标人代表和相关工作人员签字确认。</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w:t>
      </w:r>
      <w:r>
        <w:rPr>
          <w:rFonts w:hint="eastAsia" w:ascii="仿宋" w:hAnsi="仿宋" w:eastAsia="仿宋" w:cs="仿宋"/>
          <w:b w:val="0"/>
          <w:bCs w:val="0"/>
          <w:sz w:val="24"/>
          <w:szCs w:val="24"/>
          <w:highlight w:val="none"/>
          <w:u w:val="none"/>
          <w:lang w:val="en-US" w:eastAsia="zh-CN"/>
        </w:rPr>
        <w:t>第六章《评标程序、评标方法和评标标准》</w:t>
      </w:r>
      <w:r>
        <w:rPr>
          <w:rFonts w:hint="eastAsia" w:ascii="仿宋" w:hAnsi="仿宋" w:eastAsia="仿宋" w:cs="仿宋"/>
          <w:b w:val="0"/>
          <w:bCs w:val="0"/>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评标委员会</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评标委员会根据政府采购有关规定和本次招标采购项目的特点进行组建，并负责具体评标事务，独立履行职责。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23" w:name="_Toc7787"/>
      <w:r>
        <w:rPr>
          <w:rFonts w:hint="eastAsia" w:ascii="仿宋" w:hAnsi="仿宋" w:eastAsia="仿宋" w:cs="仿宋"/>
          <w:b/>
          <w:bCs/>
          <w:sz w:val="24"/>
          <w:szCs w:val="24"/>
          <w:highlight w:val="none"/>
          <w:lang w:val="en-US" w:eastAsia="zh-CN"/>
        </w:rPr>
        <w:t>确定中标</w:t>
      </w:r>
      <w:bookmarkEnd w:id="23"/>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确定中标人</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采购人将在评标报告确定的中标候选人名单中按综合得分排名顺序确定中标人。采购人是否委托评标委员会直接确定中标人见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中标公告与中标通知书</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中标通知书对采购人和中标供应商均具有法律效力。中标通知书发出后，中标供应商放弃中标项目的，应当依法承担法律责任。</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在招标采购中，出现下列情形之一的，应予废标：</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符合专业条件的供应商或者对招标文件作实质响应的供应商不足三家的；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投标人的报价均超过了采购预算，采购人不能支付的；</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废标后，采购人将废标理由通知所有投标人。</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中标人拒绝与采购人签订合同的，采购人可以按照评标报告推荐的中标候选人名单排序，确定下一候选人为中标人，也可以重新开展政府采购活动。</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联合体中标的，联合体各方应当共同与采购人签订合同，就中标项目向采购人承担连带责任。 </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政府采购合同不能转包。如采购人允许采用分包方式履行合同的，中标人可以依法在中标后将中标项目的非主体、非关键性工作采取分包方式履行合同。</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中标人应按照</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规定的金额、形式和时间向采购人缴纳履约保证金。</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经采购人同意，中标人也可以自愿采用其他履约保证金的提供方式。</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收费对象、收费标准及缴纳时间见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 xml:space="preserve">。由中标人支付的，中标人须一次性向采购代理机构缴纳代理费，投标报价应包含代理费用。 </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中“采购人、采购代理机构的名称、地址和联系方式”。</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（1）对招标文件提出质疑的，为获取招标文件之日或者招标文件获取期限届满之日；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（3）对中标结果提出质疑的，为中标结果公告期限届满之日。 </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投标人为自然人的，应当由本人签字；投标人为法人或者其他组织的，应当由法定代表人、主要负责人，或者其授权代表签字或者盖章，并加盖公章。</w:t>
      </w:r>
    </w:p>
    <w:p>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其他</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适用于本投标人须知的额外增加的变动详见</w:t>
      </w:r>
      <w:r>
        <w:rPr>
          <w:rFonts w:hint="eastAsia" w:ascii="仿宋" w:hAnsi="仿宋" w:eastAsia="仿宋" w:cs="仿宋"/>
          <w:b w:val="0"/>
          <w:bCs w:val="0"/>
          <w:sz w:val="24"/>
          <w:szCs w:val="24"/>
          <w:highlight w:val="none"/>
          <w:u w:val="single"/>
          <w:lang w:val="en-US" w:eastAsia="zh-CN"/>
        </w:rPr>
        <w:t>投标须知前附表</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pStyle w:val="3"/>
        <w:numPr>
          <w:ilvl w:val="0"/>
          <w:numId w:val="1"/>
        </w:numPr>
        <w:bidi w:val="0"/>
        <w:jc w:val="center"/>
        <w:rPr>
          <w:rFonts w:hint="eastAsia" w:ascii="仿宋" w:hAnsi="仿宋" w:eastAsia="仿宋" w:cs="仿宋"/>
          <w:sz w:val="32"/>
          <w:szCs w:val="32"/>
          <w:highlight w:val="none"/>
          <w:lang w:val="en-US" w:eastAsia="zh-CN"/>
        </w:rPr>
      </w:pPr>
      <w:bookmarkStart w:id="24" w:name="_Toc22543"/>
      <w:r>
        <w:rPr>
          <w:rFonts w:hint="eastAsia" w:ascii="仿宋" w:hAnsi="仿宋" w:eastAsia="仿宋" w:cs="仿宋"/>
          <w:sz w:val="32"/>
          <w:szCs w:val="32"/>
          <w:highlight w:val="none"/>
          <w:lang w:val="en-US" w:eastAsia="zh-CN"/>
        </w:rPr>
        <w:t>政府采购合同</w:t>
      </w:r>
      <w:bookmarkEnd w:id="24"/>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Cs/>
          <w:sz w:val="24"/>
          <w:szCs w:val="24"/>
          <w:highlight w:val="none"/>
        </w:rPr>
        <w:t>（根据《政府采购法》和《</w:t>
      </w:r>
      <w:r>
        <w:rPr>
          <w:rFonts w:hint="eastAsia" w:ascii="仿宋" w:hAnsi="仿宋" w:eastAsia="仿宋" w:cs="仿宋"/>
          <w:bCs/>
          <w:sz w:val="24"/>
          <w:szCs w:val="24"/>
          <w:highlight w:val="none"/>
          <w:lang w:val="en-US" w:eastAsia="zh-CN"/>
        </w:rPr>
        <w:t>中华人民共和国民法典</w:t>
      </w:r>
      <w:r>
        <w:rPr>
          <w:rFonts w:hint="eastAsia" w:ascii="仿宋" w:hAnsi="仿宋" w:eastAsia="仿宋" w:cs="仿宋"/>
          <w:bCs/>
          <w:sz w:val="24"/>
          <w:szCs w:val="24"/>
          <w:highlight w:val="none"/>
        </w:rPr>
        <w:t>》。采购人和供应商之间的权利和义务，应当按照平等的原则以合同方式约定。</w:t>
      </w:r>
      <w:r>
        <w:rPr>
          <w:rFonts w:hint="eastAsia" w:ascii="仿宋" w:hAnsi="仿宋" w:eastAsia="仿宋" w:cs="仿宋"/>
          <w:b/>
          <w:bCs w:val="0"/>
          <w:sz w:val="24"/>
          <w:szCs w:val="24"/>
          <w:highlight w:val="none"/>
        </w:rPr>
        <w:t>此合同书仅作为签订正式合同时的参考。</w:t>
      </w:r>
      <w:r>
        <w:rPr>
          <w:rFonts w:hint="eastAsia" w:ascii="仿宋" w:hAnsi="仿宋" w:eastAsia="仿宋" w:cs="仿宋"/>
          <w:bCs/>
          <w:sz w:val="24"/>
          <w:szCs w:val="24"/>
          <w:highlight w:val="none"/>
        </w:rPr>
        <w:t>）</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 合同文件</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本合同所附下列文件是构成本合同不可分割的部分：</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(1)采购文件</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(2)合同条款</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eastAsia="zh-CN"/>
        </w:rPr>
        <w:t>成交供应商</w:t>
      </w:r>
      <w:r>
        <w:rPr>
          <w:rFonts w:hint="eastAsia" w:ascii="仿宋" w:hAnsi="仿宋" w:eastAsia="仿宋" w:cs="仿宋"/>
          <w:bCs/>
          <w:sz w:val="24"/>
          <w:szCs w:val="24"/>
          <w:highlight w:val="none"/>
        </w:rPr>
        <w:t>提交的响应文件</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(4)技术规格（包括图纸，如果有的话）</w:t>
      </w:r>
    </w:p>
    <w:p>
      <w:pPr>
        <w:pStyle w:val="29"/>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(5)中标/成交通知书</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2．合同范围和条件</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本合同的范围和条件与上述文件的规定相一致。</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3．货物及数量</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本合同所提供的货物数量/服务详见</w:t>
      </w:r>
      <w:r>
        <w:rPr>
          <w:rFonts w:hint="eastAsia" w:ascii="仿宋" w:hAnsi="仿宋" w:eastAsia="仿宋" w:cs="仿宋"/>
          <w:bCs/>
          <w:sz w:val="24"/>
          <w:szCs w:val="24"/>
          <w:highlight w:val="none"/>
          <w:lang w:eastAsia="zh-CN"/>
        </w:rPr>
        <w:t>磋商</w:t>
      </w:r>
      <w:r>
        <w:rPr>
          <w:rFonts w:hint="eastAsia" w:ascii="仿宋" w:hAnsi="仿宋" w:eastAsia="仿宋" w:cs="仿宋"/>
          <w:bCs/>
          <w:sz w:val="24"/>
          <w:szCs w:val="24"/>
          <w:highlight w:val="none"/>
        </w:rPr>
        <w:t>文件“第</w:t>
      </w:r>
      <w:r>
        <w:rPr>
          <w:rFonts w:hint="eastAsia" w:ascii="仿宋" w:hAnsi="仿宋" w:eastAsia="仿宋" w:cs="仿宋"/>
          <w:bCs/>
          <w:sz w:val="24"/>
          <w:szCs w:val="24"/>
          <w:highlight w:val="none"/>
          <w:lang w:eastAsia="zh-CN"/>
        </w:rPr>
        <w:t>四</w:t>
      </w:r>
      <w:r>
        <w:rPr>
          <w:rFonts w:hint="eastAsia" w:ascii="仿宋" w:hAnsi="仿宋" w:eastAsia="仿宋" w:cs="仿宋"/>
          <w:bCs/>
          <w:sz w:val="24"/>
          <w:szCs w:val="24"/>
          <w:highlight w:val="none"/>
        </w:rPr>
        <w:t>章</w:t>
      </w:r>
      <w:r>
        <w:rPr>
          <w:rFonts w:hint="eastAsia" w:ascii="仿宋" w:hAnsi="仿宋" w:eastAsia="仿宋" w:cs="仿宋"/>
          <w:sz w:val="24"/>
          <w:szCs w:val="24"/>
          <w:highlight w:val="none"/>
        </w:rPr>
        <w:t>采购项目技术规格、参数及要求</w:t>
      </w:r>
      <w:r>
        <w:rPr>
          <w:rFonts w:hint="eastAsia" w:ascii="仿宋" w:hAnsi="仿宋" w:eastAsia="仿宋" w:cs="仿宋"/>
          <w:bCs/>
          <w:sz w:val="24"/>
          <w:szCs w:val="24"/>
          <w:highlight w:val="none"/>
        </w:rPr>
        <w:t>”。</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4．合同金额</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合同总金额为元人民币，分项价格见响应文件按报价明细表。</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5．合同生效及支付条件和方式</w:t>
      </w:r>
    </w:p>
    <w:p>
      <w:pPr>
        <w:pStyle w:val="29"/>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6．交货时间和交货地点</w:t>
      </w:r>
    </w:p>
    <w:p>
      <w:pPr>
        <w:pStyle w:val="29"/>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本合同货物的交货时间和交货地点按</w:t>
      </w:r>
      <w:r>
        <w:rPr>
          <w:rFonts w:hint="eastAsia" w:ascii="仿宋" w:hAnsi="仿宋" w:eastAsia="仿宋" w:cs="仿宋"/>
          <w:bCs/>
          <w:sz w:val="24"/>
          <w:szCs w:val="24"/>
          <w:highlight w:val="none"/>
          <w:lang w:eastAsia="zh-CN"/>
        </w:rPr>
        <w:t>磋商</w:t>
      </w:r>
      <w:r>
        <w:rPr>
          <w:rFonts w:hint="eastAsia" w:ascii="仿宋" w:hAnsi="仿宋" w:eastAsia="仿宋" w:cs="仿宋"/>
          <w:bCs/>
          <w:sz w:val="24"/>
          <w:szCs w:val="24"/>
          <w:highlight w:val="none"/>
        </w:rPr>
        <w:t>文件“第</w:t>
      </w:r>
      <w:r>
        <w:rPr>
          <w:rFonts w:hint="eastAsia" w:ascii="仿宋" w:hAnsi="仿宋" w:eastAsia="仿宋" w:cs="仿宋"/>
          <w:bCs/>
          <w:sz w:val="24"/>
          <w:szCs w:val="24"/>
          <w:highlight w:val="none"/>
          <w:lang w:eastAsia="zh-CN"/>
        </w:rPr>
        <w:t>四</w:t>
      </w:r>
      <w:r>
        <w:rPr>
          <w:rFonts w:hint="eastAsia" w:ascii="仿宋" w:hAnsi="仿宋" w:eastAsia="仿宋" w:cs="仿宋"/>
          <w:bCs/>
          <w:sz w:val="24"/>
          <w:szCs w:val="24"/>
          <w:highlight w:val="none"/>
        </w:rPr>
        <w:t xml:space="preserve">章 </w:t>
      </w:r>
      <w:r>
        <w:rPr>
          <w:rFonts w:hint="eastAsia" w:ascii="仿宋" w:hAnsi="仿宋" w:eastAsia="仿宋" w:cs="仿宋"/>
          <w:sz w:val="24"/>
          <w:szCs w:val="24"/>
          <w:highlight w:val="none"/>
        </w:rPr>
        <w:t>采购需求</w:t>
      </w:r>
      <w:r>
        <w:rPr>
          <w:rFonts w:hint="eastAsia" w:ascii="仿宋" w:hAnsi="仿宋" w:eastAsia="仿宋" w:cs="仿宋"/>
          <w:bCs/>
          <w:sz w:val="24"/>
          <w:szCs w:val="24"/>
          <w:highlight w:val="none"/>
        </w:rPr>
        <w:t>”执行。</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采购人（盖章）：</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供　　方（盖章）：</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单位地址：</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单位地址：</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法人代表授权人(签字)：</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法人代表授权人(签字)：</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 系 人：</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联 系 人：</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电　　话：</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　　真：</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传　　真：</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邮政编码：</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邮政编码：</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开户银行：</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开户银行：</w:t>
      </w:r>
    </w:p>
    <w:p>
      <w:pPr>
        <w:pStyle w:val="30"/>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帐　　号：</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帐　　号：</w:t>
      </w:r>
    </w:p>
    <w:p>
      <w:pPr>
        <w:pStyle w:val="30"/>
        <w:rPr>
          <w:rFonts w:hint="eastAsia" w:ascii="仿宋" w:hAnsi="仿宋" w:eastAsia="仿宋" w:cs="仿宋"/>
          <w:sz w:val="24"/>
          <w:szCs w:val="24"/>
          <w:highlight w:val="none"/>
        </w:rPr>
      </w:pPr>
    </w:p>
    <w:p>
      <w:pPr>
        <w:pStyle w:val="30"/>
        <w:spacing w:line="500" w:lineRule="exact"/>
        <w:jc w:val="center"/>
        <w:rPr>
          <w:rFonts w:hint="eastAsia" w:ascii="仿宋" w:hAnsi="仿宋" w:eastAsia="仿宋" w:cs="仿宋"/>
          <w:b/>
          <w:kern w:val="0"/>
          <w:sz w:val="24"/>
          <w:szCs w:val="24"/>
          <w:highlight w:val="none"/>
        </w:rPr>
      </w:pPr>
      <w:bookmarkStart w:id="25" w:name="_Hlk450145418"/>
      <w:r>
        <w:rPr>
          <w:rFonts w:hint="eastAsia" w:ascii="仿宋" w:hAnsi="仿宋" w:eastAsia="仿宋" w:cs="仿宋"/>
          <w:b/>
          <w:spacing w:val="120"/>
          <w:kern w:val="0"/>
          <w:sz w:val="24"/>
          <w:szCs w:val="24"/>
          <w:highlight w:val="none"/>
        </w:rPr>
        <w:t>合同条</w:t>
      </w:r>
      <w:r>
        <w:rPr>
          <w:rFonts w:hint="eastAsia" w:ascii="仿宋" w:hAnsi="仿宋" w:eastAsia="仿宋" w:cs="仿宋"/>
          <w:b/>
          <w:kern w:val="0"/>
          <w:sz w:val="24"/>
          <w:szCs w:val="24"/>
          <w:highlight w:val="none"/>
        </w:rPr>
        <w:t>款</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1．有关概念</w:t>
      </w:r>
    </w:p>
    <w:p>
      <w:pPr>
        <w:pStyle w:val="30"/>
        <w:spacing w:line="50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本合同下列术语应解释为：</w:t>
      </w:r>
    </w:p>
    <w:p>
      <w:pPr>
        <w:pStyle w:val="30"/>
        <w:spacing w:line="500" w:lineRule="exact"/>
        <w:ind w:left="485" w:hanging="484" w:hangingChars="202"/>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1.1</w:t>
      </w:r>
      <w:r>
        <w:rPr>
          <w:rFonts w:hint="eastAsia" w:ascii="仿宋" w:hAnsi="仿宋" w:eastAsia="仿宋" w:cs="仿宋"/>
          <w:bCs/>
          <w:sz w:val="24"/>
          <w:szCs w:val="24"/>
          <w:highlight w:val="none"/>
        </w:rPr>
        <w:t>“合同”，系指买供双方签署的、合同格式中载明的买供双方所达成的协议，包括所有的附件、附录和上述文件所提到的构成合同的所有文件。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1.2“合同价”，系指根据合同规定供方在正确地履行合同义务后采购人应支付给供方的价格。</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1.3“货物”，系指供方根据合同规定须向采购人提供的各种形态和种类的物品，包括产品、设备、配件等。</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1.4“服务”，系指伴随本项目产生的，根据合同规定由供方承担的与供货有关的辅助服务，例如安装、调试、技术援助、培训、售后服务等以及合同中规定供方应承担的所有其它类似义务。</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1.5“采购人”，系指</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文件中所述购买货物和服务的单位。</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1.6“供方”，系指</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文件中所述提供货物和服务的公司或实体，亦即中标人。</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1.7“天”，系日历天数。</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2．技术规格</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2.1交付货物的技术规格应与响应文件规定的技术规格以及所附的技术规格响应表相一致。</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2.2除技术规格另有规定外，计量单位均使用中华人民共和国法定计量单位。</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3．专利权</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3.1供方应保证采购人在使用该货物或其任何一部分时免受第三方提出侵犯其专利权、商标权或工业设计权的起诉。若由此出现侵权诉讼，由供方承担全部责任。</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3.2供方按合同要求为采购人提交的设计方案，其所有权、使用权等所有权力均转为采购人所拥有，供方放弃拥有关于设计方案的所有权力。</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4.包装要求</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4.1除合同另有规定外，供方提供的所有单独包装的货物都应具有原始的、完好的标准包装。如遇交付前已拆封货物，采购人有权拒绝接受或要求更换。</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4.2每个包装箱内的装箱清单、使用说明书、质量证书、保修卡及软件使用说明等所有资料均须齐全。</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5. 装运条件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5.1供方负责安排运输，运输费由供方承担。</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5.2提单日期应视为实际交货日期。</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5.3供方装运的货物不得超过合同规定的数量或重量。否则，供方应对超运数量或重量而产生的一切后果负责。</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6. 付款</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6.1本合同以人民币支付。</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6.2供方按照合同规定交货。交货后供方把下列单据提交给采购人,采购人按合同规定审核后办理付款手续：</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（1）发票</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（2）质量证书</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（3）详细配置、数量清单</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（4）检验报告</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6.3采购人按合同规定的合同生效及支付条件和方式安排付款。</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7．伴随服务</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7.1供方随同货物提交所供货物的技术资料。包括相应每套货物的中文技术文件，如：产品目录、操作手册、使用说明、维护手册或服务指南等。</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7.2供方应提供下列服务：</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（1）货物的现场安装和启动监督；</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（2）提供货物组装和维修所必须的工具；</w:t>
      </w:r>
    </w:p>
    <w:p>
      <w:pPr>
        <w:pStyle w:val="30"/>
        <w:spacing w:line="500" w:lineRule="exact"/>
        <w:ind w:left="565"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（3）在项目现场就货物的安装、启动、运行和维护，按采购人的要求提供技术培训。</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7.3伴随服务的费用含在合同价中，不另行支付。</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Cs/>
          <w:sz w:val="24"/>
          <w:szCs w:val="24"/>
          <w:highlight w:val="none"/>
        </w:rPr>
        <w:t>8.</w:t>
      </w:r>
      <w:r>
        <w:rPr>
          <w:rFonts w:hint="eastAsia" w:ascii="仿宋" w:hAnsi="仿宋" w:eastAsia="仿宋" w:cs="仿宋"/>
          <w:b/>
          <w:sz w:val="24"/>
          <w:szCs w:val="24"/>
          <w:highlight w:val="none"/>
        </w:rPr>
        <w:t>备品备件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8.1</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方可能被要</w:t>
      </w:r>
      <w:r>
        <w:rPr>
          <w:rFonts w:hint="eastAsia" w:ascii="仿宋" w:hAnsi="仿宋" w:eastAsia="仿宋" w:cs="仿宋"/>
          <w:sz w:val="24"/>
          <w:szCs w:val="24"/>
          <w:highlight w:val="none"/>
        </w:rPr>
        <w:t>求提供下列与备件有关的材料、通知和资料：</w:t>
      </w:r>
    </w:p>
    <w:p>
      <w:pPr>
        <w:pStyle w:val="30"/>
        <w:spacing w:line="500" w:lineRule="exact"/>
        <w:ind w:left="567" w:leftChars="2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（1）采购方从供方选购备件，但前提条件是该选购并不能免除供方在合同保证期内所承担的义务；</w:t>
      </w:r>
    </w:p>
    <w:p>
      <w:pPr>
        <w:pStyle w:val="30"/>
        <w:spacing w:line="500" w:lineRule="exact"/>
        <w:ind w:left="567" w:leftChars="2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（2）在备件停止生产的情况下，供方应事先将要停止生产的计划通知买方有足够的时间采购所需的备件；</w:t>
      </w:r>
    </w:p>
    <w:p>
      <w:pPr>
        <w:pStyle w:val="30"/>
        <w:spacing w:line="500" w:lineRule="exact"/>
        <w:ind w:left="567" w:leftChars="2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（3）在备件停止生产后，如果采购方要求，供方应免费向采购方提供备件的蓝图、图纸和规格。</w:t>
      </w:r>
    </w:p>
    <w:p>
      <w:pPr>
        <w:pStyle w:val="30"/>
        <w:tabs>
          <w:tab w:val="left" w:pos="-540"/>
          <w:tab w:val="left" w:pos="0"/>
          <w:tab w:val="left" w:pos="420"/>
          <w:tab w:val="left" w:pos="840"/>
          <w:tab w:val="left" w:pos="1260"/>
          <w:tab w:val="left" w:pos="1680"/>
          <w:tab w:val="left" w:pos="2250"/>
        </w:tabs>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9、质量保证及售后服务</w:t>
      </w:r>
    </w:p>
    <w:p>
      <w:pPr>
        <w:pStyle w:val="30"/>
        <w:tabs>
          <w:tab w:val="left" w:pos="-540"/>
          <w:tab w:val="left" w:pos="0"/>
          <w:tab w:val="left" w:pos="420"/>
          <w:tab w:val="left" w:pos="840"/>
          <w:tab w:val="left" w:pos="1260"/>
          <w:tab w:val="left" w:pos="1680"/>
          <w:tab w:val="left" w:pos="2250"/>
        </w:tabs>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（一）质量保证</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9.2在质保期内或货物无质保期的则在两年内，如果货物的数量、质量或规格与合同不符，或证实货物有缺陷的，采购人可尽快以书面形式向供方提出本保证下的索赔。</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9.3供方在收到索赔通知后十日内须免费更换有缺陷的货物或部件。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9.4供方在收到索赔通知后十日内没有弥补缺陷，采购人可采取必要的补救措施，其风险和费用将由供方承担，采购人根据合同规定向供方行使的其它权利不受影响。</w:t>
      </w:r>
    </w:p>
    <w:p>
      <w:pPr>
        <w:pStyle w:val="30"/>
        <w:tabs>
          <w:tab w:val="left" w:pos="-540"/>
          <w:tab w:val="left" w:pos="0"/>
          <w:tab w:val="left" w:pos="420"/>
          <w:tab w:val="left" w:pos="840"/>
          <w:tab w:val="left" w:pos="1260"/>
          <w:tab w:val="left" w:pos="1680"/>
          <w:tab w:val="left" w:pos="2250"/>
        </w:tabs>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(二)质量保证期后服务</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9.5 质保期满后，若有零部件出现故障，经权威部门鉴定属于寿命异常问题（明显短于该零部件正常寿命时），则由供方负责免费更换及维修。</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9.7 乙方交货后，若设备发生故障，乙方应在甲方报修后24小时内到达。</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10．检验</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10.2货物交付后，采购人申请有关部门对货物的质量、数量等进行检验并出具检验证书。</w:t>
      </w:r>
    </w:p>
    <w:p>
      <w:pPr>
        <w:pStyle w:val="30"/>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11．索赔</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sz w:val="24"/>
          <w:szCs w:val="24"/>
          <w:highlight w:val="none"/>
        </w:rPr>
        <w:t>1.1采购人有权根据有关部门出具的检验证书向供方提出索赔。</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11.2在合同条款第8条规定的质保期内，如果供方对差异负有责任而采购人提出索赔，供方应按照采购人的损失程度进行赔偿。</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12．</w:t>
      </w:r>
      <w:r>
        <w:rPr>
          <w:rFonts w:hint="eastAsia" w:ascii="仿宋" w:hAnsi="仿宋" w:eastAsia="仿宋" w:cs="仿宋"/>
          <w:sz w:val="24"/>
          <w:szCs w:val="24"/>
          <w:highlight w:val="none"/>
        </w:rPr>
        <w:t>供</w:t>
      </w:r>
      <w:r>
        <w:rPr>
          <w:rFonts w:hint="eastAsia" w:ascii="仿宋" w:hAnsi="仿宋" w:eastAsia="仿宋" w:cs="仿宋"/>
          <w:b/>
          <w:sz w:val="24"/>
          <w:szCs w:val="24"/>
          <w:highlight w:val="none"/>
        </w:rPr>
        <w:t>方履约延误</w:t>
      </w:r>
    </w:p>
    <w:p>
      <w:pPr>
        <w:pStyle w:val="30"/>
        <w:spacing w:line="500" w:lineRule="exact"/>
        <w:ind w:left="485" w:hanging="484" w:hangingChars="202"/>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12.1</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方应</w:t>
      </w:r>
      <w:r>
        <w:rPr>
          <w:rFonts w:hint="eastAsia" w:ascii="仿宋" w:hAnsi="仿宋" w:eastAsia="仿宋" w:cs="仿宋"/>
          <w:sz w:val="24"/>
          <w:szCs w:val="24"/>
          <w:highlight w:val="none"/>
        </w:rPr>
        <w:t>按规定</w:t>
      </w:r>
      <w:r>
        <w:rPr>
          <w:rFonts w:hint="eastAsia" w:ascii="仿宋" w:hAnsi="仿宋" w:eastAsia="仿宋" w:cs="仿宋"/>
          <w:bCs/>
          <w:sz w:val="24"/>
          <w:szCs w:val="24"/>
          <w:highlight w:val="none"/>
        </w:rPr>
        <w:t>的时间交货和提供服务。</w:t>
      </w:r>
    </w:p>
    <w:p>
      <w:pPr>
        <w:pStyle w:val="29"/>
        <w:spacing w:line="500" w:lineRule="exact"/>
        <w:ind w:left="617" w:hanging="616" w:hangingChars="257"/>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12.2如</w:t>
      </w:r>
      <w:r>
        <w:rPr>
          <w:rFonts w:hint="eastAsia" w:ascii="仿宋" w:hAnsi="仿宋" w:eastAsia="仿宋" w:cs="仿宋"/>
          <w:sz w:val="24"/>
          <w:szCs w:val="24"/>
          <w:highlight w:val="none"/>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12.3在履行</w:t>
      </w:r>
      <w:r>
        <w:rPr>
          <w:rFonts w:hint="eastAsia" w:ascii="仿宋" w:hAnsi="仿宋" w:eastAsia="仿宋" w:cs="仿宋"/>
          <w:sz w:val="24"/>
          <w:szCs w:val="24"/>
          <w:highlight w:val="none"/>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12.4供方交付的货物不符合</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文件、响应文件和本合同规定的，采购方有权拒收，并且供方需向采购方支付本合同总价10%的违约金。</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13．不可抗力</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13.1如果双</w:t>
      </w:r>
      <w:r>
        <w:rPr>
          <w:rFonts w:hint="eastAsia" w:ascii="仿宋" w:hAnsi="仿宋" w:eastAsia="仿宋" w:cs="仿宋"/>
          <w:sz w:val="24"/>
          <w:szCs w:val="24"/>
          <w:highlight w:val="none"/>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pStyle w:val="30"/>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14．税费</w:t>
      </w:r>
    </w:p>
    <w:p>
      <w:pPr>
        <w:pStyle w:val="30"/>
        <w:spacing w:line="500" w:lineRule="exact"/>
        <w:ind w:left="485" w:hanging="484" w:hangingChars="202"/>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14.1政府根据现行税法对</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方征收的与本合同有关的一切税费均由</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方负担。</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15．违约终止合同</w:t>
      </w:r>
    </w:p>
    <w:p>
      <w:pPr>
        <w:pStyle w:val="29"/>
        <w:spacing w:line="500" w:lineRule="exact"/>
        <w:ind w:left="617" w:hanging="616" w:hangingChars="257"/>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15.1出现下</w:t>
      </w:r>
      <w:r>
        <w:rPr>
          <w:rFonts w:hint="eastAsia" w:ascii="仿宋" w:hAnsi="仿宋" w:eastAsia="仿宋" w:cs="仿宋"/>
          <w:sz w:val="24"/>
          <w:szCs w:val="24"/>
          <w:highlight w:val="none"/>
        </w:rPr>
        <w:t>列情况之一，采购人在对供方违约而采取的任何补救措施不受影响的情况下，可向供方发出终止部分或全部合同的书面通知书。</w:t>
      </w:r>
    </w:p>
    <w:p>
      <w:pPr>
        <w:pStyle w:val="29"/>
        <w:tabs>
          <w:tab w:val="left" w:pos="3210"/>
        </w:tabs>
        <w:spacing w:line="500" w:lineRule="exact"/>
        <w:ind w:left="708" w:leftChars="337" w:firstLine="1"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Cs/>
          <w:sz w:val="24"/>
          <w:szCs w:val="24"/>
          <w:highlight w:val="none"/>
        </w:rPr>
        <w:t>如果</w:t>
      </w:r>
      <w:r>
        <w:rPr>
          <w:rFonts w:hint="eastAsia" w:ascii="仿宋" w:hAnsi="仿宋" w:eastAsia="仿宋" w:cs="仿宋"/>
          <w:sz w:val="24"/>
          <w:szCs w:val="24"/>
          <w:highlight w:val="none"/>
        </w:rPr>
        <w:t>供方未能按合同规定的期限或采购人同意延长的限期内提供部分或全部货物（服务）、完成工程施工；</w:t>
      </w:r>
    </w:p>
    <w:p>
      <w:pPr>
        <w:pStyle w:val="29"/>
        <w:tabs>
          <w:tab w:val="left" w:pos="3210"/>
        </w:tabs>
        <w:spacing w:line="500" w:lineRule="exact"/>
        <w:ind w:left="708" w:leftChars="337" w:firstLine="1"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（2）供方在收到采购人发出的违约通知后20天内，或经采购人书面认可延长的时间内未能纠正其过失；</w:t>
      </w:r>
    </w:p>
    <w:p>
      <w:pPr>
        <w:pStyle w:val="29"/>
        <w:tabs>
          <w:tab w:val="left" w:pos="3210"/>
        </w:tabs>
        <w:spacing w:line="500" w:lineRule="exact"/>
        <w:ind w:left="708" w:leftChars="337" w:firstLine="1" w:firstLineChars="0"/>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（3）如果供方未能履行合同规定</w:t>
      </w:r>
      <w:r>
        <w:rPr>
          <w:rFonts w:hint="eastAsia" w:ascii="仿宋" w:hAnsi="仿宋" w:eastAsia="仿宋" w:cs="仿宋"/>
          <w:bCs/>
          <w:sz w:val="24"/>
          <w:szCs w:val="24"/>
          <w:highlight w:val="none"/>
        </w:rPr>
        <w:t>的其它任何义务。</w:t>
      </w:r>
    </w:p>
    <w:p>
      <w:pPr>
        <w:pStyle w:val="29"/>
        <w:spacing w:line="500" w:lineRule="exact"/>
        <w:ind w:left="617" w:hanging="616" w:hangingChars="257"/>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15.2在采购人</w:t>
      </w:r>
      <w:r>
        <w:rPr>
          <w:rFonts w:hint="eastAsia" w:ascii="仿宋" w:hAnsi="仿宋" w:eastAsia="仿宋" w:cs="仿宋"/>
          <w:sz w:val="24"/>
          <w:szCs w:val="24"/>
          <w:highlight w:val="none"/>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16．破产终止合同</w:t>
      </w:r>
    </w:p>
    <w:p>
      <w:pPr>
        <w:pStyle w:val="29"/>
        <w:spacing w:line="500" w:lineRule="exact"/>
        <w:ind w:left="617" w:hanging="616" w:hangingChars="257"/>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16.1如果供</w:t>
      </w:r>
      <w:r>
        <w:rPr>
          <w:rFonts w:hint="eastAsia" w:ascii="仿宋" w:hAnsi="仿宋" w:eastAsia="仿宋" w:cs="仿宋"/>
          <w:sz w:val="24"/>
          <w:szCs w:val="24"/>
          <w:highlight w:val="none"/>
        </w:rPr>
        <w:t>方破产或无清偿能力时，采购人可在任何时候以书面形式通知供方终止合同而无须给供方补偿。终止该合同将不损害或影响采购人</w:t>
      </w:r>
      <w:r>
        <w:rPr>
          <w:rFonts w:hint="eastAsia" w:ascii="仿宋" w:hAnsi="仿宋" w:eastAsia="仿宋" w:cs="仿宋"/>
          <w:bCs/>
          <w:sz w:val="24"/>
          <w:szCs w:val="24"/>
          <w:highlight w:val="none"/>
        </w:rPr>
        <w:t>已经采取或将要采取的补救措施的权利。</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17．转让</w:t>
      </w:r>
    </w:p>
    <w:p>
      <w:pPr>
        <w:pStyle w:val="29"/>
        <w:spacing w:line="500" w:lineRule="exact"/>
        <w:ind w:left="617" w:hanging="616" w:hangingChars="257"/>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17.1除采</w:t>
      </w:r>
      <w:r>
        <w:rPr>
          <w:rFonts w:hint="eastAsia" w:ascii="仿宋" w:hAnsi="仿宋" w:eastAsia="仿宋" w:cs="仿宋"/>
          <w:sz w:val="24"/>
          <w:szCs w:val="24"/>
          <w:highlight w:val="none"/>
        </w:rPr>
        <w:t>购人事先书面同意外，供方不得部分转让或全部转让其应履行的合</w:t>
      </w:r>
      <w:r>
        <w:rPr>
          <w:rFonts w:hint="eastAsia" w:ascii="仿宋" w:hAnsi="仿宋" w:eastAsia="仿宋" w:cs="仿宋"/>
          <w:bCs/>
          <w:sz w:val="24"/>
          <w:szCs w:val="24"/>
          <w:highlight w:val="none"/>
        </w:rPr>
        <w:t>同义务。</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18．适用法律</w:t>
      </w:r>
    </w:p>
    <w:p>
      <w:pPr>
        <w:pStyle w:val="29"/>
        <w:spacing w:line="500" w:lineRule="exact"/>
        <w:ind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18.1本合同应按中华人民共和国的法律进行解释。</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19．合同生效</w:t>
      </w:r>
    </w:p>
    <w:p>
      <w:pPr>
        <w:pStyle w:val="29"/>
        <w:spacing w:line="500" w:lineRule="exact"/>
        <w:ind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19.1合同在双方授权代表签字并盖章后生效。</w:t>
      </w:r>
    </w:p>
    <w:p>
      <w:pPr>
        <w:pStyle w:val="29"/>
        <w:spacing w:line="500" w:lineRule="exact"/>
        <w:ind w:left="617" w:hanging="616" w:hangingChars="257"/>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19.2本</w:t>
      </w:r>
      <w:r>
        <w:rPr>
          <w:rFonts w:hint="eastAsia" w:ascii="仿宋" w:hAnsi="仿宋" w:eastAsia="仿宋" w:cs="仿宋"/>
          <w:sz w:val="24"/>
          <w:szCs w:val="24"/>
          <w:highlight w:val="none"/>
        </w:rPr>
        <w:t>合同一式四份，以中文书写，采购人、供方、采购中心、政府采购监管部门各执一份。</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20.  争议解决方式</w:t>
      </w:r>
    </w:p>
    <w:p>
      <w:pPr>
        <w:pStyle w:val="29"/>
        <w:spacing w:line="500" w:lineRule="exact"/>
        <w:ind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20.1 合同</w:t>
      </w:r>
      <w:r>
        <w:rPr>
          <w:rFonts w:hint="eastAsia" w:ascii="仿宋" w:hAnsi="仿宋" w:eastAsia="仿宋" w:cs="仿宋"/>
          <w:sz w:val="24"/>
          <w:szCs w:val="24"/>
          <w:highlight w:val="none"/>
        </w:rPr>
        <w:t>实施或与合同有关的一切争议应通过双方协商解决。若协商不成，则向采购人所在地法院提起诉讼</w:t>
      </w:r>
      <w:r>
        <w:rPr>
          <w:rFonts w:hint="eastAsia" w:ascii="仿宋" w:hAnsi="仿宋" w:eastAsia="仿宋" w:cs="仿宋"/>
          <w:bCs/>
          <w:sz w:val="24"/>
          <w:szCs w:val="24"/>
          <w:highlight w:val="none"/>
        </w:rPr>
        <w:t>。</w:t>
      </w:r>
    </w:p>
    <w:p>
      <w:pPr>
        <w:pStyle w:val="29"/>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21．合同修改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Cs/>
          <w:sz w:val="24"/>
          <w:szCs w:val="24"/>
          <w:highlight w:val="none"/>
        </w:rPr>
        <w:t>21.1除双方</w:t>
      </w:r>
      <w:r>
        <w:rPr>
          <w:rFonts w:hint="eastAsia" w:ascii="仿宋" w:hAnsi="仿宋" w:eastAsia="仿宋" w:cs="仿宋"/>
          <w:sz w:val="24"/>
          <w:szCs w:val="24"/>
          <w:highlight w:val="none"/>
        </w:rPr>
        <w:t>签署书面修改协议，并成为本合同不可分割的一部分的情况之外，本合同不得有任何变化或修</w:t>
      </w:r>
      <w:r>
        <w:rPr>
          <w:rFonts w:hint="eastAsia" w:ascii="仿宋" w:hAnsi="仿宋" w:eastAsia="仿宋" w:cs="仿宋"/>
          <w:bCs/>
          <w:sz w:val="24"/>
          <w:szCs w:val="24"/>
          <w:highlight w:val="none"/>
        </w:rPr>
        <w:t>改。</w:t>
      </w:r>
      <w:bookmarkEnd w:id="25"/>
    </w:p>
    <w:p>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pStyle w:val="3"/>
        <w:numPr>
          <w:ilvl w:val="0"/>
          <w:numId w:val="1"/>
        </w:numPr>
        <w:bidi w:val="0"/>
        <w:jc w:val="center"/>
        <w:rPr>
          <w:rFonts w:hint="eastAsia" w:ascii="仿宋" w:hAnsi="仿宋" w:eastAsia="仿宋" w:cs="仿宋"/>
          <w:sz w:val="32"/>
          <w:szCs w:val="32"/>
          <w:highlight w:val="none"/>
          <w:lang w:val="en-US" w:eastAsia="zh-CN"/>
        </w:rPr>
      </w:pPr>
      <w:bookmarkStart w:id="26" w:name="_Toc20159"/>
      <w:r>
        <w:rPr>
          <w:rFonts w:hint="eastAsia" w:ascii="仿宋" w:hAnsi="仿宋" w:eastAsia="仿宋" w:cs="仿宋"/>
          <w:sz w:val="32"/>
          <w:szCs w:val="32"/>
          <w:highlight w:val="none"/>
          <w:lang w:val="en-US" w:eastAsia="zh-CN"/>
        </w:rPr>
        <w:t>采购需求</w:t>
      </w:r>
      <w:bookmarkEnd w:id="26"/>
    </w:p>
    <w:p>
      <w:pPr>
        <w:pStyle w:val="2"/>
        <w:spacing w:line="360" w:lineRule="auto"/>
        <w:ind w:right="638" w:rightChars="304"/>
        <w:rPr>
          <w:rFonts w:hint="eastAsia" w:ascii="仿宋" w:hAnsi="仿宋" w:eastAsia="仿宋" w:cs="仿宋"/>
          <w:b/>
          <w:bCs/>
          <w:sz w:val="24"/>
          <w:highlight w:val="none"/>
        </w:rPr>
      </w:pPr>
      <w:r>
        <w:rPr>
          <w:rFonts w:hint="eastAsia" w:ascii="仿宋" w:hAnsi="仿宋" w:eastAsia="仿宋" w:cs="仿宋"/>
          <w:b/>
          <w:bCs/>
          <w:sz w:val="24"/>
          <w:highlight w:val="none"/>
        </w:rPr>
        <w:t>一、采购需实现的目标，以及为落实政府采购政策需满足的要求：</w:t>
      </w:r>
    </w:p>
    <w:p>
      <w:pPr>
        <w:pStyle w:val="2"/>
        <w:spacing w:line="360" w:lineRule="auto"/>
        <w:ind w:right="638" w:rightChars="304"/>
        <w:rPr>
          <w:rFonts w:hint="eastAsia" w:ascii="仿宋" w:hAnsi="仿宋" w:eastAsia="仿宋" w:cs="仿宋"/>
          <w:b/>
          <w:bCs/>
          <w:sz w:val="24"/>
          <w:highlight w:val="none"/>
        </w:rPr>
      </w:pPr>
      <w:r>
        <w:rPr>
          <w:rFonts w:hint="eastAsia" w:ascii="仿宋" w:hAnsi="仿宋" w:eastAsia="仿宋" w:cs="仿宋"/>
          <w:b/>
          <w:bCs/>
          <w:sz w:val="24"/>
          <w:highlight w:val="none"/>
        </w:rPr>
        <w:t xml:space="preserve">1、采购需实现的目标 </w:t>
      </w:r>
    </w:p>
    <w:p>
      <w:pPr>
        <w:pStyle w:val="2"/>
        <w:spacing w:line="360" w:lineRule="auto"/>
        <w:ind w:right="638" w:rightChars="304"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供应商应根据</w:t>
      </w:r>
      <w:r>
        <w:rPr>
          <w:rFonts w:hint="eastAsia" w:ascii="仿宋" w:hAnsi="仿宋" w:eastAsia="仿宋" w:cs="仿宋"/>
          <w:sz w:val="24"/>
          <w:highlight w:val="none"/>
          <w:lang w:val="en-US"/>
        </w:rPr>
        <w:t>磋商</w:t>
      </w:r>
      <w:r>
        <w:rPr>
          <w:rFonts w:hint="eastAsia" w:ascii="仿宋" w:hAnsi="仿宋" w:eastAsia="仿宋" w:cs="仿宋"/>
          <w:sz w:val="24"/>
          <w:highlight w:val="none"/>
        </w:rPr>
        <w:t>文件所提出的技术和服务要求，综合考虑。供应商应以优良的服务和优惠的价格，充分显示自己的竞争实力。</w:t>
      </w:r>
    </w:p>
    <w:p>
      <w:pPr>
        <w:pStyle w:val="2"/>
        <w:spacing w:line="360" w:lineRule="auto"/>
        <w:ind w:right="638" w:rightChars="304"/>
        <w:rPr>
          <w:rFonts w:hint="eastAsia" w:ascii="仿宋" w:hAnsi="仿宋" w:eastAsia="仿宋" w:cs="仿宋"/>
          <w:b/>
          <w:bCs/>
          <w:sz w:val="24"/>
          <w:highlight w:val="none"/>
        </w:rPr>
      </w:pPr>
      <w:r>
        <w:rPr>
          <w:rFonts w:hint="eastAsia" w:ascii="仿宋" w:hAnsi="仿宋" w:eastAsia="仿宋" w:cs="仿宋"/>
          <w:b/>
          <w:bCs/>
          <w:sz w:val="24"/>
          <w:highlight w:val="none"/>
        </w:rPr>
        <w:t>2、为落实政府采购政策需满足的要求</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2.1 促进中小企业发展政策：</w:t>
      </w:r>
      <w:r>
        <w:rPr>
          <w:rFonts w:hint="eastAsia" w:ascii="仿宋" w:hAnsi="仿宋" w:eastAsia="仿宋" w:cs="仿宋"/>
          <w:sz w:val="24"/>
          <w:highlight w:val="none"/>
        </w:rPr>
        <w:t>根据</w:t>
      </w:r>
      <w:r>
        <w:rPr>
          <w:rFonts w:hint="eastAsia" w:ascii="仿宋" w:hAnsi="仿宋" w:eastAsia="仿宋" w:cs="仿宋"/>
          <w:sz w:val="24"/>
          <w:highlight w:val="none"/>
          <w:lang w:val="en-US"/>
        </w:rPr>
        <w:t>《政府采购促进中小企业发展管理办法》（财库﹝2020﹞46 号）</w:t>
      </w:r>
      <w:r>
        <w:rPr>
          <w:rFonts w:hint="eastAsia" w:ascii="仿宋" w:hAnsi="仿宋" w:eastAsia="仿宋" w:cs="仿宋"/>
          <w:sz w:val="24"/>
          <w:highlight w:val="none"/>
        </w:rPr>
        <w:t>文件规定，本项目供应商所投产品为小型或微型企业生产的，供应商应出具</w:t>
      </w:r>
      <w:r>
        <w:rPr>
          <w:rFonts w:hint="eastAsia" w:ascii="仿宋" w:hAnsi="仿宋" w:eastAsia="仿宋" w:cs="仿宋"/>
          <w:sz w:val="24"/>
          <w:highlight w:val="none"/>
          <w:lang w:val="en-US"/>
        </w:rPr>
        <w:t>《政府采购促进中小企业发展管理办法》（财库﹝2020﹞46 号）</w:t>
      </w:r>
      <w:r>
        <w:rPr>
          <w:rFonts w:hint="eastAsia" w:ascii="仿宋" w:hAnsi="仿宋" w:eastAsia="仿宋" w:cs="仿宋"/>
          <w:sz w:val="24"/>
          <w:highlight w:val="none"/>
        </w:rPr>
        <w:t>文件要求的《中小企业声明函》给予证明，否则评标时不予认可。供应商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2.2 监狱企业扶持政策：</w:t>
      </w:r>
      <w:r>
        <w:rPr>
          <w:rFonts w:hint="eastAsia" w:ascii="仿宋" w:hAnsi="仿宋" w:eastAsia="仿宋" w:cs="仿宋"/>
          <w:sz w:val="24"/>
          <w:highlight w:val="none"/>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2.3 促进残疾人就业政府采购政策：</w:t>
      </w:r>
      <w:r>
        <w:rPr>
          <w:rFonts w:hint="eastAsia" w:ascii="仿宋" w:hAnsi="仿宋" w:eastAsia="仿宋" w:cs="仿宋"/>
          <w:sz w:val="24"/>
          <w:highlight w:val="none"/>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2.4 鼓励节能政策：</w:t>
      </w:r>
      <w:r>
        <w:rPr>
          <w:rFonts w:hint="eastAsia" w:ascii="仿宋" w:hAnsi="仿宋" w:eastAsia="仿宋" w:cs="仿宋"/>
          <w:sz w:val="24"/>
          <w:highlight w:val="none"/>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rPr>
        <w:t>2.5 鼓励环保政策：</w:t>
      </w:r>
      <w:r>
        <w:rPr>
          <w:rFonts w:hint="eastAsia" w:ascii="仿宋" w:hAnsi="仿宋" w:eastAsia="仿宋" w:cs="仿宋"/>
          <w:sz w:val="24"/>
          <w:highlight w:val="none"/>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2"/>
        <w:spacing w:line="360" w:lineRule="auto"/>
        <w:ind w:right="638" w:rightChars="304"/>
        <w:rPr>
          <w:rFonts w:hint="eastAsia" w:ascii="仿宋" w:hAnsi="仿宋" w:eastAsia="仿宋" w:cs="仿宋"/>
          <w:sz w:val="24"/>
          <w:highlight w:val="none"/>
        </w:rPr>
      </w:pPr>
      <w:r>
        <w:rPr>
          <w:rFonts w:hint="eastAsia" w:ascii="仿宋" w:hAnsi="仿宋" w:eastAsia="仿宋" w:cs="仿宋"/>
          <w:b/>
          <w:bCs/>
          <w:sz w:val="24"/>
          <w:highlight w:val="none"/>
          <w:lang w:val="en-US"/>
        </w:rPr>
        <w:t>2.6 政府采购包装政策：</w:t>
      </w:r>
      <w:r>
        <w:rPr>
          <w:rFonts w:hint="eastAsia" w:ascii="仿宋" w:hAnsi="仿宋" w:eastAsia="仿宋" w:cs="仿宋"/>
          <w:sz w:val="24"/>
          <w:highlight w:val="none"/>
          <w:lang w:val="en-US"/>
        </w:rPr>
        <w:t>本项目中如涉及商品包装和快递包装的，其包装需求标准应不低于《关于印发&lt;商品包装政府采购需求标准（试行）&gt;、&lt;快递包装政府采购需求标准（试行）&gt;的通知》（财办库〔2020〕123 号）规定的包装要求，采购人、中标/成交人双方签订合同及验收环节，应按上述包装要求执行。</w:t>
      </w:r>
    </w:p>
    <w:p>
      <w:pPr>
        <w:spacing w:line="360" w:lineRule="auto"/>
        <w:rPr>
          <w:rFonts w:hint="eastAsia" w:ascii="仿宋" w:hAnsi="仿宋" w:eastAsia="仿宋" w:cs="仿宋"/>
          <w:kern w:val="2"/>
          <w:sz w:val="24"/>
          <w:szCs w:val="18"/>
          <w:highlight w:val="none"/>
          <w:lang w:val="en-US" w:eastAsia="zh-CN" w:bidi="ar-SA"/>
        </w:rPr>
      </w:pPr>
      <w:r>
        <w:rPr>
          <w:rFonts w:hint="eastAsia" w:ascii="仿宋" w:hAnsi="仿宋" w:eastAsia="仿宋" w:cs="仿宋"/>
          <w:b/>
          <w:bCs/>
          <w:kern w:val="2"/>
          <w:sz w:val="24"/>
          <w:szCs w:val="18"/>
          <w:highlight w:val="none"/>
          <w:lang w:val="en-US" w:eastAsia="zh-CN" w:bidi="ar-SA"/>
        </w:rPr>
        <w:t>二、采购标的需执行的国家相关标准、行业标准、地方标准或者其他标准、规范：</w:t>
      </w:r>
    </w:p>
    <w:p>
      <w:pPr>
        <w:spacing w:line="360" w:lineRule="auto"/>
        <w:rPr>
          <w:rFonts w:hint="eastAsia" w:ascii="仿宋" w:hAnsi="仿宋" w:eastAsia="仿宋" w:cs="仿宋"/>
          <w:kern w:val="2"/>
          <w:sz w:val="24"/>
          <w:szCs w:val="18"/>
          <w:highlight w:val="none"/>
          <w:lang w:val="en-US" w:eastAsia="zh-CN" w:bidi="ar-SA"/>
        </w:rPr>
      </w:pPr>
      <w:r>
        <w:rPr>
          <w:rFonts w:hint="eastAsia" w:ascii="仿宋" w:hAnsi="仿宋" w:eastAsia="仿宋" w:cs="仿宋"/>
          <w:kern w:val="2"/>
          <w:sz w:val="24"/>
          <w:szCs w:val="18"/>
          <w:highlight w:val="none"/>
          <w:lang w:val="en-US" w:eastAsia="zh-CN" w:bidi="ar-SA"/>
        </w:rPr>
        <w:t>投标货物及服务应符合国家有关部门规定的相应技术法规及标准，如国家有关部门对投标货物及服务有强制性规定或要求的，投标货物及服务必须符合相应规定或要求。</w:t>
      </w:r>
    </w:p>
    <w:p>
      <w:pPr>
        <w:pStyle w:val="2"/>
        <w:spacing w:line="360" w:lineRule="auto"/>
        <w:ind w:right="638" w:rightChars="304"/>
        <w:rPr>
          <w:rFonts w:hint="eastAsia" w:ascii="仿宋" w:hAnsi="仿宋" w:eastAsia="仿宋" w:cs="仿宋"/>
          <w:b/>
          <w:bCs/>
          <w:sz w:val="24"/>
          <w:highlight w:val="none"/>
        </w:rPr>
      </w:pPr>
      <w:r>
        <w:rPr>
          <w:rFonts w:hint="eastAsia" w:ascii="仿宋" w:hAnsi="仿宋" w:eastAsia="仿宋" w:cs="仿宋"/>
          <w:b/>
          <w:bCs/>
          <w:sz w:val="24"/>
          <w:highlight w:val="none"/>
        </w:rPr>
        <w:t>三、</w:t>
      </w:r>
      <w:r>
        <w:rPr>
          <w:rFonts w:hint="eastAsia" w:ascii="仿宋" w:hAnsi="仿宋" w:eastAsia="仿宋" w:cs="仿宋"/>
          <w:b/>
          <w:bCs/>
          <w:sz w:val="24"/>
          <w:highlight w:val="none"/>
          <w:lang w:val="en-US" w:eastAsia="zh-CN"/>
        </w:rPr>
        <w:t>物资清单和质量标准</w:t>
      </w:r>
      <w:r>
        <w:rPr>
          <w:rFonts w:hint="eastAsia" w:ascii="仿宋" w:hAnsi="仿宋" w:eastAsia="仿宋" w:cs="仿宋"/>
          <w:b/>
          <w:bCs/>
          <w:sz w:val="24"/>
          <w:highlight w:val="none"/>
        </w:rPr>
        <w:t>：</w:t>
      </w:r>
    </w:p>
    <w:p>
      <w:pPr>
        <w:spacing w:line="540" w:lineRule="exact"/>
        <w:ind w:right="560"/>
        <w:jc w:val="center"/>
        <w:rPr>
          <w:rFonts w:hint="eastAsia" w:ascii="仿宋" w:hAnsi="仿宋" w:eastAsia="仿宋" w:cs="仿宋"/>
          <w:b/>
          <w:bCs/>
          <w:kern w:val="2"/>
          <w:sz w:val="24"/>
          <w:szCs w:val="18"/>
          <w:highlight w:val="none"/>
          <w:lang w:val="en-US" w:eastAsia="zh-CN" w:bidi="ar-SA"/>
        </w:rPr>
      </w:pPr>
      <w:r>
        <w:rPr>
          <w:rFonts w:hint="eastAsia" w:ascii="仿宋" w:hAnsi="仿宋" w:eastAsia="仿宋" w:cs="仿宋"/>
          <w:b/>
          <w:bCs/>
          <w:kern w:val="2"/>
          <w:sz w:val="24"/>
          <w:szCs w:val="18"/>
          <w:highlight w:val="none"/>
          <w:lang w:val="en-US" w:eastAsia="zh-CN" w:bidi="ar-SA"/>
        </w:rPr>
        <w:t>新鲜生猪类物资购汇单汇总表（参考值）</w:t>
      </w:r>
    </w:p>
    <w:tbl>
      <w:tblPr>
        <w:tblStyle w:val="19"/>
        <w:tblW w:w="8700" w:type="dxa"/>
        <w:tblInd w:w="93" w:type="dxa"/>
        <w:tblLayout w:type="fixed"/>
        <w:tblCellMar>
          <w:top w:w="0" w:type="dxa"/>
          <w:left w:w="108" w:type="dxa"/>
          <w:bottom w:w="0" w:type="dxa"/>
          <w:right w:w="108" w:type="dxa"/>
        </w:tblCellMar>
      </w:tblPr>
      <w:tblGrid>
        <w:gridCol w:w="1740"/>
        <w:gridCol w:w="1740"/>
        <w:gridCol w:w="1740"/>
        <w:gridCol w:w="1740"/>
        <w:gridCol w:w="1740"/>
      </w:tblGrid>
      <w:tr>
        <w:tblPrEx>
          <w:tblCellMar>
            <w:top w:w="0" w:type="dxa"/>
            <w:left w:w="108" w:type="dxa"/>
            <w:bottom w:w="0" w:type="dxa"/>
            <w:right w:w="108" w:type="dxa"/>
          </w:tblCellMar>
        </w:tblPrEx>
        <w:trPr>
          <w:trHeight w:val="743"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序号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商品名称</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单位</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最高限价</w:t>
            </w:r>
          </w:p>
          <w:p>
            <w:pPr>
              <w:widowControl/>
              <w:spacing w:line="460" w:lineRule="exact"/>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kern w:val="0"/>
                <w:sz w:val="21"/>
                <w:szCs w:val="21"/>
                <w:highlight w:val="none"/>
                <w:lang w:val="en-US" w:bidi="ar"/>
              </w:rPr>
              <w:t>单价</w:t>
            </w:r>
            <w:r>
              <w:rPr>
                <w:rFonts w:hint="eastAsia" w:ascii="仿宋" w:hAnsi="仿宋" w:eastAsia="仿宋" w:cs="仿宋"/>
                <w:color w:val="000000"/>
                <w:kern w:val="0"/>
                <w:sz w:val="21"/>
                <w:szCs w:val="21"/>
                <w:highlight w:val="none"/>
                <w:lang w:val="en-US" w:eastAsia="zh-CN" w:bidi="ar"/>
              </w:rPr>
              <w:t>（元）</w:t>
            </w:r>
          </w:p>
        </w:tc>
        <w:tc>
          <w:tcPr>
            <w:tcW w:w="174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60" w:lineRule="exact"/>
              <w:jc w:val="center"/>
              <w:textAlignment w:val="top"/>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备注</w:t>
            </w:r>
          </w:p>
        </w:tc>
      </w:tr>
      <w:tr>
        <w:tblPrEx>
          <w:tblCellMar>
            <w:top w:w="0" w:type="dxa"/>
            <w:left w:w="108" w:type="dxa"/>
            <w:bottom w:w="0" w:type="dxa"/>
            <w:right w:w="108" w:type="dxa"/>
          </w:tblCellMar>
        </w:tblPrEx>
        <w:trPr>
          <w:trHeight w:val="347"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鲜一级白条猪</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w:t>
            </w:r>
            <w:r>
              <w:rPr>
                <w:rFonts w:hint="eastAsia" w:ascii="仿宋" w:hAnsi="仿宋" w:eastAsia="仿宋" w:cs="仿宋"/>
                <w:color w:val="000000"/>
                <w:kern w:val="0"/>
                <w:sz w:val="21"/>
                <w:szCs w:val="21"/>
                <w:highlight w:val="none"/>
                <w:lang w:val="en-US" w:eastAsia="zh-CN" w:bidi="ar"/>
              </w:rPr>
              <w:t>下浮</w:t>
            </w:r>
            <w:r>
              <w:rPr>
                <w:rFonts w:hint="eastAsia" w:ascii="仿宋" w:hAnsi="仿宋" w:eastAsia="仿宋" w:cs="仿宋"/>
                <w:color w:val="000000"/>
                <w:kern w:val="0"/>
                <w:sz w:val="21"/>
                <w:szCs w:val="21"/>
                <w:highlight w:val="none"/>
                <w:lang w:val="en-US" w:bidi="ar"/>
              </w:rPr>
              <w:t>率</w:t>
            </w:r>
          </w:p>
        </w:tc>
      </w:tr>
      <w:tr>
        <w:tblPrEx>
          <w:tblCellMar>
            <w:top w:w="0" w:type="dxa"/>
            <w:left w:w="108" w:type="dxa"/>
            <w:bottom w:w="0" w:type="dxa"/>
            <w:right w:w="108" w:type="dxa"/>
          </w:tblCellMar>
        </w:tblPrEx>
        <w:trPr>
          <w:trHeight w:val="347"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前腿</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w:t>
            </w:r>
            <w:r>
              <w:rPr>
                <w:rFonts w:hint="eastAsia" w:ascii="仿宋" w:hAnsi="仿宋" w:eastAsia="仿宋" w:cs="仿宋"/>
                <w:color w:val="000000"/>
                <w:kern w:val="0"/>
                <w:sz w:val="21"/>
                <w:szCs w:val="21"/>
                <w:highlight w:val="none"/>
                <w:lang w:val="en-US" w:eastAsia="zh-CN" w:bidi="ar"/>
              </w:rPr>
              <w:t>下浮</w:t>
            </w:r>
            <w:r>
              <w:rPr>
                <w:rFonts w:hint="eastAsia" w:ascii="仿宋" w:hAnsi="仿宋" w:eastAsia="仿宋" w:cs="仿宋"/>
                <w:color w:val="000000"/>
                <w:kern w:val="0"/>
                <w:sz w:val="21"/>
                <w:szCs w:val="21"/>
                <w:highlight w:val="none"/>
                <w:lang w:val="en-US" w:bidi="ar"/>
              </w:rPr>
              <w:t>率</w:t>
            </w:r>
          </w:p>
        </w:tc>
      </w:tr>
      <w:tr>
        <w:tblPrEx>
          <w:tblCellMar>
            <w:top w:w="0" w:type="dxa"/>
            <w:left w:w="108" w:type="dxa"/>
            <w:bottom w:w="0" w:type="dxa"/>
            <w:right w:w="108" w:type="dxa"/>
          </w:tblCellMar>
        </w:tblPrEx>
        <w:trPr>
          <w:trHeight w:val="347"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3</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后腿</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w:t>
            </w:r>
            <w:r>
              <w:rPr>
                <w:rFonts w:hint="eastAsia" w:ascii="仿宋" w:hAnsi="仿宋" w:eastAsia="仿宋" w:cs="仿宋"/>
                <w:color w:val="000000"/>
                <w:kern w:val="0"/>
                <w:sz w:val="21"/>
                <w:szCs w:val="21"/>
                <w:highlight w:val="none"/>
                <w:lang w:val="en-US" w:eastAsia="zh-CN" w:bidi="ar"/>
              </w:rPr>
              <w:t>下浮</w:t>
            </w:r>
            <w:r>
              <w:rPr>
                <w:rFonts w:hint="eastAsia" w:ascii="仿宋" w:hAnsi="仿宋" w:eastAsia="仿宋" w:cs="仿宋"/>
                <w:color w:val="000000"/>
                <w:kern w:val="0"/>
                <w:sz w:val="21"/>
                <w:szCs w:val="21"/>
                <w:highlight w:val="none"/>
                <w:lang w:val="en-US" w:bidi="ar"/>
              </w:rPr>
              <w:t>率</w:t>
            </w:r>
          </w:p>
        </w:tc>
      </w:tr>
      <w:tr>
        <w:tblPrEx>
          <w:tblCellMar>
            <w:top w:w="0" w:type="dxa"/>
            <w:left w:w="108" w:type="dxa"/>
            <w:bottom w:w="0" w:type="dxa"/>
            <w:right w:w="108" w:type="dxa"/>
          </w:tblCellMar>
        </w:tblPrEx>
        <w:trPr>
          <w:trHeight w:val="347"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4</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五花</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25</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w:t>
            </w:r>
            <w:r>
              <w:rPr>
                <w:rFonts w:hint="eastAsia" w:ascii="仿宋" w:hAnsi="仿宋" w:eastAsia="仿宋" w:cs="仿宋"/>
                <w:color w:val="000000"/>
                <w:kern w:val="0"/>
                <w:sz w:val="21"/>
                <w:szCs w:val="21"/>
                <w:highlight w:val="none"/>
                <w:lang w:val="en-US" w:eastAsia="zh-CN" w:bidi="ar"/>
              </w:rPr>
              <w:t>下浮</w:t>
            </w:r>
            <w:r>
              <w:rPr>
                <w:rFonts w:hint="eastAsia" w:ascii="仿宋" w:hAnsi="仿宋" w:eastAsia="仿宋" w:cs="仿宋"/>
                <w:color w:val="000000"/>
                <w:kern w:val="0"/>
                <w:sz w:val="21"/>
                <w:szCs w:val="21"/>
                <w:highlight w:val="none"/>
                <w:lang w:val="en-US" w:bidi="ar"/>
              </w:rPr>
              <w:t>率</w:t>
            </w:r>
          </w:p>
        </w:tc>
      </w:tr>
      <w:tr>
        <w:tblPrEx>
          <w:tblCellMar>
            <w:top w:w="0" w:type="dxa"/>
            <w:left w:w="108" w:type="dxa"/>
            <w:bottom w:w="0" w:type="dxa"/>
            <w:right w:w="108" w:type="dxa"/>
          </w:tblCellMar>
        </w:tblPrEx>
        <w:trPr>
          <w:trHeight w:val="347"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5</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精五花</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28</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w:t>
            </w:r>
            <w:r>
              <w:rPr>
                <w:rFonts w:hint="eastAsia" w:ascii="仿宋" w:hAnsi="仿宋" w:eastAsia="仿宋" w:cs="仿宋"/>
                <w:color w:val="000000"/>
                <w:kern w:val="0"/>
                <w:sz w:val="21"/>
                <w:szCs w:val="21"/>
                <w:highlight w:val="none"/>
                <w:lang w:val="en-US" w:eastAsia="zh-CN" w:bidi="ar"/>
              </w:rPr>
              <w:t>下浮</w:t>
            </w:r>
            <w:r>
              <w:rPr>
                <w:rFonts w:hint="eastAsia" w:ascii="仿宋" w:hAnsi="仿宋" w:eastAsia="仿宋" w:cs="仿宋"/>
                <w:color w:val="000000"/>
                <w:kern w:val="0"/>
                <w:sz w:val="21"/>
                <w:szCs w:val="21"/>
                <w:highlight w:val="none"/>
                <w:lang w:val="en-US" w:bidi="ar"/>
              </w:rPr>
              <w:t>率</w:t>
            </w:r>
          </w:p>
        </w:tc>
      </w:tr>
      <w:tr>
        <w:tblPrEx>
          <w:tblCellMar>
            <w:top w:w="0" w:type="dxa"/>
            <w:left w:w="108" w:type="dxa"/>
            <w:bottom w:w="0" w:type="dxa"/>
            <w:right w:w="108" w:type="dxa"/>
          </w:tblCellMar>
        </w:tblPrEx>
        <w:trPr>
          <w:trHeight w:val="279"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6</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通排</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28</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7</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精排</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35</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8</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肋排</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52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79"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9</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精瘦肉</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24</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10</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猪肘</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21</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11</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猪蹄</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41</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大里脊</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28</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13</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猪心</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16</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14</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猪肝</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8</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15</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猪肚</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42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87"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16</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猪大肠</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36</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17</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猪耳朵</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55</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18</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猪脸肉</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rPr>
              <w:t>21</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19</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口条</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25</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20</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带肉筒骨</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18</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21</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筒骨</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46"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板油</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12</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r>
        <w:tblPrEx>
          <w:tblCellMar>
            <w:top w:w="0" w:type="dxa"/>
            <w:left w:w="108" w:type="dxa"/>
            <w:bottom w:w="0" w:type="dxa"/>
            <w:right w:w="108" w:type="dxa"/>
          </w:tblCellMar>
        </w:tblPrEx>
        <w:trPr>
          <w:trHeight w:val="253" w:hRule="atLeast"/>
        </w:trPr>
        <w:tc>
          <w:tcPr>
            <w:tcW w:w="1740" w:type="dxa"/>
            <w:tcBorders>
              <w:top w:val="single" w:color="000000" w:sz="4" w:space="0"/>
              <w:left w:val="single" w:color="000000" w:sz="4" w:space="0"/>
              <w:bottom w:val="single" w:color="000000" w:sz="4" w:space="0"/>
              <w:right w:val="single" w:color="000000" w:sz="4" w:space="0"/>
            </w:tcBorders>
            <w:noWrap/>
            <w:vAlign w:val="center"/>
          </w:tcPr>
          <w:p>
            <w:pPr>
              <w:widowControl/>
              <w:spacing w:line="460" w:lineRule="exact"/>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23</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大排肌肉</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公斤</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24</w:t>
            </w:r>
          </w:p>
        </w:tc>
        <w:tc>
          <w:tcPr>
            <w:tcW w:w="174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460" w:lineRule="exact"/>
              <w:jc w:val="center"/>
              <w:textAlignment w:val="bottom"/>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bidi="ar"/>
              </w:rPr>
              <w:t>招标单价</w:t>
            </w:r>
          </w:p>
        </w:tc>
      </w:tr>
    </w:tbl>
    <w:p>
      <w:pPr>
        <w:spacing w:line="360" w:lineRule="auto"/>
        <w:rPr>
          <w:rFonts w:hint="eastAsia" w:ascii="仿宋" w:hAnsi="仿宋" w:eastAsia="仿宋" w:cs="仿宋"/>
          <w:b w:val="0"/>
          <w:bCs w:val="0"/>
          <w:sz w:val="24"/>
          <w:szCs w:val="24"/>
          <w:highlight w:val="none"/>
          <w:lang w:val="en-US" w:eastAsia="zh-CN"/>
        </w:rPr>
      </w:pPr>
    </w:p>
    <w:p>
      <w:pPr>
        <w:jc w:val="center"/>
        <w:rPr>
          <w:rFonts w:hint="eastAsia" w:ascii="仿宋" w:hAnsi="仿宋" w:eastAsia="仿宋" w:cs="仿宋"/>
          <w:b/>
          <w:sz w:val="21"/>
          <w:szCs w:val="21"/>
          <w:highlight w:val="none"/>
          <w:lang w:val="en-US" w:eastAsia="zh-CN"/>
        </w:rPr>
      </w:pPr>
    </w:p>
    <w:p>
      <w:pPr>
        <w:jc w:val="center"/>
        <w:rPr>
          <w:rFonts w:hint="eastAsia" w:ascii="仿宋" w:hAnsi="仿宋" w:eastAsia="仿宋" w:cs="仿宋"/>
          <w:b/>
          <w:sz w:val="21"/>
          <w:szCs w:val="21"/>
          <w:highlight w:val="none"/>
          <w:lang w:val="en-US" w:eastAsia="zh-CN"/>
        </w:rPr>
      </w:pPr>
    </w:p>
    <w:p>
      <w:pPr>
        <w:spacing w:line="540" w:lineRule="exact"/>
        <w:ind w:right="560"/>
        <w:jc w:val="center"/>
        <w:rPr>
          <w:rFonts w:hint="eastAsia" w:ascii="仿宋" w:hAnsi="仿宋" w:eastAsia="仿宋" w:cs="仿宋"/>
          <w:b/>
          <w:bCs/>
          <w:kern w:val="2"/>
          <w:sz w:val="24"/>
          <w:szCs w:val="18"/>
          <w:highlight w:val="none"/>
          <w:lang w:val="en-US" w:eastAsia="zh-CN" w:bidi="ar-SA"/>
        </w:rPr>
      </w:pPr>
      <w:r>
        <w:rPr>
          <w:rFonts w:hint="eastAsia" w:ascii="仿宋" w:hAnsi="仿宋" w:eastAsia="仿宋" w:cs="仿宋"/>
          <w:b/>
          <w:bCs/>
          <w:kern w:val="2"/>
          <w:sz w:val="24"/>
          <w:szCs w:val="18"/>
          <w:highlight w:val="none"/>
          <w:lang w:val="en-US" w:eastAsia="zh-CN" w:bidi="ar-SA"/>
        </w:rPr>
        <w:t>猪肉及猪肉辅助类产品物资采购标准</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前夹肉：执行国家标准</w:t>
      </w: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HYPERLINK "javascript:void(0)"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lang w:val="en-US" w:eastAsia="zh-CN"/>
        </w:rPr>
        <w:t>GB/T 9959.3-2019</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 w:val="0"/>
          <w:bCs w:val="0"/>
          <w:sz w:val="24"/>
          <w:szCs w:val="24"/>
          <w:highlight w:val="none"/>
          <w:lang w:val="en-US" w:eastAsia="zh-CN"/>
        </w:rPr>
        <w:t>，肉质新鲜有弹性，色泽红润光亮，脂肪不能大于30%，脂肪颜色呈乳白色，切面有红色，无异味、无淤血血斑、无注水、无寄生虫、无针眼脓包，禁用黑毛猪、死猪肉。</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五花肉：执行国家标准</w:t>
      </w: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HYPERLINK "javascript:void(0)"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lang w:val="en-US" w:eastAsia="zh-CN"/>
        </w:rPr>
        <w:t>GB/T 9959.3-2019</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 w:val="0"/>
          <w:bCs w:val="0"/>
          <w:sz w:val="24"/>
          <w:szCs w:val="24"/>
          <w:highlight w:val="none"/>
          <w:lang w:val="en-US" w:eastAsia="zh-CN"/>
        </w:rPr>
        <w:t>，有光泽、有弹力、带皮的肥瘦肉、肌肉与脂肪相间多层，不带肚皮肉，禁用黑毛猪、死猪肉，无针眼脓包，禁用黑毛猪、死猪肉。</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排骨：执行国家标准</w:t>
      </w: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HYPERLINK "javascript:void(0)"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lang w:val="en-US" w:eastAsia="zh-CN"/>
        </w:rPr>
        <w:t>GB/T 9959.3-2019</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 w:val="0"/>
          <w:bCs w:val="0"/>
          <w:sz w:val="24"/>
          <w:szCs w:val="24"/>
          <w:highlight w:val="none"/>
          <w:lang w:val="en-US" w:eastAsia="zh-CN"/>
        </w:rPr>
        <w:t>，不带肥油，厚实、完整、不得剔为净骨，骨肉不分离，禁用黑毛猪、死猪肉。</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精瘦肉：执行国家标准GB/T 9959.3-2019，去皮、去骨、去皮下脂肪的肌肉，有光泽、有弹力、无肥肉，肌腱少，无针眼脓包，禁用黑毛猪、死猪肉。</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冻猪肉：执行国家标准GB/T 9959.1--2019，肌肉深层温度不高于4℃，不低于0℃。解冻后，肌肉有光泽，色鲜红，脂肪呈乳白色，无霉点，肉质紧密，有坚实感，外表或切面湿润不粘手，具有冻猪肉正常气味，冻猪肉失水率≤10%；禁用黑毛猪、死猪肉。</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猪肝：执行国家标准GB/T 9959.4--2019，新鲜的肝呈紫红色、有光泽、质地坚实、有弹性，不得提供冻货。</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猪头肉去全骨：执行国家标准GB/T 9959.3-2019，无夹毛，无异味、整体干净。</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猪肘：执行国家标准GB/T 9959.4--2019，颜色呈深红色，无淤血，无异味。</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猪耳朵：执行国家标准GB/T 9959.4--2019，新鲜的肚呈浅黄色，有光泽、黏液多、质地坚实。</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猪蹄：执行国家标准GB/T 9959.3-2019，无夹毛、无异味，整体干净。</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猪舌：执行国家标准GB/T 9959.4—2019，无明显的粘手液体，无异味。</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猪骨头（带肉）：执行国家标准GB/T 9959.3-2019干净无异物，无明显的刺鼻气味</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猪皮：执行国家标准GB/T 9959.4—2019。皮上无猪毛、无异味，整体干净、色白。</w:t>
      </w:r>
    </w:p>
    <w:p>
      <w:pPr>
        <w:spacing w:line="360" w:lineRule="auto"/>
        <w:rPr>
          <w:rFonts w:hint="eastAsia" w:ascii="仿宋" w:hAnsi="仿宋" w:eastAsia="仿宋" w:cs="仿宋"/>
          <w:b w:val="0"/>
          <w:bCs w:val="0"/>
          <w:sz w:val="24"/>
          <w:szCs w:val="24"/>
          <w:highlight w:val="none"/>
          <w:lang w:val="en-US" w:eastAsia="zh-CN"/>
        </w:rPr>
      </w:pPr>
    </w:p>
    <w:p>
      <w:pPr>
        <w:numPr>
          <w:ilvl w:val="0"/>
          <w:numId w:val="9"/>
        </w:num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主要商务要求：</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kern w:val="2"/>
          <w:sz w:val="24"/>
          <w:szCs w:val="24"/>
          <w:highlight w:val="none"/>
        </w:rPr>
      </w:pPr>
      <w:r>
        <w:rPr>
          <w:rFonts w:hint="eastAsia" w:ascii="仿宋" w:hAnsi="仿宋" w:eastAsia="仿宋" w:cs="仿宋"/>
          <w:b/>
          <w:bCs/>
          <w:kern w:val="2"/>
          <w:sz w:val="24"/>
          <w:szCs w:val="24"/>
          <w:highlight w:val="none"/>
          <w:lang w:val="en-US" w:eastAsia="zh-CN" w:bidi="ar"/>
        </w:rPr>
        <w:t>合同履约期限：</w:t>
      </w:r>
      <w:r>
        <w:rPr>
          <w:rFonts w:hint="eastAsia" w:ascii="仿宋" w:hAnsi="仿宋" w:eastAsia="仿宋" w:cs="仿宋"/>
          <w:kern w:val="2"/>
          <w:sz w:val="24"/>
          <w:szCs w:val="24"/>
          <w:highlight w:val="none"/>
          <w:lang w:val="en-US" w:eastAsia="zh-CN" w:bidi="ar"/>
        </w:rPr>
        <w:t>合同签订之日起一年</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kern w:val="2"/>
          <w:sz w:val="24"/>
          <w:szCs w:val="24"/>
          <w:highlight w:val="none"/>
        </w:rPr>
      </w:pPr>
      <w:r>
        <w:rPr>
          <w:rFonts w:hint="eastAsia" w:ascii="仿宋" w:hAnsi="仿宋" w:eastAsia="仿宋" w:cs="仿宋"/>
          <w:b/>
          <w:bCs/>
          <w:kern w:val="2"/>
          <w:sz w:val="24"/>
          <w:szCs w:val="24"/>
          <w:highlight w:val="none"/>
          <w:lang w:val="en-US" w:eastAsia="zh-CN" w:bidi="ar"/>
        </w:rPr>
        <w:t>标的提供的地点：</w:t>
      </w:r>
      <w:r>
        <w:rPr>
          <w:rFonts w:hint="eastAsia" w:ascii="仿宋" w:hAnsi="仿宋" w:eastAsia="仿宋" w:cs="仿宋"/>
          <w:kern w:val="2"/>
          <w:sz w:val="24"/>
          <w:szCs w:val="24"/>
          <w:highlight w:val="none"/>
          <w:lang w:val="en-US" w:eastAsia="zh-CN" w:bidi="ar"/>
        </w:rPr>
        <w:t>新疆师范大学</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kern w:val="2"/>
          <w:sz w:val="24"/>
          <w:szCs w:val="24"/>
          <w:highlight w:val="none"/>
        </w:rPr>
      </w:pPr>
      <w:r>
        <w:rPr>
          <w:rFonts w:hint="eastAsia" w:ascii="仿宋" w:hAnsi="仿宋" w:eastAsia="仿宋" w:cs="仿宋"/>
          <w:b/>
          <w:bCs/>
          <w:kern w:val="2"/>
          <w:sz w:val="24"/>
          <w:szCs w:val="24"/>
          <w:highlight w:val="none"/>
          <w:lang w:val="en-US" w:eastAsia="zh-CN" w:bidi="ar"/>
        </w:rPr>
        <w:t>付款方式：</w:t>
      </w:r>
      <w:r>
        <w:rPr>
          <w:rFonts w:hint="eastAsia" w:ascii="仿宋" w:hAnsi="仿宋" w:eastAsia="仿宋" w:cs="仿宋"/>
          <w:kern w:val="2"/>
          <w:sz w:val="24"/>
          <w:szCs w:val="24"/>
          <w:highlight w:val="none"/>
          <w:lang w:val="en-US" w:eastAsia="zh-CN" w:bidi="ar"/>
        </w:rPr>
        <w:t>结账采用先使用后结账的方式，中标供应商按采购人要求完成当月供货，在餐厅正常使用并向中心反馈无质量问题后，次月20日结算上月货款，采用滚结方式，如遇节假日，寒暑假等特殊情况，另行通知。</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验收要求：</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4.1 按本需求书的质量要求及验收标准进行验收。</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4.2 双方对质量有争议，如需将货物送至具有资质的质量检测机构检测的，若检测结果合格，检测费用由采购人支付。若检测结果不合格，则检测费用由中标供应商支付，采购人将该批次货物退货，中标供应商除重新配送合格物资外，同时扣除30%履约保证金。</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4.3 合同期内，采购人对货物质量进行日常任意抽查，若发现货物质量（含包装）不合格，中标供应商必对该批次产品作出更换、退货，并扣除20%履约保证金，情节严重的按解除合同等方式处理。合同期内两次抽查发现不合格的（可为相同或不同货物），则扣除全部履约保证金并解除合同。</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履约保证金</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5.1 合同签订后十个工作日内，中标供应商须向采购人支付中标金额10%（最高不超过30万元）作为履约保证金。在中标供应商完成其合同义务，包括任何保证义务后30日内，采购人一次性无息退还保证金。履约保证金以银行转账、支票、汇票、本票等非现金形式提交。</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5.2 发生以下情形，经调查属实的，扣除5%履约保证金：</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（1）未按要求随货提供相关票证；</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（2）未按采购人采购计划的时间、数量供货，并未影响伙食供应的（提前一天与采购人协商，且未影响职工食堂伙食供应的除外）；</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（3）未按采购人指定秩序卸货；</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（4）货物出现质量问题，供应商不积极配合查找原因，不及时反馈处理结果。</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5.2 发生以下情形，经调查属实的，扣除10%履约保证金：</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（1）中标供应商供应货物品种、品牌、规格与合同不符，并且超过1小时不予以解决问题的，每次按相应货款金额予以处罚并且扣除10%履约保证金，合同期内累计三次合同自动终止；</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（2）提供虚假检验报告等相关票证；</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（3）因退货或未按采购人采购计划数量、时间供应，造成采购人伙食无法按时供应，每次按相应货款金额予以处罚并且扣除10%履约保证金，合同期内累计三次合同自动终止；；</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（4）把采购人验收不合格退货的货物重新配送给采购人；</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（5）在包装、运输、装卸等环节不符合食品安全要求；</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（6）组织机构发生调整，或经营场所、联系人、联系方式变更，未及时通知采购人业务部门，造成无法及时联系；</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（7）食品溯源管理制度不落实，进货查验记录不全。</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5.3 供应商有以下行为，经调查属实的，采购人将立即解除相关供应合同，履约保证金不退还：</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（1）弄虚作假，提供虚假材料取得中标供应资格的；</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（2）中标供应项目有转包、分包行为的；</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（3）无正当理由拒绝履行合同向采购人供货的；</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（4）有行贿等不正当竞争行为的；</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（5）因所供货物质量原因导致狱内发生食品安全事故的；</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（6）所供应货物存在故意假冒伪劣行为的；</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5.4 如在合同执行期间因中标供应商违约导致履约保证金部分扣除，中标供应商需在五个工作日内将扣除的履约保证金补齐，未按时补齐的，采购人有权从应付货款中扣除相应款项进行补齐。</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5.5 如中标供应商在合同执行过程需终止执行合同的，需提前两个月以书面形式告知采购人，否则按单方面终止执行合同处理，履约保证金不退还。</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报价要求</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6.1 投标报价包含产品价格、运输、装卸、售后服务、保险、搬运费、税金等</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一切费用。</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6.2  1-5项物资采用参照北园春市场官网公布的价格行情中间价投报“投标下浮率（%）”的方式，即单价报价=北园春市场中间价×（1-投标下浮率），所报的下浮率应当适用于本项目1-5项所有货物。投标人若中标，其所报的下浮率将作为结算依据。</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6.3   6-23项物资采用参照物资单价最高限价投报“投标单价”的方式，投标人若中标，其所报的单价将作为结算依据。</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6.4 本项目1-5项物资所有货物统报一个下浮率，投标下浮率必须是唯一固定的值（须保留两位小数),不得存在区间值（如5.00~8.00%)。</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6.5 投标人报价时应充分考虑合同期内因原材料、人员工资、运输等成本上涨所带来的风险，以及本项目配送地点所带来的运输成本。</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lang w:val="en-US" w:eastAsia="zh-CN" w:bidi="ar"/>
        </w:rPr>
      </w:pPr>
      <w:r>
        <w:rPr>
          <w:rFonts w:hint="eastAsia" w:ascii="仿宋" w:hAnsi="仿宋" w:eastAsia="仿宋" w:cs="仿宋"/>
          <w:b w:val="0"/>
          <w:bCs w:val="0"/>
          <w:kern w:val="2"/>
          <w:sz w:val="24"/>
          <w:szCs w:val="24"/>
          <w:highlight w:val="none"/>
          <w:lang w:val="en-US" w:eastAsia="zh-CN" w:bidi="ar"/>
        </w:rPr>
        <w:t>6.6  1-5项物资采用北园春市场官网公布的供货当日的价格行情中间价×（1-投标下浮率）作为最终结算价格。</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bCs/>
          <w:kern w:val="2"/>
          <w:sz w:val="24"/>
          <w:szCs w:val="24"/>
          <w:highlight w:val="none"/>
          <w:lang w:val="en-US"/>
        </w:rPr>
      </w:pPr>
      <w:r>
        <w:rPr>
          <w:rFonts w:hint="eastAsia" w:ascii="仿宋" w:hAnsi="仿宋" w:eastAsia="仿宋" w:cs="仿宋"/>
          <w:b w:val="0"/>
          <w:bCs w:val="0"/>
          <w:kern w:val="2"/>
          <w:sz w:val="24"/>
          <w:szCs w:val="24"/>
          <w:highlight w:val="none"/>
          <w:lang w:val="en-US" w:eastAsia="zh-CN" w:bidi="ar"/>
        </w:rPr>
        <w:t>6.7  6-23项物资采用投标单价作为最终结算价格。在执行合同中不予调整。</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配送要求</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（一）全部货物由中标供应商按照采购计划清单要求，将货物送至新疆师范大学指定地点并负责卸货，卸货完毕后将卸货点卫生清理干净。</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二）首次供应时，应提供中标供应商的《营业执照》、配送人员的身份证复印件、健康证等证照复印件予采购人存档。每次供应时应向采购人提供加盖公章的货物清单（送货单），肉类保证来源于正规肉联厂，每批次物资需提供《动物检疫合格证明》及《肉品品质检验合格证》。</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（三）运输要求：冷链车或冷藏（保鲜）车不少于2辆，整个过程应科学合理，运输必须采用符合卫生要求的外包装和运载工具，并且要保持清洁和定其他期消毒，车厢内无不良气味、异味。</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（四）商品包装要求：容器(框、箱、袋、桶)要求清洁、干燥、牢固、无异味、无霉变现象，食品包装符合国家有关法规、标准的要求，包装完好无破损。</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五）送货时间：合同签订所有物资按采购人要求供应。采购人根据实际需求，提前一天，以微信、电话等方式将需求计划通知中标供应商，第二天早上10:00之前中标供应商送至餐厅或中心冷库。经中心验收后入库，交货时提供每批货物动检手续合格的各类相关手续及文件。对采购人临时性的供货要求需随订随送，并须在接到电话后2个小时内响应。中标供应商在接到通知后备齐货物，按时送达交货地点。中标供应商除不可抗力，不得因其他任何理由延迟送货。采购人如遇特殊情况需推迟送货，应提前通知中标供应商。中标供应商不能按时、按质、按量供货，导致采购人无法正常供应伙食的，采购人有权自行采购同等质量的货物，由此造成的经济损失和责任均由中标供应商承担，并承担违约责任。</w:t>
      </w:r>
    </w:p>
    <w:p>
      <w:pPr>
        <w:keepNext w:val="0"/>
        <w:keepLines w:val="0"/>
        <w:widowControl w:val="0"/>
        <w:numPr>
          <w:ilvl w:val="0"/>
          <w:numId w:val="10"/>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lang w:val="en-US" w:eastAsia="zh-CN" w:bidi="ar"/>
        </w:rPr>
        <w:t>中标供应商的管理要求</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必须依据国家有关法律法规要求建立健全各项管理制度，保证食品安全，有明确的食品安全责任人。因所供货物质量原因导致采购人发生食品安全事故，除解除合同、扣除全部履约保证金外，中标供应商还需赔偿采购人救治经费及误工损失。</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按合同约定的标的供货，中标供应商不得转包、分包，否则采购人有权单方面终止合同，项目另行处理，中标供应商须承担由此造成的经济损失，且履约保证金不退还。</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中标供应商应严格按合同要求（含品牌、规格、品种、质量等）供应，不得变更供应商品，否则，采购人有权退货。</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采购人按合同对商品进行严格验收，对不符合规格要求的商品，供应商必须无条件退货或更换。</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中标供应商须按供应商品的销售额开具国家正式发票。</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 xml:space="preserve">食品溯源要求。食品供应链必须明确，所有食品的来源必须清晰，来源应当是受到地方政府部门监管的流通市场，生产食品的源头与供应商要有固定的合法的供应关系。供应商应保存以下资料： 1.供应商与生产企业的销售合同； 2.生产企业的送货单和销售发票； 3.供应商与采购方的采购合同及送货单据、销售发票、检疫合格证明文件。 </w:t>
      </w:r>
    </w:p>
    <w:p>
      <w:pPr>
        <w:keepNext w:val="0"/>
        <w:keepLines w:val="0"/>
        <w:widowControl w:val="0"/>
        <w:numPr>
          <w:ilvl w:val="0"/>
          <w:numId w:val="11"/>
        </w:numPr>
        <w:suppressLineNumbers w:val="0"/>
        <w:autoSpaceDE w:val="0"/>
        <w:autoSpaceDN/>
        <w:spacing w:before="0" w:beforeAutospacing="0" w:after="0" w:afterAutospacing="0" w:line="500" w:lineRule="exact"/>
        <w:ind w:left="0" w:right="0" w:firstLine="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索赔：</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1．经采购人及中标供应商双方现场确认后，采购人对中标供应商供应的食品质量有异议，采购人有权根据有关政府部门的检验结果向中标供应商提出索赔。</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2.中标供应商在供应过程中，如果出现质量问题或造成食物中毒等情况，经查实后确属中标供应商责任，中标供应商应承担由此造成的全部法律责任及经济赔偿损失（包括但不限于食物中毒人员医疗费、误工费、事故处理费等）</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3.如果在采购人发出索赔通知后30天内，中标供应商未作答复，上述索赔应视为已被中标供应商接受。采购人将从合同款项中扣回索赔金额。如果这些金额不足以补偿索赔金额，采购人有权向中标供应商提出不足部分的补偿。</w:t>
      </w:r>
    </w:p>
    <w:p>
      <w:pPr>
        <w:keepNext w:val="0"/>
        <w:keepLines w:val="0"/>
        <w:widowControl w:val="0"/>
        <w:suppressLineNumbers w:val="0"/>
        <w:autoSpaceDE w:val="0"/>
        <w:autoSpaceDN/>
        <w:spacing w:before="0" w:beforeAutospacing="0" w:after="0" w:afterAutospacing="0" w:line="500" w:lineRule="exact"/>
        <w:ind w:left="0" w:right="0"/>
        <w:jc w:val="both"/>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lang w:val="en-US" w:eastAsia="zh-CN" w:bidi="ar"/>
        </w:rPr>
        <w:t>4.由于学校工作的特殊性，中标供应商及外来送货人员须无条件服从并遵守好学校的最新疫情防控措施和其他相关管理规定，配合好学校疫情防控工作，违反相关防疫规定所造成的一切后果均由中标供应商承担相应责任。</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pPr>
        <w:pStyle w:val="5"/>
        <w:rPr>
          <w:rFonts w:hint="eastAsia" w:ascii="仿宋" w:hAnsi="仿宋" w:eastAsia="仿宋" w:cs="仿宋"/>
          <w:highlight w:val="none"/>
          <w:lang w:val="en-US" w:eastAsia="zh-CN"/>
        </w:rPr>
      </w:pPr>
    </w:p>
    <w:p>
      <w:pPr>
        <w:pStyle w:val="3"/>
        <w:numPr>
          <w:ilvl w:val="0"/>
          <w:numId w:val="1"/>
        </w:numPr>
        <w:bidi w:val="0"/>
        <w:jc w:val="center"/>
        <w:rPr>
          <w:rFonts w:hint="eastAsia" w:ascii="仿宋" w:hAnsi="仿宋" w:eastAsia="仿宋" w:cs="仿宋"/>
          <w:sz w:val="32"/>
          <w:szCs w:val="32"/>
          <w:highlight w:val="none"/>
          <w:lang w:val="en-US" w:eastAsia="zh-CN"/>
        </w:rPr>
      </w:pPr>
      <w:bookmarkStart w:id="27" w:name="_Toc21893"/>
      <w:r>
        <w:rPr>
          <w:rFonts w:hint="eastAsia" w:ascii="仿宋" w:hAnsi="仿宋" w:eastAsia="仿宋" w:cs="仿宋"/>
          <w:sz w:val="32"/>
          <w:szCs w:val="32"/>
          <w:highlight w:val="none"/>
          <w:lang w:val="en-US" w:eastAsia="zh-CN"/>
        </w:rPr>
        <w:t>评标程序、评标方法和评标标准</w:t>
      </w:r>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lang w:val="en-US" w:eastAsia="zh-CN"/>
        </w:rPr>
      </w:pPr>
      <w:bookmarkStart w:id="28" w:name="_Toc27440"/>
      <w:r>
        <w:rPr>
          <w:rFonts w:hint="eastAsia" w:ascii="仿宋" w:hAnsi="仿宋" w:eastAsia="仿宋" w:cs="仿宋"/>
          <w:b/>
          <w:bCs/>
          <w:sz w:val="24"/>
          <w:szCs w:val="24"/>
          <w:highlight w:val="none"/>
          <w:lang w:val="en-US" w:eastAsia="zh-CN"/>
        </w:rPr>
        <w:t>评标方法</w:t>
      </w:r>
      <w:bookmarkEnd w:id="28"/>
      <w:r>
        <w:rPr>
          <w:rFonts w:hint="eastAsia" w:ascii="仿宋" w:hAnsi="仿宋" w:eastAsia="仿宋" w:cs="仿宋"/>
          <w:b/>
          <w:bCs/>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9" w:name="_Toc12617"/>
      <w:r>
        <w:rPr>
          <w:rFonts w:hint="eastAsia" w:ascii="仿宋" w:hAnsi="仿宋" w:eastAsia="仿宋" w:cs="仿宋"/>
          <w:b/>
          <w:bCs/>
          <w:sz w:val="24"/>
          <w:szCs w:val="24"/>
          <w:highlight w:val="none"/>
          <w:lang w:val="en-US" w:eastAsia="zh-CN"/>
        </w:rPr>
        <w:t>评标原则</w:t>
      </w:r>
      <w:bookmarkEnd w:id="29"/>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评标活动遵循公平、公正、科学和择优的原则，以招标文件和投标文件为评标的基本依据，并按照招标文件规定的评标方法和评标标准进行评标。</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0" w:name="_Toc6046"/>
      <w:r>
        <w:rPr>
          <w:rFonts w:hint="eastAsia" w:ascii="仿宋" w:hAnsi="仿宋" w:eastAsia="仿宋" w:cs="仿宋"/>
          <w:b/>
          <w:bCs/>
          <w:sz w:val="24"/>
          <w:szCs w:val="24"/>
          <w:highlight w:val="none"/>
          <w:lang w:val="en-US" w:eastAsia="zh-CN"/>
        </w:rPr>
        <w:t>资格审查</w:t>
      </w:r>
      <w:bookmarkEnd w:id="3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处理，不进入符合性审查。资格审查要求如下：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1.须提供投标文件递交截止日期之前六个月内任何一期的纳税记录或证明文件原件或复印件加盖公章（依法免税的应提供相应文件说明）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投标人信用记录</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查询渠道：信用中国网站和中国政府采购网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查询时间：投标截止时间后至资格审查阶段完成；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无须投标人提供，由采购人或采购代理机构查询。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投标保证金</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按照招标文件的规定提交投标保证金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的资格要求</w:t>
            </w:r>
          </w:p>
        </w:tc>
        <w:tc>
          <w:tcPr>
            <w:tcW w:w="5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要求获得采购合同的供应商将不低于 40 %比例分包给一家或者多家中小企业（其中，不低于60%需分包给一家或多家小微企业）。 潜在供应商需承诺如成交将按照部分预留方式与采购人签订合同（需提供中小企业声明函及分包意向协议）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请根据要求单独上传《中小企业声明函》。格式以采购文件要求为准。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请根据要求单独上传《分包意向协议》，并在分包意向协议中进行相关比例说明。格式以采购文件要求为准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lang w:val="en-US"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1" w:name="_Toc4337"/>
      <w:r>
        <w:rPr>
          <w:rFonts w:hint="eastAsia" w:ascii="仿宋" w:hAnsi="仿宋" w:eastAsia="仿宋" w:cs="仿宋"/>
          <w:b/>
          <w:bCs/>
          <w:sz w:val="24"/>
          <w:szCs w:val="24"/>
          <w:highlight w:val="none"/>
          <w:lang w:val="en-US" w:eastAsia="zh-CN"/>
        </w:rPr>
        <w:t>符合性审查</w:t>
      </w:r>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符合性审查要求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投标完整性</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投标有效期</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采购需求的响应</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投标文件满足招标文件中※号条款要求的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21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55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投标文件中不存在违反国家法律、法规和招标文件规定的其他无效情形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2" w:name="_Toc23924"/>
      <w:r>
        <w:rPr>
          <w:rFonts w:hint="eastAsia" w:ascii="仿宋" w:hAnsi="仿宋" w:eastAsia="仿宋" w:cs="仿宋"/>
          <w:b/>
          <w:bCs/>
          <w:sz w:val="24"/>
          <w:szCs w:val="24"/>
          <w:highlight w:val="none"/>
          <w:lang w:val="en-US" w:eastAsia="zh-CN"/>
        </w:rPr>
        <w:t>投标文件有关事项的澄清或者说明</w:t>
      </w:r>
      <w:bookmarkEnd w:id="32"/>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评标委员会不接受投标人主动提出的澄清、说明或补正。</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评标委员会对投标人提交的澄清、说明或补正有疑问的，可以要求投标人进一步澄清、说明或补正。</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对报价的计算错误按以下原则修正：</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投标文件中开标一览表内容与投标文件中相应内容不一致的，以开标一览表为准；</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大写金额和小写金额不一致的，以大写金额为准；</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单价金额小数点或者百分比有明显错位的，以开标一览表的总价为准，并修改单价。</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szCs w:val="24"/>
          <w:highlight w:val="none"/>
          <w:lang w:val="en-US" w:eastAsia="zh-CN"/>
        </w:rPr>
        <w:t>投标无效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3" w:name="_Toc22049"/>
      <w:r>
        <w:rPr>
          <w:rFonts w:hint="eastAsia" w:ascii="仿宋" w:hAnsi="仿宋" w:eastAsia="仿宋" w:cs="仿宋"/>
          <w:b/>
          <w:bCs/>
          <w:sz w:val="24"/>
          <w:szCs w:val="24"/>
          <w:highlight w:val="none"/>
          <w:lang w:val="en-US" w:eastAsia="zh-CN"/>
        </w:rPr>
        <w:t>详细评审</w:t>
      </w:r>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详细评审标准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843" w:type="dxa"/>
            <w:vAlign w:val="center"/>
          </w:tcPr>
          <w:p>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068" w:type="dxa"/>
            <w:gridSpan w:val="2"/>
            <w:vAlign w:val="center"/>
          </w:tcPr>
          <w:p>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454" w:type="dxa"/>
            <w:gridSpan w:val="2"/>
            <w:vAlign w:val="center"/>
          </w:tcPr>
          <w:p>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0.0分</w:t>
            </w:r>
          </w:p>
          <w:p>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5</w:t>
            </w:r>
            <w:r>
              <w:rPr>
                <w:rFonts w:hint="eastAsia" w:ascii="仿宋" w:hAnsi="仿宋" w:eastAsia="仿宋" w:cs="仿宋"/>
                <w:b w:val="0"/>
                <w:bCs/>
                <w:color w:val="auto"/>
                <w:kern w:val="0"/>
                <w:sz w:val="21"/>
                <w:szCs w:val="21"/>
                <w:highlight w:val="none"/>
              </w:rPr>
              <w:t>0.0分</w:t>
            </w:r>
          </w:p>
          <w:p>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4</w:t>
            </w:r>
            <w:r>
              <w:rPr>
                <w:rFonts w:hint="eastAsia" w:ascii="仿宋" w:hAnsi="仿宋" w:eastAsia="仿宋" w:cs="仿宋"/>
                <w:b w:val="0"/>
                <w:bCs/>
                <w:color w:val="auto"/>
                <w:kern w:val="0"/>
                <w:sz w:val="21"/>
                <w:szCs w:val="21"/>
                <w:highlight w:val="none"/>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pPr>
              <w:pStyle w:val="2"/>
              <w:spacing w:line="240" w:lineRule="auto"/>
              <w:ind w:right="8"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报价</w:t>
            </w:r>
            <w:r>
              <w:rPr>
                <w:rFonts w:hint="eastAsia" w:ascii="仿宋" w:hAnsi="仿宋" w:eastAsia="仿宋" w:cs="仿宋"/>
                <w:sz w:val="21"/>
                <w:szCs w:val="21"/>
                <w:highlight w:val="none"/>
                <w:vertAlign w:val="baseline"/>
              </w:rPr>
              <w:t>部分（</w:t>
            </w:r>
            <w:r>
              <w:rPr>
                <w:rFonts w:hint="eastAsia" w:ascii="仿宋" w:hAnsi="仿宋" w:eastAsia="仿宋" w:cs="仿宋"/>
                <w:sz w:val="21"/>
                <w:szCs w:val="21"/>
                <w:highlight w:val="none"/>
                <w:vertAlign w:val="baseline"/>
                <w:lang w:val="en-US" w:eastAsia="zh-CN"/>
              </w:rPr>
              <w:t>4</w:t>
            </w:r>
            <w:r>
              <w:rPr>
                <w:rFonts w:hint="eastAsia" w:ascii="仿宋" w:hAnsi="仿宋" w:eastAsia="仿宋" w:cs="仿宋"/>
                <w:sz w:val="21"/>
                <w:szCs w:val="21"/>
                <w:highlight w:val="none"/>
                <w:vertAlign w:val="baseline"/>
              </w:rPr>
              <w:t>0 分）</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40</w:t>
            </w:r>
          </w:p>
        </w:tc>
        <w:tc>
          <w:tcPr>
            <w:tcW w:w="5611" w:type="dxa"/>
          </w:tcPr>
          <w:p>
            <w:pPr>
              <w:pStyle w:val="2"/>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1、折扣率报价项（1-5项）</w:t>
            </w:r>
          </w:p>
          <w:p>
            <w:pPr>
              <w:pStyle w:val="2"/>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评标基准价=有效投标报价的最低值（1-下浮率），有效投标报价等于基准值的得20分，投标报价得分=（评标基准价/投标报价）×20。有效投标报价为通过初步审查的供应商报价。</w:t>
            </w:r>
          </w:p>
          <w:p>
            <w:pPr>
              <w:pStyle w:val="2"/>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2、单价报价项合计（6-23项）</w:t>
            </w:r>
          </w:p>
          <w:p>
            <w:pPr>
              <w:pStyle w:val="2"/>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满足招标文件要求且报价单价合计最低的投标人的价格为评标基准价,其价格为20 分。其他供应商的价格分统一按照下列公式计算：投标报价得分=(评标基准价/投标报价)×20。有效投标报价为通过初步审查的供应商报价。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1074" w:type="dxa"/>
            <w:vMerge w:val="restart"/>
            <w:tcBorders>
              <w:right w:val="single" w:color="000000" w:sz="4" w:space="0"/>
            </w:tcBorders>
            <w:vAlign w:val="center"/>
          </w:tcPr>
          <w:p>
            <w:pPr>
              <w:pStyle w:val="2"/>
              <w:spacing w:line="240" w:lineRule="auto"/>
              <w:ind w:right="-19" w:rightChars="-9"/>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商务部分(1</w:t>
            </w:r>
            <w:r>
              <w:rPr>
                <w:rFonts w:hint="eastAsia" w:ascii="仿宋" w:hAnsi="仿宋" w:eastAsia="仿宋" w:cs="仿宋"/>
                <w:sz w:val="21"/>
                <w:szCs w:val="21"/>
                <w:highlight w:val="none"/>
                <w:vertAlign w:val="baseline"/>
                <w:lang w:val="en-US" w:eastAsia="zh-CN"/>
              </w:rPr>
              <w:t>0</w:t>
            </w:r>
            <w:r>
              <w:rPr>
                <w:rFonts w:hint="eastAsia" w:ascii="仿宋" w:hAnsi="仿宋" w:eastAsia="仿宋" w:cs="仿宋"/>
                <w:sz w:val="21"/>
                <w:szCs w:val="21"/>
                <w:highlight w:val="none"/>
                <w:vertAlign w:val="baseline"/>
              </w:rPr>
              <w:t xml:space="preserve"> 分)</w:t>
            </w: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类似项目业绩</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5611" w:type="dxa"/>
          </w:tcPr>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投标人</w:t>
            </w:r>
            <w:r>
              <w:rPr>
                <w:rFonts w:hint="eastAsia" w:ascii="仿宋" w:hAnsi="仿宋" w:eastAsia="仿宋" w:cs="仿宋"/>
                <w:sz w:val="21"/>
                <w:szCs w:val="21"/>
                <w:highlight w:val="none"/>
                <w:vertAlign w:val="baseline"/>
              </w:rPr>
              <w:t>自 20</w:t>
            </w:r>
            <w:r>
              <w:rPr>
                <w:rFonts w:hint="eastAsia" w:ascii="仿宋" w:hAnsi="仿宋" w:eastAsia="仿宋" w:cs="仿宋"/>
                <w:sz w:val="21"/>
                <w:szCs w:val="21"/>
                <w:highlight w:val="none"/>
                <w:vertAlign w:val="baseline"/>
                <w:lang w:val="en-US" w:eastAsia="zh-CN"/>
              </w:rPr>
              <w:t>20</w:t>
            </w:r>
            <w:r>
              <w:rPr>
                <w:rFonts w:hint="eastAsia" w:ascii="仿宋" w:hAnsi="仿宋" w:eastAsia="仿宋" w:cs="仿宋"/>
                <w:sz w:val="21"/>
                <w:szCs w:val="21"/>
                <w:highlight w:val="none"/>
                <w:vertAlign w:val="baseline"/>
              </w:rPr>
              <w:t xml:space="preserve">年 </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 xml:space="preserve"> 月 1 日至投标截止日止（以合同签订合同时间为准）独立承担的类似项目，每提供 1 份有效的业绩资料</w:t>
            </w:r>
          </w:p>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得 </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 xml:space="preserve"> 分，满分 </w:t>
            </w:r>
            <w:r>
              <w:rPr>
                <w:rFonts w:hint="eastAsia" w:ascii="仿宋" w:hAnsi="仿宋" w:eastAsia="仿宋" w:cs="仿宋"/>
                <w:sz w:val="21"/>
                <w:szCs w:val="21"/>
                <w:highlight w:val="none"/>
                <w:vertAlign w:val="baseline"/>
                <w:lang w:val="en-US" w:eastAsia="zh-CN"/>
              </w:rPr>
              <w:t>7</w:t>
            </w:r>
            <w:r>
              <w:rPr>
                <w:rFonts w:hint="eastAsia" w:ascii="仿宋" w:hAnsi="仿宋" w:eastAsia="仿宋" w:cs="仿宋"/>
                <w:sz w:val="21"/>
                <w:szCs w:val="21"/>
                <w:highlight w:val="none"/>
                <w:vertAlign w:val="baseline"/>
              </w:rPr>
              <w:t xml:space="preserve"> 分。</w:t>
            </w:r>
          </w:p>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注：1.须提供业绩合同关键页（含：首页、</w:t>
            </w:r>
            <w:r>
              <w:rPr>
                <w:rFonts w:hint="eastAsia" w:ascii="仿宋" w:hAnsi="仿宋" w:eastAsia="仿宋" w:cs="仿宋"/>
                <w:sz w:val="21"/>
                <w:szCs w:val="21"/>
                <w:highlight w:val="none"/>
                <w:vertAlign w:val="baseline"/>
                <w:lang w:val="en-US" w:eastAsia="zh-CN"/>
              </w:rPr>
              <w:t>货物和</w:t>
            </w:r>
            <w:r>
              <w:rPr>
                <w:rFonts w:hint="eastAsia" w:ascii="仿宋" w:hAnsi="仿宋" w:eastAsia="仿宋" w:cs="仿宋"/>
                <w:sz w:val="21"/>
                <w:szCs w:val="21"/>
                <w:highlight w:val="none"/>
                <w:vertAlign w:val="baseline"/>
              </w:rPr>
              <w:t>服务内容信息页、合同金额页、签字盖章页）。复印件加盖公章，时间以合同签订日期为准。不符合上述要求或未按要求提供有效证明文件的业绩在评审时将不予承认。</w:t>
            </w:r>
          </w:p>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lang w:eastAsia="zh-CN"/>
              </w:rPr>
              <w:t>投标人</w:t>
            </w:r>
            <w:r>
              <w:rPr>
                <w:rFonts w:hint="eastAsia" w:ascii="仿宋" w:hAnsi="仿宋" w:eastAsia="仿宋" w:cs="仿宋"/>
                <w:sz w:val="21"/>
                <w:szCs w:val="21"/>
                <w:highlight w:val="none"/>
                <w:vertAlign w:val="baseline"/>
              </w:rPr>
              <w:t>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074" w:type="dxa"/>
            <w:vMerge w:val="continue"/>
            <w:tcBorders>
              <w:right w:val="single" w:color="000000" w:sz="4" w:space="0"/>
            </w:tcBorders>
            <w:vAlign w:val="center"/>
          </w:tcPr>
          <w:p>
            <w:pPr>
              <w:pStyle w:val="2"/>
              <w:spacing w:line="240" w:lineRule="auto"/>
              <w:ind w:right="-19" w:rightChars="-9"/>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质量、安全、环境管理体系证书</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5611" w:type="dxa"/>
          </w:tcPr>
          <w:p>
            <w:pPr>
              <w:pStyle w:val="2"/>
              <w:spacing w:line="240" w:lineRule="auto"/>
              <w:ind w:right="-31" w:rightChars="-15"/>
              <w:rPr>
                <w:rFonts w:hint="eastAsia" w:ascii="仿宋" w:hAnsi="仿宋" w:eastAsia="仿宋" w:cs="仿宋"/>
                <w:sz w:val="21"/>
                <w:szCs w:val="21"/>
                <w:highlight w:val="none"/>
                <w:vertAlign w:val="baseline"/>
                <w:lang w:val="en-US" w:eastAsia="zh-CN"/>
              </w:rPr>
            </w:pPr>
            <w:bookmarkStart w:id="34" w:name="_Toc16348"/>
            <w:r>
              <w:rPr>
                <w:rFonts w:hint="eastAsia" w:ascii="仿宋" w:hAnsi="仿宋" w:eastAsia="仿宋" w:cs="仿宋"/>
                <w:sz w:val="21"/>
                <w:szCs w:val="21"/>
                <w:highlight w:val="none"/>
                <w:vertAlign w:val="baseline"/>
                <w:lang w:val="en-US" w:eastAsia="zh-CN"/>
              </w:rPr>
              <w:t>投标人具有ISO9001质量管理体系认证证书得1分，未提供不得分；</w:t>
            </w:r>
            <w:bookmarkEnd w:id="34"/>
          </w:p>
          <w:p>
            <w:pPr>
              <w:pStyle w:val="2"/>
              <w:spacing w:line="240" w:lineRule="auto"/>
              <w:ind w:right="-31" w:rightChars="-15"/>
              <w:rPr>
                <w:rFonts w:hint="eastAsia" w:ascii="仿宋" w:hAnsi="仿宋" w:eastAsia="仿宋" w:cs="仿宋"/>
                <w:sz w:val="21"/>
                <w:szCs w:val="21"/>
                <w:highlight w:val="none"/>
                <w:vertAlign w:val="baseline"/>
                <w:lang w:val="en-US" w:eastAsia="zh-CN"/>
              </w:rPr>
            </w:pPr>
            <w:bookmarkStart w:id="35" w:name="_Toc21690"/>
            <w:r>
              <w:rPr>
                <w:rFonts w:hint="eastAsia" w:ascii="仿宋" w:hAnsi="仿宋" w:eastAsia="仿宋" w:cs="仿宋"/>
                <w:sz w:val="21"/>
                <w:szCs w:val="21"/>
                <w:highlight w:val="none"/>
                <w:vertAlign w:val="baseline"/>
                <w:lang w:val="en-US" w:eastAsia="zh-CN"/>
              </w:rPr>
              <w:t>投标人具有职业健康安全管理体系认证证书得1分，未提供不得分；</w:t>
            </w:r>
            <w:bookmarkEnd w:id="35"/>
          </w:p>
          <w:p>
            <w:pPr>
              <w:pStyle w:val="2"/>
              <w:spacing w:line="240" w:lineRule="auto"/>
              <w:ind w:right="-31" w:rightChars="-15"/>
              <w:rPr>
                <w:rFonts w:hint="eastAsia" w:ascii="仿宋" w:hAnsi="仿宋" w:eastAsia="仿宋" w:cs="仿宋"/>
                <w:sz w:val="21"/>
                <w:szCs w:val="21"/>
                <w:highlight w:val="none"/>
                <w:vertAlign w:val="baseline"/>
              </w:rPr>
            </w:pPr>
            <w:bookmarkStart w:id="36" w:name="_Toc355"/>
            <w:r>
              <w:rPr>
                <w:rFonts w:hint="eastAsia" w:ascii="仿宋" w:hAnsi="仿宋" w:eastAsia="仿宋" w:cs="仿宋"/>
                <w:sz w:val="21"/>
                <w:szCs w:val="21"/>
                <w:highlight w:val="none"/>
                <w:vertAlign w:val="baseline"/>
                <w:lang w:val="en-US" w:eastAsia="zh-CN"/>
              </w:rPr>
              <w:t>投标人具有ISO14000环境管理体系认证证书得1分，未提供不得分</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pPr>
              <w:pStyle w:val="2"/>
              <w:spacing w:line="240" w:lineRule="auto"/>
              <w:ind w:right="-19" w:rightChars="-9"/>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技术部分 (</w:t>
            </w:r>
            <w:r>
              <w:rPr>
                <w:rFonts w:hint="eastAsia" w:ascii="仿宋" w:hAnsi="仿宋" w:eastAsia="仿宋" w:cs="仿宋"/>
                <w:sz w:val="21"/>
                <w:szCs w:val="21"/>
                <w:highlight w:val="none"/>
                <w:vertAlign w:val="baseline"/>
                <w:lang w:val="en-US" w:eastAsia="zh-CN"/>
              </w:rPr>
              <w:t>50</w:t>
            </w:r>
            <w:r>
              <w:rPr>
                <w:rFonts w:hint="eastAsia" w:ascii="仿宋" w:hAnsi="仿宋" w:eastAsia="仿宋" w:cs="仿宋"/>
                <w:sz w:val="21"/>
                <w:szCs w:val="21"/>
                <w:highlight w:val="none"/>
                <w:vertAlign w:val="baseline"/>
              </w:rPr>
              <w:t>分)</w:t>
            </w: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对</w:t>
            </w:r>
            <w:r>
              <w:rPr>
                <w:rFonts w:hint="eastAsia" w:ascii="仿宋" w:hAnsi="仿宋" w:eastAsia="仿宋" w:cs="仿宋"/>
                <w:sz w:val="21"/>
                <w:szCs w:val="21"/>
                <w:highlight w:val="none"/>
                <w:vertAlign w:val="baseline"/>
                <w:lang w:val="en-US" w:eastAsia="zh-CN"/>
              </w:rPr>
              <w:t>投标</w:t>
            </w:r>
            <w:r>
              <w:rPr>
                <w:rFonts w:hint="eastAsia" w:ascii="仿宋" w:hAnsi="仿宋" w:eastAsia="仿宋" w:cs="仿宋"/>
                <w:sz w:val="21"/>
                <w:szCs w:val="21"/>
                <w:highlight w:val="none"/>
                <w:vertAlign w:val="baseline"/>
                <w:lang w:eastAsia="zh-CN"/>
              </w:rPr>
              <w:t>文件</w:t>
            </w:r>
            <w:r>
              <w:rPr>
                <w:rFonts w:hint="eastAsia" w:ascii="仿宋" w:hAnsi="仿宋" w:eastAsia="仿宋" w:cs="仿宋"/>
                <w:sz w:val="21"/>
                <w:szCs w:val="21"/>
                <w:highlight w:val="none"/>
                <w:vertAlign w:val="baseline"/>
              </w:rPr>
              <w:t>技术规格要求的响应程度</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5611" w:type="dxa"/>
          </w:tcPr>
          <w:p>
            <w:pPr>
              <w:pStyle w:val="2"/>
              <w:spacing w:line="240" w:lineRule="auto"/>
              <w:ind w:right="-31"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技术参数及要求中一般技术要求，全部满足得</w:t>
            </w:r>
            <w:r>
              <w:rPr>
                <w:rFonts w:hint="eastAsia" w:ascii="仿宋" w:hAnsi="仿宋" w:eastAsia="仿宋" w:cs="仿宋"/>
                <w:sz w:val="21"/>
                <w:szCs w:val="21"/>
                <w:highlight w:val="none"/>
                <w:vertAlign w:val="baseline"/>
                <w:lang w:val="en-US" w:eastAsia="zh-CN"/>
              </w:rPr>
              <w:t>5</w:t>
            </w:r>
            <w:r>
              <w:rPr>
                <w:rFonts w:hint="eastAsia" w:ascii="仿宋" w:hAnsi="仿宋" w:eastAsia="仿宋" w:cs="仿宋"/>
                <w:sz w:val="21"/>
                <w:szCs w:val="21"/>
                <w:highlight w:val="none"/>
                <w:vertAlign w:val="baseline"/>
              </w:rPr>
              <w:t>分，一项不满足扣</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 xml:space="preserve">分，扣完为止。 </w:t>
            </w:r>
          </w:p>
          <w:p>
            <w:pPr>
              <w:pStyle w:val="2"/>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注：</w:t>
            </w:r>
            <w:r>
              <w:rPr>
                <w:rFonts w:hint="eastAsia" w:ascii="仿宋" w:hAnsi="仿宋" w:eastAsia="仿宋" w:cs="仿宋"/>
                <w:sz w:val="21"/>
                <w:szCs w:val="21"/>
                <w:highlight w:val="none"/>
                <w:vertAlign w:val="baseline"/>
                <w:lang w:val="en-US" w:eastAsia="zh-CN"/>
              </w:rPr>
              <w:t>投标人</w:t>
            </w:r>
            <w:r>
              <w:rPr>
                <w:rFonts w:hint="eastAsia" w:ascii="仿宋" w:hAnsi="仿宋" w:eastAsia="仿宋" w:cs="仿宋"/>
                <w:sz w:val="21"/>
                <w:szCs w:val="21"/>
                <w:highlight w:val="none"/>
                <w:vertAlign w:val="baseline"/>
              </w:rPr>
              <w:t>须对本</w:t>
            </w:r>
            <w:r>
              <w:rPr>
                <w:rFonts w:hint="eastAsia" w:ascii="仿宋" w:hAnsi="仿宋" w:eastAsia="仿宋" w:cs="仿宋"/>
                <w:sz w:val="21"/>
                <w:szCs w:val="21"/>
                <w:highlight w:val="none"/>
                <w:vertAlign w:val="baseline"/>
                <w:lang w:val="en-US" w:eastAsia="zh-CN"/>
              </w:rPr>
              <w:t>招标</w:t>
            </w:r>
            <w:r>
              <w:rPr>
                <w:rFonts w:hint="eastAsia" w:ascii="仿宋" w:hAnsi="仿宋" w:eastAsia="仿宋" w:cs="仿宋"/>
                <w:sz w:val="21"/>
                <w:szCs w:val="21"/>
                <w:highlight w:val="none"/>
                <w:vertAlign w:val="baseline"/>
              </w:rPr>
              <w:t>文件技术要求进行点对点应答，必须在引用本采购文件的基础上,进行逐条逐项答复、说明和解释,特别对有具体参数要求的指标，</w:t>
            </w:r>
            <w:r>
              <w:rPr>
                <w:rFonts w:hint="eastAsia" w:ascii="仿宋" w:hAnsi="仿宋" w:eastAsia="仿宋" w:cs="仿宋"/>
                <w:sz w:val="21"/>
                <w:szCs w:val="21"/>
                <w:highlight w:val="none"/>
                <w:vertAlign w:val="baseline"/>
                <w:lang w:val="en-US" w:eastAsia="zh-CN"/>
              </w:rPr>
              <w:t>投标人</w:t>
            </w:r>
            <w:r>
              <w:rPr>
                <w:rFonts w:hint="eastAsia" w:ascii="仿宋" w:hAnsi="仿宋" w:eastAsia="仿宋" w:cs="仿宋"/>
                <w:sz w:val="21"/>
                <w:szCs w:val="21"/>
                <w:highlight w:val="none"/>
                <w:vertAlign w:val="baseline"/>
              </w:rPr>
              <w:t>必须提供所投</w:t>
            </w:r>
            <w:r>
              <w:rPr>
                <w:rFonts w:hint="eastAsia" w:ascii="仿宋" w:hAnsi="仿宋" w:eastAsia="仿宋" w:cs="仿宋"/>
                <w:sz w:val="21"/>
                <w:szCs w:val="21"/>
                <w:highlight w:val="none"/>
                <w:vertAlign w:val="baseline"/>
                <w:lang w:val="en-US" w:eastAsia="zh-CN"/>
              </w:rPr>
              <w:t>货物</w:t>
            </w:r>
            <w:r>
              <w:rPr>
                <w:rFonts w:hint="eastAsia" w:ascii="仿宋" w:hAnsi="仿宋" w:eastAsia="仿宋" w:cs="仿宋"/>
                <w:sz w:val="21"/>
                <w:szCs w:val="21"/>
                <w:highlight w:val="none"/>
                <w:vertAlign w:val="baseline"/>
              </w:rPr>
              <w:t>的具体参数值。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074" w:type="dxa"/>
            <w:vMerge w:val="continue"/>
            <w:tcBorders>
              <w:right w:val="single" w:color="000000" w:sz="4" w:space="0"/>
            </w:tcBorders>
            <w:vAlign w:val="center"/>
          </w:tcPr>
          <w:p>
            <w:pPr>
              <w:pStyle w:val="2"/>
              <w:spacing w:line="240" w:lineRule="auto"/>
              <w:ind w:right="638" w:rightChars="304"/>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整体服务方案</w:t>
            </w:r>
          </w:p>
          <w:p>
            <w:pPr>
              <w:pStyle w:val="2"/>
              <w:spacing w:line="240" w:lineRule="auto"/>
              <w:ind w:right="31" w:rightChars="15"/>
              <w:jc w:val="center"/>
              <w:rPr>
                <w:rFonts w:hint="eastAsia" w:ascii="仿宋" w:hAnsi="仿宋" w:eastAsia="仿宋" w:cs="仿宋"/>
                <w:sz w:val="21"/>
                <w:szCs w:val="21"/>
                <w:highlight w:val="none"/>
                <w:vertAlign w:val="baseline"/>
              </w:rPr>
            </w:pP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20</w:t>
            </w:r>
          </w:p>
        </w:tc>
        <w:tc>
          <w:tcPr>
            <w:tcW w:w="5611" w:type="dxa"/>
          </w:tcPr>
          <w:p>
            <w:pPr>
              <w:pStyle w:val="2"/>
              <w:numPr>
                <w:ilvl w:val="0"/>
                <w:numId w:val="13"/>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货品配送方案（8分）:</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（1）投标人对本项目的配送服务方案全面、科学、合理、针对性强，得8分</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（2）投标人对本项目的配送服务方案基本全面、科学、合理，针对性一般，得5分； </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（3）投标人对本项目的配送服务方案不够全面、科学、合理，针对性不强，得3分； </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（4）没有项目配送服务方案不得分。 </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p>
          <w:p>
            <w:pPr>
              <w:pStyle w:val="2"/>
              <w:numPr>
                <w:ilvl w:val="0"/>
                <w:numId w:val="13"/>
              </w:numPr>
              <w:spacing w:line="240" w:lineRule="auto"/>
              <w:ind w:left="0" w:leftChars="0" w:right="-31" w:rightChars="-15" w:firstLine="0" w:firstLineChars="0"/>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拟投入本项目团队人员情况（6分）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（1）项目团队人员工作经验丰富，职责分工详细明确，岗位设置安排科学合理，后备人员力量充足得6分；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（2）项目团队人员具备一定工作经验，职责分工基本明确，岗位设置安排基本合理，后备人员力量仅满足需求得4分；；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（3）项目团队人员职责分工模糊不清，岗位设置欠合理，无后备人员得2分；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注：需提供拟派项目团队人员及后备人员的健康证、劳动合同及近六个月内任意一期的社保缴纳证明材料加盖公章，未提供不得分。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p>
          <w:p>
            <w:pPr>
              <w:pStyle w:val="2"/>
              <w:numPr>
                <w:ilvl w:val="0"/>
                <w:numId w:val="13"/>
              </w:numPr>
              <w:spacing w:line="240" w:lineRule="auto"/>
              <w:ind w:left="0" w:leftChars="0" w:right="-31" w:rightChars="-15" w:firstLine="0" w:firstLineChars="0"/>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工作流程及内部管理制度（6分）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（1）投标人对本项目的工作流程及内部管理制度全面、科学、合理、针对性强，得6分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（2）投标人对本项目的工作流程及内部管理制度基本全面、科学、合理，针对性一般，得4分；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（3）投标人对本项目的工作流程及内部管理制度不够全面、科学、合理，针对性不强，得2分；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（4）没有项目工作流程及内部管理制度不得分。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8" w:hRule="atLeast"/>
          <w:jc w:val="center"/>
        </w:trPr>
        <w:tc>
          <w:tcPr>
            <w:tcW w:w="1074" w:type="dxa"/>
            <w:vMerge w:val="continue"/>
            <w:tcBorders>
              <w:right w:val="single" w:color="000000" w:sz="4" w:space="0"/>
            </w:tcBorders>
            <w:vAlign w:val="center"/>
          </w:tcPr>
          <w:p>
            <w:pPr>
              <w:pStyle w:val="2"/>
              <w:spacing w:line="240" w:lineRule="auto"/>
              <w:ind w:right="638" w:rightChars="304"/>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服务保障措施</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w:t>
            </w:r>
          </w:p>
        </w:tc>
        <w:tc>
          <w:tcPr>
            <w:tcW w:w="5611" w:type="dxa"/>
          </w:tcPr>
          <w:p>
            <w:pPr>
              <w:pStyle w:val="2"/>
              <w:numPr>
                <w:ilvl w:val="0"/>
                <w:numId w:val="14"/>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售后服务保障方案（5分）</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（1）投标人对本项目的售后服务保障方案方案全面、科学、合理、针对性强，得5分</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（2）投标人对本项目的售后服务保障方案基本全面、科学、合理，针对性一般，得3分； </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（3）投标人对本项目的售后服务保障方案不够全面、科学、合理，针对性不强，得1分； </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（4）没有项目售后服务保障方案不得分。</w:t>
            </w:r>
          </w:p>
          <w:p>
            <w:pPr>
              <w:pStyle w:val="2"/>
              <w:numPr>
                <w:ilvl w:val="0"/>
                <w:numId w:val="0"/>
              </w:numPr>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2、应急处理预案及措施（5分）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（1）各环节的预案计划措施全面、科学、合理、针对性强，得5分。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（2）各环节的预案计划措施较全面、科学、合理，针对性一般，得3分。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（3）各环节的预案计划措施不全面、不科学、不合理，无针对性，得1分。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（4）没有提供各环节的预案计划措施的，不得分。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3、运输配送车辆（5分）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根据项目要求提供物流车辆清单满足采购需求，得5分，投标人须提供包括车辆照片，自有车辆提供购车发票和机动车登记证书复印件加盖投标人公章，对于租赁车辆提供租赁协议或合同【其中租赁协议/合同需在有效期内的（有效期须包含本项目合同期限），且是以投标人名义签订的】复印件加盖投标人公章、车辆行驶证和租金转账记录或租金发票复印件加盖投标人公章。未提供或专家无法认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1074" w:type="dxa"/>
            <w:vMerge w:val="continue"/>
            <w:tcBorders>
              <w:right w:val="single" w:color="000000" w:sz="4" w:space="0"/>
            </w:tcBorders>
            <w:vAlign w:val="center"/>
          </w:tcPr>
          <w:p>
            <w:pPr>
              <w:pStyle w:val="2"/>
              <w:spacing w:line="240" w:lineRule="auto"/>
              <w:ind w:right="638" w:rightChars="304"/>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质量及安全保证措施</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5611" w:type="dxa"/>
          </w:tcPr>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对投标人的质量及安全保证措施（包括但不限于投标产品的来源、储存、运输、验收各环节的质量保证及安全措施）进行评审：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1、来源清晰具体、验收方案全面，质量及安全保证各环节措施详细、完善，针对性、可行性强，完全符合采购需求，得5分；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2、来源清晰较具体、验收方案较全面，质量及安全保证措施完整、各环节基本合理、完善，针对性、可行性较强，基本符合采购需求，得4分； </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3、来源不够清晰、验收方案不够全面，质量及安全保证各环节措施不够具体、完善，针对性、可行性一般，得3分； 4、来源不清晰、验收方案有明显的缺漏，质量及安全保证各环节措施不完整，针对性、可行性较差，得1分。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074" w:type="dxa"/>
            <w:vMerge w:val="continue"/>
            <w:tcBorders>
              <w:right w:val="single" w:color="000000" w:sz="4" w:space="0"/>
            </w:tcBorders>
            <w:vAlign w:val="center"/>
          </w:tcPr>
          <w:p>
            <w:pPr>
              <w:pStyle w:val="2"/>
              <w:spacing w:line="240" w:lineRule="auto"/>
              <w:ind w:right="638" w:rightChars="304"/>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1"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出现产品质量问题退换货方案</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5611" w:type="dxa"/>
          </w:tcPr>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本项目产品质量问题退换货方案内容包括但不限于：退换货流程、退换货便利性说明及相关承诺。</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退换货流程清晰，便利程度高，退换货承诺全面、具体、合理，得5分；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退换货流程较清晰，便利程度较高，退换货承诺基本合理和详细，得3分；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退换货流程基本清晰，便利程度一般，退换货承诺不够充分合理，得1分。</w:t>
            </w:r>
          </w:p>
          <w:p>
            <w:pPr>
              <w:pStyle w:val="2"/>
              <w:numPr>
                <w:ilvl w:val="0"/>
                <w:numId w:val="0"/>
              </w:numPr>
              <w:spacing w:line="240" w:lineRule="auto"/>
              <w:ind w:leftChars="0"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未提供方案 0 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落实中小企业政府采购政策的价格调整：</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sz w:val="24"/>
          <w:szCs w:val="24"/>
          <w:highlight w:val="none"/>
          <w:u w:val="single"/>
          <w:lang w:val="en-US" w:eastAsia="zh-CN"/>
        </w:rPr>
        <w:t xml:space="preserve"> 10 % </w:t>
      </w:r>
      <w:r>
        <w:rPr>
          <w:rFonts w:hint="eastAsia" w:ascii="仿宋" w:hAnsi="仿宋" w:eastAsia="仿宋" w:cs="仿宋"/>
          <w:b w:val="0"/>
          <w:bCs w:val="0"/>
          <w:sz w:val="24"/>
          <w:szCs w:val="24"/>
          <w:highlight w:val="none"/>
          <w:lang w:val="en-US" w:eastAsia="zh-CN"/>
        </w:rPr>
        <w:t>后参与评审。对于同时属于小微企业、监狱企业或残疾人福利性单位的，不重复进行投标报价扣除。</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仿宋" w:hAnsi="仿宋" w:eastAsia="仿宋" w:cs="仿宋"/>
          <w:b w:val="0"/>
          <w:bCs w:val="0"/>
          <w:sz w:val="24"/>
          <w:szCs w:val="24"/>
          <w:highlight w:val="none"/>
          <w:u w:val="single"/>
          <w:lang w:val="en-US" w:eastAsia="zh-CN"/>
        </w:rPr>
        <w:t xml:space="preserve"> 4% </w:t>
      </w:r>
      <w:r>
        <w:rPr>
          <w:rFonts w:hint="eastAsia" w:ascii="仿宋" w:hAnsi="仿宋" w:eastAsia="仿宋" w:cs="仿宋"/>
          <w:b w:val="0"/>
          <w:bCs w:val="0"/>
          <w:sz w:val="24"/>
          <w:szCs w:val="24"/>
          <w:highlight w:val="none"/>
          <w:lang w:val="en-US" w:eastAsia="zh-CN"/>
        </w:rPr>
        <w:t>的扣除，用扣除后的价格参加评审。</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价格扣除比例对小型企业和微型企业同等对待，不作区分。</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监狱企业提供了由省级以上监狱管理局、戒毒管理局（含新疆生产建设兵团）出具的属于监狱企业的证明文件的，视同小微企业。</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残疾人福利性单位按招标文件要求提供了《残疾人福利性单位声明函》（见附件）的，视同小微企业。</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若投标人同时属于小型或微型企业、监狱企业、残疾人福利性单位中的两种及以上，将不重复享受小微企业价格扣减的优惠政策。</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sz w:val="24"/>
          <w:szCs w:val="24"/>
          <w:highlight w:val="none"/>
          <w:u w:val="single"/>
          <w:lang w:val="en-US" w:eastAsia="zh-CN"/>
        </w:rPr>
        <w:t>综合得分相同时排名优先。</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szCs w:val="24"/>
          <w:highlight w:val="none"/>
          <w:u w:val="none"/>
          <w:lang w:val="en-US" w:eastAsia="zh-CN"/>
        </w:rPr>
        <w:t>无效投标</w:t>
      </w:r>
      <w:r>
        <w:rPr>
          <w:rFonts w:hint="eastAsia" w:ascii="仿宋" w:hAnsi="仿宋" w:eastAsia="仿宋" w:cs="仿宋"/>
          <w:b w:val="0"/>
          <w:bCs w:val="0"/>
          <w:sz w:val="24"/>
          <w:szCs w:val="24"/>
          <w:highlight w:val="none"/>
          <w:u w:val="none"/>
          <w:lang w:val="en-US" w:eastAsia="zh-CN"/>
        </w:rPr>
        <w:t>被拒绝。</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sz w:val="24"/>
          <w:szCs w:val="24"/>
          <w:highlight w:val="none"/>
          <w:u w:val="single"/>
          <w:lang w:val="en-US" w:eastAsia="zh-CN"/>
        </w:rPr>
        <w:t>综合得分相同时排名优先 。</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同品牌处理办法：</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如采用最低评标办法，则：</w:t>
      </w:r>
      <w:r>
        <w:rPr>
          <w:rFonts w:hint="eastAsia" w:ascii="仿宋" w:hAnsi="仿宋" w:eastAsia="仿宋" w:cs="仿宋"/>
          <w:b w:val="0"/>
          <w:bCs w:val="0"/>
          <w:sz w:val="24"/>
          <w:szCs w:val="24"/>
          <w:highlight w:val="none"/>
          <w:u w:val="single"/>
          <w:lang w:val="en-US" w:eastAsia="zh-CN"/>
        </w:rPr>
        <w:t>提供相同品牌产品的不同投标人以其中通过资格审查、符合性审查且报价最低的参加评标；报价相同的，由评标委员会采取随机抽取方式确定，其他同品牌投标人不作为中标候选人。</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如采用综合评标法，则：</w:t>
      </w:r>
      <w:r>
        <w:rPr>
          <w:rFonts w:hint="eastAsia" w:ascii="仿宋" w:hAnsi="仿宋" w:eastAsia="仿宋" w:cs="仿宋"/>
          <w:b w:val="0"/>
          <w:bCs w:val="0"/>
          <w:sz w:val="24"/>
          <w:szCs w:val="24"/>
          <w:highlight w:val="none"/>
          <w:u w:val="single"/>
          <w:lang w:val="en-US" w:eastAsia="zh-CN"/>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r>
        <w:rPr>
          <w:rFonts w:hint="eastAsia" w:ascii="仿宋" w:hAnsi="仿宋" w:eastAsia="仿宋" w:cs="仿宋"/>
          <w:b w:val="0"/>
          <w:bCs w:val="0"/>
          <w:sz w:val="24"/>
          <w:szCs w:val="24"/>
          <w:highlight w:val="none"/>
          <w:u w:val="none"/>
          <w:lang w:val="en-US" w:eastAsia="zh-CN"/>
        </w:rPr>
        <w:t>。</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如一个分包内包含多种产品的，采购人或采购代理机构将在</w:t>
      </w:r>
      <w:r>
        <w:rPr>
          <w:rFonts w:hint="eastAsia" w:ascii="仿宋" w:hAnsi="仿宋" w:eastAsia="仿宋" w:cs="仿宋"/>
          <w:b w:val="0"/>
          <w:bCs w:val="0"/>
          <w:sz w:val="24"/>
          <w:szCs w:val="24"/>
          <w:highlight w:val="none"/>
          <w:u w:val="single"/>
          <w:lang w:val="en-US" w:eastAsia="zh-CN"/>
        </w:rPr>
        <w:t>投标人须知前附表</w:t>
      </w:r>
      <w:r>
        <w:rPr>
          <w:rFonts w:hint="eastAsia" w:ascii="仿宋" w:hAnsi="仿宋" w:eastAsia="仿宋" w:cs="仿宋"/>
          <w:b w:val="0"/>
          <w:bCs w:val="0"/>
          <w:sz w:val="24"/>
          <w:szCs w:val="24"/>
          <w:highlight w:val="none"/>
          <w:u w:val="none"/>
          <w:lang w:val="en-US" w:eastAsia="zh-CN"/>
        </w:rPr>
        <w:t xml:space="preserve">中载明核心产品，多家投标人提供的所有核心产品品牌均相同的，按第六章  评标程序、评标方法和评标标准第6.6条规定处理。 </w:t>
      </w:r>
    </w:p>
    <w:p>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确定中标候选人名单</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采用综合评分法时，评标结果按评审后得分由高到低顺序排列。评审得分最高的投标人为排名第一的中标候选人。综合评审得分相同的,投标报价最低优先，如报价相同则技术部分得分最高优先，投标报价相同且技术部分得分也相同的，由评标委员会现场采取随机抽取方式确定。</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采用最低评标价法时，评标结果按投标报价由低到高顺序排列。投标文件满足招标文件全部实质性要求且投标报价最低的投标人为排名第一的中标候选人。投标报价相同的评标委员会随机抽取的方式确定排名。</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评标委员会要对评分汇总情况进行复核，特别是对排名第一的、报价最低的、投标或响应文件被认定为无效的情形进行重点复核。</w:t>
      </w:r>
    </w:p>
    <w:p>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评标委员会将根据各投标人的评标排序，依次推荐本项目（各采购包）的中标候选人，起草并签署评标报告。本项目（各采购包）评标委员会共（各）推荐三名中标候选人。</w:t>
      </w:r>
    </w:p>
    <w:p>
      <w:pP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br w:type="page"/>
      </w:r>
    </w:p>
    <w:p>
      <w:pPr>
        <w:pStyle w:val="3"/>
        <w:numPr>
          <w:ilvl w:val="0"/>
          <w:numId w:val="1"/>
        </w:numPr>
        <w:bidi w:val="0"/>
        <w:jc w:val="center"/>
        <w:rPr>
          <w:rFonts w:hint="eastAsia" w:ascii="仿宋" w:hAnsi="仿宋" w:eastAsia="仿宋" w:cs="仿宋"/>
          <w:sz w:val="32"/>
          <w:szCs w:val="32"/>
          <w:highlight w:val="none"/>
          <w:lang w:val="en-US" w:eastAsia="zh-CN"/>
        </w:rPr>
      </w:pPr>
      <w:bookmarkStart w:id="37" w:name="_Toc31337"/>
      <w:r>
        <w:rPr>
          <w:rFonts w:hint="eastAsia" w:ascii="仿宋" w:hAnsi="仿宋" w:eastAsia="仿宋" w:cs="仿宋"/>
          <w:sz w:val="32"/>
          <w:szCs w:val="32"/>
          <w:highlight w:val="none"/>
          <w:lang w:val="en-US" w:eastAsia="zh-CN"/>
        </w:rPr>
        <w:t>投标文件格式</w:t>
      </w:r>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投标人编制文件须知</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为保证评标工作的顺利进行，各投标人需参照如下的格式，认真进行投标文件的编写工作。需建立详细的目录。</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各投标人提交文件中涉及商业机密的，应明确标明，采购人及最终用户将给予保密处理，否则视为公开资料。</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全部声明和问题的回答及所附材料必须是真实的、准确的和完整的。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u w:val="none"/>
          <w:lang w:val="en-US" w:eastAsia="zh-CN"/>
        </w:rPr>
      </w:pPr>
    </w:p>
    <w:p>
      <w:pP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br w:type="page"/>
      </w:r>
    </w:p>
    <w:p>
      <w:pPr>
        <w:keepNext w:val="0"/>
        <w:keepLines w:val="0"/>
        <w:widowControl/>
        <w:suppressLineNumbers w:val="0"/>
        <w:jc w:val="left"/>
        <w:rPr>
          <w:rFonts w:hint="eastAsia" w:ascii="仿宋" w:hAnsi="仿宋" w:eastAsia="仿宋" w:cs="仿宋"/>
          <w:b/>
          <w:bCs/>
          <w:color w:val="000000"/>
          <w:kern w:val="0"/>
          <w:sz w:val="24"/>
          <w:szCs w:val="24"/>
          <w:highlight w:val="none"/>
          <w:lang w:val="en-US" w:eastAsia="zh-CN" w:bidi="ar"/>
        </w:rPr>
      </w:pPr>
    </w:p>
    <w:p>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38" w:name="_Toc10196"/>
      <w:r>
        <w:rPr>
          <w:rFonts w:hint="eastAsia" w:ascii="仿宋" w:hAnsi="仿宋" w:eastAsia="仿宋" w:cs="仿宋"/>
          <w:b/>
          <w:bCs/>
          <w:color w:val="000000"/>
          <w:kern w:val="0"/>
          <w:sz w:val="24"/>
          <w:szCs w:val="24"/>
          <w:highlight w:val="none"/>
          <w:lang w:val="en-US" w:eastAsia="zh-CN" w:bidi="ar"/>
        </w:rPr>
        <w:t>投标文件封面（参考格式）</w:t>
      </w:r>
      <w:bookmarkEnd w:id="38"/>
    </w:p>
    <w:p>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投标文件</w:t>
      </w:r>
    </w:p>
    <w:p>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31"/>
          <w:szCs w:val="31"/>
          <w:highlight w:val="none"/>
          <w:lang w:val="en-US" w:eastAsia="zh-CN" w:bidi="ar"/>
        </w:rPr>
        <w:t xml:space="preserve">项目编号/包号： </w:t>
      </w: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投标人名称（盖公章）：</w:t>
      </w: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法定代表人或其授权代表签字（或签章）：</w:t>
      </w: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法人或者其他组织的营业执照等证明文件或自然人的身份证明复印件;</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投标人具有良好的商业信誉和健全的财务会计制度的证明文件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39" w:name="_Toc16703"/>
      <w:r>
        <w:rPr>
          <w:rFonts w:hint="eastAsia" w:ascii="仿宋" w:hAnsi="仿宋" w:eastAsia="仿宋" w:cs="仿宋"/>
          <w:color w:val="000000"/>
          <w:kern w:val="0"/>
          <w:sz w:val="24"/>
          <w:highlight w:val="none"/>
          <w:u w:val="none"/>
          <w:lang w:bidi="ar"/>
        </w:rPr>
        <w:t>1、复印件并加盖本单位公章</w:t>
      </w:r>
      <w:bookmarkEnd w:id="39"/>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2、若提供的是复印件，采购人、采购代理机构保留审核原件的权利。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0" w:name="_Toc32425"/>
      <w:r>
        <w:rPr>
          <w:rFonts w:hint="eastAsia" w:ascii="仿宋" w:hAnsi="仿宋" w:eastAsia="仿宋" w:cs="仿宋"/>
          <w:color w:val="000000"/>
          <w:kern w:val="0"/>
          <w:sz w:val="24"/>
          <w:highlight w:val="none"/>
          <w:u w:val="none"/>
          <w:lang w:bidi="ar"/>
        </w:rPr>
        <w:t>3、如果是联合体投标，联合体各方均需提供上述证明。</w:t>
      </w:r>
      <w:bookmarkEnd w:id="40"/>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投标人缴纳税收的证明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1" w:name="_Toc7512"/>
      <w:r>
        <w:rPr>
          <w:rFonts w:hint="eastAsia" w:ascii="仿宋" w:hAnsi="仿宋" w:eastAsia="仿宋" w:cs="仿宋"/>
          <w:color w:val="000000"/>
          <w:kern w:val="0"/>
          <w:sz w:val="24"/>
          <w:highlight w:val="none"/>
          <w:u w:val="none"/>
          <w:lang w:bidi="ar"/>
        </w:rPr>
        <w:t>1、复印件并加盖本单位公章</w:t>
      </w:r>
      <w:bookmarkEnd w:id="41"/>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2、若提供的是复印件，采购人、采购代理机构保留审核原件的权利。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2" w:name="_Toc8376"/>
      <w:r>
        <w:rPr>
          <w:rFonts w:hint="eastAsia" w:ascii="仿宋" w:hAnsi="仿宋" w:eastAsia="仿宋" w:cs="仿宋"/>
          <w:color w:val="000000"/>
          <w:kern w:val="0"/>
          <w:sz w:val="24"/>
          <w:highlight w:val="none"/>
          <w:u w:val="none"/>
          <w:lang w:bidi="ar"/>
        </w:rPr>
        <w:t>3、如果是联合体投标，联合体各方均需提供上述证明。</w:t>
      </w:r>
      <w:r>
        <w:rPr>
          <w:rFonts w:hint="eastAsia" w:ascii="仿宋" w:hAnsi="仿宋" w:eastAsia="仿宋" w:cs="仿宋"/>
          <w:color w:val="000000"/>
          <w:kern w:val="0"/>
          <w:sz w:val="24"/>
          <w:highlight w:val="none"/>
          <w:u w:val="none"/>
          <w:lang w:bidi="ar"/>
        </w:rPr>
        <w:br w:type="page"/>
      </w:r>
      <w:bookmarkEnd w:id="42"/>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投标人为职工缴纳社会保险的证明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3" w:name="_Toc3006"/>
      <w:r>
        <w:rPr>
          <w:rFonts w:hint="eastAsia" w:ascii="仿宋" w:hAnsi="仿宋" w:eastAsia="仿宋" w:cs="仿宋"/>
          <w:color w:val="000000"/>
          <w:kern w:val="0"/>
          <w:sz w:val="24"/>
          <w:highlight w:val="none"/>
          <w:u w:val="none"/>
          <w:lang w:bidi="ar"/>
        </w:rPr>
        <w:t>1、复印件并加盖本单位公章</w:t>
      </w:r>
      <w:bookmarkEnd w:id="43"/>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2、若提供的是复印件，采购人、采购代理机构保留审核原件的权利。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highlight w:val="none"/>
          <w:u w:val="none"/>
          <w:lang w:bidi="ar"/>
        </w:rPr>
      </w:pPr>
      <w:bookmarkStart w:id="44" w:name="_Toc28907"/>
      <w:r>
        <w:rPr>
          <w:rFonts w:hint="eastAsia" w:ascii="仿宋" w:hAnsi="仿宋" w:eastAsia="仿宋" w:cs="仿宋"/>
          <w:color w:val="000000"/>
          <w:kern w:val="0"/>
          <w:sz w:val="24"/>
          <w:highlight w:val="none"/>
          <w:u w:val="none"/>
          <w:lang w:bidi="ar"/>
        </w:rPr>
        <w:t>3、如果是联合体投标，联合体各方均需提供上述证明。</w:t>
      </w:r>
      <w:bookmarkEnd w:id="44"/>
    </w:p>
    <w:p>
      <w:pPr>
        <w:rPr>
          <w:rFonts w:hint="eastAsia" w:ascii="仿宋" w:hAnsi="仿宋" w:eastAsia="仿宋" w:cs="仿宋"/>
          <w:color w:val="000000"/>
          <w:kern w:val="0"/>
          <w:sz w:val="24"/>
          <w:highlight w:val="none"/>
          <w:u w:val="none"/>
          <w:lang w:bidi="ar"/>
        </w:rPr>
      </w:pPr>
    </w:p>
    <w:p>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投标人资格声明书</w:t>
      </w:r>
    </w:p>
    <w:p>
      <w:pPr>
        <w:rPr>
          <w:rFonts w:hint="eastAsia" w:ascii="仿宋" w:hAnsi="仿宋" w:eastAsia="仿宋" w:cs="仿宋"/>
          <w:color w:val="000000"/>
          <w:kern w:val="0"/>
          <w:sz w:val="24"/>
          <w:highlight w:val="none"/>
          <w:u w:val="none"/>
          <w:lang w:bidi="ar"/>
        </w:rPr>
      </w:pPr>
    </w:p>
    <w:p>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在参与本次项目投标中，我单位承诺：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序号</w:t>
            </w:r>
          </w:p>
        </w:tc>
        <w:tc>
          <w:tcPr>
            <w:tcW w:w="3798"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单位名称</w:t>
            </w:r>
          </w:p>
        </w:tc>
        <w:tc>
          <w:tcPr>
            <w:tcW w:w="3406"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1</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2</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投标人名称：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（加盖公章）</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（签字或签章）</w:t>
      </w:r>
      <w:r>
        <w:rPr>
          <w:rFonts w:hint="eastAsia" w:ascii="仿宋" w:hAnsi="仿宋" w:eastAsia="仿宋" w:cs="仿宋"/>
          <w:color w:val="000000"/>
          <w:kern w:val="0"/>
          <w:sz w:val="24"/>
          <w:szCs w:val="24"/>
          <w:highlight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说明：供应商承诺不实的，依据《政府采购法》第七十七条“提供虚假材料谋取中标、成交的”有关规定予以处理。</w:t>
      </w:r>
    </w:p>
    <w:p>
      <w:pPr>
        <w:rPr>
          <w:rFonts w:hint="eastAsia" w:ascii="仿宋" w:hAnsi="仿宋" w:eastAsia="仿宋" w:cs="仿宋"/>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5" w:name="_Toc32152"/>
      <w:r>
        <w:rPr>
          <w:rFonts w:hint="eastAsia" w:ascii="仿宋" w:hAnsi="仿宋" w:eastAsia="仿宋" w:cs="仿宋"/>
          <w:color w:val="000000"/>
          <w:kern w:val="0"/>
          <w:sz w:val="24"/>
          <w:szCs w:val="24"/>
          <w:highlight w:val="none"/>
          <w:lang w:val="en-US" w:eastAsia="zh-CN" w:bidi="ar"/>
        </w:rPr>
        <w:t>2 落实政府采购政策需满足的资格要求（如有）</w:t>
      </w:r>
      <w:bookmarkEnd w:id="45"/>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中小企业声明函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（2）如本项目（包）专门面向中小/小微企业采购，须提供《中小企业声明函》，申明函格式不得修改，否则不得享受相关中小企业扶持政策。投标人根据项目属性选择申明函格式。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（4）其他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项目名称”部分标明联合体中中小企业承担的具体内容或者中小企业的具体分包内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3）对于多标的的采购项目，投标人应充分、准确地了解所投产品制造企业信息。对相关情况了解不清楚的，不建议填报本声明函。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22"/>
          <w:rFonts w:hint="eastAsia" w:ascii="仿宋" w:hAnsi="仿宋" w:eastAsia="仿宋" w:cs="仿宋"/>
          <w:i w:val="0"/>
          <w:iCs w:val="0"/>
          <w:caps w:val="0"/>
          <w:color w:val="000000"/>
          <w:spacing w:val="0"/>
          <w:sz w:val="32"/>
          <w:szCs w:val="32"/>
          <w:highlight w:val="none"/>
        </w:rPr>
        <w:t>中小企业声明函</w:t>
      </w:r>
      <w:r>
        <w:rPr>
          <w:rStyle w:val="22"/>
          <w:rFonts w:hint="eastAsia" w:ascii="仿宋" w:hAnsi="仿宋" w:eastAsia="仿宋" w:cs="仿宋"/>
          <w:i w:val="0"/>
          <w:iCs w:val="0"/>
          <w:caps w:val="0"/>
          <w:color w:val="000000"/>
          <w:spacing w:val="0"/>
          <w:sz w:val="32"/>
          <w:szCs w:val="32"/>
          <w:highlight w:val="none"/>
          <w:lang w:eastAsia="zh-CN"/>
        </w:rPr>
        <w:t>（</w:t>
      </w:r>
      <w:r>
        <w:rPr>
          <w:rStyle w:val="22"/>
          <w:rFonts w:hint="eastAsia" w:ascii="仿宋" w:hAnsi="仿宋" w:eastAsia="仿宋" w:cs="仿宋"/>
          <w:i w:val="0"/>
          <w:iCs w:val="0"/>
          <w:caps w:val="0"/>
          <w:color w:val="000000"/>
          <w:spacing w:val="0"/>
          <w:sz w:val="32"/>
          <w:szCs w:val="32"/>
          <w:highlight w:val="none"/>
        </w:rPr>
        <w:t>货物</w:t>
      </w:r>
      <w:r>
        <w:rPr>
          <w:rStyle w:val="22"/>
          <w:rFonts w:hint="eastAsia" w:ascii="仿宋" w:hAnsi="仿宋" w:eastAsia="仿宋" w:cs="仿宋"/>
          <w:i w:val="0"/>
          <w:iCs w:val="0"/>
          <w:caps w:val="0"/>
          <w:color w:val="000000"/>
          <w:spacing w:val="0"/>
          <w:sz w:val="32"/>
          <w:szCs w:val="32"/>
          <w:highlight w:val="none"/>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企业名称（盖章）：</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2-2 拟分包情况说明及分包意向协议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拟分包情况说明</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我单位参加贵单位组织采购的项目编号为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color w:val="000000"/>
          <w:kern w:val="0"/>
          <w:sz w:val="24"/>
          <w:szCs w:val="24"/>
          <w:highlight w:val="none"/>
          <w:u w:val="single"/>
          <w:lang w:val="en-US" w:eastAsia="zh-CN" w:bidi="ar"/>
        </w:rPr>
        <w:t xml:space="preserve"> （填写采购项目名称）  </w:t>
      </w:r>
      <w:r>
        <w:rPr>
          <w:rFonts w:hint="eastAsia" w:ascii="仿宋" w:hAnsi="仿宋" w:eastAsia="仿宋" w:cs="仿宋"/>
          <w:color w:val="000000"/>
          <w:kern w:val="0"/>
          <w:sz w:val="24"/>
          <w:szCs w:val="24"/>
          <w:highlight w:val="none"/>
          <w:lang w:val="en-US" w:eastAsia="zh-CN" w:bidi="ar"/>
        </w:rPr>
        <w:t>项目中</w:t>
      </w:r>
      <w:r>
        <w:rPr>
          <w:rFonts w:hint="eastAsia" w:ascii="仿宋" w:hAnsi="仿宋" w:eastAsia="仿宋" w:cs="仿宋"/>
          <w:color w:val="000000"/>
          <w:kern w:val="0"/>
          <w:sz w:val="24"/>
          <w:szCs w:val="24"/>
          <w:highlight w:val="none"/>
          <w:u w:val="single"/>
          <w:lang w:val="en-US" w:eastAsia="zh-CN" w:bidi="ar"/>
        </w:rPr>
        <w:t xml:space="preserve"> （填写包号） </w:t>
      </w:r>
      <w:r>
        <w:rPr>
          <w:rFonts w:hint="eastAsia" w:ascii="仿宋" w:hAnsi="仿宋" w:eastAsia="仿宋" w:cs="仿宋"/>
          <w:color w:val="000000"/>
          <w:kern w:val="0"/>
          <w:sz w:val="24"/>
          <w:szCs w:val="24"/>
          <w:highlight w:val="none"/>
          <w:lang w:val="en-US" w:eastAsia="zh-CN" w:bidi="ar"/>
        </w:rPr>
        <w:t xml:space="preserve">包的投标。拟签订分包合同的单位情况如下表所示，我单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序号</w:t>
            </w:r>
          </w:p>
        </w:tc>
        <w:tc>
          <w:tcPr>
            <w:tcW w:w="132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分包承担</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主体名称</w:t>
            </w:r>
          </w:p>
        </w:tc>
        <w:tc>
          <w:tcPr>
            <w:tcW w:w="133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分包承担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主体类型</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（勾选）</w:t>
            </w:r>
          </w:p>
        </w:tc>
        <w:tc>
          <w:tcPr>
            <w:tcW w:w="112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资质等级</w:t>
            </w:r>
          </w:p>
        </w:tc>
        <w:tc>
          <w:tcPr>
            <w:tcW w:w="115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合同内容</w:t>
            </w:r>
          </w:p>
        </w:tc>
        <w:tc>
          <w:tcPr>
            <w:tcW w:w="14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合同金额</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（人民币元）</w:t>
            </w:r>
          </w:p>
        </w:tc>
        <w:tc>
          <w:tcPr>
            <w:tcW w:w="142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预算金额的</w:t>
            </w:r>
            <w:r>
              <w:rPr>
                <w:rFonts w:hint="eastAsia" w:ascii="仿宋" w:hAnsi="仿宋" w:eastAsia="仿宋" w:cs="仿宋"/>
                <w:color w:val="000000"/>
                <w:kern w:val="0"/>
                <w:sz w:val="21"/>
                <w:szCs w:val="21"/>
                <w:highlight w:val="none"/>
                <w:lang w:val="en-US" w:eastAsia="zh-CN"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1</w:t>
            </w:r>
          </w:p>
        </w:tc>
        <w:tc>
          <w:tcPr>
            <w:tcW w:w="13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2</w:t>
            </w:r>
          </w:p>
        </w:tc>
        <w:tc>
          <w:tcPr>
            <w:tcW w:w="13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11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w:t>
            </w:r>
          </w:p>
        </w:tc>
        <w:tc>
          <w:tcPr>
            <w:tcW w:w="13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38"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2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5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3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合计</w:t>
            </w:r>
          </w:p>
        </w:tc>
        <w:tc>
          <w:tcPr>
            <w:tcW w:w="143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2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u w:val="single"/>
          <w:lang w:val="en-US"/>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本表仅在投标人“为落实政府采购政策”而向中小企业分包时填写。</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（3）投标人与上述拟分包承担主体签署的《分包意向协议》后附。</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000000"/>
          <w:kern w:val="0"/>
          <w:sz w:val="24"/>
          <w:szCs w:val="24"/>
          <w:highlight w:val="none"/>
          <w:lang w:val="en-US" w:eastAsia="zh-CN" w:bidi="ar"/>
        </w:rPr>
        <w:t xml:space="preserve">附：分包意向协议（参考格式）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甲方（投标人）：</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乙方（拟分包单位）：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甲方承诺，一旦在</w:t>
      </w:r>
      <w:r>
        <w:rPr>
          <w:rFonts w:hint="eastAsia" w:ascii="仿宋" w:hAnsi="仿宋" w:eastAsia="仿宋" w:cs="仿宋"/>
          <w:color w:val="000000"/>
          <w:kern w:val="0"/>
          <w:sz w:val="24"/>
          <w:szCs w:val="24"/>
          <w:highlight w:val="none"/>
          <w:u w:val="single"/>
          <w:lang w:val="en-US" w:eastAsia="zh-CN" w:bidi="ar"/>
        </w:rPr>
        <w:t xml:space="preserve">（采购项目名称）（项目编号/包号为：     </w:t>
      </w:r>
      <w:r>
        <w:rPr>
          <w:rFonts w:hint="eastAsia" w:ascii="仿宋" w:hAnsi="仿宋" w:eastAsia="仿宋" w:cs="仿宋"/>
          <w:color w:val="000000"/>
          <w:kern w:val="0"/>
          <w:sz w:val="24"/>
          <w:szCs w:val="24"/>
          <w:highlight w:val="none"/>
          <w:lang w:val="en-US" w:eastAsia="zh-CN" w:bidi="ar"/>
        </w:rPr>
        <w:t xml:space="preserve">）招标采购项目中获得采购合同，将按照下述约定将合同项下部分内容分包给乙方：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6" w:name="_Toc22054"/>
      <w:r>
        <w:rPr>
          <w:rFonts w:hint="eastAsia" w:ascii="仿宋" w:hAnsi="仿宋" w:eastAsia="仿宋" w:cs="仿宋"/>
          <w:color w:val="000000"/>
          <w:kern w:val="0"/>
          <w:sz w:val="24"/>
          <w:szCs w:val="24"/>
          <w:highlight w:val="none"/>
          <w:lang w:val="en-US" w:eastAsia="zh-CN" w:bidi="ar"/>
        </w:rPr>
        <w:t>1.分包内容：</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6"/>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2.分包金额：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，该金额占该采购包预算总金额的比例为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乙方承诺将在上述情况下与甲方签订分包合同。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本协议自各方盖章之日起生效，如甲方未在该项目（采购包）中标，本协议自动终止。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乙方（盖章）：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说明：投标人须与所有拟分包单位分别签订《分包意向协议》，每单位签订一份，并在投标文件中提交全部协议原件，否则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2-3 其它落实政府采购政策的资格要求（如有）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  本项目的特定资格要求（如有）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4  投标保证金凭证/交款单据电子件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5  投标书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投标书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（项目名称，项目编号/包号）</w:t>
      </w:r>
      <w:r>
        <w:rPr>
          <w:rFonts w:hint="eastAsia" w:ascii="仿宋" w:hAnsi="仿宋" w:eastAsia="仿宋" w:cs="仿宋"/>
          <w:color w:val="000000"/>
          <w:kern w:val="0"/>
          <w:sz w:val="24"/>
          <w:szCs w:val="24"/>
          <w:highlight w:val="none"/>
          <w:lang w:val="en-US" w:eastAsia="zh-CN" w:bidi="ar"/>
        </w:rPr>
        <w:t xml:space="preserve">组织的招标活动，并对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此项目进行投标。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7"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47"/>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8"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8"/>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投标人名称（加盖公章）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49" w:name="_Toc6076"/>
      <w:r>
        <w:rPr>
          <w:rFonts w:hint="eastAsia" w:ascii="仿宋" w:hAnsi="仿宋" w:eastAsia="仿宋" w:cs="仿宋"/>
          <w:color w:val="000000"/>
          <w:kern w:val="0"/>
          <w:sz w:val="24"/>
          <w:szCs w:val="24"/>
          <w:highlight w:val="none"/>
          <w:lang w:val="en-US" w:eastAsia="zh-CN" w:bidi="ar"/>
        </w:rPr>
        <w:t>6  授权委托书</w:t>
      </w:r>
      <w:bookmarkEnd w:id="49"/>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法定代表人（单位负责人）（签字、签章或印鉴）：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委托代理人（签字/签章）：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highlight w:val="none"/>
        </w:rPr>
      </w:pPr>
      <w:bookmarkStart w:id="50" w:name="_Toc18807"/>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50"/>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投标人名称（加盖公章）：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法定代表人（单位负责人）（签字、签章或印鉴）：</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outlineLvl w:val="1"/>
        <w:rPr>
          <w:rFonts w:hint="eastAsia" w:ascii="仿宋" w:hAnsi="仿宋" w:eastAsia="仿宋" w:cs="仿宋"/>
          <w:sz w:val="24"/>
          <w:szCs w:val="24"/>
          <w:highlight w:val="none"/>
          <w:lang w:val="en-US" w:eastAsia="zh-CN"/>
        </w:rPr>
      </w:pPr>
      <w:bookmarkStart w:id="51" w:name="_Toc23107"/>
      <w:r>
        <w:rPr>
          <w:rFonts w:hint="eastAsia" w:ascii="仿宋" w:hAnsi="仿宋" w:eastAsia="仿宋" w:cs="仿宋"/>
          <w:sz w:val="24"/>
          <w:szCs w:val="24"/>
          <w:highlight w:val="none"/>
          <w:lang w:val="en-US" w:eastAsia="zh-CN"/>
        </w:rPr>
        <w:t>7  开标一览表</w:t>
      </w:r>
      <w:bookmarkEnd w:id="51"/>
    </w:p>
    <w:p>
      <w:pPr>
        <w:rPr>
          <w:rFonts w:hint="eastAsia" w:ascii="仿宋" w:hAnsi="仿宋" w:eastAsia="仿宋" w:cs="仿宋"/>
          <w:highlight w:val="none"/>
          <w:lang w:val="en-US" w:eastAsia="zh-CN"/>
        </w:rPr>
      </w:pPr>
    </w:p>
    <w:p>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pPr>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项目名称：</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包号：</w:t>
      </w:r>
      <w:r>
        <w:rPr>
          <w:rFonts w:hint="eastAsia" w:ascii="仿宋" w:hAnsi="仿宋" w:eastAsia="仿宋" w:cs="仿宋"/>
          <w:highlight w:val="none"/>
          <w:u w:val="single"/>
          <w:lang w:val="en-US" w:eastAsia="zh-CN"/>
        </w:rPr>
        <w:t xml:space="preserve">               </w:t>
      </w:r>
    </w:p>
    <w:tbl>
      <w:tblPr>
        <w:tblStyle w:val="19"/>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1561"/>
        <w:gridCol w:w="2269"/>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品目名称</w:t>
            </w:r>
          </w:p>
        </w:tc>
        <w:tc>
          <w:tcPr>
            <w:tcW w:w="1561" w:type="dxa"/>
            <w:tcBorders>
              <w:left w:val="single" w:color="000000" w:sz="6" w:space="0"/>
              <w:bottom w:val="single" w:color="000000" w:sz="6" w:space="0"/>
              <w:right w:val="single" w:color="000000" w:sz="6"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投标报价</w:t>
            </w:r>
          </w:p>
        </w:tc>
        <w:tc>
          <w:tcPr>
            <w:tcW w:w="2269" w:type="dxa"/>
            <w:tcBorders>
              <w:left w:val="single" w:color="000000" w:sz="6" w:space="0"/>
              <w:bottom w:val="single" w:color="000000" w:sz="6" w:space="0"/>
              <w:right w:val="single" w:color="000000" w:sz="6"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付款方式</w:t>
            </w:r>
          </w:p>
        </w:tc>
        <w:tc>
          <w:tcPr>
            <w:tcW w:w="1703" w:type="dxa"/>
            <w:tcBorders>
              <w:left w:val="single" w:color="000000" w:sz="6" w:space="0"/>
              <w:bottom w:val="single" w:color="000000" w:sz="6" w:space="0"/>
              <w:right w:val="single" w:color="000000" w:sz="6"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合同履约期限</w:t>
            </w:r>
          </w:p>
        </w:tc>
        <w:tc>
          <w:tcPr>
            <w:tcW w:w="1393" w:type="dxa"/>
            <w:tcBorders>
              <w:left w:val="single" w:color="000000" w:sz="6" w:space="0"/>
              <w:bottom w:val="single" w:color="000000" w:sz="6" w:space="0"/>
            </w:tcBorders>
            <w:vAlign w:val="center"/>
          </w:tcPr>
          <w:p>
            <w:pPr>
              <w:pStyle w:val="26"/>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交货地点</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80" w:hRule="atLeast"/>
          <w:jc w:val="center"/>
        </w:trPr>
        <w:tc>
          <w:tcPr>
            <w:tcW w:w="2149" w:type="dxa"/>
            <w:tcBorders>
              <w:top w:val="single" w:color="000000" w:sz="6" w:space="0"/>
              <w:bottom w:val="single" w:color="000000" w:sz="6" w:space="0"/>
              <w:right w:val="single" w:color="000000" w:sz="6" w:space="0"/>
            </w:tcBorders>
            <w:vAlign w:val="center"/>
          </w:tcPr>
          <w:p>
            <w:pPr>
              <w:widowControl/>
              <w:jc w:val="center"/>
              <w:rPr>
                <w:rFonts w:hint="default"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1-5项</w:t>
            </w:r>
          </w:p>
        </w:tc>
        <w:tc>
          <w:tcPr>
            <w:tcW w:w="1561" w:type="dxa"/>
            <w:tcBorders>
              <w:top w:val="single" w:color="000000" w:sz="6" w:space="0"/>
              <w:left w:val="single" w:color="000000" w:sz="6" w:space="0"/>
              <w:bottom w:val="single" w:color="000000" w:sz="6" w:space="0"/>
              <w:right w:val="single" w:color="000000" w:sz="6" w:space="0"/>
            </w:tcBorders>
            <w:vAlign w:val="center"/>
          </w:tcPr>
          <w:p>
            <w:pPr>
              <w:pStyle w:val="26"/>
              <w:jc w:val="both"/>
              <w:rPr>
                <w:rFonts w:hint="eastAsia" w:ascii="仿宋" w:hAnsi="仿宋" w:eastAsia="仿宋" w:cs="仿宋"/>
                <w:sz w:val="21"/>
                <w:szCs w:val="21"/>
                <w:highlight w:val="none"/>
                <w:lang w:val="en-US" w:eastAsia="zh-CN"/>
              </w:rPr>
            </w:pPr>
            <w:r>
              <w:rPr>
                <w:rFonts w:hint="eastAsia" w:ascii="仿宋" w:hAnsi="仿宋" w:eastAsia="仿宋" w:cs="仿宋"/>
                <w:spacing w:val="-3"/>
                <w:sz w:val="21"/>
                <w:szCs w:val="21"/>
                <w:highlight w:val="none"/>
                <w:lang w:val="en-US" w:eastAsia="zh-CN"/>
              </w:rPr>
              <w:t>下浮率：</w:t>
            </w:r>
            <w:r>
              <w:rPr>
                <w:rFonts w:hint="eastAsia" w:ascii="仿宋" w:hAnsi="仿宋" w:eastAsia="仿宋" w:cs="仿宋"/>
                <w:spacing w:val="-3"/>
                <w:sz w:val="21"/>
                <w:szCs w:val="21"/>
                <w:highlight w:val="none"/>
                <w:u w:val="single"/>
                <w:lang w:val="en-US" w:eastAsia="zh-CN"/>
              </w:rPr>
              <w:t xml:space="preserve">   </w:t>
            </w:r>
            <w:r>
              <w:rPr>
                <w:rFonts w:hint="eastAsia" w:ascii="仿宋" w:hAnsi="仿宋" w:eastAsia="仿宋" w:cs="仿宋"/>
                <w:spacing w:val="-3"/>
                <w:sz w:val="21"/>
                <w:szCs w:val="21"/>
                <w:highlight w:val="none"/>
                <w:lang w:val="en-US" w:eastAsia="zh-CN"/>
              </w:rPr>
              <w:t xml:space="preserve"> %</w:t>
            </w:r>
          </w:p>
        </w:tc>
        <w:tc>
          <w:tcPr>
            <w:tcW w:w="2269"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8"/>
              <w:jc w:val="both"/>
              <w:rPr>
                <w:rFonts w:hint="eastAsia" w:ascii="仿宋" w:hAnsi="仿宋" w:eastAsia="仿宋" w:cs="仿宋"/>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620" w:right="608"/>
              <w:jc w:val="both"/>
              <w:rPr>
                <w:rFonts w:hint="eastAsia" w:ascii="仿宋" w:hAnsi="仿宋" w:eastAsia="仿宋" w:cs="仿宋"/>
                <w:sz w:val="21"/>
                <w:szCs w:val="21"/>
                <w:highlight w:val="none"/>
              </w:rPr>
            </w:pPr>
          </w:p>
        </w:tc>
        <w:tc>
          <w:tcPr>
            <w:tcW w:w="1393" w:type="dxa"/>
            <w:tcBorders>
              <w:top w:val="single" w:color="000000" w:sz="6" w:space="0"/>
              <w:left w:val="single" w:color="000000" w:sz="6" w:space="0"/>
              <w:bottom w:val="single" w:color="000000" w:sz="6" w:space="0"/>
            </w:tcBorders>
            <w:vAlign w:val="center"/>
          </w:tcPr>
          <w:p>
            <w:pPr>
              <w:pStyle w:val="26"/>
              <w:jc w:val="both"/>
              <w:rPr>
                <w:rFonts w:hint="eastAsia" w:ascii="仿宋" w:hAnsi="仿宋" w:eastAsia="仿宋" w:cs="仿宋"/>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80" w:hRule="atLeast"/>
          <w:jc w:val="center"/>
        </w:trPr>
        <w:tc>
          <w:tcPr>
            <w:tcW w:w="2149" w:type="dxa"/>
            <w:tcBorders>
              <w:top w:val="single" w:color="000000" w:sz="6" w:space="0"/>
              <w:bottom w:val="single" w:color="000000" w:sz="6" w:space="0"/>
              <w:right w:val="single" w:color="000000" w:sz="6" w:space="0"/>
            </w:tcBorders>
            <w:vAlign w:val="center"/>
          </w:tcPr>
          <w:p>
            <w:pPr>
              <w:widowControl/>
              <w:jc w:val="center"/>
              <w:rPr>
                <w:rFonts w:hint="eastAsia" w:ascii="仿宋" w:hAnsi="仿宋" w:eastAsia="仿宋" w:cs="仿宋"/>
                <w:sz w:val="21"/>
                <w:szCs w:val="21"/>
                <w:highlight w:val="none"/>
                <w:lang w:val="en-US" w:eastAsia="zh-CN"/>
              </w:rPr>
            </w:pPr>
            <w:r>
              <w:rPr>
                <w:rFonts w:hint="eastAsia" w:ascii="仿宋" w:hAnsi="仿宋" w:eastAsia="仿宋" w:cs="仿宋"/>
                <w:kern w:val="0"/>
                <w:sz w:val="22"/>
                <w:szCs w:val="22"/>
                <w:highlight w:val="none"/>
                <w:lang w:val="en-US" w:eastAsia="zh-CN"/>
              </w:rPr>
              <w:t>猪肉辅助类（6-23项合计）</w:t>
            </w:r>
          </w:p>
        </w:tc>
        <w:tc>
          <w:tcPr>
            <w:tcW w:w="1561" w:type="dxa"/>
            <w:tcBorders>
              <w:top w:val="single" w:color="000000" w:sz="6" w:space="0"/>
              <w:left w:val="single" w:color="000000" w:sz="6" w:space="0"/>
              <w:bottom w:val="single" w:color="000000" w:sz="6" w:space="0"/>
              <w:right w:val="single" w:color="000000" w:sz="6" w:space="0"/>
            </w:tcBorders>
            <w:vAlign w:val="center"/>
          </w:tcPr>
          <w:p>
            <w:pPr>
              <w:pStyle w:val="26"/>
              <w:jc w:val="both"/>
              <w:rPr>
                <w:rFonts w:hint="eastAsia" w:ascii="仿宋" w:hAnsi="仿宋" w:eastAsia="仿宋" w:cs="仿宋"/>
                <w:spacing w:val="-3"/>
                <w:sz w:val="21"/>
                <w:szCs w:val="21"/>
                <w:highlight w:val="none"/>
                <w:lang w:val="en-US" w:eastAsia="zh-CN"/>
              </w:rPr>
            </w:pPr>
            <w:r>
              <w:rPr>
                <w:rFonts w:hint="eastAsia" w:ascii="仿宋" w:hAnsi="仿宋" w:eastAsia="仿宋" w:cs="仿宋"/>
                <w:spacing w:val="-3"/>
                <w:sz w:val="21"/>
                <w:szCs w:val="21"/>
                <w:highlight w:val="none"/>
                <w:lang w:val="en-US" w:eastAsia="zh-CN"/>
              </w:rPr>
              <w:t xml:space="preserve">   </w:t>
            </w:r>
            <w:r>
              <w:rPr>
                <w:rFonts w:hint="eastAsia" w:ascii="仿宋" w:hAnsi="仿宋" w:eastAsia="仿宋" w:cs="仿宋"/>
                <w:spacing w:val="-3"/>
                <w:sz w:val="21"/>
                <w:szCs w:val="21"/>
                <w:highlight w:val="none"/>
                <w:u w:val="single"/>
                <w:lang w:val="en-US" w:eastAsia="zh-CN"/>
              </w:rPr>
              <w:t xml:space="preserve">    </w:t>
            </w:r>
            <w:r>
              <w:rPr>
                <w:rFonts w:hint="eastAsia" w:ascii="仿宋" w:hAnsi="仿宋" w:eastAsia="仿宋" w:cs="仿宋"/>
                <w:spacing w:val="-3"/>
                <w:sz w:val="21"/>
                <w:szCs w:val="21"/>
                <w:highlight w:val="none"/>
                <w:lang w:val="en-US" w:eastAsia="zh-CN"/>
              </w:rPr>
              <w:t xml:space="preserve"> 元（单价合计）</w:t>
            </w:r>
          </w:p>
        </w:tc>
        <w:tc>
          <w:tcPr>
            <w:tcW w:w="2269"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8"/>
              <w:jc w:val="both"/>
              <w:rPr>
                <w:rFonts w:hint="eastAsia" w:ascii="仿宋" w:hAnsi="仿宋" w:eastAsia="仿宋" w:cs="仿宋"/>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620" w:right="608"/>
              <w:jc w:val="both"/>
              <w:rPr>
                <w:rFonts w:hint="eastAsia" w:ascii="仿宋" w:hAnsi="仿宋" w:eastAsia="仿宋" w:cs="仿宋"/>
                <w:sz w:val="21"/>
                <w:szCs w:val="21"/>
                <w:highlight w:val="none"/>
              </w:rPr>
            </w:pPr>
          </w:p>
        </w:tc>
        <w:tc>
          <w:tcPr>
            <w:tcW w:w="1393" w:type="dxa"/>
            <w:tcBorders>
              <w:top w:val="single" w:color="000000" w:sz="6" w:space="0"/>
              <w:left w:val="single" w:color="000000" w:sz="6" w:space="0"/>
              <w:bottom w:val="single" w:color="000000" w:sz="6" w:space="0"/>
            </w:tcBorders>
            <w:vAlign w:val="center"/>
          </w:tcPr>
          <w:p>
            <w:pPr>
              <w:pStyle w:val="26"/>
              <w:jc w:val="both"/>
              <w:rPr>
                <w:rFonts w:hint="eastAsia" w:ascii="仿宋" w:hAnsi="仿宋" w:eastAsia="仿宋" w:cs="仿宋"/>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80" w:hRule="atLeast"/>
          <w:jc w:val="center"/>
        </w:trPr>
        <w:tc>
          <w:tcPr>
            <w:tcW w:w="2149" w:type="dxa"/>
            <w:tcBorders>
              <w:top w:val="single" w:color="000000" w:sz="6" w:space="0"/>
              <w:bottom w:val="single" w:color="000000" w:sz="6" w:space="0"/>
              <w:right w:val="single" w:color="000000" w:sz="6" w:space="0"/>
            </w:tcBorders>
            <w:vAlign w:val="center"/>
          </w:tcPr>
          <w:p>
            <w:pPr>
              <w:widowControl/>
              <w:jc w:val="center"/>
              <w:rPr>
                <w:rFonts w:hint="eastAsia" w:ascii="仿宋" w:hAnsi="仿宋" w:eastAsia="仿宋" w:cs="仿宋"/>
                <w:sz w:val="21"/>
                <w:szCs w:val="21"/>
                <w:highlight w:val="none"/>
                <w:lang w:val="en-US" w:eastAsia="zh-CN"/>
              </w:rPr>
            </w:pPr>
          </w:p>
        </w:tc>
        <w:tc>
          <w:tcPr>
            <w:tcW w:w="1561" w:type="dxa"/>
            <w:tcBorders>
              <w:top w:val="single" w:color="000000" w:sz="6" w:space="0"/>
              <w:left w:val="single" w:color="000000" w:sz="6" w:space="0"/>
              <w:bottom w:val="single" w:color="000000" w:sz="6" w:space="0"/>
              <w:right w:val="single" w:color="000000" w:sz="6" w:space="0"/>
            </w:tcBorders>
            <w:vAlign w:val="center"/>
          </w:tcPr>
          <w:p>
            <w:pPr>
              <w:pStyle w:val="26"/>
              <w:jc w:val="both"/>
              <w:rPr>
                <w:rFonts w:hint="eastAsia" w:ascii="仿宋" w:hAnsi="仿宋" w:eastAsia="仿宋" w:cs="仿宋"/>
                <w:spacing w:val="-3"/>
                <w:sz w:val="21"/>
                <w:szCs w:val="21"/>
                <w:highlight w:val="none"/>
                <w:lang w:val="en-US" w:eastAsia="zh-CN"/>
              </w:rPr>
            </w:pPr>
          </w:p>
        </w:tc>
        <w:tc>
          <w:tcPr>
            <w:tcW w:w="2269"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8"/>
              <w:jc w:val="both"/>
              <w:rPr>
                <w:rFonts w:hint="eastAsia" w:ascii="仿宋" w:hAnsi="仿宋" w:eastAsia="仿宋" w:cs="仿宋"/>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620" w:right="608"/>
              <w:jc w:val="both"/>
              <w:rPr>
                <w:rFonts w:hint="eastAsia" w:ascii="仿宋" w:hAnsi="仿宋" w:eastAsia="仿宋" w:cs="仿宋"/>
                <w:sz w:val="21"/>
                <w:szCs w:val="21"/>
                <w:highlight w:val="none"/>
              </w:rPr>
            </w:pPr>
          </w:p>
        </w:tc>
        <w:tc>
          <w:tcPr>
            <w:tcW w:w="1393" w:type="dxa"/>
            <w:tcBorders>
              <w:top w:val="single" w:color="000000" w:sz="6" w:space="0"/>
              <w:left w:val="single" w:color="000000" w:sz="6" w:space="0"/>
              <w:bottom w:val="single" w:color="000000" w:sz="6" w:space="0"/>
            </w:tcBorders>
            <w:vAlign w:val="center"/>
          </w:tcPr>
          <w:p>
            <w:pPr>
              <w:pStyle w:val="26"/>
              <w:jc w:val="both"/>
              <w:rPr>
                <w:rFonts w:hint="eastAsia" w:ascii="仿宋" w:hAnsi="仿宋" w:eastAsia="仿宋" w:cs="仿宋"/>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80" w:hRule="atLeast"/>
          <w:jc w:val="center"/>
        </w:trPr>
        <w:tc>
          <w:tcPr>
            <w:tcW w:w="2149" w:type="dxa"/>
            <w:tcBorders>
              <w:top w:val="single" w:color="000000" w:sz="6" w:space="0"/>
              <w:bottom w:val="single" w:color="000000" w:sz="6" w:space="0"/>
              <w:right w:val="single" w:color="000000" w:sz="6" w:space="0"/>
            </w:tcBorders>
            <w:vAlign w:val="center"/>
          </w:tcPr>
          <w:p>
            <w:pPr>
              <w:widowControl/>
              <w:jc w:val="center"/>
              <w:rPr>
                <w:rFonts w:hint="eastAsia" w:ascii="仿宋" w:hAnsi="仿宋" w:eastAsia="仿宋" w:cs="仿宋"/>
                <w:sz w:val="21"/>
                <w:szCs w:val="21"/>
                <w:highlight w:val="none"/>
                <w:lang w:val="en-US" w:eastAsia="zh-CN"/>
              </w:rPr>
            </w:pPr>
          </w:p>
        </w:tc>
        <w:tc>
          <w:tcPr>
            <w:tcW w:w="1561" w:type="dxa"/>
            <w:tcBorders>
              <w:top w:val="single" w:color="000000" w:sz="6" w:space="0"/>
              <w:left w:val="single" w:color="000000" w:sz="6" w:space="0"/>
              <w:bottom w:val="single" w:color="000000" w:sz="6" w:space="0"/>
              <w:right w:val="single" w:color="000000" w:sz="6" w:space="0"/>
            </w:tcBorders>
            <w:vAlign w:val="center"/>
          </w:tcPr>
          <w:p>
            <w:pPr>
              <w:pStyle w:val="26"/>
              <w:jc w:val="both"/>
              <w:rPr>
                <w:rFonts w:hint="eastAsia" w:ascii="仿宋" w:hAnsi="仿宋" w:eastAsia="仿宋" w:cs="仿宋"/>
                <w:spacing w:val="-3"/>
                <w:sz w:val="21"/>
                <w:szCs w:val="21"/>
                <w:highlight w:val="none"/>
                <w:lang w:val="en-US" w:eastAsia="zh-CN"/>
              </w:rPr>
            </w:pPr>
          </w:p>
        </w:tc>
        <w:tc>
          <w:tcPr>
            <w:tcW w:w="2269"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8"/>
              <w:jc w:val="both"/>
              <w:rPr>
                <w:rFonts w:hint="eastAsia" w:ascii="仿宋" w:hAnsi="仿宋" w:eastAsia="仿宋" w:cs="仿宋"/>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620" w:right="608"/>
              <w:jc w:val="both"/>
              <w:rPr>
                <w:rFonts w:hint="eastAsia" w:ascii="仿宋" w:hAnsi="仿宋" w:eastAsia="仿宋" w:cs="仿宋"/>
                <w:sz w:val="21"/>
                <w:szCs w:val="21"/>
                <w:highlight w:val="none"/>
              </w:rPr>
            </w:pPr>
          </w:p>
        </w:tc>
        <w:tc>
          <w:tcPr>
            <w:tcW w:w="1393" w:type="dxa"/>
            <w:tcBorders>
              <w:top w:val="single" w:color="000000" w:sz="6" w:space="0"/>
              <w:left w:val="single" w:color="000000" w:sz="6" w:space="0"/>
              <w:bottom w:val="single" w:color="000000" w:sz="6" w:space="0"/>
            </w:tcBorders>
            <w:vAlign w:val="center"/>
          </w:tcPr>
          <w:p>
            <w:pPr>
              <w:pStyle w:val="26"/>
              <w:jc w:val="both"/>
              <w:rPr>
                <w:rFonts w:hint="eastAsia" w:ascii="仿宋" w:hAnsi="仿宋" w:eastAsia="仿宋" w:cs="仿宋"/>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80" w:hRule="atLeast"/>
          <w:jc w:val="center"/>
        </w:trPr>
        <w:tc>
          <w:tcPr>
            <w:tcW w:w="2149" w:type="dxa"/>
            <w:tcBorders>
              <w:top w:val="single" w:color="000000" w:sz="6" w:space="0"/>
              <w:bottom w:val="single" w:color="000000" w:sz="6" w:space="0"/>
              <w:right w:val="single" w:color="000000" w:sz="6" w:space="0"/>
            </w:tcBorders>
            <w:vAlign w:val="center"/>
          </w:tcPr>
          <w:p>
            <w:pPr>
              <w:pStyle w:val="26"/>
              <w:spacing w:before="99" w:line="244" w:lineRule="auto"/>
              <w:ind w:left="92" w:right="130"/>
              <w:jc w:val="both"/>
              <w:rPr>
                <w:rFonts w:hint="eastAsia" w:ascii="仿宋" w:hAnsi="仿宋" w:eastAsia="仿宋" w:cs="仿宋"/>
                <w:sz w:val="21"/>
                <w:szCs w:val="21"/>
                <w:highlight w:val="none"/>
                <w:lang w:val="en-US" w:eastAsia="zh-CN"/>
              </w:rPr>
            </w:pPr>
          </w:p>
        </w:tc>
        <w:tc>
          <w:tcPr>
            <w:tcW w:w="1561" w:type="dxa"/>
            <w:tcBorders>
              <w:top w:val="single" w:color="000000" w:sz="6" w:space="0"/>
              <w:left w:val="single" w:color="000000" w:sz="6" w:space="0"/>
              <w:bottom w:val="single" w:color="000000" w:sz="6" w:space="0"/>
              <w:right w:val="single" w:color="000000" w:sz="6" w:space="0"/>
            </w:tcBorders>
            <w:vAlign w:val="center"/>
          </w:tcPr>
          <w:p>
            <w:pPr>
              <w:pStyle w:val="26"/>
              <w:jc w:val="both"/>
              <w:rPr>
                <w:rFonts w:hint="eastAsia" w:ascii="仿宋" w:hAnsi="仿宋" w:eastAsia="仿宋" w:cs="仿宋"/>
                <w:spacing w:val="-3"/>
                <w:sz w:val="21"/>
                <w:szCs w:val="21"/>
                <w:highlight w:val="none"/>
                <w:lang w:val="en-US" w:eastAsia="zh-CN"/>
              </w:rPr>
            </w:pPr>
          </w:p>
        </w:tc>
        <w:tc>
          <w:tcPr>
            <w:tcW w:w="2269"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8"/>
              <w:jc w:val="both"/>
              <w:rPr>
                <w:rFonts w:hint="eastAsia" w:ascii="仿宋" w:hAnsi="仿宋" w:eastAsia="仿宋" w:cs="仿宋"/>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620" w:right="608"/>
              <w:jc w:val="both"/>
              <w:rPr>
                <w:rFonts w:hint="eastAsia" w:ascii="仿宋" w:hAnsi="仿宋" w:eastAsia="仿宋" w:cs="仿宋"/>
                <w:sz w:val="21"/>
                <w:szCs w:val="21"/>
                <w:highlight w:val="none"/>
              </w:rPr>
            </w:pPr>
          </w:p>
        </w:tc>
        <w:tc>
          <w:tcPr>
            <w:tcW w:w="1393" w:type="dxa"/>
            <w:tcBorders>
              <w:top w:val="single" w:color="000000" w:sz="6" w:space="0"/>
              <w:left w:val="single" w:color="000000" w:sz="6" w:space="0"/>
              <w:bottom w:val="single" w:color="000000" w:sz="6" w:space="0"/>
            </w:tcBorders>
            <w:vAlign w:val="center"/>
          </w:tcPr>
          <w:p>
            <w:pPr>
              <w:pStyle w:val="26"/>
              <w:jc w:val="both"/>
              <w:rPr>
                <w:rFonts w:hint="eastAsia" w:ascii="仿宋" w:hAnsi="仿宋" w:eastAsia="仿宋" w:cs="仿宋"/>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80" w:hRule="atLeast"/>
          <w:jc w:val="center"/>
        </w:trPr>
        <w:tc>
          <w:tcPr>
            <w:tcW w:w="2149" w:type="dxa"/>
            <w:tcBorders>
              <w:top w:val="single" w:color="000000" w:sz="6" w:space="0"/>
              <w:bottom w:val="single" w:color="000000" w:sz="6" w:space="0"/>
              <w:right w:val="single" w:color="000000" w:sz="6" w:space="0"/>
            </w:tcBorders>
            <w:vAlign w:val="center"/>
          </w:tcPr>
          <w:p>
            <w:pPr>
              <w:pStyle w:val="26"/>
              <w:spacing w:before="99" w:line="244" w:lineRule="auto"/>
              <w:ind w:left="92" w:right="130"/>
              <w:jc w:val="both"/>
              <w:rPr>
                <w:rFonts w:hint="eastAsia" w:ascii="仿宋" w:hAnsi="仿宋" w:eastAsia="仿宋" w:cs="仿宋"/>
                <w:sz w:val="21"/>
                <w:szCs w:val="21"/>
                <w:highlight w:val="none"/>
                <w:lang w:val="en-US" w:eastAsia="zh-CN"/>
              </w:rPr>
            </w:pPr>
          </w:p>
        </w:tc>
        <w:tc>
          <w:tcPr>
            <w:tcW w:w="1561" w:type="dxa"/>
            <w:tcBorders>
              <w:top w:val="single" w:color="000000" w:sz="6" w:space="0"/>
              <w:left w:val="single" w:color="000000" w:sz="6" w:space="0"/>
              <w:bottom w:val="single" w:color="000000" w:sz="6" w:space="0"/>
              <w:right w:val="single" w:color="000000" w:sz="6" w:space="0"/>
            </w:tcBorders>
            <w:vAlign w:val="center"/>
          </w:tcPr>
          <w:p>
            <w:pPr>
              <w:pStyle w:val="26"/>
              <w:jc w:val="both"/>
              <w:rPr>
                <w:rFonts w:hint="eastAsia" w:ascii="仿宋" w:hAnsi="仿宋" w:eastAsia="仿宋" w:cs="仿宋"/>
                <w:spacing w:val="-3"/>
                <w:sz w:val="21"/>
                <w:szCs w:val="21"/>
                <w:highlight w:val="none"/>
                <w:lang w:val="en-US" w:eastAsia="zh-CN"/>
              </w:rPr>
            </w:pPr>
          </w:p>
        </w:tc>
        <w:tc>
          <w:tcPr>
            <w:tcW w:w="2269"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8"/>
              <w:jc w:val="both"/>
              <w:rPr>
                <w:rFonts w:hint="eastAsia" w:ascii="仿宋" w:hAnsi="仿宋" w:eastAsia="仿宋" w:cs="仿宋"/>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vAlign w:val="center"/>
          </w:tcPr>
          <w:p>
            <w:pPr>
              <w:pStyle w:val="26"/>
              <w:spacing w:before="5"/>
              <w:ind w:left="620" w:right="608"/>
              <w:jc w:val="both"/>
              <w:rPr>
                <w:rFonts w:hint="eastAsia" w:ascii="仿宋" w:hAnsi="仿宋" w:eastAsia="仿宋" w:cs="仿宋"/>
                <w:sz w:val="21"/>
                <w:szCs w:val="21"/>
                <w:highlight w:val="none"/>
              </w:rPr>
            </w:pPr>
          </w:p>
        </w:tc>
        <w:tc>
          <w:tcPr>
            <w:tcW w:w="1393" w:type="dxa"/>
            <w:tcBorders>
              <w:top w:val="single" w:color="000000" w:sz="6" w:space="0"/>
              <w:left w:val="single" w:color="000000" w:sz="6" w:space="0"/>
              <w:bottom w:val="single" w:color="000000" w:sz="6" w:space="0"/>
            </w:tcBorders>
            <w:vAlign w:val="center"/>
          </w:tcPr>
          <w:p>
            <w:pPr>
              <w:pStyle w:val="26"/>
              <w:jc w:val="both"/>
              <w:rPr>
                <w:rFonts w:hint="eastAsia" w:ascii="仿宋" w:hAnsi="仿宋" w:eastAsia="仿宋" w:cs="仿宋"/>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6"/>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gridSpan w:val="4"/>
            <w:tcBorders>
              <w:top w:val="single" w:color="000000" w:sz="6" w:space="0"/>
              <w:left w:val="single" w:color="000000" w:sz="6" w:space="0"/>
            </w:tcBorders>
          </w:tcPr>
          <w:p>
            <w:pPr>
              <w:pStyle w:val="26"/>
              <w:tabs>
                <w:tab w:val="left" w:pos="1837"/>
                <w:tab w:val="left" w:pos="2313"/>
                <w:tab w:val="left" w:pos="4040"/>
              </w:tabs>
              <w:spacing w:before="142"/>
              <w:ind w:left="107"/>
              <w:rPr>
                <w:rFonts w:hint="eastAsia" w:ascii="仿宋" w:hAnsi="仿宋" w:eastAsia="仿宋" w:cs="仿宋"/>
                <w:sz w:val="21"/>
                <w:szCs w:val="21"/>
                <w:highlight w:val="none"/>
              </w:rPr>
            </w:pPr>
          </w:p>
        </w:tc>
      </w:tr>
    </w:tbl>
    <w:p>
      <w:pPr>
        <w:pStyle w:val="17"/>
        <w:rPr>
          <w:rFonts w:hint="eastAsia" w:ascii="仿宋" w:hAnsi="仿宋" w:eastAsia="仿宋" w:cs="仿宋"/>
          <w:highlight w:val="none"/>
          <w:lang w:val="en-US" w:eastAsia="zh-CN"/>
        </w:rPr>
      </w:pPr>
    </w:p>
    <w:p>
      <w:pPr>
        <w:pStyle w:val="17"/>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注：1.此表中，每包的投标报价应和《投标分项报价表》中的总价相一致。</w:t>
      </w:r>
    </w:p>
    <w:p>
      <w:pPr>
        <w:pStyle w:val="17"/>
        <w:outlineLvl w:val="1"/>
        <w:rPr>
          <w:rFonts w:hint="eastAsia" w:ascii="仿宋" w:hAnsi="仿宋" w:eastAsia="仿宋" w:cs="仿宋"/>
          <w:highlight w:val="none"/>
          <w:lang w:val="en-US" w:eastAsia="zh-CN"/>
        </w:rPr>
      </w:pPr>
      <w:bookmarkStart w:id="52" w:name="_Toc31128"/>
      <w:r>
        <w:rPr>
          <w:rFonts w:hint="eastAsia" w:ascii="仿宋" w:hAnsi="仿宋" w:eastAsia="仿宋" w:cs="仿宋"/>
          <w:highlight w:val="none"/>
          <w:lang w:val="en-US" w:eastAsia="zh-CN"/>
        </w:rPr>
        <w:t>2.本表必须按包分别填写。</w:t>
      </w:r>
      <w:bookmarkEnd w:id="52"/>
    </w:p>
    <w:p>
      <w:pPr>
        <w:pStyle w:val="17"/>
        <w:rPr>
          <w:rFonts w:hint="eastAsia" w:ascii="仿宋" w:hAnsi="仿宋" w:eastAsia="仿宋" w:cs="仿宋"/>
          <w:highlight w:val="none"/>
          <w:lang w:val="en-US" w:eastAsia="zh-CN"/>
        </w:rPr>
      </w:pPr>
    </w:p>
    <w:p>
      <w:pPr>
        <w:pStyle w:val="1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w:t>
      </w:r>
      <w:r>
        <w:rPr>
          <w:rFonts w:hint="eastAsia" w:ascii="仿宋" w:hAnsi="仿宋" w:eastAsia="仿宋" w:cs="仿宋"/>
          <w:sz w:val="24"/>
          <w:szCs w:val="24"/>
          <w:highlight w:val="none"/>
          <w:u w:val="single"/>
          <w:lang w:val="en-US" w:eastAsia="zh-CN"/>
        </w:rPr>
        <w:t xml:space="preserve">             </w:t>
      </w:r>
    </w:p>
    <w:p>
      <w:pPr>
        <w:pStyle w:val="1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pPr>
        <w:pStyle w:val="14"/>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18"/>
        <w:ind w:left="0" w:leftChars="0" w:firstLine="0" w:firstLineChars="0"/>
        <w:outlineLvl w:val="1"/>
        <w:rPr>
          <w:rFonts w:hint="eastAsia" w:ascii="仿宋" w:hAnsi="仿宋" w:eastAsia="仿宋" w:cs="仿宋"/>
          <w:sz w:val="24"/>
          <w:szCs w:val="24"/>
          <w:highlight w:val="none"/>
          <w:lang w:val="en-US" w:eastAsia="zh-CN"/>
        </w:rPr>
      </w:pPr>
      <w:bookmarkStart w:id="53" w:name="_Toc7007"/>
      <w:r>
        <w:rPr>
          <w:rFonts w:hint="eastAsia" w:ascii="仿宋" w:hAnsi="仿宋" w:eastAsia="仿宋" w:cs="仿宋"/>
          <w:sz w:val="24"/>
          <w:szCs w:val="24"/>
          <w:highlight w:val="none"/>
          <w:lang w:val="en-US" w:eastAsia="zh-CN"/>
        </w:rPr>
        <w:t>7  投标分项报价表</w:t>
      </w:r>
      <w:bookmarkEnd w:id="53"/>
    </w:p>
    <w:p>
      <w:pPr>
        <w:pStyle w:val="18"/>
        <w:ind w:left="0" w:leftChars="0" w:firstLine="0" w:firstLineChars="0"/>
        <w:jc w:val="center"/>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投标分项报价表</w:t>
      </w:r>
    </w:p>
    <w:p>
      <w:pPr>
        <w:pStyle w:val="18"/>
        <w:ind w:left="0" w:leftChars="0" w:firstLine="0" w:firstLineChars="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报价单位：人民币元</w:t>
      </w:r>
    </w:p>
    <w:tbl>
      <w:tblPr>
        <w:tblStyle w:val="20"/>
        <w:tblW w:w="0" w:type="auto"/>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99"/>
        <w:gridCol w:w="1416"/>
        <w:gridCol w:w="1336"/>
        <w:gridCol w:w="2115"/>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81"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799"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分项名称</w:t>
            </w:r>
          </w:p>
        </w:tc>
        <w:tc>
          <w:tcPr>
            <w:tcW w:w="1416"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品牌/型号</w:t>
            </w:r>
          </w:p>
        </w:tc>
        <w:tc>
          <w:tcPr>
            <w:tcW w:w="1336"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产地</w:t>
            </w:r>
          </w:p>
        </w:tc>
        <w:tc>
          <w:tcPr>
            <w:tcW w:w="2115" w:type="dxa"/>
            <w:vAlign w:val="center"/>
          </w:tcPr>
          <w:p>
            <w:pPr>
              <w:pStyle w:val="17"/>
              <w:ind w:left="0" w:leftChars="0" w:firstLine="0" w:firstLineChars="0"/>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单价（元）/下浮率%</w:t>
            </w:r>
          </w:p>
        </w:tc>
        <w:tc>
          <w:tcPr>
            <w:tcW w:w="1270" w:type="dxa"/>
            <w:vAlign w:val="center"/>
          </w:tcPr>
          <w:p>
            <w:pPr>
              <w:pStyle w:val="17"/>
              <w:ind w:left="0" w:leftChars="0" w:firstLine="0" w:firstLine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鲜一级白条猪</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2</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前腿</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3</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后腿</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4</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五花</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5</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精五花</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6</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通排</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7</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精排</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8</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肋排</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9</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精瘦肉</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10</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猪肘</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11</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猪蹄</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12</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大里脊</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13</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猪心</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14</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猪肝</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15</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猪肚</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16</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猪大肠</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17</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猪耳朵</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18</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猪脸肉</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19</w:t>
            </w:r>
          </w:p>
        </w:tc>
        <w:tc>
          <w:tcPr>
            <w:tcW w:w="1799" w:type="dxa"/>
            <w:vAlign w:val="top"/>
          </w:tcPr>
          <w:p>
            <w:pPr>
              <w:widowControl/>
              <w:spacing w:line="460" w:lineRule="exact"/>
              <w:jc w:val="center"/>
              <w:textAlignment w:val="bottom"/>
              <w:rPr>
                <w:rFonts w:hint="eastAsia" w:ascii="仿宋" w:hAnsi="仿宋" w:eastAsia="仿宋" w:cs="仿宋"/>
                <w:sz w:val="18"/>
                <w:szCs w:val="18"/>
                <w:highlight w:val="none"/>
                <w:vertAlign w:val="baseline"/>
                <w:lang w:val="en-US" w:eastAsia="zh-CN"/>
              </w:rPr>
            </w:pPr>
            <w:r>
              <w:rPr>
                <w:rFonts w:hint="eastAsia" w:ascii="仿宋" w:hAnsi="仿宋" w:eastAsia="仿宋" w:cs="仿宋"/>
                <w:color w:val="000000"/>
                <w:kern w:val="0"/>
                <w:sz w:val="18"/>
                <w:szCs w:val="18"/>
                <w:highlight w:val="none"/>
                <w:lang w:val="en-US" w:bidi="ar"/>
              </w:rPr>
              <w:t>口条</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color w:val="000000"/>
                <w:kern w:val="0"/>
                <w:sz w:val="18"/>
                <w:szCs w:val="18"/>
                <w:highlight w:val="none"/>
                <w:lang w:val="en-US" w:bidi="ar"/>
              </w:rPr>
            </w:pPr>
            <w:r>
              <w:rPr>
                <w:rFonts w:hint="eastAsia" w:ascii="仿宋" w:hAnsi="仿宋" w:eastAsia="仿宋" w:cs="仿宋"/>
                <w:color w:val="000000"/>
                <w:kern w:val="0"/>
                <w:sz w:val="18"/>
                <w:szCs w:val="18"/>
                <w:highlight w:val="none"/>
                <w:lang w:val="en-US" w:bidi="ar"/>
              </w:rPr>
              <w:t>20</w:t>
            </w:r>
          </w:p>
        </w:tc>
        <w:tc>
          <w:tcPr>
            <w:tcW w:w="1799" w:type="dxa"/>
            <w:vAlign w:val="top"/>
          </w:tcPr>
          <w:p>
            <w:pPr>
              <w:widowControl/>
              <w:spacing w:line="460" w:lineRule="exact"/>
              <w:jc w:val="center"/>
              <w:textAlignment w:val="bottom"/>
              <w:rPr>
                <w:rFonts w:hint="eastAsia" w:ascii="仿宋" w:hAnsi="仿宋" w:eastAsia="仿宋" w:cs="仿宋"/>
                <w:color w:val="000000"/>
                <w:kern w:val="0"/>
                <w:sz w:val="18"/>
                <w:szCs w:val="18"/>
                <w:highlight w:val="none"/>
                <w:lang w:val="en-US" w:bidi="ar"/>
              </w:rPr>
            </w:pPr>
            <w:r>
              <w:rPr>
                <w:rFonts w:hint="eastAsia" w:ascii="仿宋" w:hAnsi="仿宋" w:eastAsia="仿宋" w:cs="仿宋"/>
                <w:color w:val="000000"/>
                <w:kern w:val="0"/>
                <w:sz w:val="18"/>
                <w:szCs w:val="18"/>
                <w:highlight w:val="none"/>
                <w:lang w:val="en-US" w:bidi="ar"/>
              </w:rPr>
              <w:t>带肉筒骨</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color w:val="000000"/>
                <w:kern w:val="0"/>
                <w:sz w:val="18"/>
                <w:szCs w:val="18"/>
                <w:highlight w:val="none"/>
                <w:lang w:val="en-US" w:bidi="ar"/>
              </w:rPr>
            </w:pPr>
            <w:r>
              <w:rPr>
                <w:rFonts w:hint="eastAsia" w:ascii="仿宋" w:hAnsi="仿宋" w:eastAsia="仿宋" w:cs="仿宋"/>
                <w:color w:val="000000"/>
                <w:kern w:val="0"/>
                <w:sz w:val="18"/>
                <w:szCs w:val="18"/>
                <w:highlight w:val="none"/>
                <w:lang w:val="en-US" w:bidi="ar"/>
              </w:rPr>
              <w:t>21</w:t>
            </w:r>
          </w:p>
        </w:tc>
        <w:tc>
          <w:tcPr>
            <w:tcW w:w="1799" w:type="dxa"/>
            <w:vAlign w:val="top"/>
          </w:tcPr>
          <w:p>
            <w:pPr>
              <w:widowControl/>
              <w:spacing w:line="460" w:lineRule="exact"/>
              <w:jc w:val="center"/>
              <w:textAlignment w:val="bottom"/>
              <w:rPr>
                <w:rFonts w:hint="eastAsia" w:ascii="仿宋" w:hAnsi="仿宋" w:eastAsia="仿宋" w:cs="仿宋"/>
                <w:color w:val="000000"/>
                <w:kern w:val="0"/>
                <w:sz w:val="18"/>
                <w:szCs w:val="18"/>
                <w:highlight w:val="none"/>
                <w:lang w:val="en-US" w:bidi="ar"/>
              </w:rPr>
            </w:pPr>
            <w:r>
              <w:rPr>
                <w:rFonts w:hint="eastAsia" w:ascii="仿宋" w:hAnsi="仿宋" w:eastAsia="仿宋" w:cs="仿宋"/>
                <w:color w:val="000000"/>
                <w:kern w:val="0"/>
                <w:sz w:val="18"/>
                <w:szCs w:val="18"/>
                <w:highlight w:val="none"/>
                <w:lang w:val="en-US" w:bidi="ar"/>
              </w:rPr>
              <w:t>筒骨</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color w:val="000000"/>
                <w:kern w:val="0"/>
                <w:sz w:val="18"/>
                <w:szCs w:val="18"/>
                <w:highlight w:val="none"/>
                <w:lang w:val="en-US" w:bidi="ar"/>
              </w:rPr>
            </w:pPr>
            <w:r>
              <w:rPr>
                <w:rFonts w:hint="eastAsia" w:ascii="仿宋" w:hAnsi="仿宋" w:eastAsia="仿宋" w:cs="仿宋"/>
                <w:color w:val="000000"/>
                <w:kern w:val="0"/>
                <w:sz w:val="18"/>
                <w:szCs w:val="18"/>
                <w:highlight w:val="none"/>
                <w:lang w:val="en-US" w:bidi="ar"/>
              </w:rPr>
              <w:t>22</w:t>
            </w:r>
          </w:p>
        </w:tc>
        <w:tc>
          <w:tcPr>
            <w:tcW w:w="1799" w:type="dxa"/>
            <w:vAlign w:val="top"/>
          </w:tcPr>
          <w:p>
            <w:pPr>
              <w:widowControl/>
              <w:spacing w:line="460" w:lineRule="exact"/>
              <w:jc w:val="center"/>
              <w:textAlignment w:val="bottom"/>
              <w:rPr>
                <w:rFonts w:hint="eastAsia" w:ascii="仿宋" w:hAnsi="仿宋" w:eastAsia="仿宋" w:cs="仿宋"/>
                <w:color w:val="000000"/>
                <w:kern w:val="0"/>
                <w:sz w:val="18"/>
                <w:szCs w:val="18"/>
                <w:highlight w:val="none"/>
                <w:lang w:val="en-US" w:bidi="ar"/>
              </w:rPr>
            </w:pPr>
            <w:r>
              <w:rPr>
                <w:rFonts w:hint="eastAsia" w:ascii="仿宋" w:hAnsi="仿宋" w:eastAsia="仿宋" w:cs="仿宋"/>
                <w:color w:val="000000"/>
                <w:kern w:val="0"/>
                <w:sz w:val="18"/>
                <w:szCs w:val="18"/>
                <w:highlight w:val="none"/>
                <w:lang w:val="en-US" w:bidi="ar"/>
              </w:rPr>
              <w:t>板油</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881" w:type="dxa"/>
            <w:vAlign w:val="top"/>
          </w:tcPr>
          <w:p>
            <w:pPr>
              <w:widowControl/>
              <w:spacing w:line="460" w:lineRule="exact"/>
              <w:jc w:val="center"/>
              <w:textAlignment w:val="center"/>
              <w:rPr>
                <w:rFonts w:hint="eastAsia" w:ascii="仿宋" w:hAnsi="仿宋" w:eastAsia="仿宋" w:cs="仿宋"/>
                <w:color w:val="000000"/>
                <w:kern w:val="0"/>
                <w:sz w:val="18"/>
                <w:szCs w:val="18"/>
                <w:highlight w:val="none"/>
                <w:lang w:val="en-US" w:bidi="ar"/>
              </w:rPr>
            </w:pPr>
            <w:r>
              <w:rPr>
                <w:rFonts w:hint="eastAsia" w:ascii="仿宋" w:hAnsi="仿宋" w:eastAsia="仿宋" w:cs="仿宋"/>
                <w:color w:val="000000"/>
                <w:kern w:val="0"/>
                <w:sz w:val="18"/>
                <w:szCs w:val="18"/>
                <w:highlight w:val="none"/>
                <w:lang w:val="en-US" w:bidi="ar"/>
              </w:rPr>
              <w:t>23</w:t>
            </w:r>
          </w:p>
        </w:tc>
        <w:tc>
          <w:tcPr>
            <w:tcW w:w="1799" w:type="dxa"/>
            <w:vAlign w:val="top"/>
          </w:tcPr>
          <w:p>
            <w:pPr>
              <w:widowControl/>
              <w:spacing w:line="460" w:lineRule="exact"/>
              <w:jc w:val="center"/>
              <w:textAlignment w:val="bottom"/>
              <w:rPr>
                <w:rFonts w:hint="eastAsia" w:ascii="仿宋" w:hAnsi="仿宋" w:eastAsia="仿宋" w:cs="仿宋"/>
                <w:color w:val="000000"/>
                <w:kern w:val="0"/>
                <w:sz w:val="18"/>
                <w:szCs w:val="18"/>
                <w:highlight w:val="none"/>
                <w:lang w:val="en-US" w:bidi="ar"/>
              </w:rPr>
            </w:pPr>
            <w:r>
              <w:rPr>
                <w:rFonts w:hint="eastAsia" w:ascii="仿宋" w:hAnsi="仿宋" w:eastAsia="仿宋" w:cs="仿宋"/>
                <w:color w:val="000000"/>
                <w:kern w:val="0"/>
                <w:sz w:val="18"/>
                <w:szCs w:val="18"/>
                <w:highlight w:val="none"/>
                <w:lang w:val="en-US" w:bidi="ar"/>
              </w:rPr>
              <w:t>大排肌肉</w:t>
            </w:r>
          </w:p>
        </w:tc>
        <w:tc>
          <w:tcPr>
            <w:tcW w:w="141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336"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2115" w:type="dxa"/>
            <w:vAlign w:val="center"/>
          </w:tcPr>
          <w:p>
            <w:pPr>
              <w:pStyle w:val="17"/>
              <w:jc w:val="center"/>
              <w:rPr>
                <w:rFonts w:hint="eastAsia" w:ascii="仿宋" w:hAnsi="仿宋" w:eastAsia="仿宋" w:cs="仿宋"/>
                <w:sz w:val="21"/>
                <w:szCs w:val="21"/>
                <w:highlight w:val="none"/>
                <w:vertAlign w:val="baseline"/>
                <w:lang w:val="en-US" w:eastAsia="zh-CN"/>
              </w:rPr>
            </w:pPr>
          </w:p>
        </w:tc>
        <w:tc>
          <w:tcPr>
            <w:tcW w:w="1270" w:type="dxa"/>
            <w:vAlign w:val="center"/>
          </w:tcPr>
          <w:p>
            <w:pPr>
              <w:pStyle w:val="17"/>
              <w:jc w:val="center"/>
              <w:rPr>
                <w:rFonts w:hint="eastAsia" w:ascii="仿宋" w:hAnsi="仿宋" w:eastAsia="仿宋" w:cs="仿宋"/>
                <w:sz w:val="21"/>
                <w:szCs w:val="21"/>
                <w:highlight w:val="none"/>
                <w:vertAlign w:val="baseline"/>
                <w:lang w:val="en-US" w:eastAsia="zh-CN"/>
              </w:rPr>
            </w:pPr>
          </w:p>
        </w:tc>
      </w:tr>
    </w:tbl>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注：1.本表应按包分别填写。</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2.如果不提供分项报价将视为没有实质性响应招标文件。</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3.上述各项的详细规格（如有），可另页描述。</w:t>
      </w:r>
    </w:p>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投标人名称（加盖公章）：____________</w:t>
      </w:r>
    </w:p>
    <w:p>
      <w:pPr>
        <w:spacing w:line="360" w:lineRule="auto"/>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日期：_____年______月______日</w:t>
      </w:r>
      <w:r>
        <w:rPr>
          <w:rFonts w:hint="eastAsia" w:ascii="仿宋" w:hAnsi="仿宋" w:eastAsia="仿宋" w:cs="仿宋"/>
          <w:highlight w:val="none"/>
          <w:lang w:val="en-US" w:eastAsia="zh-CN"/>
        </w:rPr>
        <w:br w:type="page"/>
      </w:r>
    </w:p>
    <w:p>
      <w:pPr>
        <w:pStyle w:val="14"/>
        <w:ind w:left="0" w:leftChars="0" w:firstLine="0" w:firstLineChars="0"/>
        <w:jc w:val="left"/>
        <w:outlineLvl w:val="1"/>
        <w:rPr>
          <w:rFonts w:hint="eastAsia" w:ascii="仿宋" w:hAnsi="仿宋" w:eastAsia="仿宋" w:cs="仿宋"/>
          <w:sz w:val="24"/>
          <w:szCs w:val="24"/>
          <w:highlight w:val="none"/>
          <w:lang w:val="en-US" w:eastAsia="zh-CN"/>
        </w:rPr>
      </w:pPr>
      <w:bookmarkStart w:id="54" w:name="_Toc6119"/>
      <w:r>
        <w:rPr>
          <w:rFonts w:hint="eastAsia" w:ascii="仿宋" w:hAnsi="仿宋" w:eastAsia="仿宋" w:cs="仿宋"/>
          <w:sz w:val="24"/>
          <w:szCs w:val="24"/>
          <w:highlight w:val="none"/>
          <w:lang w:val="en-US" w:eastAsia="zh-CN"/>
        </w:rPr>
        <w:t>8  商务条款偏离表</w:t>
      </w:r>
      <w:bookmarkEnd w:id="54"/>
    </w:p>
    <w:p>
      <w:pPr>
        <w:pStyle w:val="14"/>
        <w:ind w:left="0" w:leftChars="0" w:firstLine="0" w:firstLineChars="0"/>
        <w:jc w:val="center"/>
        <w:rPr>
          <w:rFonts w:hint="eastAsia" w:ascii="仿宋" w:hAnsi="仿宋" w:eastAsia="仿宋" w:cs="仿宋"/>
          <w:sz w:val="32"/>
          <w:szCs w:val="32"/>
          <w:highlight w:val="none"/>
          <w:lang w:val="en-US" w:eastAsia="zh-CN"/>
        </w:rPr>
      </w:pPr>
    </w:p>
    <w:p>
      <w:pPr>
        <w:pStyle w:val="14"/>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商务条款偏离表</w:t>
      </w:r>
    </w:p>
    <w:p>
      <w:pPr>
        <w:rPr>
          <w:rFonts w:hint="eastAsia" w:ascii="仿宋" w:hAnsi="仿宋" w:eastAsia="仿宋" w:cs="仿宋"/>
          <w:highlight w:val="none"/>
          <w:lang w:val="en-US" w:eastAsia="zh-CN"/>
        </w:rPr>
      </w:pPr>
    </w:p>
    <w:p>
      <w:pPr>
        <w:pStyle w:val="14"/>
        <w:ind w:left="0" w:leftChars="0" w:firstLine="0" w:firstLine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项目编号/包号：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lang w:val="en-US" w:eastAsia="zh-CN"/>
        </w:rPr>
        <w:t xml:space="preserve">            项目名称：</w:t>
      </w:r>
      <w:r>
        <w:rPr>
          <w:rFonts w:hint="eastAsia" w:ascii="仿宋" w:hAnsi="仿宋" w:eastAsia="仿宋" w:cs="仿宋"/>
          <w:highlight w:val="none"/>
          <w:u w:val="single"/>
          <w:lang w:val="en-US" w:eastAsia="zh-CN"/>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对本项目商务条款的偏离情况（请进行勾选）：</w:t>
            </w:r>
          </w:p>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（如无偏离，仅勾选无偏离即可）</w:t>
            </w:r>
          </w:p>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对商务条款中的所有要求，除本表所列明的所有偏离外，均视作供应商已对之理解和响应。</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highlight w:val="none"/>
          <w:lang w:val="en-US" w:eastAsia="zh-CN"/>
        </w:rPr>
      </w:pPr>
      <w:bookmarkStart w:id="55" w:name="_Toc6441"/>
      <w:r>
        <w:rPr>
          <w:rFonts w:hint="eastAsia" w:ascii="仿宋" w:hAnsi="仿宋" w:eastAsia="仿宋" w:cs="仿宋"/>
          <w:sz w:val="24"/>
          <w:szCs w:val="24"/>
          <w:highlight w:val="none"/>
          <w:lang w:val="en-US" w:eastAsia="zh-CN"/>
        </w:rPr>
        <w:t>2. “偏离情况”列应据实填写“正偏离”或“负偏离”。</w:t>
      </w:r>
      <w:bookmarkEnd w:id="55"/>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投标人名称（加盖公章）：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pPr>
        <w:pStyle w:val="18"/>
        <w:rPr>
          <w:rFonts w:hint="eastAsia" w:ascii="仿宋" w:hAnsi="仿宋" w:eastAsia="仿宋" w:cs="仿宋"/>
          <w:sz w:val="24"/>
          <w:szCs w:val="24"/>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14"/>
        <w:ind w:left="0" w:leftChars="0" w:firstLine="0" w:firstLineChars="0"/>
        <w:outlineLvl w:val="1"/>
        <w:rPr>
          <w:rFonts w:hint="eastAsia" w:ascii="仿宋" w:hAnsi="仿宋" w:eastAsia="仿宋" w:cs="仿宋"/>
          <w:sz w:val="24"/>
          <w:szCs w:val="24"/>
          <w:highlight w:val="none"/>
          <w:lang w:val="en-US" w:eastAsia="zh-CN"/>
        </w:rPr>
      </w:pPr>
      <w:bookmarkStart w:id="56" w:name="_Toc7042"/>
      <w:r>
        <w:rPr>
          <w:rFonts w:hint="eastAsia" w:ascii="仿宋" w:hAnsi="仿宋" w:eastAsia="仿宋" w:cs="仿宋"/>
          <w:sz w:val="24"/>
          <w:szCs w:val="24"/>
          <w:highlight w:val="none"/>
          <w:lang w:val="en-US" w:eastAsia="zh-CN"/>
        </w:rPr>
        <w:t>9  技术要求偏离表</w:t>
      </w:r>
      <w:bookmarkEnd w:id="56"/>
    </w:p>
    <w:p>
      <w:pPr>
        <w:pStyle w:val="14"/>
        <w:ind w:left="0" w:leftChars="0" w:firstLine="0" w:firstLineChars="0"/>
        <w:rPr>
          <w:rFonts w:hint="eastAsia" w:ascii="仿宋" w:hAnsi="仿宋" w:eastAsia="仿宋" w:cs="仿宋"/>
          <w:sz w:val="24"/>
          <w:szCs w:val="24"/>
          <w:highlight w:val="none"/>
          <w:lang w:val="en-US" w:eastAsia="zh-CN"/>
        </w:rPr>
      </w:pPr>
    </w:p>
    <w:p>
      <w:pPr>
        <w:pStyle w:val="14"/>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技术要求偏离表</w:t>
      </w:r>
    </w:p>
    <w:p>
      <w:pPr>
        <w:pStyle w:val="14"/>
        <w:ind w:left="0" w:leftChars="0" w:firstLine="0" w:firstLineChars="0"/>
        <w:rPr>
          <w:rFonts w:hint="eastAsia" w:ascii="仿宋" w:hAnsi="仿宋" w:eastAsia="仿宋" w:cs="仿宋"/>
          <w:sz w:val="24"/>
          <w:szCs w:val="24"/>
          <w:highlight w:val="none"/>
          <w:lang w:val="en-US" w:eastAsia="zh-CN"/>
        </w:rPr>
      </w:pPr>
    </w:p>
    <w:p>
      <w:pPr>
        <w:pStyle w:val="14"/>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项目编号/包号：                 项目名称：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投标响应内容</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对招标文件中的所有商务、技术要求，除本表所列明的所有偏离情况外，均视作供应商已对之理解和响应。此表中若无任何文字说明，内容为空白，投标无效。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2.“偏离情况”列应据实填写“正偏离”、“负偏离”或“无偏离”。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 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17"/>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   招标文件要求提供或投标人认为应附的其他材料</w:t>
      </w:r>
    </w:p>
    <w:p>
      <w:pPr>
        <w:pStyle w:val="14"/>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keepLines/>
        <w:widowControl w:val="0"/>
        <w:spacing w:before="0" w:after="260" w:line="240" w:lineRule="atLeast"/>
        <w:jc w:val="both"/>
        <w:outlineLvl w:val="1"/>
        <w:rPr>
          <w:rFonts w:hint="eastAsia" w:ascii="仿宋" w:hAnsi="仿宋" w:eastAsia="仿宋" w:cs="仿宋"/>
          <w:b w:val="0"/>
          <w:bCs/>
          <w:kern w:val="2"/>
          <w:sz w:val="24"/>
          <w:szCs w:val="32"/>
          <w:highlight w:val="none"/>
          <w:lang w:val="en-US" w:eastAsia="zh-CN" w:bidi="ar-SA"/>
        </w:rPr>
      </w:pPr>
      <w:bookmarkStart w:id="57" w:name="_Toc520356224"/>
      <w:bookmarkStart w:id="58" w:name="_Toc480942355"/>
      <w:bookmarkStart w:id="59" w:name="_Toc216582819"/>
      <w:bookmarkStart w:id="60" w:name="_Ref467988543"/>
      <w:bookmarkStart w:id="61" w:name="_Toc17143"/>
      <w:bookmarkStart w:id="62" w:name="_Toc522"/>
      <w:bookmarkStart w:id="63" w:name="_Toc21320"/>
      <w:bookmarkStart w:id="64" w:name="_Toc15963"/>
      <w:bookmarkStart w:id="65" w:name="_Toc507399535"/>
      <w:bookmarkStart w:id="66" w:name="_Toc20238"/>
      <w:bookmarkStart w:id="67" w:name="_Toc4183"/>
      <w:bookmarkStart w:id="68" w:name="_Toc9592"/>
      <w:bookmarkStart w:id="69" w:name="_Toc3420"/>
      <w:bookmarkStart w:id="70" w:name="_Toc8281"/>
      <w:r>
        <w:rPr>
          <w:rFonts w:hint="eastAsia" w:ascii="仿宋" w:hAnsi="仿宋" w:eastAsia="仿宋" w:cs="仿宋"/>
          <w:b/>
          <w:bCs/>
          <w:kern w:val="2"/>
          <w:sz w:val="24"/>
          <w:szCs w:val="32"/>
          <w:highlight w:val="none"/>
          <w:lang w:val="en-US" w:eastAsia="zh-CN" w:bidi="ar-SA"/>
        </w:rPr>
        <w:t xml:space="preserve">11   </w:t>
      </w:r>
      <w:bookmarkEnd w:id="57"/>
      <w:bookmarkEnd w:id="58"/>
      <w:bookmarkEnd w:id="59"/>
      <w:bookmarkEnd w:id="60"/>
      <w:bookmarkStart w:id="71" w:name="_Hlt520350918"/>
      <w:bookmarkEnd w:id="71"/>
      <w:bookmarkStart w:id="72" w:name="_Hlt520273711"/>
      <w:bookmarkEnd w:id="72"/>
      <w:bookmarkStart w:id="73" w:name="_Hlt520274911"/>
      <w:bookmarkEnd w:id="73"/>
      <w:bookmarkStart w:id="74" w:name="_Hlt520350957"/>
      <w:bookmarkEnd w:id="74"/>
      <w:bookmarkStart w:id="75" w:name="_Hlt520274407"/>
      <w:bookmarkEnd w:id="75"/>
      <w:bookmarkStart w:id="76" w:name="_Hlt520343392"/>
      <w:bookmarkEnd w:id="76"/>
      <w:bookmarkStart w:id="77" w:name="_Hlt520274393"/>
      <w:bookmarkEnd w:id="77"/>
      <w:bookmarkStart w:id="78" w:name="_Hlt520343000"/>
      <w:bookmarkEnd w:id="78"/>
      <w:bookmarkStart w:id="79" w:name="_Hlt520274065"/>
      <w:bookmarkEnd w:id="79"/>
      <w:bookmarkStart w:id="80" w:name="_Hlt520273973"/>
      <w:bookmarkEnd w:id="80"/>
      <w:bookmarkStart w:id="81" w:name="_Hlt520271212"/>
      <w:bookmarkEnd w:id="81"/>
      <w:bookmarkStart w:id="82" w:name="_Toc216513801"/>
      <w:bookmarkStart w:id="83" w:name="_Toc216582821"/>
      <w:r>
        <w:rPr>
          <w:rFonts w:hint="eastAsia" w:ascii="仿宋" w:hAnsi="仿宋" w:eastAsia="仿宋" w:cs="仿宋"/>
          <w:b/>
          <w:bCs/>
          <w:kern w:val="2"/>
          <w:sz w:val="24"/>
          <w:szCs w:val="32"/>
          <w:highlight w:val="none"/>
          <w:lang w:val="en-US" w:eastAsia="zh-CN" w:bidi="ar-SA"/>
        </w:rPr>
        <w:t>中标服务费承诺书</w:t>
      </w:r>
      <w:bookmarkEnd w:id="61"/>
      <w:bookmarkEnd w:id="62"/>
      <w:bookmarkEnd w:id="63"/>
      <w:bookmarkEnd w:id="64"/>
      <w:bookmarkEnd w:id="65"/>
      <w:bookmarkEnd w:id="66"/>
      <w:bookmarkEnd w:id="67"/>
      <w:bookmarkEnd w:id="68"/>
    </w:p>
    <w:p>
      <w:pPr>
        <w:spacing w:line="240" w:lineRule="atLeast"/>
        <w:ind w:left="1080" w:leftChars="257" w:hanging="540"/>
        <w:rPr>
          <w:rFonts w:hint="eastAsia" w:ascii="仿宋" w:hAnsi="仿宋" w:eastAsia="仿宋" w:cs="仿宋"/>
          <w:b/>
          <w:sz w:val="24"/>
          <w:highlight w:val="none"/>
        </w:rPr>
      </w:pPr>
    </w:p>
    <w:p>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pPr>
        <w:spacing w:line="440" w:lineRule="exact"/>
        <w:ind w:left="1080" w:hanging="108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pPr>
        <w:spacing w:line="440" w:lineRule="exact"/>
        <w:ind w:left="1080" w:leftChars="257" w:hanging="540"/>
        <w:rPr>
          <w:rFonts w:hint="eastAsia" w:ascii="仿宋" w:hAnsi="仿宋" w:eastAsia="仿宋" w:cs="仿宋"/>
          <w:sz w:val="24"/>
          <w:highlight w:val="none"/>
        </w:rPr>
      </w:pP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rPr>
      </w:pPr>
    </w:p>
    <w:p>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（承诺方盖章）</w:t>
      </w:r>
    </w:p>
    <w:p>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82"/>
      <w:bookmarkEnd w:id="83"/>
    </w:p>
    <w:p>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pPr>
        <w:widowControl w:val="0"/>
        <w:spacing w:before="1"/>
        <w:jc w:val="both"/>
        <w:outlineLvl w:val="1"/>
        <w:rPr>
          <w:rFonts w:hint="eastAsia" w:ascii="仿宋" w:hAnsi="仿宋" w:eastAsia="仿宋" w:cs="仿宋"/>
          <w:b w:val="0"/>
          <w:bCs w:val="0"/>
          <w:kern w:val="2"/>
          <w:sz w:val="24"/>
          <w:szCs w:val="24"/>
          <w:highlight w:val="none"/>
          <w:lang w:val="zh-CN" w:eastAsia="zh-CN" w:bidi="zh-CN"/>
        </w:rPr>
      </w:pPr>
      <w:bookmarkStart w:id="84" w:name="_Toc20782"/>
      <w:bookmarkStart w:id="85" w:name="_Toc8649"/>
      <w:bookmarkStart w:id="86" w:name="_Toc17899"/>
      <w:bookmarkStart w:id="87" w:name="_Toc24678"/>
      <w:bookmarkStart w:id="88" w:name="_Toc15106"/>
      <w:r>
        <w:rPr>
          <w:rFonts w:hint="eastAsia" w:ascii="仿宋" w:hAnsi="仿宋" w:eastAsia="仿宋" w:cs="仿宋"/>
          <w:b w:val="0"/>
          <w:bCs w:val="0"/>
          <w:kern w:val="2"/>
          <w:sz w:val="24"/>
          <w:szCs w:val="24"/>
          <w:highlight w:val="none"/>
          <w:lang w:val="en-US" w:eastAsia="zh-CN" w:bidi="zh-CN"/>
        </w:rPr>
        <w:t xml:space="preserve">12   </w:t>
      </w:r>
      <w:r>
        <w:rPr>
          <w:rFonts w:hint="eastAsia" w:ascii="仿宋" w:hAnsi="仿宋" w:eastAsia="仿宋" w:cs="仿宋"/>
          <w:b w:val="0"/>
          <w:bCs w:val="0"/>
          <w:kern w:val="2"/>
          <w:sz w:val="24"/>
          <w:szCs w:val="24"/>
          <w:highlight w:val="none"/>
          <w:lang w:val="zh-CN" w:eastAsia="zh-CN" w:bidi="zh-CN"/>
        </w:rPr>
        <w:t>保证金信息表</w:t>
      </w:r>
      <w:bookmarkEnd w:id="69"/>
      <w:bookmarkEnd w:id="70"/>
      <w:r>
        <w:rPr>
          <w:rFonts w:hint="eastAsia" w:ascii="仿宋" w:hAnsi="仿宋" w:eastAsia="仿宋" w:cs="仿宋"/>
          <w:b w:val="0"/>
          <w:bCs w:val="0"/>
          <w:kern w:val="2"/>
          <w:sz w:val="24"/>
          <w:szCs w:val="24"/>
          <w:highlight w:val="none"/>
          <w:lang w:val="zh-CN" w:eastAsia="zh-CN" w:bidi="zh-CN"/>
        </w:rPr>
        <w:t>（</w:t>
      </w:r>
      <w:r>
        <w:rPr>
          <w:rFonts w:hint="eastAsia" w:ascii="仿宋" w:hAnsi="仿宋" w:eastAsia="仿宋" w:cs="仿宋"/>
          <w:b w:val="0"/>
          <w:bCs w:val="0"/>
          <w:kern w:val="2"/>
          <w:sz w:val="24"/>
          <w:szCs w:val="24"/>
          <w:highlight w:val="none"/>
          <w:lang w:val="en-US" w:eastAsia="zh-CN" w:bidi="zh-CN"/>
        </w:rPr>
        <w:t>保函方式提交的无需提供</w:t>
      </w:r>
      <w:r>
        <w:rPr>
          <w:rFonts w:hint="eastAsia" w:ascii="仿宋" w:hAnsi="仿宋" w:eastAsia="仿宋" w:cs="仿宋"/>
          <w:b w:val="0"/>
          <w:bCs w:val="0"/>
          <w:kern w:val="2"/>
          <w:sz w:val="24"/>
          <w:szCs w:val="24"/>
          <w:highlight w:val="none"/>
          <w:lang w:val="zh-CN" w:eastAsia="zh-CN" w:bidi="zh-CN"/>
        </w:rPr>
        <w:t>）</w:t>
      </w:r>
      <w:bookmarkEnd w:id="84"/>
      <w:bookmarkEnd w:id="85"/>
      <w:bookmarkEnd w:id="86"/>
      <w:bookmarkEnd w:id="87"/>
      <w:bookmarkEnd w:id="88"/>
    </w:p>
    <w:p>
      <w:pPr>
        <w:pStyle w:val="2"/>
        <w:spacing w:line="440" w:lineRule="exact"/>
        <w:jc w:val="center"/>
        <w:outlineLvl w:val="9"/>
        <w:rPr>
          <w:rFonts w:hint="eastAsia" w:ascii="仿宋" w:hAnsi="仿宋" w:eastAsia="仿宋" w:cs="仿宋"/>
          <w:b/>
          <w:sz w:val="32"/>
          <w:szCs w:val="32"/>
          <w:highlight w:val="none"/>
        </w:rPr>
      </w:pPr>
    </w:p>
    <w:p>
      <w:pPr>
        <w:pStyle w:val="2"/>
        <w:spacing w:line="440" w:lineRule="exact"/>
        <w:jc w:val="center"/>
        <w:outlineLvl w:val="0"/>
        <w:rPr>
          <w:rFonts w:hint="eastAsia" w:ascii="仿宋" w:hAnsi="仿宋" w:eastAsia="仿宋" w:cs="仿宋"/>
          <w:b/>
          <w:sz w:val="32"/>
          <w:szCs w:val="32"/>
          <w:highlight w:val="none"/>
        </w:rPr>
      </w:pPr>
      <w:bookmarkStart w:id="89" w:name="_Toc16938"/>
      <w:bookmarkStart w:id="90" w:name="_Toc28181"/>
      <w:bookmarkStart w:id="91" w:name="_Toc4940"/>
      <w:bookmarkStart w:id="92" w:name="_Toc27316"/>
      <w:bookmarkStart w:id="93" w:name="_Toc14307"/>
      <w:bookmarkStart w:id="94" w:name="_Toc31463"/>
      <w:bookmarkStart w:id="95" w:name="_Toc25967"/>
      <w:r>
        <w:rPr>
          <w:rFonts w:hint="eastAsia" w:ascii="仿宋" w:hAnsi="仿宋" w:eastAsia="仿宋" w:cs="仿宋"/>
          <w:b/>
          <w:sz w:val="24"/>
          <w:szCs w:val="24"/>
          <w:highlight w:val="none"/>
        </w:rPr>
        <w:t>退还保证金申请函</w:t>
      </w:r>
      <w:bookmarkEnd w:id="89"/>
      <w:bookmarkEnd w:id="90"/>
      <w:bookmarkEnd w:id="91"/>
      <w:bookmarkEnd w:id="92"/>
      <w:bookmarkEnd w:id="93"/>
      <w:bookmarkEnd w:id="94"/>
      <w:bookmarkEnd w:id="95"/>
    </w:p>
    <w:p>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新疆世纪星工程咨询有限公司</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投标人</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b w:val="0"/>
          <w:bCs w:val="0"/>
          <w:sz w:val="21"/>
          <w:szCs w:val="21"/>
          <w:highlight w:val="none"/>
          <w:u w:val="single"/>
          <w:lang w:val="en-US" w:eastAsia="zh-CN"/>
        </w:rPr>
        <w:t>（项目名称）（项目编号）</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pPr>
        <w:adjustRightInd w:val="0"/>
        <w:snapToGrid w:val="0"/>
        <w:spacing w:line="360" w:lineRule="auto"/>
        <w:rPr>
          <w:rFonts w:hint="eastAsia" w:ascii="仿宋" w:hAnsi="仿宋" w:eastAsia="仿宋" w:cs="仿宋"/>
          <w:color w:val="000000"/>
          <w:sz w:val="21"/>
          <w:szCs w:val="21"/>
          <w:highlight w:val="none"/>
        </w:rPr>
      </w:pP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法定代表人（或法定代表人授权代表）签字：</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名称（加盖公章）：</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pPr>
        <w:pStyle w:val="2"/>
        <w:spacing w:line="440" w:lineRule="exact"/>
        <w:jc w:val="both"/>
        <w:rPr>
          <w:rFonts w:hint="eastAsia" w:ascii="仿宋" w:hAnsi="仿宋" w:eastAsia="仿宋" w:cs="仿宋"/>
          <w:bCs/>
          <w:sz w:val="21"/>
          <w:szCs w:val="21"/>
          <w:highlight w:val="none"/>
        </w:rPr>
      </w:pPr>
    </w:p>
    <w:p>
      <w:pPr>
        <w:pStyle w:val="2"/>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投标人</w:t>
      </w:r>
      <w:r>
        <w:rPr>
          <w:rFonts w:hint="eastAsia" w:ascii="仿宋" w:hAnsi="仿宋" w:eastAsia="仿宋" w:cs="仿宋"/>
          <w:b/>
          <w:sz w:val="21"/>
          <w:szCs w:val="21"/>
          <w:highlight w:val="none"/>
        </w:rPr>
        <w:t>认真填写此函信息，并后附转帐或汇款的银行凭证复印件。</w:t>
      </w:r>
    </w:p>
    <w:tbl>
      <w:tblPr>
        <w:tblStyle w:val="1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（粘贴转帐或汇款的银行凭证复印件）</w:t>
            </w:r>
          </w:p>
        </w:tc>
      </w:tr>
    </w:tbl>
    <w:p>
      <w:pPr>
        <w:pStyle w:val="9"/>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pPr>
        <w:widowControl w:val="0"/>
        <w:tabs>
          <w:tab w:val="left" w:pos="1325"/>
        </w:tabs>
        <w:spacing w:before="90"/>
        <w:jc w:val="both"/>
        <w:outlineLvl w:val="1"/>
        <w:rPr>
          <w:rFonts w:hint="eastAsia" w:ascii="仿宋" w:hAnsi="仿宋" w:eastAsia="仿宋" w:cs="仿宋"/>
          <w:b w:val="0"/>
          <w:bCs w:val="0"/>
          <w:kern w:val="2"/>
          <w:sz w:val="24"/>
          <w:szCs w:val="24"/>
          <w:highlight w:val="none"/>
          <w:lang w:val="zh-CN" w:eastAsia="zh-CN" w:bidi="zh-CN"/>
        </w:rPr>
      </w:pPr>
      <w:bookmarkStart w:id="96" w:name="_Toc8651"/>
      <w:bookmarkStart w:id="97" w:name="_Toc21100"/>
      <w:bookmarkStart w:id="98" w:name="_Toc8576"/>
      <w:bookmarkStart w:id="99" w:name="_Toc17857"/>
      <w:bookmarkStart w:id="100" w:name="_Toc28409"/>
      <w:bookmarkStart w:id="101" w:name="_Toc2994"/>
      <w:bookmarkStart w:id="102" w:name="_Toc19434"/>
      <w:r>
        <w:rPr>
          <w:rFonts w:hint="eastAsia" w:ascii="仿宋" w:hAnsi="仿宋" w:eastAsia="仿宋" w:cs="仿宋"/>
          <w:b w:val="0"/>
          <w:bCs w:val="0"/>
          <w:kern w:val="2"/>
          <w:sz w:val="24"/>
          <w:szCs w:val="24"/>
          <w:highlight w:val="none"/>
          <w:lang w:val="en-US" w:eastAsia="zh-CN" w:bidi="zh-CN"/>
        </w:rPr>
        <w:t>13   开票信息</w:t>
      </w:r>
      <w:r>
        <w:rPr>
          <w:rFonts w:hint="eastAsia" w:ascii="仿宋" w:hAnsi="仿宋" w:eastAsia="仿宋" w:cs="仿宋"/>
          <w:b w:val="0"/>
          <w:bCs w:val="0"/>
          <w:kern w:val="2"/>
          <w:sz w:val="24"/>
          <w:szCs w:val="24"/>
          <w:highlight w:val="none"/>
          <w:lang w:val="zh-CN" w:eastAsia="zh-CN" w:bidi="zh-CN"/>
        </w:rPr>
        <w:t>（统一格式）</w:t>
      </w:r>
      <w:bookmarkEnd w:id="96"/>
      <w:bookmarkEnd w:id="97"/>
      <w:bookmarkEnd w:id="98"/>
      <w:bookmarkEnd w:id="99"/>
      <w:bookmarkEnd w:id="100"/>
      <w:bookmarkEnd w:id="101"/>
      <w:bookmarkEnd w:id="102"/>
    </w:p>
    <w:p>
      <w:pPr>
        <w:pStyle w:val="2"/>
        <w:spacing w:line="440" w:lineRule="exact"/>
        <w:ind w:firstLine="480" w:firstLineChars="200"/>
        <w:jc w:val="both"/>
        <w:rPr>
          <w:rFonts w:hint="eastAsia" w:ascii="仿宋" w:hAnsi="仿宋" w:eastAsia="仿宋" w:cs="仿宋"/>
          <w:bCs/>
          <w:sz w:val="24"/>
          <w:highlight w:val="none"/>
        </w:rPr>
      </w:pPr>
    </w:p>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新疆世纪星工程咨询有限公司</w:t>
      </w:r>
      <w:r>
        <w:rPr>
          <w:rFonts w:hint="eastAsia" w:ascii="仿宋" w:hAnsi="仿宋" w:eastAsia="仿宋" w:cs="仿宋"/>
          <w:bCs/>
          <w:sz w:val="21"/>
          <w:szCs w:val="21"/>
          <w:highlight w:val="none"/>
        </w:rPr>
        <w:t>：</w:t>
      </w:r>
    </w:p>
    <w:p>
      <w:pPr>
        <w:pStyle w:val="2"/>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投标人</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1"/>
          <w:szCs w:val="21"/>
          <w:highlight w:val="none"/>
          <w:u w:val="single"/>
        </w:rPr>
        <w:t xml:space="preserve">  </w:t>
      </w:r>
      <w:r>
        <w:rPr>
          <w:rFonts w:hint="eastAsia" w:ascii="仿宋" w:hAnsi="仿宋" w:eastAsia="仿宋" w:cs="仿宋"/>
          <w:b w:val="0"/>
          <w:bCs w:val="0"/>
          <w:sz w:val="21"/>
          <w:szCs w:val="21"/>
          <w:highlight w:val="none"/>
          <w:u w:val="single"/>
          <w:lang w:val="en-US" w:eastAsia="zh-CN"/>
        </w:rPr>
        <w:t>（项目名称）（项目编号）</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招标，我司缴纳标书费和代理服务费后开具发票的事宜，我司声明如下： </w:t>
      </w:r>
    </w:p>
    <w:p>
      <w:pPr>
        <w:pStyle w:val="2"/>
        <w:spacing w:line="440" w:lineRule="exact"/>
        <w:ind w:firstLine="420" w:firstLineChars="200"/>
        <w:jc w:val="both"/>
        <w:rPr>
          <w:rFonts w:hint="eastAsia" w:ascii="仿宋" w:hAnsi="仿宋" w:eastAsia="仿宋" w:cs="仿宋"/>
          <w:sz w:val="21"/>
          <w:szCs w:val="21"/>
          <w:highlight w:val="none"/>
        </w:rPr>
      </w:pPr>
    </w:p>
    <w:tbl>
      <w:tblPr>
        <w:tblStyle w:val="2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7472" w:type="dxa"/>
            <w:gridSpan w:val="3"/>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7472" w:type="dxa"/>
            <w:gridSpan w:val="3"/>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7472" w:type="dxa"/>
            <w:gridSpan w:val="3"/>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3576" w:type="dxa"/>
            <w:vAlign w:val="center"/>
          </w:tcPr>
          <w:p>
            <w:pPr>
              <w:pStyle w:val="2"/>
              <w:spacing w:line="440" w:lineRule="exact"/>
              <w:jc w:val="center"/>
              <w:rPr>
                <w:rFonts w:hint="eastAsia" w:ascii="仿宋" w:hAnsi="仿宋" w:eastAsia="仿宋" w:cs="仿宋"/>
                <w:bCs/>
                <w:sz w:val="21"/>
                <w:szCs w:val="21"/>
                <w:highlight w:val="none"/>
              </w:rPr>
            </w:pPr>
          </w:p>
        </w:tc>
        <w:tc>
          <w:tcPr>
            <w:tcW w:w="1791"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1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3576" w:type="dxa"/>
            <w:vAlign w:val="center"/>
          </w:tcPr>
          <w:p>
            <w:pPr>
              <w:pStyle w:val="2"/>
              <w:spacing w:line="440" w:lineRule="exact"/>
              <w:jc w:val="center"/>
              <w:rPr>
                <w:rFonts w:hint="eastAsia" w:ascii="仿宋" w:hAnsi="仿宋" w:eastAsia="仿宋" w:cs="仿宋"/>
                <w:bCs/>
                <w:sz w:val="21"/>
                <w:szCs w:val="21"/>
                <w:highlight w:val="none"/>
              </w:rPr>
            </w:pPr>
          </w:p>
        </w:tc>
        <w:tc>
          <w:tcPr>
            <w:tcW w:w="1791"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1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3576" w:type="dxa"/>
            <w:vAlign w:val="center"/>
          </w:tcPr>
          <w:p>
            <w:pPr>
              <w:pStyle w:val="2"/>
              <w:spacing w:line="440" w:lineRule="exact"/>
              <w:jc w:val="center"/>
              <w:rPr>
                <w:rFonts w:hint="eastAsia" w:ascii="仿宋" w:hAnsi="仿宋" w:eastAsia="仿宋" w:cs="仿宋"/>
                <w:bCs/>
                <w:sz w:val="21"/>
                <w:szCs w:val="21"/>
                <w:highlight w:val="none"/>
              </w:rPr>
            </w:pPr>
          </w:p>
        </w:tc>
        <w:tc>
          <w:tcPr>
            <w:tcW w:w="1791"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1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7472" w:type="dxa"/>
            <w:gridSpan w:val="3"/>
            <w:vAlign w:val="center"/>
          </w:tcPr>
          <w:p>
            <w:pPr>
              <w:pStyle w:val="2"/>
              <w:spacing w:line="44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7472" w:type="dxa"/>
            <w:gridSpan w:val="3"/>
            <w:vAlign w:val="center"/>
          </w:tcPr>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pPr>
        <w:pStyle w:val="2"/>
        <w:spacing w:line="440" w:lineRule="exact"/>
        <w:jc w:val="both"/>
        <w:rPr>
          <w:rFonts w:hint="eastAsia" w:ascii="仿宋" w:hAnsi="仿宋" w:eastAsia="仿宋" w:cs="仿宋"/>
          <w:bCs/>
          <w:sz w:val="21"/>
          <w:szCs w:val="21"/>
          <w:highlight w:val="none"/>
        </w:rPr>
      </w:pPr>
    </w:p>
    <w:p>
      <w:pPr>
        <w:pStyle w:val="2"/>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开户许可证、一般纳税人认定文件的清晰复印件加盖公章，以及开票信息（见上表）。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pPr>
        <w:pStyle w:val="2"/>
        <w:spacing w:line="440" w:lineRule="exact"/>
        <w:jc w:val="both"/>
        <w:rPr>
          <w:rFonts w:hint="eastAsia" w:ascii="仿宋" w:hAnsi="仿宋" w:eastAsia="仿宋" w:cs="仿宋"/>
          <w:bCs/>
          <w:sz w:val="21"/>
          <w:szCs w:val="21"/>
          <w:highlight w:val="none"/>
        </w:rPr>
      </w:pP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法定代表人（或法定代表人授权代表）签字：</w:t>
      </w: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名称（加盖公章）：</w:t>
      </w:r>
    </w:p>
    <w:p>
      <w:pPr>
        <w:pStyle w:val="2"/>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D9B230C9-2590-41B2-B8BA-4432DBF234AD}"/>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7F5ADD0F-A8F8-4222-9021-01782E025446}"/>
  </w:font>
  <w:font w:name="仿宋_GB2312">
    <w:panose1 w:val="02010609030101010101"/>
    <w:charset w:val="86"/>
    <w:family w:val="auto"/>
    <w:pitch w:val="default"/>
    <w:sig w:usb0="00000001" w:usb1="080E0000" w:usb2="00000000" w:usb3="00000000" w:csb0="00040000" w:csb1="00000000"/>
    <w:embedRegular r:id="rId3" w:fontKey="{1413F163-5C8B-4B3E-9BFA-4B85B5D974E0}"/>
  </w:font>
  <w:font w:name="Microsoft JhengHei UI">
    <w:panose1 w:val="020B0604030504040204"/>
    <w:charset w:val="88"/>
    <w:family w:val="auto"/>
    <w:pitch w:val="default"/>
    <w:sig w:usb0="000002A7" w:usb1="28CF4400" w:usb2="00000016" w:usb3="00000000" w:csb0="00100009" w:csb1="00000000"/>
    <w:embedRegular r:id="rId4" w:fontKey="{ABE61416-4EA7-454E-82AA-2500D19E46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pPr>
      <w:pStyle w:val="13"/>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9A0F5DC4"/>
    <w:multiLevelType w:val="multilevel"/>
    <w:tmpl w:val="9A0F5DC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B0E8ECBD"/>
    <w:multiLevelType w:val="singleLevel"/>
    <w:tmpl w:val="B0E8ECBD"/>
    <w:lvl w:ilvl="0" w:tentative="0">
      <w:start w:val="1"/>
      <w:numFmt w:val="decimal"/>
      <w:suff w:val="nothing"/>
      <w:lvlText w:val="%1、"/>
      <w:lvlJc w:val="left"/>
    </w:lvl>
  </w:abstractNum>
  <w:abstractNum w:abstractNumId="4">
    <w:nsid w:val="C4A1AF0A"/>
    <w:multiLevelType w:val="singleLevel"/>
    <w:tmpl w:val="C4A1AF0A"/>
    <w:lvl w:ilvl="0" w:tentative="0">
      <w:start w:val="4"/>
      <w:numFmt w:val="chineseCounting"/>
      <w:suff w:val="nothing"/>
      <w:lvlText w:val="%1、"/>
      <w:lvlJc w:val="left"/>
      <w:rPr>
        <w:rFonts w:hint="eastAsia"/>
      </w:rPr>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0A565840"/>
    <w:multiLevelType w:val="singleLevel"/>
    <w:tmpl w:val="0A565840"/>
    <w:lvl w:ilvl="0" w:tentative="0">
      <w:start w:val="1"/>
      <w:numFmt w:val="decimal"/>
      <w:suff w:val="nothing"/>
      <w:lvlText w:val="%1、"/>
      <w:lvlJc w:val="left"/>
    </w:lvl>
  </w:abstractNum>
  <w:abstractNum w:abstractNumId="10">
    <w:nsid w:val="2AC7103C"/>
    <w:multiLevelType w:val="multilevel"/>
    <w:tmpl w:val="2AC7103C"/>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3BC6F39C"/>
    <w:multiLevelType w:val="singleLevel"/>
    <w:tmpl w:val="3BC6F39C"/>
    <w:lvl w:ilvl="0" w:tentative="0">
      <w:start w:val="1"/>
      <w:numFmt w:val="decimal"/>
      <w:suff w:val="space"/>
      <w:lvlText w:val="%1."/>
      <w:lvlJc w:val="left"/>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5"/>
  </w:num>
  <w:num w:numId="3">
    <w:abstractNumId w:val="14"/>
  </w:num>
  <w:num w:numId="4">
    <w:abstractNumId w:val="7"/>
  </w:num>
  <w:num w:numId="5">
    <w:abstractNumId w:val="5"/>
  </w:num>
  <w:num w:numId="6">
    <w:abstractNumId w:val="12"/>
  </w:num>
  <w:num w:numId="7">
    <w:abstractNumId w:val="1"/>
  </w:num>
  <w:num w:numId="8">
    <w:abstractNumId w:val="8"/>
  </w:num>
  <w:num w:numId="9">
    <w:abstractNumId w:val="4"/>
  </w:num>
  <w:num w:numId="10">
    <w:abstractNumId w:val="2"/>
  </w:num>
  <w:num w:numId="11">
    <w:abstractNumId w:val="10"/>
  </w:num>
  <w:num w:numId="12">
    <w:abstractNumId w:val="13"/>
  </w:num>
  <w:num w:numId="13">
    <w:abstractNumId w:val="3"/>
  </w:num>
  <w:num w:numId="14">
    <w:abstractNumId w:val="9"/>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s>
  <w:rsids>
    <w:rsidRoot w:val="00000000"/>
    <w:rsid w:val="01D86637"/>
    <w:rsid w:val="02D36DFE"/>
    <w:rsid w:val="04A22F2C"/>
    <w:rsid w:val="04D836CC"/>
    <w:rsid w:val="04DF1A8A"/>
    <w:rsid w:val="052E656D"/>
    <w:rsid w:val="06A54387"/>
    <w:rsid w:val="06A64F55"/>
    <w:rsid w:val="07AF3996"/>
    <w:rsid w:val="083500E3"/>
    <w:rsid w:val="08B374B6"/>
    <w:rsid w:val="08FE75D7"/>
    <w:rsid w:val="09322AD0"/>
    <w:rsid w:val="0A700227"/>
    <w:rsid w:val="0A7D5FCD"/>
    <w:rsid w:val="0AEE219D"/>
    <w:rsid w:val="0B3A5C6C"/>
    <w:rsid w:val="0BEF6A57"/>
    <w:rsid w:val="0CB97065"/>
    <w:rsid w:val="0D166265"/>
    <w:rsid w:val="0D2F0B75"/>
    <w:rsid w:val="0D3861DB"/>
    <w:rsid w:val="0D5D1B80"/>
    <w:rsid w:val="0D971B74"/>
    <w:rsid w:val="0E3D7B44"/>
    <w:rsid w:val="0FAC4A5B"/>
    <w:rsid w:val="0FAE09D7"/>
    <w:rsid w:val="108571AB"/>
    <w:rsid w:val="10EC6CF5"/>
    <w:rsid w:val="11AF30A1"/>
    <w:rsid w:val="11ED63EA"/>
    <w:rsid w:val="11FC3C7B"/>
    <w:rsid w:val="12371157"/>
    <w:rsid w:val="12986F2D"/>
    <w:rsid w:val="13D10E83"/>
    <w:rsid w:val="147C72F5"/>
    <w:rsid w:val="15673B02"/>
    <w:rsid w:val="15E348F4"/>
    <w:rsid w:val="16651E05"/>
    <w:rsid w:val="1890336F"/>
    <w:rsid w:val="192C074A"/>
    <w:rsid w:val="197C38F4"/>
    <w:rsid w:val="19DB24E8"/>
    <w:rsid w:val="1A057FA4"/>
    <w:rsid w:val="1A611273"/>
    <w:rsid w:val="1AB53523"/>
    <w:rsid w:val="1AC00AF1"/>
    <w:rsid w:val="1D331864"/>
    <w:rsid w:val="1D8B7ED2"/>
    <w:rsid w:val="1DE91501"/>
    <w:rsid w:val="1DED4338"/>
    <w:rsid w:val="1E4C7D38"/>
    <w:rsid w:val="1E88173F"/>
    <w:rsid w:val="20370574"/>
    <w:rsid w:val="207B66B3"/>
    <w:rsid w:val="22C96D6A"/>
    <w:rsid w:val="252217F3"/>
    <w:rsid w:val="262319BC"/>
    <w:rsid w:val="26B446CD"/>
    <w:rsid w:val="26DB2065"/>
    <w:rsid w:val="28292E99"/>
    <w:rsid w:val="28560F12"/>
    <w:rsid w:val="285B14DF"/>
    <w:rsid w:val="28BE1833"/>
    <w:rsid w:val="29001E4B"/>
    <w:rsid w:val="29361D11"/>
    <w:rsid w:val="293715E5"/>
    <w:rsid w:val="293A6AE4"/>
    <w:rsid w:val="298774BE"/>
    <w:rsid w:val="2A331DAD"/>
    <w:rsid w:val="2AF07C9E"/>
    <w:rsid w:val="2B1E1887"/>
    <w:rsid w:val="2D8C16A7"/>
    <w:rsid w:val="2E393998"/>
    <w:rsid w:val="2E4072A5"/>
    <w:rsid w:val="2F835584"/>
    <w:rsid w:val="2FFD5337"/>
    <w:rsid w:val="30007685"/>
    <w:rsid w:val="302E705A"/>
    <w:rsid w:val="32393423"/>
    <w:rsid w:val="33380434"/>
    <w:rsid w:val="337C0B48"/>
    <w:rsid w:val="33B01385"/>
    <w:rsid w:val="341A78AC"/>
    <w:rsid w:val="343926B5"/>
    <w:rsid w:val="3671332B"/>
    <w:rsid w:val="37E62B54"/>
    <w:rsid w:val="38C500B3"/>
    <w:rsid w:val="39317DFF"/>
    <w:rsid w:val="3AE03859"/>
    <w:rsid w:val="3C2E6878"/>
    <w:rsid w:val="3CFB4C5D"/>
    <w:rsid w:val="3DC56D68"/>
    <w:rsid w:val="3E502AD5"/>
    <w:rsid w:val="3E895FE7"/>
    <w:rsid w:val="3F7647BE"/>
    <w:rsid w:val="3F942E96"/>
    <w:rsid w:val="3FC90D91"/>
    <w:rsid w:val="40022408"/>
    <w:rsid w:val="41E910AE"/>
    <w:rsid w:val="4206121C"/>
    <w:rsid w:val="421323A5"/>
    <w:rsid w:val="43064193"/>
    <w:rsid w:val="445D7CFA"/>
    <w:rsid w:val="44D838B5"/>
    <w:rsid w:val="44F3065E"/>
    <w:rsid w:val="456F23DB"/>
    <w:rsid w:val="4597548E"/>
    <w:rsid w:val="45CF4C28"/>
    <w:rsid w:val="475573AE"/>
    <w:rsid w:val="48943F06"/>
    <w:rsid w:val="49771967"/>
    <w:rsid w:val="49A014EB"/>
    <w:rsid w:val="49C5081B"/>
    <w:rsid w:val="4B0261A8"/>
    <w:rsid w:val="4B801415"/>
    <w:rsid w:val="4BD71EB9"/>
    <w:rsid w:val="4C0E2F1B"/>
    <w:rsid w:val="4CBF34E6"/>
    <w:rsid w:val="4CC03516"/>
    <w:rsid w:val="50EC48E0"/>
    <w:rsid w:val="51085492"/>
    <w:rsid w:val="549718E4"/>
    <w:rsid w:val="54E35FFA"/>
    <w:rsid w:val="550C692B"/>
    <w:rsid w:val="55CF6667"/>
    <w:rsid w:val="55D65293"/>
    <w:rsid w:val="56AD4B11"/>
    <w:rsid w:val="56C703BD"/>
    <w:rsid w:val="57807D09"/>
    <w:rsid w:val="57F86260"/>
    <w:rsid w:val="58A106A5"/>
    <w:rsid w:val="5B4D241F"/>
    <w:rsid w:val="5B9B762E"/>
    <w:rsid w:val="5D3526C7"/>
    <w:rsid w:val="5DED6696"/>
    <w:rsid w:val="5F182D44"/>
    <w:rsid w:val="5FD73106"/>
    <w:rsid w:val="61170069"/>
    <w:rsid w:val="62347F47"/>
    <w:rsid w:val="627C4C03"/>
    <w:rsid w:val="62F31AFE"/>
    <w:rsid w:val="63293771"/>
    <w:rsid w:val="635B76A3"/>
    <w:rsid w:val="63C96D02"/>
    <w:rsid w:val="64320204"/>
    <w:rsid w:val="64BE57F1"/>
    <w:rsid w:val="64CD45D0"/>
    <w:rsid w:val="65085608"/>
    <w:rsid w:val="65766A16"/>
    <w:rsid w:val="65907AD8"/>
    <w:rsid w:val="66D9016E"/>
    <w:rsid w:val="671E1113"/>
    <w:rsid w:val="672E75A8"/>
    <w:rsid w:val="674C5C80"/>
    <w:rsid w:val="67902011"/>
    <w:rsid w:val="67B65075"/>
    <w:rsid w:val="67BB4BB4"/>
    <w:rsid w:val="67ED07E2"/>
    <w:rsid w:val="692D705C"/>
    <w:rsid w:val="69FF522C"/>
    <w:rsid w:val="6A006A00"/>
    <w:rsid w:val="6A07121D"/>
    <w:rsid w:val="6AA819B9"/>
    <w:rsid w:val="6ADA4463"/>
    <w:rsid w:val="6B013226"/>
    <w:rsid w:val="6B026870"/>
    <w:rsid w:val="6B7E03D2"/>
    <w:rsid w:val="6C025233"/>
    <w:rsid w:val="6C163F72"/>
    <w:rsid w:val="6CFA1CDB"/>
    <w:rsid w:val="6DF54350"/>
    <w:rsid w:val="6FC54073"/>
    <w:rsid w:val="7064403B"/>
    <w:rsid w:val="711807DF"/>
    <w:rsid w:val="71445C1A"/>
    <w:rsid w:val="71527F65"/>
    <w:rsid w:val="716A5681"/>
    <w:rsid w:val="71C51DA1"/>
    <w:rsid w:val="71DE7825"/>
    <w:rsid w:val="728118F5"/>
    <w:rsid w:val="728B3F87"/>
    <w:rsid w:val="74BB2697"/>
    <w:rsid w:val="752B5127"/>
    <w:rsid w:val="75F776FF"/>
    <w:rsid w:val="778E4093"/>
    <w:rsid w:val="77E06D61"/>
    <w:rsid w:val="788B1CC4"/>
    <w:rsid w:val="790A14F7"/>
    <w:rsid w:val="79A951B4"/>
    <w:rsid w:val="7B2014A6"/>
    <w:rsid w:val="7D5E2796"/>
    <w:rsid w:val="7E66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5">
    <w:name w:val="Normal Indent"/>
    <w:basedOn w:val="1"/>
    <w:qFormat/>
    <w:uiPriority w:val="0"/>
    <w:pPr>
      <w:adjustRightInd w:val="0"/>
      <w:ind w:firstLine="420"/>
    </w:pPr>
    <w:rPr>
      <w:rFonts w:ascii="宋体"/>
      <w:sz w:val="24"/>
      <w:szCs w:val="20"/>
    </w:rPr>
  </w:style>
  <w:style w:type="paragraph" w:styleId="8">
    <w:name w:val="annotation text"/>
    <w:basedOn w:val="1"/>
    <w:qFormat/>
    <w:uiPriority w:val="0"/>
    <w:pPr>
      <w:jc w:val="left"/>
    </w:pPr>
  </w:style>
  <w:style w:type="paragraph" w:styleId="9">
    <w:name w:val="Body Text"/>
    <w:qFormat/>
    <w:uiPriority w:val="1"/>
    <w:pPr>
      <w:widowControl w:val="0"/>
      <w:jc w:val="both"/>
    </w:pPr>
    <w:rPr>
      <w:rFonts w:ascii="楷体" w:hAnsi="楷体" w:eastAsia="楷体" w:cs="楷体"/>
      <w:kern w:val="2"/>
      <w:sz w:val="24"/>
      <w:szCs w:val="24"/>
      <w:lang w:val="zh-CN" w:eastAsia="zh-CN" w:bidi="zh-CN"/>
    </w:rPr>
  </w:style>
  <w:style w:type="paragraph" w:styleId="10">
    <w:name w:val="Body Text Indent"/>
    <w:next w:val="1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1">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2">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15">
    <w:name w:val="HTML Preformatted"/>
    <w:basedOn w:val="1"/>
    <w:unhideWhenUsed/>
    <w:qFormat/>
    <w:uiPriority w:val="0"/>
    <w:rPr>
      <w:rFonts w:ascii="Courier New" w:hAnsi="Courier New" w:cs="Courier New"/>
      <w:sz w:val="20"/>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next w:val="14"/>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8">
    <w:name w:val="Body Text First Indent 2"/>
    <w:next w:val="17"/>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表格文字2"/>
    <w:basedOn w:val="24"/>
    <w:qFormat/>
    <w:uiPriority w:val="99"/>
    <w:pPr>
      <w:spacing w:before="25" w:after="25"/>
      <w:jc w:val="left"/>
    </w:pPr>
    <w:rPr>
      <w:bCs/>
      <w:spacing w:val="10"/>
      <w:kern w:val="0"/>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paragraph" w:customStyle="1" w:styleId="29">
    <w:name w:val="正文缩进_2"/>
    <w:basedOn w:val="30"/>
    <w:unhideWhenUsed/>
    <w:qFormat/>
    <w:uiPriority w:val="0"/>
    <w:pPr>
      <w:ind w:firstLine="420" w:firstLineChars="200"/>
    </w:pPr>
    <w:rPr>
      <w:rFonts w:ascii="Calibri" w:hAnsi="Calibri"/>
    </w:rPr>
  </w:style>
  <w:style w:type="paragraph" w:customStyle="1" w:styleId="30">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36544</Words>
  <Characters>37983</Characters>
  <Lines>0</Lines>
  <Paragraphs>0</Paragraphs>
  <TotalTime>3</TotalTime>
  <ScaleCrop>false</ScaleCrop>
  <LinksUpToDate>false</LinksUpToDate>
  <CharactersWithSpaces>39806</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李梦媛</cp:lastModifiedBy>
  <dcterms:modified xsi:type="dcterms:W3CDTF">2023-07-20T08:09:06Z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C9046CC0211340EBA191C9F8E33C4501_13</vt:lpwstr>
  </property>
</Properties>
</file>