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 w:hAnsi="仿宋" w:eastAsia="仿宋" w:cs="仿宋"/>
          <w:highlight w:val="none"/>
        </w:rPr>
      </w:pPr>
      <w:r>
        <w:rPr>
          <w:rFonts w:hint="eastAsia" w:ascii="仿宋" w:hAnsi="仿宋" w:eastAsia="仿宋" w:cs="仿宋"/>
          <w:sz w:val="21"/>
          <w:highlight w:val="none"/>
        </w:rPr>
        <mc:AlternateContent>
          <mc:Choice Requires="wps">
            <w:drawing>
              <wp:anchor distT="0" distB="0" distL="114300" distR="114300" simplePos="0" relativeHeight="251661312" behindDoc="0" locked="0" layoutInCell="1" allowOverlap="1">
                <wp:simplePos x="0" y="0"/>
                <wp:positionH relativeFrom="column">
                  <wp:posOffset>-1172845</wp:posOffset>
                </wp:positionH>
                <wp:positionV relativeFrom="paragraph">
                  <wp:posOffset>735330</wp:posOffset>
                </wp:positionV>
                <wp:extent cx="7621270" cy="1615440"/>
                <wp:effectExtent l="0" t="0" r="0" b="0"/>
                <wp:wrapNone/>
                <wp:docPr id="9" name="文本框 9"/>
                <wp:cNvGraphicFramePr/>
                <a:graphic xmlns:a="http://schemas.openxmlformats.org/drawingml/2006/main">
                  <a:graphicData uri="http://schemas.microsoft.com/office/word/2010/wordprocessingShape">
                    <wps:wsp>
                      <wps:cNvSpPr txBox="1"/>
                      <wps:spPr>
                        <a:xfrm>
                          <a:off x="0" y="0"/>
                          <a:ext cx="7621270" cy="161544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pacing w:line="360" w:lineRule="auto"/>
                              <w:jc w:val="center"/>
                              <w:rPr>
                                <w:rFonts w:hint="eastAsia" w:ascii="微软雅黑" w:hAnsi="微软雅黑" w:eastAsia="微软雅黑" w:cs="微软雅黑"/>
                                <w:b/>
                                <w:bCs/>
                                <w:color w:val="237085"/>
                                <w:sz w:val="36"/>
                                <w:szCs w:val="36"/>
                                <w:lang w:val="en-US" w:eastAsia="zh-CN"/>
                              </w:rPr>
                            </w:pPr>
                            <w:r>
                              <w:rPr>
                                <w:rFonts w:hint="eastAsia" w:ascii="微软雅黑" w:hAnsi="微软雅黑" w:eastAsia="微软雅黑" w:cs="微软雅黑"/>
                                <w:b/>
                                <w:bCs/>
                                <w:color w:val="237085"/>
                                <w:sz w:val="36"/>
                                <w:szCs w:val="36"/>
                                <w:lang w:val="en-US" w:eastAsia="zh-CN"/>
                              </w:rPr>
                              <w:t>2023年新疆师范大学后勤服务中心采购大宗物资-蛋奶类（二次）</w:t>
                            </w:r>
                          </w:p>
                          <w:p>
                            <w:pPr>
                              <w:spacing w:line="360" w:lineRule="auto"/>
                              <w:jc w:val="center"/>
                              <w:rPr>
                                <w:rFonts w:hint="eastAsia" w:ascii="微软雅黑" w:hAnsi="微软雅黑" w:eastAsia="微软雅黑" w:cs="微软雅黑"/>
                                <w:b/>
                                <w:bCs/>
                                <w:color w:val="237085"/>
                                <w:sz w:val="36"/>
                                <w:szCs w:val="36"/>
                                <w:lang w:val="en-US" w:eastAsia="zh-CN"/>
                              </w:rPr>
                            </w:pPr>
                            <w:r>
                              <w:rPr>
                                <w:rFonts w:hint="eastAsia" w:ascii="微软雅黑" w:hAnsi="微软雅黑" w:eastAsia="微软雅黑" w:cs="微软雅黑"/>
                                <w:b/>
                                <w:bCs/>
                                <w:color w:val="237085"/>
                                <w:sz w:val="36"/>
                                <w:szCs w:val="36"/>
                                <w:lang w:val="en-US" w:eastAsia="zh-CN"/>
                              </w:rPr>
                              <w:t>第2包禽蛋类采购项目采购（昆仑校区、文光校区）</w:t>
                            </w:r>
                          </w:p>
                          <w:p>
                            <w:pPr>
                              <w:spacing w:line="360" w:lineRule="auto"/>
                              <w:jc w:val="center"/>
                              <w:rPr>
                                <w:rFonts w:hint="default" w:ascii="微软雅黑" w:hAnsi="微软雅黑" w:eastAsia="微软雅黑" w:cs="微软雅黑"/>
                                <w:b/>
                                <w:bCs/>
                                <w:color w:val="237085"/>
                                <w:sz w:val="28"/>
                                <w:szCs w:val="28"/>
                                <w:lang w:val="en-US" w:eastAsia="zh-CN"/>
                              </w:rPr>
                            </w:pPr>
                            <w:r>
                              <w:rPr>
                                <w:rFonts w:hint="eastAsia" w:ascii="微软雅黑" w:hAnsi="微软雅黑" w:eastAsia="微软雅黑" w:cs="微软雅黑"/>
                                <w:b/>
                                <w:bCs/>
                                <w:color w:val="237085"/>
                                <w:sz w:val="36"/>
                                <w:szCs w:val="36"/>
                                <w:lang w:val="en-US" w:eastAsia="zh-CN"/>
                              </w:rPr>
                              <w:t>（项目编号：SJX-2023-206（02））</w:t>
                            </w:r>
                          </w:p>
                          <w:p>
                            <w:pPr>
                              <w:spacing w:line="360" w:lineRule="auto"/>
                              <w:jc w:val="center"/>
                              <w:rPr>
                                <w:rFonts w:hint="default" w:ascii="微软雅黑" w:hAnsi="微软雅黑" w:eastAsia="微软雅黑" w:cs="微软雅黑"/>
                                <w:b/>
                                <w:bCs/>
                                <w:color w:val="237085"/>
                                <w:sz w:val="28"/>
                                <w:szCs w:val="28"/>
                                <w:lang w:val="en-US" w:eastAsia="zh-CN"/>
                              </w:rPr>
                            </w:pPr>
                            <w:r>
                              <w:rPr>
                                <w:rFonts w:hint="eastAsia" w:ascii="微软雅黑" w:hAnsi="微软雅黑" w:eastAsia="微软雅黑" w:cs="微软雅黑"/>
                                <w:b/>
                                <w:bCs/>
                                <w:color w:val="237085"/>
                                <w:sz w:val="36"/>
                                <w:szCs w:val="36"/>
                                <w:lang w:val="en-US" w:eastAsia="zh-CN"/>
                              </w:rPr>
                              <w:t>（标段编号：02）</w:t>
                            </w:r>
                          </w:p>
                          <w:p>
                            <w:pPr>
                              <w:spacing w:line="360" w:lineRule="auto"/>
                              <w:jc w:val="center"/>
                              <w:rPr>
                                <w:rFonts w:hint="default" w:ascii="微软雅黑" w:hAnsi="微软雅黑" w:eastAsia="微软雅黑" w:cs="微软雅黑"/>
                                <w:b/>
                                <w:bCs/>
                                <w:color w:val="237085"/>
                                <w:sz w:val="28"/>
                                <w:szCs w:val="28"/>
                                <w:lang w:val="en-US" w:eastAsia="zh-CN"/>
                              </w:rPr>
                            </w:pPr>
                          </w:p>
                          <w:p>
                            <w:pPr>
                              <w:rPr>
                                <w:rFonts w:hint="default"/>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2.35pt;margin-top:57.9pt;height:127.2pt;width:600.1pt;z-index:251661312;mso-width-relative:page;mso-height-relative:page;" filled="f" stroked="f" coordsize="21600,21600" o:gfxdata="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0egHmtwAAAANAQAADwAAAAAAAAABACAAAAAiAAAA&#10;ZHJzL2Rvd25yZXYueG1sUEsBAhQAFAAAAAgAh07iQKGzT388AgAAZwQAAA4AAAAAAAAAAQAgAAAA&#10;KwEAAGRycy9lMm9Eb2MueG1sUEsFBgAAAAAGAAYAWQEAANkFAAAAAA==&#10;">
                <v:fill on="f" focussize="0,0"/>
                <v:stroke on="f" weight="0.5pt"/>
                <v:imagedata o:title=""/>
                <o:lock v:ext="edit" aspectratio="f"/>
                <v:textbox>
                  <w:txbxContent>
                    <w:p>
                      <w:pPr>
                        <w:spacing w:line="360" w:lineRule="auto"/>
                        <w:jc w:val="center"/>
                        <w:rPr>
                          <w:rFonts w:hint="eastAsia" w:ascii="微软雅黑" w:hAnsi="微软雅黑" w:eastAsia="微软雅黑" w:cs="微软雅黑"/>
                          <w:b/>
                          <w:bCs/>
                          <w:color w:val="237085"/>
                          <w:sz w:val="36"/>
                          <w:szCs w:val="36"/>
                          <w:lang w:val="en-US" w:eastAsia="zh-CN"/>
                        </w:rPr>
                      </w:pPr>
                      <w:r>
                        <w:rPr>
                          <w:rFonts w:hint="eastAsia" w:ascii="微软雅黑" w:hAnsi="微软雅黑" w:eastAsia="微软雅黑" w:cs="微软雅黑"/>
                          <w:b/>
                          <w:bCs/>
                          <w:color w:val="237085"/>
                          <w:sz w:val="36"/>
                          <w:szCs w:val="36"/>
                          <w:lang w:val="en-US" w:eastAsia="zh-CN"/>
                        </w:rPr>
                        <w:t>2023年新疆师范大学后勤服务中心采购大宗物资-蛋奶类（二次）</w:t>
                      </w:r>
                    </w:p>
                    <w:p>
                      <w:pPr>
                        <w:spacing w:line="360" w:lineRule="auto"/>
                        <w:jc w:val="center"/>
                        <w:rPr>
                          <w:rFonts w:hint="eastAsia" w:ascii="微软雅黑" w:hAnsi="微软雅黑" w:eastAsia="微软雅黑" w:cs="微软雅黑"/>
                          <w:b/>
                          <w:bCs/>
                          <w:color w:val="237085"/>
                          <w:sz w:val="36"/>
                          <w:szCs w:val="36"/>
                          <w:lang w:val="en-US" w:eastAsia="zh-CN"/>
                        </w:rPr>
                      </w:pPr>
                      <w:r>
                        <w:rPr>
                          <w:rFonts w:hint="eastAsia" w:ascii="微软雅黑" w:hAnsi="微软雅黑" w:eastAsia="微软雅黑" w:cs="微软雅黑"/>
                          <w:b/>
                          <w:bCs/>
                          <w:color w:val="237085"/>
                          <w:sz w:val="36"/>
                          <w:szCs w:val="36"/>
                          <w:lang w:val="en-US" w:eastAsia="zh-CN"/>
                        </w:rPr>
                        <w:t>第2包禽蛋类采购项目采购（昆仑校区、文光校区）</w:t>
                      </w:r>
                    </w:p>
                    <w:p>
                      <w:pPr>
                        <w:spacing w:line="360" w:lineRule="auto"/>
                        <w:jc w:val="center"/>
                        <w:rPr>
                          <w:rFonts w:hint="default" w:ascii="微软雅黑" w:hAnsi="微软雅黑" w:eastAsia="微软雅黑" w:cs="微软雅黑"/>
                          <w:b/>
                          <w:bCs/>
                          <w:color w:val="237085"/>
                          <w:sz w:val="28"/>
                          <w:szCs w:val="28"/>
                          <w:lang w:val="en-US" w:eastAsia="zh-CN"/>
                        </w:rPr>
                      </w:pPr>
                      <w:r>
                        <w:rPr>
                          <w:rFonts w:hint="eastAsia" w:ascii="微软雅黑" w:hAnsi="微软雅黑" w:eastAsia="微软雅黑" w:cs="微软雅黑"/>
                          <w:b/>
                          <w:bCs/>
                          <w:color w:val="237085"/>
                          <w:sz w:val="36"/>
                          <w:szCs w:val="36"/>
                          <w:lang w:val="en-US" w:eastAsia="zh-CN"/>
                        </w:rPr>
                        <w:t>（项目编号：SJX-2023-206（02））</w:t>
                      </w:r>
                    </w:p>
                    <w:p>
                      <w:pPr>
                        <w:spacing w:line="360" w:lineRule="auto"/>
                        <w:jc w:val="center"/>
                        <w:rPr>
                          <w:rFonts w:hint="default" w:ascii="微软雅黑" w:hAnsi="微软雅黑" w:eastAsia="微软雅黑" w:cs="微软雅黑"/>
                          <w:b/>
                          <w:bCs/>
                          <w:color w:val="237085"/>
                          <w:sz w:val="28"/>
                          <w:szCs w:val="28"/>
                          <w:lang w:val="en-US" w:eastAsia="zh-CN"/>
                        </w:rPr>
                      </w:pPr>
                      <w:r>
                        <w:rPr>
                          <w:rFonts w:hint="eastAsia" w:ascii="微软雅黑" w:hAnsi="微软雅黑" w:eastAsia="微软雅黑" w:cs="微软雅黑"/>
                          <w:b/>
                          <w:bCs/>
                          <w:color w:val="237085"/>
                          <w:sz w:val="36"/>
                          <w:szCs w:val="36"/>
                          <w:lang w:val="en-US" w:eastAsia="zh-CN"/>
                        </w:rPr>
                        <w:t>（标段编号：02）</w:t>
                      </w:r>
                    </w:p>
                    <w:p>
                      <w:pPr>
                        <w:spacing w:line="360" w:lineRule="auto"/>
                        <w:jc w:val="center"/>
                        <w:rPr>
                          <w:rFonts w:hint="default" w:ascii="微软雅黑" w:hAnsi="微软雅黑" w:eastAsia="微软雅黑" w:cs="微软雅黑"/>
                          <w:b/>
                          <w:bCs/>
                          <w:color w:val="237085"/>
                          <w:sz w:val="28"/>
                          <w:szCs w:val="28"/>
                          <w:lang w:val="en-US" w:eastAsia="zh-CN"/>
                        </w:rPr>
                      </w:pPr>
                    </w:p>
                    <w:p>
                      <w:pPr>
                        <w:rPr>
                          <w:rFonts w:hint="default"/>
                          <w:lang w:val="en-US" w:eastAsia="zh-CN"/>
                        </w:rPr>
                      </w:pPr>
                    </w:p>
                  </w:txbxContent>
                </v:textbox>
              </v:shape>
            </w:pict>
          </mc:Fallback>
        </mc:AlternateContent>
      </w:r>
      <w:r>
        <w:rPr>
          <w:rFonts w:hint="eastAsia" w:ascii="仿宋" w:hAnsi="仿宋" w:eastAsia="仿宋" w:cs="仿宋"/>
          <w:highlight w:val="none"/>
        </w:rPr>
        <w:drawing>
          <wp:anchor distT="0" distB="0" distL="114300" distR="114300" simplePos="0" relativeHeight="251660288" behindDoc="1" locked="0" layoutInCell="1" allowOverlap="1">
            <wp:simplePos x="0" y="0"/>
            <wp:positionH relativeFrom="column">
              <wp:posOffset>-1240155</wp:posOffset>
            </wp:positionH>
            <wp:positionV relativeFrom="paragraph">
              <wp:posOffset>-911225</wp:posOffset>
            </wp:positionV>
            <wp:extent cx="7769225" cy="10739755"/>
            <wp:effectExtent l="0" t="0" r="3175" b="4445"/>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7769225" cy="10739755"/>
                    </a:xfrm>
                    <a:prstGeom prst="rect">
                      <a:avLst/>
                    </a:prstGeom>
                    <a:noFill/>
                    <a:ln>
                      <a:noFill/>
                    </a:ln>
                  </pic:spPr>
                </pic:pic>
              </a:graphicData>
            </a:graphic>
          </wp:anchor>
        </w:drawing>
      </w:r>
    </w:p>
    <w:p>
      <w:pPr>
        <w:rPr>
          <w:rFonts w:hint="eastAsia" w:ascii="仿宋" w:hAnsi="仿宋" w:eastAsia="仿宋" w:cs="仿宋"/>
          <w:highlight w:val="none"/>
        </w:rPr>
      </w:pPr>
    </w:p>
    <w:p>
      <w:pPr>
        <w:jc w:val="center"/>
        <w:rPr>
          <w:rFonts w:hint="eastAsia" w:ascii="仿宋" w:hAnsi="仿宋" w:eastAsia="仿宋" w:cs="仿宋"/>
          <w:sz w:val="32"/>
          <w:szCs w:val="32"/>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ascii="仿宋" w:hAnsi="仿宋" w:eastAsia="仿宋" w:cs="仿宋"/>
          <w:sz w:val="21"/>
          <w:highlight w:val="none"/>
        </w:rPr>
        <mc:AlternateContent>
          <mc:Choice Requires="wps">
            <w:drawing>
              <wp:anchor distT="0" distB="0" distL="114300" distR="114300" simplePos="0" relativeHeight="251663360" behindDoc="0" locked="0" layoutInCell="1" allowOverlap="1">
                <wp:simplePos x="0" y="0"/>
                <wp:positionH relativeFrom="column">
                  <wp:posOffset>1325880</wp:posOffset>
                </wp:positionH>
                <wp:positionV relativeFrom="paragraph">
                  <wp:posOffset>3750310</wp:posOffset>
                </wp:positionV>
                <wp:extent cx="2648585" cy="99695"/>
                <wp:effectExtent l="0" t="0" r="18415" b="14605"/>
                <wp:wrapNone/>
                <wp:docPr id="3" name="矩形 3"/>
                <wp:cNvGraphicFramePr/>
                <a:graphic xmlns:a="http://schemas.openxmlformats.org/drawingml/2006/main">
                  <a:graphicData uri="http://schemas.microsoft.com/office/word/2010/wordprocessingShape">
                    <wps:wsp>
                      <wps:cNvSpPr/>
                      <wps:spPr>
                        <a:xfrm>
                          <a:off x="0" y="0"/>
                          <a:ext cx="2648585" cy="99695"/>
                        </a:xfrm>
                        <a:prstGeom prst="rect">
                          <a:avLst/>
                        </a:prstGeom>
                        <a:solidFill>
                          <a:srgbClr val="2E93B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04.4pt;margin-top:295.3pt;height:7.85pt;width:208.55pt;z-index:251663360;v-text-anchor:middle;mso-width-relative:page;mso-height-relative:page;" fillcolor="#2E93B0" filled="t" stroked="f" coordsize="21600,21600" o:gfxdata="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ulyDQNkAAAALAQAADwAAAAAAAAABACAAAAAiAAAAZHJzL2Rvd25y&#10;ZXYueG1sUEsBAhQAFAAAAAgAh07iQLWhYHFvAgAAygQAAA4AAAAAAAAAAQAgAAAAKAEAAGRycy9l&#10;Mm9Eb2MueG1sUEsFBgAAAAAGAAYAWQEAAAkGAAAAAA==&#10;">
                <v:fill on="t" focussize="0,0"/>
                <v:stroke on="f" weight="1pt" miterlimit="8" joinstyle="miter"/>
                <v:imagedata o:title=""/>
                <o:lock v:ext="edit" aspectratio="f"/>
              </v:rect>
            </w:pict>
          </mc:Fallback>
        </mc:AlternateContent>
      </w:r>
      <w:r>
        <w:rPr>
          <w:rFonts w:hint="eastAsia" w:ascii="仿宋" w:hAnsi="仿宋" w:eastAsia="仿宋" w:cs="仿宋"/>
          <w:sz w:val="21"/>
          <w:highlight w:val="none"/>
        </w:rPr>
        <mc:AlternateContent>
          <mc:Choice Requires="wps">
            <w:drawing>
              <wp:anchor distT="0" distB="0" distL="114300" distR="114300" simplePos="0" relativeHeight="251662336" behindDoc="0" locked="0" layoutInCell="1" allowOverlap="1">
                <wp:simplePos x="0" y="0"/>
                <wp:positionH relativeFrom="column">
                  <wp:posOffset>-889000</wp:posOffset>
                </wp:positionH>
                <wp:positionV relativeFrom="paragraph">
                  <wp:posOffset>2870835</wp:posOffset>
                </wp:positionV>
                <wp:extent cx="7130415" cy="88138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7130415" cy="88138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8"/>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微软雅黑" w:hAnsi="微软雅黑" w:eastAsia="微软雅黑" w:cs="微软雅黑"/>
                                <w:b/>
                                <w:bCs/>
                                <w:color w:val="2E93B0"/>
                                <w:sz w:val="72"/>
                                <w:szCs w:val="72"/>
                                <w:lang w:val="en-US" w:eastAsia="zh-CN"/>
                              </w:rPr>
                            </w:pPr>
                            <w:r>
                              <w:rPr>
                                <w:rFonts w:hint="eastAsia" w:ascii="微软雅黑" w:hAnsi="微软雅黑" w:eastAsia="微软雅黑" w:cs="微软雅黑"/>
                                <w:b/>
                                <w:bCs/>
                                <w:color w:val="2E93B0"/>
                                <w:sz w:val="72"/>
                                <w:szCs w:val="72"/>
                                <w:lang w:val="en-US" w:eastAsia="zh-CN"/>
                              </w:rPr>
                              <w:t>公开招标采购文件</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0pt;margin-top:226.05pt;height:69.4pt;width:561.45pt;z-index:251662336;mso-width-relative:page;mso-height-relative:page;" filled="f" stroked="f" coordsize="21600,21600" o:gfxdata="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D521M33QAAAAwBAAAPAAAAAAAAAAEAIAAAACIA&#10;AABkcnMvZG93bnJldi54bWxQSwECFAAUAAAACACHTuJA867+AT0CAABoBAAADgAAAAAAAAABACAA&#10;AAAsAQAAZHJzL2Uyb0RvYy54bWxQSwUGAAAAAAYABgBZAQAA2wUAAAAA&#10;">
                <v:fill on="f" focussize="0,0"/>
                <v:stroke on="f" weight="0.5pt"/>
                <v:imagedata o:title=""/>
                <o:lock v:ext="edit" aspectratio="f"/>
                <v:textbox>
                  <w:txbxContent>
                    <w:p>
                      <w:pPr>
                        <w:pStyle w:val="18"/>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微软雅黑" w:hAnsi="微软雅黑" w:eastAsia="微软雅黑" w:cs="微软雅黑"/>
                          <w:b/>
                          <w:bCs/>
                          <w:color w:val="2E93B0"/>
                          <w:sz w:val="72"/>
                          <w:szCs w:val="72"/>
                          <w:lang w:val="en-US" w:eastAsia="zh-CN"/>
                        </w:rPr>
                      </w:pPr>
                      <w:r>
                        <w:rPr>
                          <w:rFonts w:hint="eastAsia" w:ascii="微软雅黑" w:hAnsi="微软雅黑" w:eastAsia="微软雅黑" w:cs="微软雅黑"/>
                          <w:b/>
                          <w:bCs/>
                          <w:color w:val="2E93B0"/>
                          <w:sz w:val="72"/>
                          <w:szCs w:val="72"/>
                          <w:lang w:val="en-US" w:eastAsia="zh-CN"/>
                        </w:rPr>
                        <w:t>公开招标采购文件</w:t>
                      </w:r>
                    </w:p>
                  </w:txbxContent>
                </v:textbox>
              </v:shape>
            </w:pict>
          </mc:Fallback>
        </mc:AlternateContent>
      </w:r>
      <w:r>
        <w:rPr>
          <w:rFonts w:hint="eastAsia" w:ascii="仿宋" w:hAnsi="仿宋" w:eastAsia="仿宋" w:cs="仿宋"/>
          <w:highlight w:val="none"/>
          <w:lang w:eastAsia="zh-CN"/>
        </w:rPr>
        <w:drawing>
          <wp:anchor distT="0" distB="0" distL="114300" distR="114300" simplePos="0" relativeHeight="251665408" behindDoc="0" locked="0" layoutInCell="1" allowOverlap="1">
            <wp:simplePos x="0" y="0"/>
            <wp:positionH relativeFrom="column">
              <wp:posOffset>2974975</wp:posOffset>
            </wp:positionH>
            <wp:positionV relativeFrom="page">
              <wp:posOffset>7449185</wp:posOffset>
            </wp:positionV>
            <wp:extent cx="1417320" cy="1410970"/>
            <wp:effectExtent l="0" t="0" r="11430" b="17780"/>
            <wp:wrapNone/>
            <wp:docPr id="8" name="图片 8" descr="扫描全能王 2022-09-16 10.51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扫描全能王 2022-09-16 10.51_2"/>
                    <pic:cNvPicPr>
                      <a:picLocks noChangeAspect="1"/>
                    </pic:cNvPicPr>
                  </pic:nvPicPr>
                  <pic:blipFill>
                    <a:blip r:embed="rId7"/>
                    <a:srcRect l="22113" t="29394" r="21666" b="28715"/>
                    <a:stretch>
                      <a:fillRect/>
                    </a:stretch>
                  </pic:blipFill>
                  <pic:spPr>
                    <a:xfrm>
                      <a:off x="0" y="0"/>
                      <a:ext cx="1417320" cy="1410970"/>
                    </a:xfrm>
                    <a:prstGeom prst="rect">
                      <a:avLst/>
                    </a:prstGeom>
                  </pic:spPr>
                </pic:pic>
              </a:graphicData>
            </a:graphic>
          </wp:anchor>
        </w:drawing>
      </w:r>
      <w:r>
        <w:rPr>
          <w:rFonts w:hint="eastAsia" w:ascii="仿宋" w:hAnsi="仿宋" w:eastAsia="仿宋" w:cs="仿宋"/>
          <w:sz w:val="21"/>
          <w:highlight w:val="none"/>
        </w:rPr>
        <mc:AlternateContent>
          <mc:Choice Requires="wps">
            <w:drawing>
              <wp:anchor distT="0" distB="0" distL="114300" distR="114300" simplePos="0" relativeHeight="251664384" behindDoc="0" locked="0" layoutInCell="1" allowOverlap="1">
                <wp:simplePos x="0" y="0"/>
                <wp:positionH relativeFrom="column">
                  <wp:posOffset>-86360</wp:posOffset>
                </wp:positionH>
                <wp:positionV relativeFrom="paragraph">
                  <wp:posOffset>5794375</wp:posOffset>
                </wp:positionV>
                <wp:extent cx="5464175" cy="2486025"/>
                <wp:effectExtent l="0" t="0" r="0" b="0"/>
                <wp:wrapNone/>
                <wp:docPr id="6" name="文本框 6"/>
                <wp:cNvGraphicFramePr/>
                <a:graphic xmlns:a="http://schemas.openxmlformats.org/drawingml/2006/main">
                  <a:graphicData uri="http://schemas.microsoft.com/office/word/2010/wordprocessingShape">
                    <wps:wsp>
                      <wps:cNvSpPr txBox="1"/>
                      <wps:spPr>
                        <a:xfrm>
                          <a:off x="0" y="0"/>
                          <a:ext cx="5464175" cy="24860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left"/>
                              <w:rPr>
                                <w:rFonts w:hint="eastAsia"/>
                                <w:lang w:val="en-US" w:eastAsia="zh-CN"/>
                              </w:rPr>
                            </w:pPr>
                            <w:r>
                              <w:rPr>
                                <w:rFonts w:hint="eastAsia" w:ascii="微软雅黑" w:hAnsi="微软雅黑" w:eastAsia="微软雅黑" w:cs="微软雅黑"/>
                                <w:b/>
                                <w:bCs/>
                                <w:color w:val="237085"/>
                                <w:sz w:val="32"/>
                                <w:szCs w:val="32"/>
                                <w:lang w:val="en-US" w:eastAsia="zh-CN"/>
                              </w:rPr>
                              <w:t>采购人：新疆师范大学（盖章）</w:t>
                            </w:r>
                          </w:p>
                          <w:p>
                            <w:pPr>
                              <w:jc w:val="left"/>
                              <w:rPr>
                                <w:rFonts w:hint="eastAsia" w:ascii="微软雅黑" w:hAnsi="微软雅黑" w:eastAsia="微软雅黑" w:cs="微软雅黑"/>
                                <w:b/>
                                <w:bCs/>
                                <w:color w:val="237085"/>
                                <w:sz w:val="32"/>
                                <w:szCs w:val="32"/>
                                <w:lang w:val="en-US" w:eastAsia="zh-CN"/>
                              </w:rPr>
                            </w:pPr>
                          </w:p>
                          <w:p>
                            <w:pPr>
                              <w:jc w:val="left"/>
                              <w:rPr>
                                <w:rFonts w:hint="eastAsia" w:ascii="微软雅黑" w:hAnsi="微软雅黑" w:eastAsia="微软雅黑" w:cs="微软雅黑"/>
                                <w:b/>
                                <w:bCs/>
                                <w:color w:val="237085"/>
                                <w:sz w:val="32"/>
                                <w:szCs w:val="32"/>
                                <w:lang w:val="en-US" w:eastAsia="zh-CN"/>
                              </w:rPr>
                            </w:pPr>
                            <w:r>
                              <w:rPr>
                                <w:rFonts w:hint="eastAsia" w:ascii="微软雅黑" w:hAnsi="微软雅黑" w:eastAsia="微软雅黑" w:cs="微软雅黑"/>
                                <w:b/>
                                <w:bCs/>
                                <w:color w:val="237085"/>
                                <w:sz w:val="32"/>
                                <w:szCs w:val="32"/>
                                <w:lang w:val="en-US" w:eastAsia="zh-CN"/>
                              </w:rPr>
                              <w:t>采购代理机构：新疆世纪星工程咨询有限公司（盖章）</w:t>
                            </w:r>
                          </w:p>
                          <w:p>
                            <w:pPr>
                              <w:jc w:val="center"/>
                              <w:rPr>
                                <w:rFonts w:hint="eastAsia" w:ascii="微软雅黑" w:hAnsi="微软雅黑" w:eastAsia="微软雅黑" w:cs="微软雅黑"/>
                                <w:b/>
                                <w:bCs/>
                                <w:color w:val="237085"/>
                                <w:sz w:val="32"/>
                                <w:szCs w:val="32"/>
                                <w:lang w:val="en-US" w:eastAsia="zh-CN"/>
                              </w:rPr>
                            </w:pPr>
                          </w:p>
                          <w:p>
                            <w:pPr>
                              <w:jc w:val="center"/>
                              <w:rPr>
                                <w:rFonts w:hint="eastAsia" w:ascii="微软雅黑" w:hAnsi="微软雅黑" w:eastAsia="微软雅黑" w:cs="微软雅黑"/>
                                <w:b/>
                                <w:bCs/>
                                <w:color w:val="237085"/>
                                <w:sz w:val="32"/>
                                <w:szCs w:val="32"/>
                              </w:rPr>
                            </w:pPr>
                            <w:r>
                              <w:rPr>
                                <w:rFonts w:hint="eastAsia" w:ascii="微软雅黑" w:hAnsi="微软雅黑" w:eastAsia="微软雅黑" w:cs="微软雅黑"/>
                                <w:b/>
                                <w:bCs/>
                                <w:color w:val="237085"/>
                                <w:sz w:val="32"/>
                                <w:szCs w:val="32"/>
                                <w:lang w:val="en-US" w:eastAsia="zh-CN"/>
                              </w:rPr>
                              <w:t>日期：2023年07月20日</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8pt;margin-top:456.25pt;height:195.75pt;width:430.25pt;z-index:251664384;mso-width-relative:page;mso-height-relative:page;" filled="f" stroked="f" coordsize="21600,21600" o:gfxdata="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Bw8aPbdAAAADAEAAA8AAAAAAAAAAQAgAAAAIgAA&#10;AGRycy9kb3ducmV2LnhtbFBLAQIUABQAAAAIAIdO4kC9B9GiPAIAAGcEAAAOAAAAAAAAAAEAIAAA&#10;ACwBAABkcnMvZTJvRG9jLnhtbFBLBQYAAAAABgAGAFkBAADaBQAAAAA=&#10;">
                <v:fill on="f" focussize="0,0"/>
                <v:stroke on="f" weight="0.5pt"/>
                <v:imagedata o:title=""/>
                <o:lock v:ext="edit" aspectratio="f"/>
                <v:textbox>
                  <w:txbxContent>
                    <w:p>
                      <w:pPr>
                        <w:jc w:val="left"/>
                        <w:rPr>
                          <w:rFonts w:hint="eastAsia"/>
                          <w:lang w:val="en-US" w:eastAsia="zh-CN"/>
                        </w:rPr>
                      </w:pPr>
                      <w:r>
                        <w:rPr>
                          <w:rFonts w:hint="eastAsia" w:ascii="微软雅黑" w:hAnsi="微软雅黑" w:eastAsia="微软雅黑" w:cs="微软雅黑"/>
                          <w:b/>
                          <w:bCs/>
                          <w:color w:val="237085"/>
                          <w:sz w:val="32"/>
                          <w:szCs w:val="32"/>
                          <w:lang w:val="en-US" w:eastAsia="zh-CN"/>
                        </w:rPr>
                        <w:t>采购人：新疆师范大学（盖章）</w:t>
                      </w:r>
                    </w:p>
                    <w:p>
                      <w:pPr>
                        <w:jc w:val="left"/>
                        <w:rPr>
                          <w:rFonts w:hint="eastAsia" w:ascii="微软雅黑" w:hAnsi="微软雅黑" w:eastAsia="微软雅黑" w:cs="微软雅黑"/>
                          <w:b/>
                          <w:bCs/>
                          <w:color w:val="237085"/>
                          <w:sz w:val="32"/>
                          <w:szCs w:val="32"/>
                          <w:lang w:val="en-US" w:eastAsia="zh-CN"/>
                        </w:rPr>
                      </w:pPr>
                    </w:p>
                    <w:p>
                      <w:pPr>
                        <w:jc w:val="left"/>
                        <w:rPr>
                          <w:rFonts w:hint="eastAsia" w:ascii="微软雅黑" w:hAnsi="微软雅黑" w:eastAsia="微软雅黑" w:cs="微软雅黑"/>
                          <w:b/>
                          <w:bCs/>
                          <w:color w:val="237085"/>
                          <w:sz w:val="32"/>
                          <w:szCs w:val="32"/>
                          <w:lang w:val="en-US" w:eastAsia="zh-CN"/>
                        </w:rPr>
                      </w:pPr>
                      <w:r>
                        <w:rPr>
                          <w:rFonts w:hint="eastAsia" w:ascii="微软雅黑" w:hAnsi="微软雅黑" w:eastAsia="微软雅黑" w:cs="微软雅黑"/>
                          <w:b/>
                          <w:bCs/>
                          <w:color w:val="237085"/>
                          <w:sz w:val="32"/>
                          <w:szCs w:val="32"/>
                          <w:lang w:val="en-US" w:eastAsia="zh-CN"/>
                        </w:rPr>
                        <w:t>采购代理机构：新疆世纪星工程咨询有限公司（盖章）</w:t>
                      </w:r>
                    </w:p>
                    <w:p>
                      <w:pPr>
                        <w:jc w:val="center"/>
                        <w:rPr>
                          <w:rFonts w:hint="eastAsia" w:ascii="微软雅黑" w:hAnsi="微软雅黑" w:eastAsia="微软雅黑" w:cs="微软雅黑"/>
                          <w:b/>
                          <w:bCs/>
                          <w:color w:val="237085"/>
                          <w:sz w:val="32"/>
                          <w:szCs w:val="32"/>
                          <w:lang w:val="en-US" w:eastAsia="zh-CN"/>
                        </w:rPr>
                      </w:pPr>
                    </w:p>
                    <w:p>
                      <w:pPr>
                        <w:jc w:val="center"/>
                        <w:rPr>
                          <w:rFonts w:hint="eastAsia" w:ascii="微软雅黑" w:hAnsi="微软雅黑" w:eastAsia="微软雅黑" w:cs="微软雅黑"/>
                          <w:b/>
                          <w:bCs/>
                          <w:color w:val="237085"/>
                          <w:sz w:val="32"/>
                          <w:szCs w:val="32"/>
                        </w:rPr>
                      </w:pPr>
                      <w:r>
                        <w:rPr>
                          <w:rFonts w:hint="eastAsia" w:ascii="微软雅黑" w:hAnsi="微软雅黑" w:eastAsia="微软雅黑" w:cs="微软雅黑"/>
                          <w:b/>
                          <w:bCs/>
                          <w:color w:val="237085"/>
                          <w:sz w:val="32"/>
                          <w:szCs w:val="32"/>
                          <w:lang w:val="en-US" w:eastAsia="zh-CN"/>
                        </w:rPr>
                        <w:t>日期：2023年07月20日</w:t>
                      </w:r>
                    </w:p>
                  </w:txbxContent>
                </v:textbox>
              </v:shape>
            </w:pict>
          </mc:Fallback>
        </mc:AlternateContent>
      </w:r>
    </w:p>
    <w:p>
      <w:pPr>
        <w:jc w:val="center"/>
        <w:rPr>
          <w:rFonts w:hint="eastAsia" w:ascii="仿宋" w:hAnsi="仿宋" w:eastAsia="仿宋" w:cs="仿宋"/>
          <w:sz w:val="32"/>
          <w:szCs w:val="32"/>
          <w:highlight w:val="none"/>
        </w:rPr>
      </w:pPr>
    </w:p>
    <w:tbl>
      <w:tblPr>
        <w:tblStyle w:val="19"/>
        <w:tblW w:w="928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28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513" w:hRule="atLeast"/>
          <w:jc w:val="center"/>
        </w:trPr>
        <w:tc>
          <w:tcPr>
            <w:tcW w:w="9280" w:type="dxa"/>
            <w:tcBorders>
              <w:tl2br w:val="nil"/>
              <w:tr2bl w:val="nil"/>
            </w:tcBorders>
            <w:noWrap w:val="0"/>
            <w:vAlign w:val="top"/>
          </w:tcPr>
          <w:p>
            <w:pPr>
              <w:rPr>
                <w:rFonts w:hint="eastAsia" w:ascii="仿宋" w:hAnsi="仿宋" w:eastAsia="仿宋" w:cs="仿宋"/>
                <w:b/>
                <w:bCs/>
                <w:sz w:val="32"/>
                <w:szCs w:val="32"/>
                <w:highlight w:val="none"/>
              </w:rPr>
            </w:pPr>
            <w:r>
              <w:rPr>
                <w:rFonts w:hint="eastAsia" w:ascii="仿宋" w:hAnsi="仿宋" w:eastAsia="仿宋" w:cs="仿宋"/>
                <w:sz w:val="32"/>
                <w:szCs w:val="32"/>
                <w:highlight w:val="none"/>
              </w:rPr>
              <w:br w:type="page"/>
            </w:r>
          </w:p>
          <w:p>
            <w:pPr>
              <w:spacing w:line="360" w:lineRule="auto"/>
              <w:ind w:right="31" w:rightChars="15"/>
              <w:jc w:val="center"/>
              <w:rPr>
                <w:rFonts w:hint="eastAsia" w:ascii="仿宋" w:hAnsi="仿宋" w:eastAsia="仿宋" w:cs="仿宋"/>
                <w:b/>
                <w:bCs/>
                <w:sz w:val="32"/>
                <w:szCs w:val="32"/>
                <w:highlight w:val="none"/>
              </w:rPr>
            </w:pPr>
          </w:p>
          <w:p>
            <w:pPr>
              <w:spacing w:line="360" w:lineRule="auto"/>
              <w:ind w:right="31" w:rightChars="15"/>
              <w:jc w:val="center"/>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招标文件确认</w:t>
            </w:r>
            <w:r>
              <w:rPr>
                <w:rFonts w:hint="eastAsia" w:ascii="仿宋" w:hAnsi="仿宋" w:eastAsia="仿宋" w:cs="仿宋"/>
                <w:b/>
                <w:bCs/>
                <w:sz w:val="32"/>
                <w:szCs w:val="32"/>
                <w:highlight w:val="none"/>
                <w:lang w:val="en-US" w:eastAsia="zh-CN"/>
              </w:rPr>
              <w:t>表</w:t>
            </w:r>
          </w:p>
          <w:p>
            <w:pPr>
              <w:spacing w:line="360" w:lineRule="auto"/>
              <w:ind w:firstLine="720" w:firstLineChars="300"/>
              <w:jc w:val="both"/>
              <w:rPr>
                <w:rFonts w:hint="eastAsia" w:ascii="仿宋" w:hAnsi="仿宋" w:eastAsia="仿宋" w:cs="仿宋"/>
                <w:sz w:val="24"/>
                <w:szCs w:val="24"/>
                <w:highlight w:val="none"/>
                <w:lang w:val="en-US" w:eastAsia="zh-CN"/>
              </w:rPr>
            </w:pPr>
          </w:p>
          <w:p>
            <w:pPr>
              <w:spacing w:line="360" w:lineRule="auto"/>
              <w:jc w:val="both"/>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新疆世纪星工程咨询有限公司：</w:t>
            </w:r>
          </w:p>
          <w:p>
            <w:pPr>
              <w:spacing w:line="360" w:lineRule="auto"/>
              <w:ind w:firstLine="840" w:firstLineChars="300"/>
              <w:jc w:val="both"/>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u w:val="single"/>
                <w:lang w:val="en-US" w:eastAsia="zh-CN"/>
              </w:rPr>
              <w:t>（2023年新疆师范大学后勤服务中心采购大宗物资-蛋奶类（二次））（项目编号：SJX-2023-206（02））</w:t>
            </w:r>
            <w:r>
              <w:rPr>
                <w:rFonts w:hint="eastAsia" w:ascii="仿宋" w:hAnsi="仿宋" w:eastAsia="仿宋" w:cs="仿宋"/>
                <w:sz w:val="28"/>
                <w:szCs w:val="28"/>
                <w:highlight w:val="none"/>
                <w:lang w:val="en-US" w:eastAsia="zh-CN"/>
              </w:rPr>
              <w:t>招标文件，经我单位审核符合我单位提出的招标要求，同意对外发布。</w:t>
            </w:r>
          </w:p>
          <w:p>
            <w:pPr>
              <w:spacing w:line="360" w:lineRule="auto"/>
              <w:jc w:val="both"/>
              <w:rPr>
                <w:rFonts w:hint="eastAsia" w:ascii="仿宋" w:hAnsi="仿宋" w:eastAsia="仿宋" w:cs="仿宋"/>
                <w:sz w:val="28"/>
                <w:szCs w:val="28"/>
                <w:highlight w:val="none"/>
              </w:rPr>
            </w:pPr>
          </w:p>
          <w:p>
            <w:pPr>
              <w:spacing w:line="360" w:lineRule="auto"/>
              <w:ind w:right="240"/>
              <w:jc w:val="both"/>
              <w:rPr>
                <w:rFonts w:hint="eastAsia" w:ascii="仿宋" w:hAnsi="仿宋" w:eastAsia="仿宋" w:cs="仿宋"/>
                <w:sz w:val="28"/>
                <w:szCs w:val="28"/>
                <w:highlight w:val="none"/>
              </w:rPr>
            </w:pPr>
          </w:p>
          <w:p>
            <w:pPr>
              <w:spacing w:line="360" w:lineRule="auto"/>
              <w:ind w:right="240"/>
              <w:jc w:val="both"/>
              <w:rPr>
                <w:rFonts w:hint="eastAsia" w:ascii="仿宋" w:hAnsi="仿宋" w:eastAsia="仿宋" w:cs="仿宋"/>
                <w:sz w:val="28"/>
                <w:szCs w:val="28"/>
                <w:highlight w:val="none"/>
              </w:rPr>
            </w:pPr>
          </w:p>
          <w:p>
            <w:pPr>
              <w:spacing w:line="360" w:lineRule="auto"/>
              <w:ind w:right="840"/>
              <w:jc w:val="both"/>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val="en-US" w:eastAsia="zh-CN"/>
              </w:rPr>
              <w:t xml:space="preserve">                             采购人</w:t>
            </w:r>
            <w:r>
              <w:rPr>
                <w:rFonts w:hint="eastAsia" w:ascii="仿宋" w:hAnsi="仿宋" w:eastAsia="仿宋" w:cs="仿宋"/>
                <w:sz w:val="28"/>
                <w:szCs w:val="28"/>
                <w:highlight w:val="none"/>
              </w:rPr>
              <w:t>（盖章）</w:t>
            </w:r>
            <w:r>
              <w:rPr>
                <w:rFonts w:hint="eastAsia" w:ascii="仿宋" w:hAnsi="仿宋" w:eastAsia="仿宋" w:cs="仿宋"/>
                <w:sz w:val="28"/>
                <w:szCs w:val="28"/>
                <w:highlight w:val="none"/>
                <w:lang w:val="en-US" w:eastAsia="zh-CN"/>
              </w:rPr>
              <w:t xml:space="preserve">：  </w:t>
            </w:r>
          </w:p>
          <w:p>
            <w:pPr>
              <w:spacing w:line="360" w:lineRule="auto"/>
              <w:ind w:right="960"/>
              <w:jc w:val="both"/>
              <w:rPr>
                <w:rFonts w:hint="eastAsia" w:ascii="仿宋" w:hAnsi="仿宋" w:eastAsia="仿宋" w:cs="仿宋"/>
                <w:b/>
                <w:sz w:val="40"/>
                <w:szCs w:val="32"/>
                <w:highlight w:val="none"/>
              </w:rPr>
            </w:pP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val="en-US" w:eastAsia="zh-CN"/>
              </w:rPr>
              <w:t xml:space="preserve">2023 </w:t>
            </w:r>
            <w:r>
              <w:rPr>
                <w:rFonts w:hint="eastAsia" w:ascii="仿宋" w:hAnsi="仿宋" w:eastAsia="仿宋" w:cs="仿宋"/>
                <w:sz w:val="28"/>
                <w:szCs w:val="28"/>
                <w:highlight w:val="none"/>
              </w:rPr>
              <w:t xml:space="preserve">年 </w:t>
            </w:r>
            <w:r>
              <w:rPr>
                <w:rFonts w:hint="eastAsia" w:ascii="仿宋" w:hAnsi="仿宋" w:eastAsia="仿宋" w:cs="仿宋"/>
                <w:sz w:val="28"/>
                <w:szCs w:val="28"/>
                <w:highlight w:val="none"/>
                <w:lang w:val="en-US" w:eastAsia="zh-CN"/>
              </w:rPr>
              <w:t>07</w:t>
            </w:r>
            <w:r>
              <w:rPr>
                <w:rFonts w:hint="eastAsia" w:ascii="仿宋" w:hAnsi="仿宋" w:eastAsia="仿宋" w:cs="仿宋"/>
                <w:sz w:val="28"/>
                <w:szCs w:val="28"/>
                <w:highlight w:val="none"/>
              </w:rPr>
              <w:t>月</w:t>
            </w:r>
            <w:r>
              <w:rPr>
                <w:rFonts w:hint="eastAsia" w:ascii="仿宋" w:hAnsi="仿宋" w:eastAsia="仿宋" w:cs="仿宋"/>
                <w:sz w:val="28"/>
                <w:szCs w:val="28"/>
                <w:highlight w:val="none"/>
                <w:lang w:val="en-US" w:eastAsia="zh-CN"/>
              </w:rPr>
              <w:t>20</w:t>
            </w:r>
            <w:r>
              <w:rPr>
                <w:rFonts w:hint="eastAsia" w:ascii="仿宋" w:hAnsi="仿宋" w:eastAsia="仿宋" w:cs="仿宋"/>
                <w:sz w:val="28"/>
                <w:szCs w:val="28"/>
                <w:highlight w:val="none"/>
              </w:rPr>
              <w:t>日</w:t>
            </w:r>
          </w:p>
        </w:tc>
      </w:tr>
    </w:tbl>
    <w:p>
      <w:pPr>
        <w:rPr>
          <w:rFonts w:hint="eastAsia" w:ascii="仿宋" w:hAnsi="仿宋" w:eastAsia="仿宋" w:cs="仿宋"/>
          <w:sz w:val="32"/>
          <w:szCs w:val="32"/>
          <w:highlight w:val="none"/>
        </w:rPr>
      </w:pPr>
      <w:r>
        <w:rPr>
          <w:rFonts w:hint="eastAsia" w:ascii="仿宋" w:hAnsi="仿宋" w:eastAsia="仿宋" w:cs="仿宋"/>
          <w:sz w:val="32"/>
          <w:szCs w:val="32"/>
          <w:highlight w:val="none"/>
        </w:rPr>
        <w:br w:type="page"/>
      </w:r>
    </w:p>
    <w:p>
      <w:pPr>
        <w:jc w:val="center"/>
        <w:rPr>
          <w:rFonts w:hint="eastAsia" w:ascii="仿宋" w:hAnsi="仿宋" w:eastAsia="仿宋" w:cs="仿宋"/>
          <w:sz w:val="32"/>
          <w:szCs w:val="32"/>
          <w:highlight w:val="none"/>
        </w:rPr>
      </w:pPr>
      <w:r>
        <w:rPr>
          <w:rFonts w:hint="eastAsia" w:ascii="仿宋" w:hAnsi="仿宋" w:eastAsia="仿宋" w:cs="仿宋"/>
          <w:sz w:val="32"/>
          <w:szCs w:val="32"/>
          <w:highlight w:val="none"/>
        </w:rPr>
        <w:t>目  录</w:t>
      </w:r>
    </w:p>
    <w:sdt>
      <w:sdtPr>
        <w:rPr>
          <w:rFonts w:hint="eastAsia" w:ascii="仿宋" w:hAnsi="仿宋" w:eastAsia="仿宋" w:cs="仿宋"/>
          <w:kern w:val="2"/>
          <w:sz w:val="21"/>
          <w:szCs w:val="24"/>
          <w:highlight w:val="none"/>
          <w:lang w:val="en-US" w:eastAsia="zh-CN" w:bidi="ar-SA"/>
        </w:rPr>
        <w:id w:val="147457632"/>
        <w15:color w:val="DBDBDB"/>
        <w:docPartObj>
          <w:docPartGallery w:val="Table of Contents"/>
          <w:docPartUnique/>
        </w:docPartObj>
      </w:sdtPr>
      <w:sdtEndPr>
        <w:rPr>
          <w:rFonts w:hint="eastAsia" w:ascii="仿宋" w:hAnsi="仿宋" w:eastAsia="仿宋" w:cs="仿宋"/>
          <w:b/>
          <w:kern w:val="2"/>
          <w:sz w:val="21"/>
          <w:szCs w:val="32"/>
          <w:highlight w:val="none"/>
          <w:lang w:val="en-US" w:eastAsia="zh-CN" w:bidi="ar-SA"/>
        </w:rPr>
      </w:sdtEndPr>
      <w:sdtContent>
        <w:p>
          <w:pPr>
            <w:spacing w:before="0" w:beforeLines="0" w:after="0" w:afterLines="0" w:line="240" w:lineRule="auto"/>
            <w:ind w:left="0" w:leftChars="0" w:right="0" w:rightChars="0" w:firstLine="0" w:firstLineChars="0"/>
            <w:jc w:val="center"/>
            <w:rPr>
              <w:rFonts w:hint="eastAsia" w:ascii="仿宋" w:hAnsi="仿宋" w:eastAsia="仿宋" w:cs="仿宋"/>
              <w:highlight w:val="none"/>
            </w:rPr>
          </w:pPr>
        </w:p>
        <w:p>
          <w:pPr>
            <w:pStyle w:val="27"/>
            <w:tabs>
              <w:tab w:val="right" w:leader="dot" w:pos="8306"/>
            </w:tabs>
            <w:rPr>
              <w:rFonts w:hint="eastAsia" w:ascii="仿宋" w:hAnsi="仿宋" w:eastAsia="仿宋" w:cs="仿宋"/>
              <w:b/>
              <w:highlight w:val="none"/>
            </w:rPr>
          </w:pP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TOC \o "1-2" \h \u </w:instrText>
          </w:r>
          <w:r>
            <w:rPr>
              <w:rFonts w:hint="eastAsia" w:ascii="仿宋" w:hAnsi="仿宋" w:eastAsia="仿宋" w:cs="仿宋"/>
              <w:sz w:val="32"/>
              <w:szCs w:val="32"/>
              <w:highlight w:val="none"/>
            </w:rPr>
            <w:fldChar w:fldCharType="separate"/>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HYPERLINK \l _Toc11868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rPr>
            <w:t xml:space="preserve">第一章 </w:t>
          </w:r>
          <w:r>
            <w:rPr>
              <w:rFonts w:hint="eastAsia" w:ascii="仿宋" w:hAnsi="仿宋" w:eastAsia="仿宋" w:cs="仿宋"/>
              <w:b/>
              <w:sz w:val="24"/>
              <w:szCs w:val="24"/>
              <w:highlight w:val="none"/>
              <w:lang w:val="en-US" w:eastAsia="zh-CN"/>
            </w:rPr>
            <w:t>公开招标公告</w:t>
          </w:r>
          <w:r>
            <w:rPr>
              <w:rFonts w:hint="eastAsia" w:ascii="仿宋" w:hAnsi="仿宋" w:eastAsia="仿宋" w:cs="仿宋"/>
              <w:b/>
              <w:sz w:val="24"/>
              <w:szCs w:val="24"/>
              <w:highlight w:val="none"/>
            </w:rPr>
            <w:tab/>
          </w: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PAGEREF _Toc11868 \h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rPr>
            <w:t>1</w:t>
          </w:r>
          <w:r>
            <w:rPr>
              <w:rFonts w:hint="eastAsia" w:ascii="仿宋" w:hAnsi="仿宋" w:eastAsia="仿宋" w:cs="仿宋"/>
              <w:b/>
              <w:sz w:val="24"/>
              <w:szCs w:val="24"/>
              <w:highlight w:val="none"/>
            </w:rPr>
            <w:fldChar w:fldCharType="end"/>
          </w:r>
          <w:r>
            <w:rPr>
              <w:rFonts w:hint="eastAsia" w:ascii="仿宋" w:hAnsi="仿宋" w:eastAsia="仿宋" w:cs="仿宋"/>
              <w:b/>
              <w:sz w:val="24"/>
              <w:szCs w:val="24"/>
              <w:highlight w:val="none"/>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_Toc21739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一、项目基本情况</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_Toc21739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1</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_Toc15364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二、申请人的资格要求：</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_Toc15364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1</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_Toc29084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三、获取招标文件</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_Toc29084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1</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_Toc24224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四、提交投标文件截止时间、开标时间和地点</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_Toc24224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2</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_Toc17115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五、公告期限</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_Toc17115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2</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_Toc22084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六、其他补充事宜</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_Toc22084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2</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_Toc21999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七、对本次采购提出询问，请按以下方式联系</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_Toc21999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2</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HYPERLINK \l _Toc31403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rPr>
            <w:t>第二章 投标须知前附表</w:t>
          </w:r>
          <w:r>
            <w:rPr>
              <w:rFonts w:hint="eastAsia" w:ascii="仿宋" w:hAnsi="仿宋" w:eastAsia="仿宋" w:cs="仿宋"/>
              <w:b/>
              <w:sz w:val="24"/>
              <w:szCs w:val="24"/>
              <w:highlight w:val="none"/>
            </w:rPr>
            <w:tab/>
          </w: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PAGEREF _Toc31403 \h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rPr>
            <w:t>4</w:t>
          </w:r>
          <w:r>
            <w:rPr>
              <w:rFonts w:hint="eastAsia" w:ascii="仿宋" w:hAnsi="仿宋" w:eastAsia="仿宋" w:cs="仿宋"/>
              <w:b/>
              <w:sz w:val="24"/>
              <w:szCs w:val="24"/>
              <w:highlight w:val="none"/>
            </w:rPr>
            <w:fldChar w:fldCharType="end"/>
          </w:r>
          <w:r>
            <w:rPr>
              <w:rFonts w:hint="eastAsia" w:ascii="仿宋" w:hAnsi="仿宋" w:eastAsia="仿宋" w:cs="仿宋"/>
              <w:b/>
              <w:sz w:val="24"/>
              <w:szCs w:val="24"/>
              <w:highlight w:val="none"/>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HYPERLINK \l _Toc27881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rPr>
            <w:t>第三章 投标人须知</w:t>
          </w:r>
          <w:r>
            <w:rPr>
              <w:rFonts w:hint="eastAsia" w:ascii="仿宋" w:hAnsi="仿宋" w:eastAsia="仿宋" w:cs="仿宋"/>
              <w:b/>
              <w:sz w:val="24"/>
              <w:szCs w:val="24"/>
              <w:highlight w:val="none"/>
            </w:rPr>
            <w:tab/>
          </w: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PAGEREF _Toc27881 \h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rPr>
            <w:t>9</w:t>
          </w:r>
          <w:r>
            <w:rPr>
              <w:rFonts w:hint="eastAsia" w:ascii="仿宋" w:hAnsi="仿宋" w:eastAsia="仿宋" w:cs="仿宋"/>
              <w:b/>
              <w:sz w:val="24"/>
              <w:szCs w:val="24"/>
              <w:highlight w:val="none"/>
            </w:rPr>
            <w:fldChar w:fldCharType="end"/>
          </w:r>
          <w:r>
            <w:rPr>
              <w:rFonts w:hint="eastAsia" w:ascii="仿宋" w:hAnsi="仿宋" w:eastAsia="仿宋" w:cs="仿宋"/>
              <w:b/>
              <w:sz w:val="24"/>
              <w:szCs w:val="24"/>
              <w:highlight w:val="none"/>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_Toc20936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一、 说 明</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_Toc20936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9</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_Toc6547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en-US" w:eastAsia="zh-CN"/>
            </w:rPr>
            <w:t>二、 招标文件</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_Toc6547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14</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_Toc9070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en-US" w:eastAsia="zh-CN"/>
            </w:rPr>
            <w:t>三、 投标文件的编制</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_Toc9070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16</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_Toc21719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en-US" w:eastAsia="zh-CN"/>
            </w:rPr>
            <w:t>四、 投标文件的提交</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_Toc21719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19</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_Toc15263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en-US" w:eastAsia="zh-CN"/>
            </w:rPr>
            <w:t>五、 开标、资格审查及评标</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_Toc15263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20</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_Toc7787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en-US" w:eastAsia="zh-CN"/>
            </w:rPr>
            <w:t>六、 确定中标</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_Toc7787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22</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HYPERLINK \l _Toc22543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lang w:val="en-US" w:eastAsia="zh-CN"/>
            </w:rPr>
            <w:t>第四章 政府采购合同</w:t>
          </w:r>
          <w:r>
            <w:rPr>
              <w:rFonts w:hint="eastAsia" w:ascii="仿宋" w:hAnsi="仿宋" w:eastAsia="仿宋" w:cs="仿宋"/>
              <w:b/>
              <w:sz w:val="24"/>
              <w:szCs w:val="24"/>
              <w:highlight w:val="none"/>
            </w:rPr>
            <w:tab/>
          </w: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PAGEREF _Toc22543 \h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rPr>
            <w:t>26</w:t>
          </w:r>
          <w:r>
            <w:rPr>
              <w:rFonts w:hint="eastAsia" w:ascii="仿宋" w:hAnsi="仿宋" w:eastAsia="仿宋" w:cs="仿宋"/>
              <w:b/>
              <w:sz w:val="24"/>
              <w:szCs w:val="24"/>
              <w:highlight w:val="none"/>
            </w:rPr>
            <w:fldChar w:fldCharType="end"/>
          </w:r>
          <w:r>
            <w:rPr>
              <w:rFonts w:hint="eastAsia" w:ascii="仿宋" w:hAnsi="仿宋" w:eastAsia="仿宋" w:cs="仿宋"/>
              <w:b/>
              <w:sz w:val="24"/>
              <w:szCs w:val="24"/>
              <w:highlight w:val="none"/>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HYPERLINK \l _Toc20159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lang w:val="en-US" w:eastAsia="zh-CN"/>
            </w:rPr>
            <w:t>第五章 采购需求</w:t>
          </w:r>
          <w:r>
            <w:rPr>
              <w:rFonts w:hint="eastAsia" w:ascii="仿宋" w:hAnsi="仿宋" w:eastAsia="仿宋" w:cs="仿宋"/>
              <w:b/>
              <w:sz w:val="24"/>
              <w:szCs w:val="24"/>
              <w:highlight w:val="none"/>
            </w:rPr>
            <w:tab/>
          </w: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PAGEREF _Toc20159 \h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rPr>
            <w:t>27</w:t>
          </w:r>
          <w:r>
            <w:rPr>
              <w:rFonts w:hint="eastAsia" w:ascii="仿宋" w:hAnsi="仿宋" w:eastAsia="仿宋" w:cs="仿宋"/>
              <w:b/>
              <w:sz w:val="24"/>
              <w:szCs w:val="24"/>
              <w:highlight w:val="none"/>
            </w:rPr>
            <w:fldChar w:fldCharType="end"/>
          </w:r>
          <w:r>
            <w:rPr>
              <w:rFonts w:hint="eastAsia" w:ascii="仿宋" w:hAnsi="仿宋" w:eastAsia="仿宋" w:cs="仿宋"/>
              <w:b/>
              <w:sz w:val="24"/>
              <w:szCs w:val="24"/>
              <w:highlight w:val="none"/>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HYPERLINK \l _Toc21893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lang w:val="en-US" w:eastAsia="zh-CN"/>
            </w:rPr>
            <w:t>第六章 评标程序、评标方法和评标标准</w:t>
          </w:r>
          <w:r>
            <w:rPr>
              <w:rFonts w:hint="eastAsia" w:ascii="仿宋" w:hAnsi="仿宋" w:eastAsia="仿宋" w:cs="仿宋"/>
              <w:b/>
              <w:sz w:val="24"/>
              <w:szCs w:val="24"/>
              <w:highlight w:val="none"/>
            </w:rPr>
            <w:tab/>
          </w: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PAGEREF _Toc21893 \h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rPr>
            <w:t>28</w:t>
          </w:r>
          <w:r>
            <w:rPr>
              <w:rFonts w:hint="eastAsia" w:ascii="仿宋" w:hAnsi="仿宋" w:eastAsia="仿宋" w:cs="仿宋"/>
              <w:b/>
              <w:sz w:val="24"/>
              <w:szCs w:val="24"/>
              <w:highlight w:val="none"/>
            </w:rPr>
            <w:fldChar w:fldCharType="end"/>
          </w:r>
          <w:r>
            <w:rPr>
              <w:rFonts w:hint="eastAsia" w:ascii="仿宋" w:hAnsi="仿宋" w:eastAsia="仿宋" w:cs="仿宋"/>
              <w:b/>
              <w:sz w:val="24"/>
              <w:szCs w:val="24"/>
              <w:highlight w:val="none"/>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_Toc27440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en-US" w:eastAsia="zh-CN"/>
            </w:rPr>
            <w:t>1. 评标方法</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_Toc27440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28</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_Toc12617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en-US" w:eastAsia="zh-CN"/>
            </w:rPr>
            <w:t>2. 评标原则</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_Toc12617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28</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_Toc6046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en-US" w:eastAsia="zh-CN"/>
            </w:rPr>
            <w:t>3. 资格审查</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_Toc6046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28</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_Toc4337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en-US" w:eastAsia="zh-CN"/>
            </w:rPr>
            <w:t>4. 符合性审查</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_Toc4337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30</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_Toc23924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en-US" w:eastAsia="zh-CN"/>
            </w:rPr>
            <w:t>5. 投标文件有关事项的澄清或者说明</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_Toc23924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31</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_Toc22049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en-US" w:eastAsia="zh-CN"/>
            </w:rPr>
            <w:t>6. 详细评审</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_Toc22049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32</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HYPERLINK \l _Toc31337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lang w:val="en-US" w:eastAsia="zh-CN"/>
            </w:rPr>
            <w:t>第七章 投标文件格式</w:t>
          </w:r>
          <w:r>
            <w:rPr>
              <w:rFonts w:hint="eastAsia" w:ascii="仿宋" w:hAnsi="仿宋" w:eastAsia="仿宋" w:cs="仿宋"/>
              <w:b/>
              <w:sz w:val="24"/>
              <w:szCs w:val="24"/>
              <w:highlight w:val="none"/>
            </w:rPr>
            <w:tab/>
          </w: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PAGEREF _Toc31337 \h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rPr>
            <w:t>36</w:t>
          </w:r>
          <w:r>
            <w:rPr>
              <w:rFonts w:hint="eastAsia" w:ascii="仿宋" w:hAnsi="仿宋" w:eastAsia="仿宋" w:cs="仿宋"/>
              <w:b/>
              <w:sz w:val="24"/>
              <w:szCs w:val="24"/>
              <w:highlight w:val="none"/>
            </w:rPr>
            <w:fldChar w:fldCharType="end"/>
          </w:r>
          <w:r>
            <w:rPr>
              <w:rFonts w:hint="eastAsia" w:ascii="仿宋" w:hAnsi="仿宋" w:eastAsia="仿宋" w:cs="仿宋"/>
              <w:b/>
              <w:sz w:val="24"/>
              <w:szCs w:val="24"/>
              <w:highlight w:val="none"/>
            </w:rPr>
            <w:fldChar w:fldCharType="end"/>
          </w:r>
        </w:p>
        <w:p>
          <w:pPr>
            <w:pStyle w:val="28"/>
            <w:tabs>
              <w:tab w:val="right" w:leader="dot" w:pos="8306"/>
            </w:tabs>
            <w:rPr>
              <w:rFonts w:hint="eastAsia" w:ascii="仿宋" w:hAnsi="仿宋" w:eastAsia="仿宋" w:cs="仿宋"/>
              <w:highlight w:val="none"/>
            </w:rPr>
          </w:pPr>
        </w:p>
        <w:p>
          <w:pPr>
            <w:jc w:val="both"/>
            <w:rPr>
              <w:rFonts w:hint="eastAsia" w:ascii="仿宋" w:hAnsi="仿宋" w:eastAsia="仿宋" w:cs="仿宋"/>
              <w:sz w:val="32"/>
              <w:szCs w:val="32"/>
              <w:highlight w:val="none"/>
            </w:rPr>
          </w:pPr>
          <w:r>
            <w:rPr>
              <w:rFonts w:hint="eastAsia" w:ascii="仿宋" w:hAnsi="仿宋" w:eastAsia="仿宋" w:cs="仿宋"/>
              <w:b/>
              <w:szCs w:val="32"/>
              <w:highlight w:val="none"/>
            </w:rPr>
            <w:fldChar w:fldCharType="end"/>
          </w:r>
        </w:p>
      </w:sdtContent>
    </w:sdt>
    <w:p>
      <w:pPr>
        <w:pStyle w:val="3"/>
        <w:numPr>
          <w:ilvl w:val="0"/>
          <w:numId w:val="1"/>
        </w:numPr>
        <w:bidi w:val="0"/>
        <w:jc w:val="center"/>
        <w:rPr>
          <w:rFonts w:hint="eastAsia" w:ascii="仿宋" w:hAnsi="仿宋" w:eastAsia="仿宋" w:cs="仿宋"/>
          <w:sz w:val="32"/>
          <w:szCs w:val="32"/>
          <w:highlight w:val="none"/>
        </w:rPr>
        <w:sectPr>
          <w:head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bookmarkStart w:id="0" w:name="_Toc11868"/>
    </w:p>
    <w:p>
      <w:pPr>
        <w:pStyle w:val="3"/>
        <w:numPr>
          <w:ilvl w:val="0"/>
          <w:numId w:val="1"/>
        </w:numPr>
        <w:bidi w:val="0"/>
        <w:jc w:val="center"/>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公开招标</w:t>
      </w:r>
      <w:r>
        <w:rPr>
          <w:rFonts w:hint="eastAsia" w:ascii="仿宋" w:hAnsi="仿宋" w:eastAsia="仿宋" w:cs="仿宋"/>
          <w:sz w:val="32"/>
          <w:szCs w:val="32"/>
          <w:highlight w:val="none"/>
        </w:rPr>
        <w:t>公告</w:t>
      </w:r>
      <w:bookmarkEnd w:id="0"/>
    </w:p>
    <w:p>
      <w:pPr>
        <w:keepNext w:val="0"/>
        <w:keepLines w:val="0"/>
        <w:pageBreakBefore w:val="0"/>
        <w:widowControl w:val="0"/>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b/>
          <w:bCs/>
          <w:sz w:val="24"/>
          <w:szCs w:val="24"/>
          <w:highlight w:val="none"/>
        </w:rPr>
      </w:pPr>
      <w:bookmarkStart w:id="1" w:name="_Toc21739"/>
      <w:r>
        <w:rPr>
          <w:rFonts w:hint="eastAsia" w:ascii="仿宋" w:hAnsi="仿宋" w:eastAsia="仿宋" w:cs="仿宋"/>
          <w:b/>
          <w:bCs/>
          <w:sz w:val="24"/>
          <w:szCs w:val="24"/>
          <w:highlight w:val="none"/>
        </w:rPr>
        <w:t>一、项目基本情况</w:t>
      </w:r>
      <w:bookmarkEnd w:id="1"/>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default" w:ascii="仿宋" w:hAnsi="仿宋" w:eastAsia="仿宋" w:cs="仿宋"/>
          <w:sz w:val="24"/>
          <w:szCs w:val="24"/>
          <w:highlight w:val="none"/>
          <w:lang w:val="en-US"/>
        </w:rPr>
      </w:pPr>
      <w:r>
        <w:rPr>
          <w:rFonts w:hint="eastAsia" w:ascii="仿宋" w:hAnsi="仿宋" w:eastAsia="仿宋" w:cs="仿宋"/>
          <w:sz w:val="24"/>
          <w:szCs w:val="24"/>
          <w:highlight w:val="none"/>
        </w:rPr>
        <w:t>项目编号：</w:t>
      </w:r>
      <w:r>
        <w:rPr>
          <w:rFonts w:hint="eastAsia" w:ascii="仿宋" w:hAnsi="仿宋" w:eastAsia="仿宋" w:cs="仿宋"/>
          <w:sz w:val="24"/>
          <w:szCs w:val="24"/>
          <w:highlight w:val="none"/>
          <w:lang w:val="en-US" w:eastAsia="zh-CN"/>
        </w:rPr>
        <w:t>SJX-2023-206（02）</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项目名称：</w:t>
      </w:r>
      <w:r>
        <w:rPr>
          <w:rFonts w:hint="eastAsia" w:ascii="仿宋" w:hAnsi="仿宋" w:eastAsia="仿宋" w:cs="仿宋"/>
          <w:sz w:val="24"/>
          <w:szCs w:val="24"/>
          <w:highlight w:val="none"/>
          <w:lang w:val="en-US" w:eastAsia="zh-CN"/>
        </w:rPr>
        <w:t>2023年新疆师范大学后勤服务中心采购大宗物资-蛋奶类（二次）</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采购方式：公开招标</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预算金额（元）：</w:t>
      </w:r>
      <w:r>
        <w:rPr>
          <w:rFonts w:hint="eastAsia" w:ascii="仿宋" w:hAnsi="仿宋" w:eastAsia="仿宋" w:cs="仿宋"/>
          <w:sz w:val="24"/>
          <w:szCs w:val="24"/>
          <w:highlight w:val="none"/>
          <w:lang w:val="en-US" w:eastAsia="zh-CN"/>
        </w:rPr>
        <w:t>1400000元</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最高限价（元）：</w:t>
      </w:r>
      <w:r>
        <w:rPr>
          <w:rFonts w:hint="eastAsia" w:ascii="仿宋" w:hAnsi="仿宋" w:eastAsia="仿宋" w:cs="仿宋"/>
          <w:sz w:val="24"/>
          <w:szCs w:val="24"/>
          <w:highlight w:val="none"/>
          <w:lang w:val="en-US" w:eastAsia="zh-CN"/>
        </w:rPr>
        <w:t>1400000元</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采购需求：</w:t>
      </w:r>
      <w:r>
        <w:rPr>
          <w:rFonts w:hint="eastAsia" w:ascii="仿宋" w:hAnsi="仿宋" w:eastAsia="仿宋" w:cs="仿宋"/>
          <w:sz w:val="24"/>
          <w:szCs w:val="24"/>
          <w:highlight w:val="none"/>
          <w:lang w:val="en-US" w:eastAsia="zh-CN"/>
        </w:rPr>
        <w:t>新疆师范大学后勤服务中心饮食服务部</w:t>
      </w:r>
      <w:r>
        <w:rPr>
          <w:rFonts w:hint="eastAsia" w:ascii="仿宋" w:hAnsi="仿宋" w:eastAsia="仿宋" w:cs="仿宋"/>
          <w:sz w:val="24"/>
          <w:szCs w:val="24"/>
          <w:highlight w:val="none"/>
        </w:rPr>
        <w:t>202</w:t>
      </w:r>
      <w:r>
        <w:rPr>
          <w:rFonts w:hint="eastAsia" w:ascii="仿宋" w:hAnsi="仿宋" w:eastAsia="仿宋" w:cs="仿宋"/>
          <w:sz w:val="24"/>
          <w:szCs w:val="24"/>
          <w:highlight w:val="none"/>
          <w:lang w:val="en-US"/>
        </w:rPr>
        <w:t>3</w:t>
      </w:r>
      <w:r>
        <w:rPr>
          <w:rFonts w:hint="eastAsia" w:ascii="仿宋" w:hAnsi="仿宋" w:eastAsia="仿宋" w:cs="仿宋"/>
          <w:sz w:val="24"/>
          <w:szCs w:val="24"/>
          <w:highlight w:val="none"/>
        </w:rPr>
        <w:t>年</w:t>
      </w:r>
      <w:r>
        <w:rPr>
          <w:rFonts w:hint="eastAsia" w:ascii="仿宋" w:hAnsi="仿宋" w:eastAsia="仿宋" w:cs="仿宋"/>
          <w:sz w:val="24"/>
          <w:szCs w:val="24"/>
          <w:highlight w:val="none"/>
          <w:lang w:val="en-US" w:eastAsia="zh-CN"/>
        </w:rPr>
        <w:t>采购禽蛋类、乳制品、鲜奶物资</w:t>
      </w:r>
      <w:r>
        <w:rPr>
          <w:rFonts w:hint="eastAsia" w:ascii="仿宋" w:hAnsi="仿宋" w:eastAsia="仿宋" w:cs="仿宋"/>
          <w:sz w:val="24"/>
          <w:szCs w:val="24"/>
          <w:highlight w:val="none"/>
        </w:rPr>
        <w:t>等</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具体详见本项目采购需求。</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标项</w:t>
      </w:r>
      <w:r>
        <w:rPr>
          <w:rFonts w:hint="eastAsia" w:ascii="仿宋" w:hAnsi="仿宋" w:eastAsia="仿宋" w:cs="仿宋"/>
          <w:sz w:val="24"/>
          <w:szCs w:val="24"/>
          <w:highlight w:val="none"/>
          <w:lang w:val="en-US" w:eastAsia="zh-CN"/>
        </w:rPr>
        <w:t>一</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第1包禽蛋类采购（温泉校区）</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数量:</w:t>
      </w:r>
      <w:r>
        <w:rPr>
          <w:rFonts w:hint="eastAsia" w:ascii="仿宋" w:hAnsi="仿宋" w:eastAsia="仿宋" w:cs="仿宋"/>
          <w:sz w:val="24"/>
          <w:szCs w:val="24"/>
          <w:highlight w:val="none"/>
          <w:lang w:val="en-US" w:eastAsia="zh-CN"/>
        </w:rPr>
        <w:t>一批</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预算金额（元）:</w:t>
      </w:r>
      <w:r>
        <w:rPr>
          <w:rFonts w:hint="eastAsia" w:ascii="仿宋" w:hAnsi="仿宋" w:eastAsia="仿宋" w:cs="仿宋"/>
          <w:sz w:val="24"/>
          <w:szCs w:val="24"/>
          <w:highlight w:val="none"/>
          <w:lang w:val="en-US" w:eastAsia="zh-CN"/>
        </w:rPr>
        <w:t>600000元</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rPr>
      </w:pPr>
      <w:r>
        <w:rPr>
          <w:rFonts w:hint="eastAsia" w:ascii="仿宋" w:hAnsi="仿宋" w:eastAsia="仿宋" w:cs="仿宋"/>
          <w:sz w:val="24"/>
          <w:szCs w:val="24"/>
          <w:highlight w:val="none"/>
        </w:rPr>
        <w:t>简要规格描述或项目基本概况介绍、用途：</w:t>
      </w:r>
      <w:r>
        <w:rPr>
          <w:rFonts w:hint="eastAsia" w:ascii="仿宋" w:hAnsi="仿宋" w:eastAsia="仿宋" w:cs="仿宋"/>
          <w:sz w:val="24"/>
          <w:szCs w:val="24"/>
          <w:highlight w:val="none"/>
          <w:lang w:val="en-US" w:eastAsia="zh-CN"/>
        </w:rPr>
        <w:t>禽蛋类采购，具体详见采购需求</w:t>
      </w:r>
    </w:p>
    <w:p>
      <w:pPr>
        <w:pStyle w:val="2"/>
        <w:rPr>
          <w:rFonts w:hint="eastAsia" w:ascii="仿宋" w:hAnsi="仿宋" w:eastAsia="仿宋" w:cs="仿宋"/>
          <w:sz w:val="24"/>
          <w:szCs w:val="24"/>
          <w:highlight w:val="none"/>
        </w:rPr>
      </w:pPr>
    </w:p>
    <w:p>
      <w:pPr>
        <w:pStyle w:val="2"/>
        <w:rPr>
          <w:rFonts w:hint="eastAsia" w:ascii="仿宋" w:hAnsi="仿宋" w:eastAsia="仿宋" w:cs="仿宋"/>
          <w:sz w:val="24"/>
          <w:szCs w:val="24"/>
          <w:highlight w:val="none"/>
        </w:rPr>
      </w:pP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标项</w:t>
      </w:r>
      <w:r>
        <w:rPr>
          <w:rFonts w:hint="eastAsia" w:ascii="仿宋" w:hAnsi="仿宋" w:eastAsia="仿宋" w:cs="仿宋"/>
          <w:sz w:val="24"/>
          <w:szCs w:val="24"/>
          <w:highlight w:val="none"/>
          <w:lang w:val="en-US" w:eastAsia="zh-CN"/>
        </w:rPr>
        <w:t>二</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第2包禽蛋类采购项目采购（昆仑校区）</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数量:</w:t>
      </w:r>
      <w:r>
        <w:rPr>
          <w:rFonts w:hint="eastAsia" w:ascii="仿宋" w:hAnsi="仿宋" w:eastAsia="仿宋" w:cs="仿宋"/>
          <w:sz w:val="24"/>
          <w:szCs w:val="24"/>
          <w:highlight w:val="none"/>
          <w:lang w:val="en-US" w:eastAsia="zh-CN"/>
        </w:rPr>
        <w:t>一批</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预算金额（元）:</w:t>
      </w:r>
      <w:r>
        <w:rPr>
          <w:rFonts w:hint="eastAsia" w:ascii="仿宋" w:hAnsi="仿宋" w:eastAsia="仿宋" w:cs="仿宋"/>
          <w:sz w:val="24"/>
          <w:szCs w:val="24"/>
          <w:highlight w:val="none"/>
          <w:lang w:val="en-US" w:eastAsia="zh-CN"/>
        </w:rPr>
        <w:t>600000元</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rPr>
      </w:pPr>
      <w:r>
        <w:rPr>
          <w:rFonts w:hint="eastAsia" w:ascii="仿宋" w:hAnsi="仿宋" w:eastAsia="仿宋" w:cs="仿宋"/>
          <w:sz w:val="24"/>
          <w:szCs w:val="24"/>
          <w:highlight w:val="none"/>
        </w:rPr>
        <w:t>简要规格描述或项目基本概况介绍、用途：</w:t>
      </w:r>
      <w:r>
        <w:rPr>
          <w:rFonts w:hint="eastAsia" w:ascii="仿宋" w:hAnsi="仿宋" w:eastAsia="仿宋" w:cs="仿宋"/>
          <w:sz w:val="24"/>
          <w:szCs w:val="24"/>
          <w:highlight w:val="none"/>
          <w:lang w:val="en-US" w:eastAsia="zh-CN"/>
        </w:rPr>
        <w:t>禽蛋类采购，具体详见采购需求</w:t>
      </w:r>
    </w:p>
    <w:p>
      <w:pPr>
        <w:pStyle w:val="2"/>
        <w:rPr>
          <w:rFonts w:hint="eastAsia" w:ascii="仿宋" w:hAnsi="仿宋" w:eastAsia="仿宋" w:cs="仿宋"/>
          <w:sz w:val="24"/>
          <w:szCs w:val="24"/>
          <w:highlight w:val="none"/>
        </w:rPr>
      </w:pPr>
    </w:p>
    <w:p>
      <w:pPr>
        <w:pStyle w:val="2"/>
        <w:rPr>
          <w:rFonts w:hint="eastAsia" w:ascii="仿宋" w:hAnsi="仿宋" w:eastAsia="仿宋" w:cs="仿宋"/>
          <w:sz w:val="24"/>
          <w:szCs w:val="24"/>
          <w:highlight w:val="none"/>
        </w:rPr>
      </w:pP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标项</w:t>
      </w:r>
      <w:r>
        <w:rPr>
          <w:rFonts w:hint="eastAsia" w:ascii="仿宋" w:hAnsi="仿宋" w:eastAsia="仿宋" w:cs="仿宋"/>
          <w:sz w:val="24"/>
          <w:szCs w:val="24"/>
          <w:highlight w:val="none"/>
          <w:lang w:val="en-US" w:eastAsia="zh-CN"/>
        </w:rPr>
        <w:t>三</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第3包鲜奶物资采购</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数量:</w:t>
      </w:r>
      <w:r>
        <w:rPr>
          <w:rFonts w:hint="eastAsia" w:ascii="仿宋" w:hAnsi="仿宋" w:eastAsia="仿宋" w:cs="仿宋"/>
          <w:sz w:val="24"/>
          <w:szCs w:val="24"/>
          <w:highlight w:val="none"/>
          <w:lang w:val="en-US" w:eastAsia="zh-CN"/>
        </w:rPr>
        <w:t>一批</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预算金额（元）:</w:t>
      </w:r>
      <w:r>
        <w:rPr>
          <w:rFonts w:hint="eastAsia" w:ascii="仿宋" w:hAnsi="仿宋" w:eastAsia="仿宋" w:cs="仿宋"/>
          <w:sz w:val="24"/>
          <w:szCs w:val="24"/>
          <w:highlight w:val="none"/>
          <w:lang w:val="en-US" w:eastAsia="zh-CN"/>
        </w:rPr>
        <w:t>200000元</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rPr>
      </w:pPr>
      <w:r>
        <w:rPr>
          <w:rFonts w:hint="eastAsia" w:ascii="仿宋" w:hAnsi="仿宋" w:eastAsia="仿宋" w:cs="仿宋"/>
          <w:sz w:val="24"/>
          <w:szCs w:val="24"/>
          <w:highlight w:val="none"/>
        </w:rPr>
        <w:t>简要规格描述或项目基本概况介绍、用途：</w:t>
      </w:r>
      <w:r>
        <w:rPr>
          <w:rFonts w:hint="eastAsia" w:ascii="仿宋" w:hAnsi="仿宋" w:eastAsia="仿宋" w:cs="仿宋"/>
          <w:sz w:val="24"/>
          <w:szCs w:val="24"/>
          <w:highlight w:val="none"/>
          <w:lang w:val="en-US" w:eastAsia="zh-CN"/>
        </w:rPr>
        <w:t>鲜奶物资采购，具体详见采购需求</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备注：</w:t>
      </w:r>
      <w:r>
        <w:rPr>
          <w:rFonts w:hint="eastAsia" w:ascii="仿宋" w:hAnsi="仿宋" w:eastAsia="仿宋" w:cs="仿宋"/>
          <w:sz w:val="24"/>
          <w:szCs w:val="24"/>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合同履约期限：</w:t>
      </w:r>
      <w:r>
        <w:rPr>
          <w:rFonts w:hint="eastAsia" w:ascii="仿宋" w:hAnsi="仿宋" w:eastAsia="仿宋" w:cs="仿宋"/>
          <w:sz w:val="24"/>
          <w:szCs w:val="24"/>
          <w:highlight w:val="none"/>
          <w:lang w:val="en-US" w:eastAsia="zh-CN"/>
        </w:rPr>
        <w:t>自合同签订之日起壹年</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本项目（否）接受联合体投标。</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b/>
          <w:bCs/>
          <w:sz w:val="24"/>
          <w:szCs w:val="24"/>
          <w:highlight w:val="none"/>
        </w:rPr>
      </w:pPr>
      <w:bookmarkStart w:id="2" w:name="_Toc15364"/>
      <w:r>
        <w:rPr>
          <w:rFonts w:hint="eastAsia" w:ascii="仿宋" w:hAnsi="仿宋" w:eastAsia="仿宋" w:cs="仿宋"/>
          <w:b/>
          <w:bCs/>
          <w:sz w:val="24"/>
          <w:szCs w:val="24"/>
          <w:highlight w:val="none"/>
        </w:rPr>
        <w:t>二、申请人的资格要求：</w:t>
      </w:r>
      <w:bookmarkEnd w:id="2"/>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1.满足《中华人民共和国政府采购法》第二十二条规定；</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2.落实政府采购政策需满足的资格要求：</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第一包：</w:t>
      </w:r>
      <w:r>
        <w:rPr>
          <w:rFonts w:hint="eastAsia" w:ascii="仿宋" w:hAnsi="仿宋" w:eastAsia="仿宋" w:cs="仿宋"/>
          <w:sz w:val="24"/>
          <w:szCs w:val="24"/>
          <w:highlight w:val="none"/>
        </w:rPr>
        <w:t xml:space="preserve">要求获得采购合同的供应商将不低于 </w:t>
      </w:r>
      <w:r>
        <w:rPr>
          <w:rFonts w:hint="eastAsia" w:ascii="仿宋" w:hAnsi="仿宋" w:eastAsia="仿宋" w:cs="仿宋"/>
          <w:sz w:val="24"/>
          <w:szCs w:val="24"/>
          <w:highlight w:val="none"/>
          <w:lang w:val="en-US" w:eastAsia="zh-CN"/>
        </w:rPr>
        <w:t>70</w:t>
      </w:r>
      <w:r>
        <w:rPr>
          <w:rFonts w:hint="eastAsia" w:ascii="仿宋" w:hAnsi="仿宋" w:eastAsia="仿宋" w:cs="仿宋"/>
          <w:sz w:val="24"/>
          <w:szCs w:val="24"/>
          <w:highlight w:val="none"/>
        </w:rPr>
        <w:t>%比例分包给一家或者多家中小企业（其中，</w:t>
      </w:r>
      <w:r>
        <w:rPr>
          <w:rFonts w:hint="eastAsia" w:ascii="仿宋" w:hAnsi="仿宋" w:eastAsia="仿宋" w:cs="仿宋"/>
          <w:sz w:val="24"/>
          <w:szCs w:val="24"/>
          <w:highlight w:val="none"/>
          <w:lang w:val="en-US" w:eastAsia="zh-CN"/>
        </w:rPr>
        <w:t>不低于50.48</w:t>
      </w:r>
      <w:r>
        <w:rPr>
          <w:rFonts w:hint="eastAsia" w:ascii="仿宋" w:hAnsi="仿宋" w:eastAsia="仿宋" w:cs="仿宋"/>
          <w:sz w:val="24"/>
          <w:szCs w:val="24"/>
          <w:highlight w:val="none"/>
        </w:rPr>
        <w:t>%需分包给一家或多家小微企业）。 潜在供应商需承诺如成交将按照部分预留方式与采购人签订合同（需提供中小企业声明函及分包意向协议）</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第二包：</w:t>
      </w:r>
      <w:r>
        <w:rPr>
          <w:rFonts w:hint="eastAsia" w:ascii="仿宋" w:hAnsi="仿宋" w:eastAsia="仿宋" w:cs="仿宋"/>
          <w:sz w:val="24"/>
          <w:szCs w:val="24"/>
          <w:highlight w:val="none"/>
        </w:rPr>
        <w:t xml:space="preserve">要求获得采购合同的供应商将不低于 </w:t>
      </w:r>
      <w:r>
        <w:rPr>
          <w:rFonts w:hint="eastAsia" w:ascii="仿宋" w:hAnsi="仿宋" w:eastAsia="仿宋" w:cs="仿宋"/>
          <w:sz w:val="24"/>
          <w:szCs w:val="24"/>
          <w:highlight w:val="none"/>
          <w:lang w:val="en-US" w:eastAsia="zh-CN"/>
        </w:rPr>
        <w:t>70</w:t>
      </w:r>
      <w:r>
        <w:rPr>
          <w:rFonts w:hint="eastAsia" w:ascii="仿宋" w:hAnsi="仿宋" w:eastAsia="仿宋" w:cs="仿宋"/>
          <w:sz w:val="24"/>
          <w:szCs w:val="24"/>
          <w:highlight w:val="none"/>
        </w:rPr>
        <w:t>%比例分包给一家或者多家中小企业（其中，</w:t>
      </w:r>
      <w:r>
        <w:rPr>
          <w:rFonts w:hint="eastAsia" w:ascii="仿宋" w:hAnsi="仿宋" w:eastAsia="仿宋" w:cs="仿宋"/>
          <w:sz w:val="24"/>
          <w:szCs w:val="24"/>
          <w:highlight w:val="none"/>
          <w:lang w:val="en-US" w:eastAsia="zh-CN"/>
        </w:rPr>
        <w:t>不低于50.48</w:t>
      </w:r>
      <w:r>
        <w:rPr>
          <w:rFonts w:hint="eastAsia" w:ascii="仿宋" w:hAnsi="仿宋" w:eastAsia="仿宋" w:cs="仿宋"/>
          <w:sz w:val="24"/>
          <w:szCs w:val="24"/>
          <w:highlight w:val="none"/>
        </w:rPr>
        <w:t>%需分包给一家或多家小微企业）。 潜在供应商需承诺如成交将按照部分预留方式与采购人签订合同（需提供中小企业声明函及分包意向协议）</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b w:val="0"/>
          <w:bCs w:val="0"/>
          <w:highlight w:val="none"/>
        </w:rPr>
      </w:pPr>
      <w:r>
        <w:rPr>
          <w:rFonts w:hint="eastAsia" w:ascii="仿宋" w:hAnsi="仿宋" w:eastAsia="仿宋" w:cs="仿宋"/>
          <w:sz w:val="24"/>
          <w:szCs w:val="24"/>
          <w:highlight w:val="none"/>
          <w:lang w:val="en-US" w:eastAsia="zh-CN"/>
        </w:rPr>
        <w:t>第三包：</w:t>
      </w:r>
      <w:r>
        <w:rPr>
          <w:rFonts w:hint="eastAsia" w:ascii="仿宋" w:hAnsi="仿宋" w:eastAsia="仿宋" w:cs="仿宋"/>
          <w:sz w:val="24"/>
          <w:szCs w:val="24"/>
          <w:highlight w:val="none"/>
          <w:lang w:val="en-US"/>
        </w:rPr>
        <w:t>本</w:t>
      </w:r>
      <w:r>
        <w:rPr>
          <w:rFonts w:hint="eastAsia" w:ascii="仿宋" w:hAnsi="仿宋" w:eastAsia="仿宋" w:cs="仿宋"/>
          <w:sz w:val="24"/>
          <w:szCs w:val="24"/>
          <w:highlight w:val="none"/>
          <w:lang w:val="en-US" w:eastAsia="zh-CN"/>
        </w:rPr>
        <w:t>标项100%专门</w:t>
      </w:r>
      <w:r>
        <w:rPr>
          <w:rFonts w:hint="eastAsia" w:ascii="仿宋" w:hAnsi="仿宋" w:eastAsia="仿宋" w:cs="仿宋"/>
          <w:sz w:val="24"/>
          <w:szCs w:val="24"/>
          <w:highlight w:val="none"/>
          <w:lang w:val="en-US"/>
        </w:rPr>
        <w:t>面向</w:t>
      </w:r>
      <w:r>
        <w:rPr>
          <w:rFonts w:hint="eastAsia" w:ascii="仿宋" w:hAnsi="仿宋" w:eastAsia="仿宋" w:cs="仿宋"/>
          <w:sz w:val="24"/>
          <w:szCs w:val="24"/>
          <w:highlight w:val="none"/>
          <w:lang w:val="en-US" w:eastAsia="zh-CN"/>
        </w:rPr>
        <w:t>小微</w:t>
      </w:r>
      <w:r>
        <w:rPr>
          <w:rFonts w:hint="eastAsia" w:ascii="仿宋" w:hAnsi="仿宋" w:eastAsia="仿宋" w:cs="仿宋"/>
          <w:sz w:val="24"/>
          <w:szCs w:val="24"/>
          <w:highlight w:val="none"/>
          <w:lang w:val="en-US"/>
        </w:rPr>
        <w:t>企业，供应商提供的</w:t>
      </w:r>
      <w:r>
        <w:rPr>
          <w:rFonts w:hint="eastAsia" w:ascii="仿宋" w:hAnsi="仿宋" w:eastAsia="仿宋" w:cs="仿宋"/>
          <w:sz w:val="24"/>
          <w:szCs w:val="24"/>
          <w:highlight w:val="none"/>
          <w:lang w:val="en-US" w:eastAsia="zh-CN"/>
        </w:rPr>
        <w:t>货物</w:t>
      </w:r>
      <w:r>
        <w:rPr>
          <w:rFonts w:hint="eastAsia" w:ascii="仿宋" w:hAnsi="仿宋" w:eastAsia="仿宋" w:cs="仿宋"/>
          <w:sz w:val="24"/>
          <w:szCs w:val="24"/>
          <w:highlight w:val="none"/>
          <w:lang w:val="en-US"/>
        </w:rPr>
        <w:t>应符合《政府采购促进中小企业发展管理办法》(财库〔2020〕46号) 第四条规定的情形，且应当提供《政府采购促进中小企业发展管理办法》(财库〔2020〕46号)规定的《中小企业声明函》。</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rPr>
        <w:t>3.本项目的特定资格要求：本项目第</w:t>
      </w:r>
      <w:r>
        <w:rPr>
          <w:rFonts w:hint="eastAsia" w:ascii="仿宋" w:hAnsi="仿宋" w:eastAsia="仿宋" w:cs="仿宋"/>
          <w:sz w:val="24"/>
          <w:szCs w:val="24"/>
          <w:highlight w:val="none"/>
          <w:lang w:val="en-US" w:eastAsia="zh-CN"/>
        </w:rPr>
        <w:t>一</w:t>
      </w:r>
      <w:r>
        <w:rPr>
          <w:rFonts w:hint="eastAsia" w:ascii="仿宋" w:hAnsi="仿宋" w:eastAsia="仿宋" w:cs="仿宋"/>
          <w:sz w:val="24"/>
          <w:szCs w:val="24"/>
          <w:highlight w:val="none"/>
        </w:rPr>
        <w:t>包、第</w:t>
      </w:r>
      <w:r>
        <w:rPr>
          <w:rFonts w:hint="eastAsia" w:ascii="仿宋" w:hAnsi="仿宋" w:eastAsia="仿宋" w:cs="仿宋"/>
          <w:sz w:val="24"/>
          <w:szCs w:val="24"/>
          <w:highlight w:val="none"/>
          <w:lang w:val="en-US" w:eastAsia="zh-CN"/>
        </w:rPr>
        <w:t>二</w:t>
      </w:r>
      <w:r>
        <w:rPr>
          <w:rFonts w:hint="eastAsia" w:ascii="仿宋" w:hAnsi="仿宋" w:eastAsia="仿宋" w:cs="仿宋"/>
          <w:sz w:val="24"/>
          <w:szCs w:val="24"/>
          <w:highlight w:val="none"/>
        </w:rPr>
        <w:t>包供应商应具有《食品生产许可证》或《食品经营许可证》</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提供复印件加盖公章</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b/>
          <w:bCs/>
          <w:sz w:val="24"/>
          <w:szCs w:val="24"/>
          <w:highlight w:val="none"/>
        </w:rPr>
      </w:pPr>
      <w:bookmarkStart w:id="3" w:name="_Toc29084"/>
      <w:r>
        <w:rPr>
          <w:rFonts w:hint="eastAsia" w:ascii="仿宋" w:hAnsi="仿宋" w:eastAsia="仿宋" w:cs="仿宋"/>
          <w:b/>
          <w:bCs/>
          <w:sz w:val="24"/>
          <w:szCs w:val="24"/>
          <w:highlight w:val="none"/>
        </w:rPr>
        <w:t>三、获取招标文件</w:t>
      </w:r>
      <w:bookmarkEnd w:id="3"/>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时间：2023年0</w:t>
      </w:r>
      <w:r>
        <w:rPr>
          <w:rFonts w:hint="eastAsia" w:ascii="仿宋" w:hAnsi="仿宋" w:eastAsia="仿宋" w:cs="仿宋"/>
          <w:sz w:val="24"/>
          <w:szCs w:val="24"/>
          <w:highlight w:val="none"/>
          <w:lang w:val="en-US" w:eastAsia="zh-CN"/>
        </w:rPr>
        <w:t>7</w:t>
      </w:r>
      <w:r>
        <w:rPr>
          <w:rFonts w:hint="eastAsia" w:ascii="仿宋" w:hAnsi="仿宋" w:eastAsia="仿宋" w:cs="仿宋"/>
          <w:sz w:val="24"/>
          <w:szCs w:val="24"/>
          <w:highlight w:val="none"/>
        </w:rPr>
        <w:t>月</w:t>
      </w:r>
      <w:r>
        <w:rPr>
          <w:rFonts w:hint="eastAsia" w:ascii="仿宋" w:hAnsi="仿宋" w:eastAsia="仿宋" w:cs="仿宋"/>
          <w:sz w:val="24"/>
          <w:szCs w:val="24"/>
          <w:highlight w:val="none"/>
          <w:lang w:val="en-US" w:eastAsia="zh-CN"/>
        </w:rPr>
        <w:t>21</w:t>
      </w:r>
      <w:r>
        <w:rPr>
          <w:rFonts w:hint="eastAsia" w:ascii="仿宋" w:hAnsi="仿宋" w:eastAsia="仿宋" w:cs="仿宋"/>
          <w:sz w:val="24"/>
          <w:szCs w:val="24"/>
          <w:highlight w:val="none"/>
        </w:rPr>
        <w:t>日至2023年0</w:t>
      </w:r>
      <w:r>
        <w:rPr>
          <w:rFonts w:hint="eastAsia" w:ascii="仿宋" w:hAnsi="仿宋" w:eastAsia="仿宋" w:cs="仿宋"/>
          <w:sz w:val="24"/>
          <w:szCs w:val="24"/>
          <w:highlight w:val="none"/>
          <w:lang w:val="en-US" w:eastAsia="zh-CN"/>
        </w:rPr>
        <w:t>7</w:t>
      </w:r>
      <w:r>
        <w:rPr>
          <w:rFonts w:hint="eastAsia" w:ascii="仿宋" w:hAnsi="仿宋" w:eastAsia="仿宋" w:cs="仿宋"/>
          <w:sz w:val="24"/>
          <w:szCs w:val="24"/>
          <w:highlight w:val="none"/>
        </w:rPr>
        <w:t>月</w:t>
      </w:r>
      <w:r>
        <w:rPr>
          <w:rFonts w:hint="eastAsia" w:ascii="仿宋" w:hAnsi="仿宋" w:eastAsia="仿宋" w:cs="仿宋"/>
          <w:sz w:val="24"/>
          <w:szCs w:val="24"/>
          <w:highlight w:val="none"/>
          <w:lang w:val="en-US" w:eastAsia="zh-CN"/>
        </w:rPr>
        <w:t>28</w:t>
      </w:r>
      <w:r>
        <w:rPr>
          <w:rFonts w:hint="eastAsia" w:ascii="仿宋" w:hAnsi="仿宋" w:eastAsia="仿宋" w:cs="仿宋"/>
          <w:sz w:val="24"/>
          <w:szCs w:val="24"/>
          <w:highlight w:val="none"/>
        </w:rPr>
        <w:t>日，每天上午0</w:t>
      </w:r>
      <w:r>
        <w:rPr>
          <w:rFonts w:hint="eastAsia" w:ascii="仿宋" w:hAnsi="仿宋" w:eastAsia="仿宋" w:cs="仿宋"/>
          <w:sz w:val="24"/>
          <w:szCs w:val="24"/>
          <w:highlight w:val="none"/>
          <w:lang w:val="en-US" w:eastAsia="zh-CN"/>
        </w:rPr>
        <w:t>0</w:t>
      </w:r>
      <w:r>
        <w:rPr>
          <w:rFonts w:hint="eastAsia" w:ascii="仿宋" w:hAnsi="仿宋" w:eastAsia="仿宋" w:cs="仿宋"/>
          <w:sz w:val="24"/>
          <w:szCs w:val="24"/>
          <w:highlight w:val="none"/>
        </w:rPr>
        <w:t>:00至12:00，下午12:00至</w:t>
      </w:r>
      <w:r>
        <w:rPr>
          <w:rFonts w:hint="eastAsia" w:ascii="仿宋" w:hAnsi="仿宋" w:eastAsia="仿宋" w:cs="仿宋"/>
          <w:sz w:val="24"/>
          <w:szCs w:val="24"/>
          <w:highlight w:val="none"/>
          <w:lang w:val="en-US" w:eastAsia="zh-CN"/>
        </w:rPr>
        <w:t>23</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59</w:t>
      </w:r>
      <w:r>
        <w:rPr>
          <w:rFonts w:hint="eastAsia" w:ascii="仿宋" w:hAnsi="仿宋" w:eastAsia="仿宋" w:cs="仿宋"/>
          <w:sz w:val="24"/>
          <w:szCs w:val="24"/>
          <w:highlight w:val="none"/>
        </w:rPr>
        <w:t>（北京时间，法定节假日除外）</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地点：政采云平台（https://www.zcygov.cn/）</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方式：供应商登录政采云平台https://www.zcygov.cn/在线申请获取采购文件（进入“项目采购”应用，在获取采购文件菜单中选择项目，申请获取采购文件）本次招标不提供纸质版招标文件。</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售价（元）：0元</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b/>
          <w:bCs/>
          <w:sz w:val="24"/>
          <w:szCs w:val="24"/>
          <w:highlight w:val="none"/>
        </w:rPr>
      </w:pPr>
      <w:bookmarkStart w:id="4" w:name="_Toc24224"/>
      <w:r>
        <w:rPr>
          <w:rFonts w:hint="eastAsia" w:ascii="仿宋" w:hAnsi="仿宋" w:eastAsia="仿宋" w:cs="仿宋"/>
          <w:b/>
          <w:bCs/>
          <w:sz w:val="24"/>
          <w:szCs w:val="24"/>
          <w:highlight w:val="none"/>
        </w:rPr>
        <w:t>四、提交投标文件截止时间、开标时间和地点</w:t>
      </w:r>
      <w:bookmarkEnd w:id="4"/>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提交投标文件截止时间：2023年0</w:t>
      </w: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rPr>
        <w:t>月</w:t>
      </w:r>
      <w:r>
        <w:rPr>
          <w:rFonts w:hint="eastAsia" w:ascii="仿宋" w:hAnsi="仿宋" w:eastAsia="仿宋" w:cs="仿宋"/>
          <w:sz w:val="24"/>
          <w:szCs w:val="24"/>
          <w:highlight w:val="none"/>
          <w:lang w:val="en-US" w:eastAsia="zh-CN"/>
        </w:rPr>
        <w:t>10</w:t>
      </w:r>
      <w:r>
        <w:rPr>
          <w:rFonts w:hint="eastAsia" w:ascii="仿宋" w:hAnsi="仿宋" w:eastAsia="仿宋" w:cs="仿宋"/>
          <w:sz w:val="24"/>
          <w:szCs w:val="24"/>
          <w:highlight w:val="none"/>
        </w:rPr>
        <w:t>日 11:00（北京时间）</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投标地点：政采云平台（https://www.zcygov.cn/），本项目采用不见面开标，加密的电子投标文件在投标截止时间前在政采云平台上传。</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开标时间：2023年0</w:t>
      </w: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rPr>
        <w:t>月</w:t>
      </w:r>
      <w:r>
        <w:rPr>
          <w:rFonts w:hint="eastAsia" w:ascii="仿宋" w:hAnsi="仿宋" w:eastAsia="仿宋" w:cs="仿宋"/>
          <w:sz w:val="24"/>
          <w:szCs w:val="24"/>
          <w:highlight w:val="none"/>
          <w:lang w:val="en-US" w:eastAsia="zh-CN"/>
        </w:rPr>
        <w:t>10</w:t>
      </w:r>
      <w:r>
        <w:rPr>
          <w:rFonts w:hint="eastAsia" w:ascii="仿宋" w:hAnsi="仿宋" w:eastAsia="仿宋" w:cs="仿宋"/>
          <w:sz w:val="24"/>
          <w:szCs w:val="24"/>
          <w:highlight w:val="none"/>
        </w:rPr>
        <w:t>日 11:00（北京时间）</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开标地点：政采云平台（https://www.zcygov.cn/）不见面开标系统</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b/>
          <w:bCs/>
          <w:sz w:val="24"/>
          <w:szCs w:val="24"/>
          <w:highlight w:val="none"/>
        </w:rPr>
      </w:pPr>
      <w:bookmarkStart w:id="5" w:name="_Toc17115"/>
      <w:r>
        <w:rPr>
          <w:rFonts w:hint="eastAsia" w:ascii="仿宋" w:hAnsi="仿宋" w:eastAsia="仿宋" w:cs="仿宋"/>
          <w:b/>
          <w:bCs/>
          <w:sz w:val="24"/>
          <w:szCs w:val="24"/>
          <w:highlight w:val="none"/>
        </w:rPr>
        <w:t>五、公告期限</w:t>
      </w:r>
      <w:bookmarkEnd w:id="5"/>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自本公告发布之日起5个工作日。</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b/>
          <w:bCs/>
          <w:sz w:val="24"/>
          <w:szCs w:val="24"/>
          <w:highlight w:val="none"/>
        </w:rPr>
      </w:pPr>
      <w:bookmarkStart w:id="6" w:name="_Toc22084"/>
      <w:r>
        <w:rPr>
          <w:rFonts w:hint="eastAsia" w:ascii="仿宋" w:hAnsi="仿宋" w:eastAsia="仿宋" w:cs="仿宋"/>
          <w:b/>
          <w:bCs/>
          <w:sz w:val="24"/>
          <w:szCs w:val="24"/>
          <w:highlight w:val="none"/>
        </w:rPr>
        <w:t>六、其他补充事宜</w:t>
      </w:r>
      <w:bookmarkEnd w:id="6"/>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1、关于本项目所有公告、公示在新疆政府采购网发布。</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2、请投标单位随时关注本项目的澄清、答疑、变更事项。</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3、本项目实行电子招投标，供应商须登录政采云平台申请获取招标文件，并通过政采云电子投标客户端制作响应文件，同时自行承担与投标有关的一切费用。</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4、各供应商应在开标前确保成为</w:t>
      </w:r>
      <w:r>
        <w:rPr>
          <w:rFonts w:hint="eastAsia" w:ascii="仿宋" w:hAnsi="仿宋" w:eastAsia="仿宋" w:cs="仿宋"/>
          <w:b/>
          <w:bCs/>
          <w:sz w:val="24"/>
          <w:szCs w:val="24"/>
          <w:highlight w:val="none"/>
        </w:rPr>
        <w:t>新疆政府采购网</w:t>
      </w:r>
      <w:r>
        <w:rPr>
          <w:rFonts w:hint="eastAsia" w:ascii="仿宋" w:hAnsi="仿宋" w:eastAsia="仿宋" w:cs="仿宋"/>
          <w:sz w:val="24"/>
          <w:szCs w:val="24"/>
          <w:highlight w:val="none"/>
        </w:rPr>
        <w:t>正式注册入库供应商，并完成CA数字证书申领。因未注册入库、未办理CA数字证书等原因造成无法投标或投标失败等后果由供应商自行承担。</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5、有意向参与电子开评标的供应商，可访问新疆数字证书认证中心官方网站（https://www.xjca.com.cn/）或下载“新疆政务通”APP自行进行申领。如需咨询，请联系新疆CA服务热线0991-2819290。</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b/>
          <w:bCs/>
          <w:sz w:val="24"/>
          <w:szCs w:val="24"/>
          <w:highlight w:val="none"/>
        </w:rPr>
      </w:pPr>
      <w:bookmarkStart w:id="7" w:name="_Toc21999"/>
      <w:r>
        <w:rPr>
          <w:rFonts w:hint="eastAsia" w:ascii="仿宋" w:hAnsi="仿宋" w:eastAsia="仿宋" w:cs="仿宋"/>
          <w:b/>
          <w:bCs/>
          <w:sz w:val="24"/>
          <w:szCs w:val="24"/>
          <w:highlight w:val="none"/>
        </w:rPr>
        <w:t>七、对本次采购提出询问，请按以下方式联系</w:t>
      </w:r>
      <w:bookmarkEnd w:id="7"/>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bookmarkStart w:id="8" w:name="_Toc35393637"/>
      <w:bookmarkStart w:id="9" w:name="_Toc28359096"/>
      <w:bookmarkStart w:id="10" w:name="_Toc28359019"/>
      <w:bookmarkStart w:id="11" w:name="_Toc35393806"/>
      <w:r>
        <w:rPr>
          <w:rFonts w:hint="eastAsia" w:ascii="仿宋" w:hAnsi="仿宋" w:eastAsia="仿宋" w:cs="仿宋"/>
          <w:sz w:val="24"/>
          <w:szCs w:val="24"/>
          <w:highlight w:val="none"/>
        </w:rPr>
        <w:t>1.采购人信息</w:t>
      </w:r>
      <w:bookmarkEnd w:id="8"/>
      <w:bookmarkEnd w:id="9"/>
      <w:bookmarkEnd w:id="10"/>
      <w:bookmarkEnd w:id="11"/>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bookmarkStart w:id="12" w:name="_Toc28359020"/>
      <w:bookmarkStart w:id="13" w:name="_Toc35393807"/>
      <w:bookmarkStart w:id="14" w:name="_Toc35393638"/>
      <w:bookmarkStart w:id="15" w:name="_Toc28359097"/>
      <w:r>
        <w:rPr>
          <w:rFonts w:hint="eastAsia" w:ascii="仿宋" w:hAnsi="仿宋" w:eastAsia="仿宋" w:cs="仿宋"/>
          <w:sz w:val="24"/>
          <w:szCs w:val="24"/>
          <w:highlight w:val="none"/>
        </w:rPr>
        <w:t>名    称：</w:t>
      </w:r>
      <w:r>
        <w:rPr>
          <w:rFonts w:hint="eastAsia" w:ascii="仿宋" w:hAnsi="仿宋" w:eastAsia="仿宋" w:cs="仿宋"/>
          <w:sz w:val="24"/>
          <w:szCs w:val="24"/>
          <w:highlight w:val="none"/>
          <w:lang w:val="en-US"/>
        </w:rPr>
        <w:t>新疆师范大学</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地    址：新疆维吾尔自治区乌鲁木齐市水磨沟区观园路100号</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联系方式：</w:t>
      </w:r>
      <w:r>
        <w:rPr>
          <w:rFonts w:hint="eastAsia" w:ascii="仿宋" w:hAnsi="仿宋" w:eastAsia="仿宋" w:cs="仿宋"/>
          <w:sz w:val="24"/>
          <w:szCs w:val="24"/>
          <w:highlight w:val="none"/>
          <w:lang w:val="en-US"/>
        </w:rPr>
        <w:t>王老师  0991-4112288</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2.采购代理机构信息</w:t>
      </w:r>
      <w:bookmarkEnd w:id="12"/>
      <w:bookmarkEnd w:id="13"/>
      <w:bookmarkEnd w:id="14"/>
      <w:bookmarkEnd w:id="15"/>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名    称：</w:t>
      </w:r>
      <w:r>
        <w:rPr>
          <w:rFonts w:hint="eastAsia" w:ascii="仿宋" w:hAnsi="仿宋" w:eastAsia="仿宋" w:cs="仿宋"/>
          <w:sz w:val="24"/>
          <w:szCs w:val="24"/>
          <w:highlight w:val="none"/>
          <w:lang w:val="en-US"/>
        </w:rPr>
        <w:t>新疆世纪星工程咨询有限公司</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地　　址：</w:t>
      </w:r>
      <w:r>
        <w:rPr>
          <w:rFonts w:hint="eastAsia" w:ascii="仿宋" w:hAnsi="仿宋" w:eastAsia="仿宋" w:cs="仿宋"/>
          <w:sz w:val="24"/>
          <w:szCs w:val="24"/>
          <w:highlight w:val="none"/>
          <w:lang w:val="en-US"/>
        </w:rPr>
        <w:t>乌鲁木齐市黄山街一品九点阳光德港大厦B座20楼招标部</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rPr>
      </w:pPr>
      <w:r>
        <w:rPr>
          <w:rFonts w:hint="eastAsia" w:ascii="仿宋" w:hAnsi="仿宋" w:eastAsia="仿宋" w:cs="仿宋"/>
          <w:sz w:val="24"/>
          <w:szCs w:val="24"/>
          <w:highlight w:val="none"/>
        </w:rPr>
        <w:t>联</w:t>
      </w:r>
      <w:r>
        <w:rPr>
          <w:rFonts w:hint="eastAsia" w:ascii="仿宋" w:hAnsi="仿宋" w:eastAsia="仿宋" w:cs="仿宋"/>
          <w:sz w:val="24"/>
          <w:szCs w:val="24"/>
          <w:highlight w:val="none"/>
          <w:lang w:val="en-US"/>
        </w:rPr>
        <w:t xml:space="preserve"> </w:t>
      </w:r>
      <w:r>
        <w:rPr>
          <w:rFonts w:hint="eastAsia" w:ascii="仿宋" w:hAnsi="仿宋" w:eastAsia="仿宋" w:cs="仿宋"/>
          <w:sz w:val="24"/>
          <w:szCs w:val="24"/>
          <w:highlight w:val="none"/>
        </w:rPr>
        <w:t>系</w:t>
      </w:r>
      <w:r>
        <w:rPr>
          <w:rFonts w:hint="eastAsia" w:ascii="仿宋" w:hAnsi="仿宋" w:eastAsia="仿宋" w:cs="仿宋"/>
          <w:sz w:val="24"/>
          <w:szCs w:val="24"/>
          <w:highlight w:val="none"/>
          <w:lang w:val="en-US"/>
        </w:rPr>
        <w:t xml:space="preserve"> </w:t>
      </w:r>
      <w:r>
        <w:rPr>
          <w:rFonts w:hint="eastAsia" w:ascii="仿宋" w:hAnsi="仿宋" w:eastAsia="仿宋" w:cs="仿宋"/>
          <w:sz w:val="24"/>
          <w:szCs w:val="24"/>
          <w:highlight w:val="none"/>
        </w:rPr>
        <w:t>人：</w:t>
      </w:r>
      <w:r>
        <w:rPr>
          <w:rFonts w:hint="eastAsia" w:ascii="仿宋" w:hAnsi="仿宋" w:eastAsia="仿宋" w:cs="仿宋"/>
          <w:sz w:val="24"/>
          <w:szCs w:val="24"/>
          <w:highlight w:val="none"/>
          <w:lang w:val="en-US"/>
        </w:rPr>
        <w:t>李梦媛、李航、杜萍、龚凡</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rPr>
      </w:pPr>
      <w:r>
        <w:rPr>
          <w:rFonts w:hint="eastAsia" w:ascii="仿宋" w:hAnsi="仿宋" w:eastAsia="仿宋" w:cs="仿宋"/>
          <w:sz w:val="24"/>
          <w:szCs w:val="24"/>
          <w:highlight w:val="none"/>
        </w:rPr>
        <w:t>联系方式：0991-3678303</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邮    箱：415485763@qq.com</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3.项目联系方式</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项目联系人：</w:t>
      </w:r>
      <w:r>
        <w:rPr>
          <w:rFonts w:hint="eastAsia" w:ascii="仿宋" w:hAnsi="仿宋" w:eastAsia="仿宋" w:cs="仿宋"/>
          <w:sz w:val="24"/>
          <w:szCs w:val="24"/>
          <w:highlight w:val="none"/>
          <w:lang w:val="en-US"/>
        </w:rPr>
        <w:t>李梦媛、李航、杜萍、龚凡</w:t>
      </w:r>
      <w:bookmarkStart w:id="103" w:name="_GoBack"/>
      <w:bookmarkEnd w:id="103"/>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电 话：0991-3678303</w:t>
      </w:r>
    </w:p>
    <w:p>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pPr>
        <w:pStyle w:val="3"/>
        <w:numPr>
          <w:ilvl w:val="0"/>
          <w:numId w:val="1"/>
        </w:numPr>
        <w:bidi w:val="0"/>
        <w:jc w:val="center"/>
        <w:rPr>
          <w:rFonts w:hint="eastAsia" w:ascii="仿宋" w:hAnsi="仿宋" w:eastAsia="仿宋" w:cs="仿宋"/>
          <w:sz w:val="32"/>
          <w:szCs w:val="32"/>
          <w:highlight w:val="none"/>
        </w:rPr>
      </w:pPr>
      <w:bookmarkStart w:id="16" w:name="_Toc31403"/>
      <w:r>
        <w:rPr>
          <w:rFonts w:hint="eastAsia" w:ascii="仿宋" w:hAnsi="仿宋" w:eastAsia="仿宋" w:cs="仿宋"/>
          <w:sz w:val="32"/>
          <w:szCs w:val="32"/>
          <w:highlight w:val="none"/>
        </w:rPr>
        <w:t>投标须知前附表</w:t>
      </w:r>
      <w:bookmarkEnd w:id="16"/>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本表是本招标项目的具体资料，是对投标人须知的具体补充和修改，如有矛盾，应以本前附表为准。</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both"/>
        <w:textAlignment w:val="auto"/>
        <w:rPr>
          <w:rFonts w:hint="eastAsia" w:ascii="仿宋" w:hAnsi="仿宋" w:eastAsia="仿宋" w:cs="仿宋"/>
          <w:sz w:val="24"/>
          <w:szCs w:val="24"/>
          <w:highlight w:val="none"/>
        </w:rPr>
      </w:pPr>
    </w:p>
    <w:tbl>
      <w:tblPr>
        <w:tblStyle w:val="20"/>
        <w:tblW w:w="0" w:type="auto"/>
        <w:tblInd w:w="0"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1870"/>
        <w:gridCol w:w="6652"/>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24"/>
                <w:szCs w:val="24"/>
                <w:highlight w:val="none"/>
                <w:vertAlign w:val="baseline"/>
              </w:rPr>
            </w:pPr>
            <w:r>
              <w:rPr>
                <w:rFonts w:hint="eastAsia" w:ascii="仿宋" w:hAnsi="仿宋" w:eastAsia="仿宋" w:cs="仿宋"/>
                <w:b/>
                <w:bCs/>
                <w:sz w:val="24"/>
                <w:szCs w:val="24"/>
                <w:highlight w:val="none"/>
                <w:vertAlign w:val="baseline"/>
                <w:lang w:val="en-US" w:eastAsia="zh-CN"/>
              </w:rPr>
              <w:t>条款号</w:t>
            </w:r>
          </w:p>
        </w:tc>
        <w:tc>
          <w:tcPr>
            <w:tcW w:w="6652"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24"/>
                <w:szCs w:val="24"/>
                <w:highlight w:val="none"/>
                <w:vertAlign w:val="baseline"/>
              </w:rPr>
            </w:pPr>
            <w:r>
              <w:rPr>
                <w:rFonts w:hint="eastAsia" w:ascii="仿宋" w:hAnsi="仿宋" w:eastAsia="仿宋" w:cs="仿宋"/>
                <w:b/>
                <w:bCs/>
                <w:sz w:val="24"/>
                <w:szCs w:val="24"/>
                <w:highlight w:val="none"/>
                <w:vertAlign w:val="baseline"/>
                <w:lang w:val="en-US" w:eastAsia="zh-CN"/>
              </w:rPr>
              <w:t>内容</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1.1</w:t>
            </w:r>
          </w:p>
        </w:tc>
        <w:tc>
          <w:tcPr>
            <w:tcW w:w="6652" w:type="dxa"/>
            <w:tcBorders>
              <w:tl2br w:val="nil"/>
              <w:tr2bl w:val="nil"/>
            </w:tcBorders>
            <w:vAlign w:val="center"/>
          </w:tcPr>
          <w:p>
            <w:pPr>
              <w:keepNext w:val="0"/>
              <w:keepLines w:val="0"/>
              <w:pageBreakBefore w:val="0"/>
              <w:widowControl w:val="0"/>
              <w:kinsoku/>
              <w:wordWrap/>
              <w:overflowPunct/>
              <w:topLinePunct w:val="0"/>
              <w:autoSpaceDE w:val="0"/>
              <w:autoSpaceDN w:val="0"/>
              <w:bidi w:val="0"/>
              <w:adjustRightInd w:val="0"/>
              <w:snapToGrid w:val="0"/>
              <w:spacing w:before="0" w:line="440" w:lineRule="exact"/>
              <w:ind w:right="0"/>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采购人：</w:t>
            </w:r>
            <w:r>
              <w:rPr>
                <w:rFonts w:hint="eastAsia" w:ascii="仿宋" w:hAnsi="仿宋" w:eastAsia="仿宋" w:cs="仿宋"/>
                <w:sz w:val="24"/>
                <w:szCs w:val="24"/>
                <w:highlight w:val="none"/>
                <w:vertAlign w:val="baseline"/>
                <w:lang w:val="en-US"/>
              </w:rPr>
              <w:t>新疆师范大学</w:t>
            </w:r>
          </w:p>
          <w:p>
            <w:pPr>
              <w:adjustRightInd w:val="0"/>
              <w:snapToGrid w:val="0"/>
              <w:spacing w:line="440" w:lineRule="exact"/>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地</w:t>
            </w:r>
            <w:r>
              <w:rPr>
                <w:rFonts w:hint="eastAsia" w:ascii="仿宋" w:hAnsi="仿宋" w:eastAsia="仿宋" w:cs="仿宋"/>
                <w:sz w:val="24"/>
                <w:szCs w:val="24"/>
                <w:highlight w:val="none"/>
              </w:rPr>
              <w:tab/>
            </w:r>
            <w:r>
              <w:rPr>
                <w:rFonts w:hint="eastAsia" w:ascii="仿宋" w:hAnsi="仿宋" w:eastAsia="仿宋" w:cs="仿宋"/>
                <w:sz w:val="24"/>
                <w:szCs w:val="24"/>
                <w:highlight w:val="none"/>
              </w:rPr>
              <w:t>址：新疆维吾尔自治区乌鲁木齐市水磨沟区观园路100号</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rPr>
              <w:t>电</w:t>
            </w:r>
            <w:r>
              <w:rPr>
                <w:rFonts w:hint="eastAsia" w:ascii="仿宋" w:hAnsi="仿宋" w:eastAsia="仿宋" w:cs="仿宋"/>
                <w:sz w:val="24"/>
                <w:szCs w:val="24"/>
                <w:highlight w:val="none"/>
              </w:rPr>
              <w:tab/>
            </w:r>
            <w:r>
              <w:rPr>
                <w:rFonts w:hint="eastAsia" w:ascii="仿宋" w:hAnsi="仿宋" w:eastAsia="仿宋" w:cs="仿宋"/>
                <w:sz w:val="24"/>
                <w:szCs w:val="24"/>
                <w:highlight w:val="none"/>
              </w:rPr>
              <w:t>话：</w:t>
            </w:r>
            <w:r>
              <w:rPr>
                <w:rFonts w:hint="eastAsia" w:ascii="仿宋" w:hAnsi="仿宋" w:eastAsia="仿宋" w:cs="仿宋"/>
                <w:sz w:val="24"/>
                <w:szCs w:val="24"/>
                <w:highlight w:val="none"/>
                <w:lang w:val="en-US"/>
              </w:rPr>
              <w:t>王</w:t>
            </w:r>
            <w:r>
              <w:rPr>
                <w:rFonts w:hint="eastAsia" w:ascii="仿宋" w:hAnsi="仿宋" w:eastAsia="仿宋" w:cs="仿宋"/>
                <w:sz w:val="24"/>
                <w:szCs w:val="24"/>
                <w:highlight w:val="none"/>
                <w:lang w:val="en-US" w:eastAsia="zh-CN"/>
              </w:rPr>
              <w:t>老师</w:t>
            </w:r>
            <w:r>
              <w:rPr>
                <w:rFonts w:hint="eastAsia" w:ascii="仿宋" w:hAnsi="仿宋" w:eastAsia="仿宋" w:cs="仿宋"/>
                <w:sz w:val="24"/>
                <w:szCs w:val="24"/>
                <w:highlight w:val="none"/>
                <w:lang w:val="en-US"/>
              </w:rPr>
              <w:t xml:space="preserve">  0991-4112288</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1.2</w:t>
            </w:r>
          </w:p>
        </w:tc>
        <w:tc>
          <w:tcPr>
            <w:tcW w:w="66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 xml:space="preserve">采购代理机构：新疆世纪星工程咨询有限公司 </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 xml:space="preserve">地址：乌鲁木齐经济技术开发区二期黄山街一品九点阳光德港大厦B座20楼 </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业务联系人：</w:t>
            </w:r>
            <w:r>
              <w:rPr>
                <w:rFonts w:hint="eastAsia" w:ascii="仿宋" w:hAnsi="仿宋" w:eastAsia="仿宋" w:cs="仿宋"/>
                <w:sz w:val="24"/>
                <w:szCs w:val="24"/>
                <w:highlight w:val="none"/>
                <w:vertAlign w:val="baseline"/>
                <w:lang w:val="en-US"/>
              </w:rPr>
              <w:t>李梦媛、李航</w:t>
            </w:r>
            <w:r>
              <w:rPr>
                <w:rFonts w:hint="eastAsia" w:ascii="仿宋" w:hAnsi="仿宋" w:eastAsia="仿宋" w:cs="仿宋"/>
                <w:sz w:val="24"/>
                <w:szCs w:val="24"/>
                <w:highlight w:val="none"/>
                <w:vertAlign w:val="baseline"/>
              </w:rPr>
              <w:t xml:space="preserve">    </w:t>
            </w:r>
            <w:r>
              <w:rPr>
                <w:rFonts w:hint="eastAsia" w:ascii="仿宋" w:hAnsi="仿宋" w:eastAsia="仿宋" w:cs="仿宋"/>
                <w:sz w:val="24"/>
                <w:szCs w:val="24"/>
                <w:highlight w:val="none"/>
                <w:vertAlign w:val="baseline"/>
                <w:lang w:val="en-US" w:eastAsia="zh-CN"/>
              </w:rPr>
              <w:t xml:space="preserve">  </w:t>
            </w:r>
            <w:r>
              <w:rPr>
                <w:rFonts w:hint="eastAsia" w:ascii="仿宋" w:hAnsi="仿宋" w:eastAsia="仿宋" w:cs="仿宋"/>
                <w:sz w:val="24"/>
                <w:szCs w:val="24"/>
                <w:highlight w:val="none"/>
                <w:vertAlign w:val="baseline"/>
              </w:rPr>
              <w:t xml:space="preserve">电话：0991-3678303 </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电子邮箱：</w:t>
            </w:r>
            <w:r>
              <w:rPr>
                <w:rFonts w:hint="eastAsia" w:ascii="仿宋" w:hAnsi="仿宋" w:eastAsia="仿宋" w:cs="仿宋"/>
                <w:sz w:val="24"/>
                <w:szCs w:val="24"/>
                <w:highlight w:val="none"/>
                <w:vertAlign w:val="baseline"/>
                <w:lang w:val="en-US"/>
              </w:rPr>
              <w:t>415485763@qq.com</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1.3.3</w:t>
            </w:r>
          </w:p>
        </w:tc>
        <w:tc>
          <w:tcPr>
            <w:tcW w:w="66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rPr>
              <w:t>合格投标人的其他资格要求：</w:t>
            </w:r>
            <w:r>
              <w:rPr>
                <w:rFonts w:hint="eastAsia" w:ascii="仿宋" w:hAnsi="仿宋" w:eastAsia="仿宋" w:cs="仿宋"/>
                <w:sz w:val="24"/>
                <w:szCs w:val="24"/>
                <w:highlight w:val="none"/>
                <w:vertAlign w:val="baseline"/>
                <w:lang w:val="en-US" w:eastAsia="zh-CN"/>
              </w:rPr>
              <w:t>本项目第一包、第二包供应商应具有《食品生产许可证》或《食品经营许可证》</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1.4</w:t>
            </w:r>
          </w:p>
        </w:tc>
        <w:tc>
          <w:tcPr>
            <w:tcW w:w="66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lang w:val="en-US" w:eastAsia="zh-CN"/>
              </w:rPr>
              <w:t>是否允许采购进口产品：否</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1.5.1</w:t>
            </w:r>
          </w:p>
        </w:tc>
        <w:tc>
          <w:tcPr>
            <w:tcW w:w="66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kern w:val="2"/>
                <w:sz w:val="24"/>
                <w:szCs w:val="24"/>
                <w:highlight w:val="none"/>
                <w:vertAlign w:val="baseline"/>
                <w:lang w:val="en-US" w:eastAsia="zh-CN" w:bidi="ar-SA"/>
              </w:rPr>
            </w:pPr>
            <w:r>
              <w:rPr>
                <w:rFonts w:hint="eastAsia" w:ascii="仿宋" w:hAnsi="仿宋" w:eastAsia="仿宋" w:cs="仿宋"/>
                <w:kern w:val="2"/>
                <w:sz w:val="24"/>
                <w:szCs w:val="24"/>
                <w:highlight w:val="none"/>
                <w:vertAlign w:val="baseline"/>
                <w:lang w:val="en-US" w:eastAsia="zh-CN" w:bidi="ar-SA"/>
              </w:rPr>
              <w:t>（鸡蛋）所属行业：农、林、牧、渔业</w:t>
            </w:r>
          </w:p>
          <w:p>
            <w:pPr>
              <w:pStyle w:val="2"/>
              <w:spacing w:line="360" w:lineRule="auto"/>
              <w:rPr>
                <w:rFonts w:hint="eastAsia" w:ascii="仿宋" w:hAnsi="仿宋" w:eastAsia="仿宋" w:cs="仿宋"/>
                <w:highlight w:val="none"/>
                <w:lang w:val="en-US" w:eastAsia="zh-CN"/>
              </w:rPr>
            </w:pPr>
            <w:r>
              <w:rPr>
                <w:rFonts w:hint="eastAsia" w:ascii="仿宋" w:hAnsi="仿宋" w:eastAsia="仿宋" w:cs="仿宋"/>
                <w:sz w:val="24"/>
                <w:szCs w:val="24"/>
                <w:highlight w:val="none"/>
                <w:vertAlign w:val="baseline"/>
                <w:lang w:eastAsia="zh-CN"/>
              </w:rPr>
              <w:t>（</w:t>
            </w:r>
            <w:r>
              <w:rPr>
                <w:rFonts w:hint="eastAsia" w:ascii="仿宋" w:hAnsi="仿宋" w:eastAsia="仿宋" w:cs="仿宋"/>
                <w:sz w:val="24"/>
                <w:szCs w:val="24"/>
                <w:highlight w:val="none"/>
                <w:vertAlign w:val="baseline"/>
                <w:lang w:val="en-US" w:eastAsia="zh-CN"/>
              </w:rPr>
              <w:t>鹌鹑蛋熟</w:t>
            </w:r>
            <w:r>
              <w:rPr>
                <w:rFonts w:hint="eastAsia" w:ascii="仿宋" w:hAnsi="仿宋" w:eastAsia="仿宋" w:cs="仿宋"/>
                <w:sz w:val="24"/>
                <w:szCs w:val="24"/>
                <w:highlight w:val="none"/>
                <w:vertAlign w:val="baseline"/>
                <w:lang w:eastAsia="zh-CN"/>
              </w:rPr>
              <w:t>）所属行业：</w:t>
            </w:r>
            <w:r>
              <w:rPr>
                <w:rFonts w:hint="eastAsia" w:ascii="仿宋" w:hAnsi="仿宋" w:eastAsia="仿宋" w:cs="仿宋"/>
                <w:sz w:val="24"/>
                <w:szCs w:val="24"/>
                <w:highlight w:val="none"/>
                <w:vertAlign w:val="baseline"/>
                <w:lang w:val="en-US" w:eastAsia="zh-CN"/>
              </w:rPr>
              <w:t>工业</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1.5.2</w:t>
            </w:r>
          </w:p>
        </w:tc>
        <w:tc>
          <w:tcPr>
            <w:tcW w:w="66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是否为专门面向中小企业采购：是</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 xml:space="preserve">是否为本项目面向中小企业采购预留份额：是 </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 xml:space="preserve">如为是，未达到下面比例的投标将被认定为投标无效。 </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预留份额：</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lang w:val="en-US" w:eastAsia="zh-CN"/>
              </w:rPr>
              <w:t>第一包：</w:t>
            </w:r>
            <w:r>
              <w:rPr>
                <w:rFonts w:hint="eastAsia" w:ascii="仿宋" w:hAnsi="仿宋" w:eastAsia="仿宋" w:cs="仿宋"/>
                <w:sz w:val="24"/>
                <w:szCs w:val="24"/>
                <w:highlight w:val="none"/>
                <w:vertAlign w:val="baseline"/>
              </w:rPr>
              <w:t xml:space="preserve">要求获得采购合同的供应商将不低于 </w:t>
            </w:r>
            <w:r>
              <w:rPr>
                <w:rFonts w:hint="eastAsia" w:ascii="仿宋" w:hAnsi="仿宋" w:eastAsia="仿宋" w:cs="仿宋"/>
                <w:sz w:val="24"/>
                <w:szCs w:val="24"/>
                <w:highlight w:val="none"/>
                <w:vertAlign w:val="baseline"/>
                <w:lang w:val="en-US" w:eastAsia="zh-CN"/>
              </w:rPr>
              <w:t>70</w:t>
            </w:r>
            <w:r>
              <w:rPr>
                <w:rFonts w:hint="eastAsia" w:ascii="仿宋" w:hAnsi="仿宋" w:eastAsia="仿宋" w:cs="仿宋"/>
                <w:sz w:val="24"/>
                <w:szCs w:val="24"/>
                <w:highlight w:val="none"/>
                <w:vertAlign w:val="baseline"/>
              </w:rPr>
              <w:t>%比例分包给一家或者多家中小企业（其中，</w:t>
            </w:r>
            <w:r>
              <w:rPr>
                <w:rFonts w:hint="eastAsia" w:ascii="仿宋" w:hAnsi="仿宋" w:eastAsia="仿宋" w:cs="仿宋"/>
                <w:sz w:val="24"/>
                <w:szCs w:val="24"/>
                <w:highlight w:val="none"/>
                <w:vertAlign w:val="baseline"/>
                <w:lang w:val="en-US" w:eastAsia="zh-CN"/>
              </w:rPr>
              <w:t>不低于50.48</w:t>
            </w:r>
            <w:r>
              <w:rPr>
                <w:rFonts w:hint="eastAsia" w:ascii="仿宋" w:hAnsi="仿宋" w:eastAsia="仿宋" w:cs="仿宋"/>
                <w:sz w:val="24"/>
                <w:szCs w:val="24"/>
                <w:highlight w:val="none"/>
                <w:vertAlign w:val="baseline"/>
              </w:rPr>
              <w:t>%需分包给一家或多家小微企业）。 潜在供应商需承诺如成交将按照部分预留方式与采购人签订合同（需提供中小企业声明函及分包意向协议）</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lang w:val="en-US" w:eastAsia="zh-CN"/>
              </w:rPr>
              <w:t>第二包：</w:t>
            </w:r>
            <w:r>
              <w:rPr>
                <w:rFonts w:hint="eastAsia" w:ascii="仿宋" w:hAnsi="仿宋" w:eastAsia="仿宋" w:cs="仿宋"/>
                <w:sz w:val="24"/>
                <w:szCs w:val="24"/>
                <w:highlight w:val="none"/>
                <w:vertAlign w:val="baseline"/>
              </w:rPr>
              <w:t xml:space="preserve">要求获得采购合同的供应商将不低于 </w:t>
            </w:r>
            <w:r>
              <w:rPr>
                <w:rFonts w:hint="eastAsia" w:ascii="仿宋" w:hAnsi="仿宋" w:eastAsia="仿宋" w:cs="仿宋"/>
                <w:sz w:val="24"/>
                <w:szCs w:val="24"/>
                <w:highlight w:val="none"/>
                <w:vertAlign w:val="baseline"/>
                <w:lang w:val="en-US" w:eastAsia="zh-CN"/>
              </w:rPr>
              <w:t>70</w:t>
            </w:r>
            <w:r>
              <w:rPr>
                <w:rFonts w:hint="eastAsia" w:ascii="仿宋" w:hAnsi="仿宋" w:eastAsia="仿宋" w:cs="仿宋"/>
                <w:sz w:val="24"/>
                <w:szCs w:val="24"/>
                <w:highlight w:val="none"/>
                <w:vertAlign w:val="baseline"/>
              </w:rPr>
              <w:t>%比例分包给一家或者多家中小企业（其中，</w:t>
            </w:r>
            <w:r>
              <w:rPr>
                <w:rFonts w:hint="eastAsia" w:ascii="仿宋" w:hAnsi="仿宋" w:eastAsia="仿宋" w:cs="仿宋"/>
                <w:sz w:val="24"/>
                <w:szCs w:val="24"/>
                <w:highlight w:val="none"/>
                <w:vertAlign w:val="baseline"/>
                <w:lang w:val="en-US" w:eastAsia="zh-CN"/>
              </w:rPr>
              <w:t>不低于50.48</w:t>
            </w:r>
            <w:r>
              <w:rPr>
                <w:rFonts w:hint="eastAsia" w:ascii="仿宋" w:hAnsi="仿宋" w:eastAsia="仿宋" w:cs="仿宋"/>
                <w:sz w:val="24"/>
                <w:szCs w:val="24"/>
                <w:highlight w:val="none"/>
                <w:vertAlign w:val="baseline"/>
              </w:rPr>
              <w:t>%需分包给一家或多家小微企业）。 潜在供应商需承诺如成交将按照部分预留方式与采购人签订合同（需提供中小企业声明函及分包意向协议）</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第三包：</w:t>
            </w:r>
            <w:r>
              <w:rPr>
                <w:rFonts w:hint="eastAsia" w:ascii="仿宋" w:hAnsi="仿宋" w:eastAsia="仿宋" w:cs="仿宋"/>
                <w:sz w:val="24"/>
                <w:szCs w:val="24"/>
                <w:highlight w:val="none"/>
                <w:vertAlign w:val="baseline"/>
                <w:lang w:val="en-US"/>
              </w:rPr>
              <w:t>本</w:t>
            </w:r>
            <w:r>
              <w:rPr>
                <w:rFonts w:hint="eastAsia" w:ascii="仿宋" w:hAnsi="仿宋" w:eastAsia="仿宋" w:cs="仿宋"/>
                <w:sz w:val="24"/>
                <w:szCs w:val="24"/>
                <w:highlight w:val="none"/>
                <w:vertAlign w:val="baseline"/>
                <w:lang w:val="en-US" w:eastAsia="zh-CN"/>
              </w:rPr>
              <w:t>标项100%专门</w:t>
            </w:r>
            <w:r>
              <w:rPr>
                <w:rFonts w:hint="eastAsia" w:ascii="仿宋" w:hAnsi="仿宋" w:eastAsia="仿宋" w:cs="仿宋"/>
                <w:sz w:val="24"/>
                <w:szCs w:val="24"/>
                <w:highlight w:val="none"/>
                <w:vertAlign w:val="baseline"/>
                <w:lang w:val="en-US"/>
              </w:rPr>
              <w:t>面向</w:t>
            </w:r>
            <w:r>
              <w:rPr>
                <w:rFonts w:hint="eastAsia" w:ascii="仿宋" w:hAnsi="仿宋" w:eastAsia="仿宋" w:cs="仿宋"/>
                <w:sz w:val="24"/>
                <w:szCs w:val="24"/>
                <w:highlight w:val="none"/>
                <w:vertAlign w:val="baseline"/>
                <w:lang w:val="en-US" w:eastAsia="zh-CN"/>
              </w:rPr>
              <w:t>小微</w:t>
            </w:r>
            <w:r>
              <w:rPr>
                <w:rFonts w:hint="eastAsia" w:ascii="仿宋" w:hAnsi="仿宋" w:eastAsia="仿宋" w:cs="仿宋"/>
                <w:sz w:val="24"/>
                <w:szCs w:val="24"/>
                <w:highlight w:val="none"/>
                <w:vertAlign w:val="baseline"/>
                <w:lang w:val="en-US"/>
              </w:rPr>
              <w:t>企业，供应商提供的</w:t>
            </w:r>
            <w:r>
              <w:rPr>
                <w:rFonts w:hint="eastAsia" w:ascii="仿宋" w:hAnsi="仿宋" w:eastAsia="仿宋" w:cs="仿宋"/>
                <w:sz w:val="24"/>
                <w:szCs w:val="24"/>
                <w:highlight w:val="none"/>
                <w:vertAlign w:val="baseline"/>
                <w:lang w:val="en-US" w:eastAsia="zh-CN"/>
              </w:rPr>
              <w:t>货物</w:t>
            </w:r>
            <w:r>
              <w:rPr>
                <w:rFonts w:hint="eastAsia" w:ascii="仿宋" w:hAnsi="仿宋" w:eastAsia="仿宋" w:cs="仿宋"/>
                <w:sz w:val="24"/>
                <w:szCs w:val="24"/>
                <w:highlight w:val="none"/>
                <w:vertAlign w:val="baseline"/>
                <w:lang w:val="en-US"/>
              </w:rPr>
              <w:t>应符合《政府采购促进中小企业发展管理办法》(财库〔2020〕46号) 第四条规定的情形，且应当提供《政府采购促进中小企业发展管理办法》(财库〔2020〕46号)规定的《中小企业声明函》。</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1.10</w:t>
            </w:r>
          </w:p>
        </w:tc>
        <w:tc>
          <w:tcPr>
            <w:tcW w:w="66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是否允许联合体投标：否</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联合体的其他资格要求：无</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2.2</w:t>
            </w:r>
          </w:p>
        </w:tc>
        <w:tc>
          <w:tcPr>
            <w:tcW w:w="66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本标项（包）预算金额：60万元</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最高限价：鸡蛋参照北园春市场中间价报下浮率不低于3%（有效报价区间为：3.00%≤投标下浮率＜100.00%）</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default"/>
                <w:highlight w:val="none"/>
                <w:lang w:val="en-US" w:eastAsia="zh-CN"/>
              </w:rPr>
            </w:pPr>
            <w:r>
              <w:rPr>
                <w:rFonts w:hint="eastAsia" w:ascii="仿宋" w:hAnsi="仿宋" w:eastAsia="仿宋" w:cs="仿宋"/>
                <w:sz w:val="24"/>
                <w:szCs w:val="24"/>
                <w:highlight w:val="none"/>
                <w:vertAlign w:val="baseline"/>
                <w:lang w:val="en-US" w:eastAsia="zh-CN"/>
              </w:rPr>
              <w:t>鹌鹑蛋（熟）单价最高限价：20元</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5.4</w:t>
            </w:r>
          </w:p>
        </w:tc>
        <w:tc>
          <w:tcPr>
            <w:tcW w:w="66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 xml:space="preserve">是否组织现场考察或者召开答疑会：否 </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组织现场考察或者召开答疑会相关要求：/</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 xml:space="preserve">5.7 </w:t>
            </w:r>
          </w:p>
        </w:tc>
        <w:tc>
          <w:tcPr>
            <w:tcW w:w="66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 xml:space="preserve">是否需要提供样品：否 </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lang w:eastAsia="zh-CN"/>
              </w:rPr>
            </w:pPr>
            <w:r>
              <w:rPr>
                <w:rFonts w:hint="eastAsia" w:ascii="仿宋" w:hAnsi="仿宋" w:eastAsia="仿宋" w:cs="仿宋"/>
                <w:sz w:val="24"/>
                <w:szCs w:val="24"/>
                <w:highlight w:val="none"/>
                <w:vertAlign w:val="baseline"/>
              </w:rPr>
              <w:t>提供样品要求包括：</w:t>
            </w:r>
            <w:r>
              <w:rPr>
                <w:rFonts w:hint="eastAsia" w:ascii="仿宋" w:hAnsi="仿宋" w:eastAsia="仿宋" w:cs="仿宋"/>
                <w:sz w:val="24"/>
                <w:szCs w:val="24"/>
                <w:highlight w:val="none"/>
                <w:vertAlign w:val="baseline"/>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 xml:space="preserve">7.1 </w:t>
            </w:r>
          </w:p>
        </w:tc>
        <w:tc>
          <w:tcPr>
            <w:tcW w:w="66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供应商可以对以上本项目第1-</w:t>
            </w:r>
            <w:r>
              <w:rPr>
                <w:rFonts w:hint="eastAsia" w:ascii="仿宋" w:hAnsi="仿宋" w:eastAsia="仿宋" w:cs="仿宋"/>
                <w:sz w:val="24"/>
                <w:szCs w:val="24"/>
                <w:highlight w:val="none"/>
                <w:vertAlign w:val="baseline"/>
                <w:lang w:val="en-US" w:eastAsia="zh-CN"/>
              </w:rPr>
              <w:t>3</w:t>
            </w:r>
            <w:r>
              <w:rPr>
                <w:rFonts w:hint="eastAsia" w:ascii="仿宋" w:hAnsi="仿宋" w:eastAsia="仿宋" w:cs="仿宋"/>
                <w:sz w:val="24"/>
                <w:szCs w:val="24"/>
                <w:highlight w:val="none"/>
                <w:vertAlign w:val="baseline"/>
              </w:rPr>
              <w:t>包同时进行投标，但第1、2包中一家供应商最多只能中1个包；</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评审按上述包号先后顺序进行，当一家供应商已被推荐为前一包的排名第一的中标候选人后，该供应商将不再被推荐为后一包的中标人。但可以参加其余包的评审，以此类推。</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10</w:t>
            </w:r>
          </w:p>
        </w:tc>
        <w:tc>
          <w:tcPr>
            <w:tcW w:w="66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保证金形式：电汇或银行转账或投标保函</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保证金数额：</w:t>
            </w:r>
            <w:r>
              <w:rPr>
                <w:rFonts w:hint="eastAsia" w:ascii="仿宋" w:hAnsi="仿宋" w:eastAsia="仿宋" w:cs="仿宋"/>
                <w:sz w:val="24"/>
                <w:szCs w:val="24"/>
                <w:highlight w:val="none"/>
                <w:vertAlign w:val="baseline"/>
                <w:lang w:val="en-US" w:eastAsia="zh-CN"/>
              </w:rPr>
              <w:t>12000</w:t>
            </w:r>
            <w:r>
              <w:rPr>
                <w:rFonts w:hint="eastAsia" w:ascii="仿宋" w:hAnsi="仿宋" w:eastAsia="仿宋" w:cs="仿宋"/>
                <w:sz w:val="24"/>
                <w:szCs w:val="24"/>
                <w:highlight w:val="none"/>
                <w:vertAlign w:val="baseline"/>
              </w:rPr>
              <w:t xml:space="preserve">元 </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保证金收款人：新疆世纪星工程咨询有限公司</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保证金收款账号：512090100100073085</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保证收款银行及行号: 兴业银行乌鲁木齐分行营业部309881002010</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以电汇或银行转账形式缴纳保证金的投标人注意事项：</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在汇款附言（或银行摘要）中，</w:t>
            </w:r>
            <w:r>
              <w:rPr>
                <w:rFonts w:hint="eastAsia" w:ascii="仿宋" w:hAnsi="仿宋" w:eastAsia="仿宋" w:cs="仿宋"/>
                <w:b/>
                <w:bCs/>
                <w:sz w:val="24"/>
                <w:szCs w:val="24"/>
                <w:highlight w:val="none"/>
                <w:vertAlign w:val="baseline"/>
              </w:rPr>
              <w:t>标明项目编号、包号（如分包）</w:t>
            </w:r>
            <w:r>
              <w:rPr>
                <w:rFonts w:hint="eastAsia" w:ascii="仿宋" w:hAnsi="仿宋" w:eastAsia="仿宋" w:cs="仿宋"/>
                <w:sz w:val="24"/>
                <w:szCs w:val="24"/>
                <w:highlight w:val="none"/>
                <w:vertAlign w:val="baseline"/>
              </w:rPr>
              <w:t>。</w:t>
            </w:r>
            <w:r>
              <w:rPr>
                <w:rFonts w:hint="eastAsia" w:ascii="仿宋" w:hAnsi="仿宋" w:eastAsia="仿宋" w:cs="仿宋"/>
                <w:b/>
                <w:bCs/>
                <w:sz w:val="24"/>
                <w:szCs w:val="24"/>
                <w:highlight w:val="none"/>
                <w:vertAlign w:val="baseline"/>
              </w:rPr>
              <w:t>每个项目须按照分包分别提交投标保证金</w:t>
            </w:r>
            <w:r>
              <w:rPr>
                <w:rFonts w:hint="eastAsia" w:ascii="仿宋" w:hAnsi="仿宋" w:eastAsia="仿宋" w:cs="仿宋"/>
                <w:sz w:val="24"/>
                <w:szCs w:val="24"/>
                <w:highlight w:val="none"/>
                <w:vertAlign w:val="baseline"/>
              </w:rPr>
              <w:t>。</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投标保函提交方式：供应商可通过"政采云平台金融服务中心"(https://jinrong.zcygov.cn/)，申请办理投标电子保函，成功出函的等效于缴纳投标保证金。</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b/>
                <w:bCs/>
                <w:sz w:val="24"/>
                <w:szCs w:val="24"/>
                <w:highlight w:val="none"/>
                <w:vertAlign w:val="baseline"/>
              </w:rPr>
              <w:t>投标保证金（投标电子保函）有效期与投标有效期一致。</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11.1</w:t>
            </w:r>
          </w:p>
        </w:tc>
        <w:tc>
          <w:tcPr>
            <w:tcW w:w="66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bCs/>
                <w:sz w:val="24"/>
                <w:szCs w:val="24"/>
                <w:highlight w:val="none"/>
                <w:vertAlign w:val="baseline"/>
              </w:rPr>
            </w:pPr>
            <w:r>
              <w:rPr>
                <w:rFonts w:hint="eastAsia" w:ascii="仿宋" w:hAnsi="仿宋" w:eastAsia="仿宋" w:cs="仿宋"/>
                <w:b w:val="0"/>
                <w:bCs w:val="0"/>
                <w:sz w:val="24"/>
                <w:szCs w:val="24"/>
                <w:highlight w:val="none"/>
                <w:vertAlign w:val="baseline"/>
              </w:rPr>
              <w:t>投标有效期：90 日历日</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13.1</w:t>
            </w:r>
          </w:p>
        </w:tc>
        <w:tc>
          <w:tcPr>
            <w:tcW w:w="66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投标截止时间：2023年 08月10 日 11:00（北京时间）</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14.1</w:t>
            </w:r>
          </w:p>
        </w:tc>
        <w:tc>
          <w:tcPr>
            <w:tcW w:w="66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 xml:space="preserve">开标时间：同投标截止时间 </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开标地点：政采云平台（https://www.zcygov.cn/）不见面开标系统</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72" w:hRule="atLeast"/>
        </w:trPr>
        <w:tc>
          <w:tcPr>
            <w:tcW w:w="187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18.1</w:t>
            </w:r>
          </w:p>
        </w:tc>
        <w:tc>
          <w:tcPr>
            <w:tcW w:w="66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 xml:space="preserve">采购人是否委托评标委员会直接确定中标人：否 </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22.1</w:t>
            </w:r>
          </w:p>
        </w:tc>
        <w:tc>
          <w:tcPr>
            <w:tcW w:w="66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提交履约保证金的时间：合同签订后10个工作日内</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履约保证金金额：本包中标金额*10%（最高不超过30万元）</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highlight w:val="none"/>
                <w:lang w:val="en-US" w:eastAsia="zh-CN"/>
              </w:rPr>
            </w:pPr>
            <w:r>
              <w:rPr>
                <w:rFonts w:hint="eastAsia" w:ascii="仿宋" w:hAnsi="仿宋" w:eastAsia="仿宋" w:cs="仿宋"/>
                <w:b w:val="0"/>
                <w:bCs w:val="0"/>
                <w:sz w:val="24"/>
                <w:szCs w:val="24"/>
                <w:highlight w:val="none"/>
                <w:vertAlign w:val="baseline"/>
                <w:lang w:val="en-US" w:eastAsia="zh-CN"/>
              </w:rPr>
              <w:t>履约保证金形式：电汇或银行转账或履约保函</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539" w:hRule="atLeast"/>
        </w:trPr>
        <w:tc>
          <w:tcPr>
            <w:tcW w:w="187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23.1</w:t>
            </w:r>
          </w:p>
        </w:tc>
        <w:tc>
          <w:tcPr>
            <w:tcW w:w="66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 xml:space="preserve">是否由中标人缴纳招标代理费：是 </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招标代理费：以本包/标项预算金额参照原国家计委计价格【2002】1980 号文下浮</w:t>
            </w:r>
            <w:r>
              <w:rPr>
                <w:rFonts w:hint="eastAsia" w:ascii="仿宋" w:hAnsi="仿宋" w:eastAsia="仿宋" w:cs="仿宋"/>
                <w:b w:val="0"/>
                <w:bCs w:val="0"/>
                <w:sz w:val="24"/>
                <w:szCs w:val="24"/>
                <w:highlight w:val="none"/>
                <w:u w:val="single"/>
                <w:vertAlign w:val="baseline"/>
                <w:lang w:val="en-US" w:eastAsia="zh-CN"/>
              </w:rPr>
              <w:t xml:space="preserve">  70  </w:t>
            </w:r>
            <w:r>
              <w:rPr>
                <w:rFonts w:hint="eastAsia" w:ascii="仿宋" w:hAnsi="仿宋" w:eastAsia="仿宋" w:cs="仿宋"/>
                <w:b w:val="0"/>
                <w:bCs w:val="0"/>
                <w:sz w:val="24"/>
                <w:szCs w:val="24"/>
                <w:highlight w:val="none"/>
                <w:vertAlign w:val="baseline"/>
                <w:lang w:val="en-US" w:eastAsia="zh-CN"/>
              </w:rPr>
              <w:t xml:space="preserve">%的计算方法收取。  </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 xml:space="preserve">支付形式：支票、电汇等形式 </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支付时间：领取中标通知书的同时</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08" w:hRule="atLeast"/>
        </w:trPr>
        <w:tc>
          <w:tcPr>
            <w:tcW w:w="8522" w:type="dxa"/>
            <w:gridSpan w:val="2"/>
            <w:tcBorders>
              <w:top w:val="single" w:color="auto" w:sz="4" w:space="0"/>
              <w:bottom w:val="single" w:color="auto" w:sz="4" w:space="0"/>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适用于本投标人须知的额外增加的变动：</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93" w:hRule="atLeast"/>
        </w:trPr>
        <w:tc>
          <w:tcPr>
            <w:tcW w:w="1870" w:type="dxa"/>
            <w:tcBorders>
              <w:top w:val="single" w:color="auto" w:sz="4" w:space="0"/>
              <w:bottom w:val="single" w:color="auto" w:sz="4" w:space="0"/>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p>
        </w:tc>
        <w:tc>
          <w:tcPr>
            <w:tcW w:w="6652" w:type="dxa"/>
            <w:tcBorders>
              <w:top w:val="single" w:color="auto" w:sz="4" w:space="0"/>
              <w:bottom w:val="single" w:color="auto" w:sz="4" w:space="0"/>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核心产品：鸡蛋、鹌鹑蛋（熟）</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47" w:hRule="atLeast"/>
        </w:trPr>
        <w:tc>
          <w:tcPr>
            <w:tcW w:w="1870" w:type="dxa"/>
            <w:tcBorders>
              <w:top w:val="single" w:color="auto" w:sz="4" w:space="0"/>
              <w:bottom w:val="single" w:color="auto" w:sz="4" w:space="0"/>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p>
        </w:tc>
        <w:tc>
          <w:tcPr>
            <w:tcW w:w="6652" w:type="dxa"/>
            <w:tcBorders>
              <w:top w:val="single" w:color="auto" w:sz="4" w:space="0"/>
              <w:bottom w:val="single" w:color="auto" w:sz="4" w:space="0"/>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评标方法：综合评分法</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73" w:hRule="atLeast"/>
        </w:trPr>
        <w:tc>
          <w:tcPr>
            <w:tcW w:w="1870" w:type="dxa"/>
            <w:tcBorders>
              <w:top w:val="single" w:color="auto" w:sz="4" w:space="0"/>
              <w:bottom w:val="single" w:color="auto" w:sz="4" w:space="0"/>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p>
        </w:tc>
        <w:tc>
          <w:tcPr>
            <w:tcW w:w="6652" w:type="dxa"/>
            <w:tcBorders>
              <w:top w:val="single" w:color="auto" w:sz="4" w:space="0"/>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项目属性：货物</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2190" w:hRule="atLeast"/>
        </w:trPr>
        <w:tc>
          <w:tcPr>
            <w:tcW w:w="8522" w:type="dxa"/>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适用于本投标人须知的额外增加的变动：</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1、关于本项目所有公告、公示在新疆政府采购网发布。</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2、请投标单位随时关注本项目的澄清、答疑、变更事项。</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3、本项目实行电子招投标，供应商须登录政采云平台申请获取招标文件，并通过政采云电子投标客户端制作响应文件，同时自行承担与投标有关的一切费用。</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4、各供应商应在开标前确保成为新疆维吾尔自治区政府采购网正式注册入库供应商，并完成CA数字证书申领。因未注册入库、未办理CA数字证书等原因造成无法投标或投标失败等后果由供应商自行承担。</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5、有意向参与新疆区域电子开评标的供应商，可访问新疆数字证书认证中心官方网站（https://www.xjca.com.cn/）或下载“新疆政务通”APP自行进行申领。如需咨询，请联系新疆CA服务热线0991-2819290。</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5、供应商可前往新疆政府采购网（http://www.ccgp-xinjiang.gov.cn/）下载专区，下载政采云电子投标客户端，安装完成后，可通过账号密码或CA登录客户端进行响应文件制作。在使用政采云电子投标客户端时，如有问题可拨打政采云客户服务热线进行咨询。</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6、本项目采用不见面开标，供应商须在投标截止时间前通过CA在政采云平台上传加密的电子响应文件。备注：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7、供应商在开标前须提前配置好电脑浏览器（建议使用360浏览器或谷歌浏览器），开标时请使用制作加密电子响应文件的CA锁进行解密及报价确认。</w:t>
            </w:r>
            <w:r>
              <w:rPr>
                <w:rFonts w:hint="eastAsia" w:ascii="仿宋" w:hAnsi="仿宋" w:eastAsia="仿宋" w:cs="仿宋"/>
                <w:b/>
                <w:bCs/>
                <w:sz w:val="24"/>
                <w:szCs w:val="24"/>
                <w:highlight w:val="none"/>
                <w:vertAlign w:val="baseline"/>
                <w:lang w:val="en-US" w:eastAsia="zh-CN"/>
              </w:rPr>
              <w:t>本项目投标文件解密时间定为30分钟，如投标人因自身原因导致在规定的时间无法正常解密，视为开标后撤销其投标文件，投标保证金招标人有权不予退还。</w:t>
            </w:r>
          </w:p>
        </w:tc>
      </w:tr>
    </w:tbl>
    <w:p>
      <w:pPr>
        <w:rPr>
          <w:rFonts w:hint="eastAsia" w:ascii="仿宋" w:hAnsi="仿宋" w:eastAsia="仿宋" w:cs="仿宋"/>
          <w:sz w:val="32"/>
          <w:szCs w:val="32"/>
          <w:highlight w:val="none"/>
        </w:rPr>
      </w:pPr>
      <w:r>
        <w:rPr>
          <w:rFonts w:hint="eastAsia" w:ascii="仿宋" w:hAnsi="仿宋" w:eastAsia="仿宋" w:cs="仿宋"/>
          <w:sz w:val="32"/>
          <w:szCs w:val="32"/>
          <w:highlight w:val="none"/>
        </w:rPr>
        <w:br w:type="page"/>
      </w:r>
    </w:p>
    <w:p>
      <w:pPr>
        <w:pStyle w:val="3"/>
        <w:numPr>
          <w:ilvl w:val="0"/>
          <w:numId w:val="1"/>
        </w:numPr>
        <w:bidi w:val="0"/>
        <w:jc w:val="center"/>
        <w:rPr>
          <w:rFonts w:hint="eastAsia" w:ascii="仿宋" w:hAnsi="仿宋" w:eastAsia="仿宋" w:cs="仿宋"/>
          <w:sz w:val="32"/>
          <w:szCs w:val="32"/>
          <w:highlight w:val="none"/>
        </w:rPr>
      </w:pPr>
      <w:bookmarkStart w:id="17" w:name="_Toc27881"/>
      <w:r>
        <w:rPr>
          <w:rFonts w:hint="eastAsia" w:ascii="仿宋" w:hAnsi="仿宋" w:eastAsia="仿宋" w:cs="仿宋"/>
          <w:sz w:val="32"/>
          <w:szCs w:val="32"/>
          <w:highlight w:val="none"/>
        </w:rPr>
        <w:t>投标人须知</w:t>
      </w:r>
      <w:bookmarkEnd w:id="17"/>
    </w:p>
    <w:p>
      <w:pPr>
        <w:keepNext w:val="0"/>
        <w:keepLines w:val="0"/>
        <w:pageBreakBefore w:val="0"/>
        <w:widowControl w:val="0"/>
        <w:numPr>
          <w:ilvl w:val="0"/>
          <w:numId w:val="2"/>
        </w:numPr>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b/>
          <w:bCs/>
          <w:sz w:val="24"/>
          <w:szCs w:val="24"/>
          <w:highlight w:val="none"/>
        </w:rPr>
      </w:pPr>
      <w:bookmarkStart w:id="18" w:name="_Toc20936"/>
      <w:r>
        <w:rPr>
          <w:rFonts w:hint="eastAsia" w:ascii="仿宋" w:hAnsi="仿宋" w:eastAsia="仿宋" w:cs="仿宋"/>
          <w:b/>
          <w:bCs/>
          <w:sz w:val="24"/>
          <w:szCs w:val="24"/>
          <w:highlight w:val="none"/>
        </w:rPr>
        <w:t>说 明</w:t>
      </w:r>
      <w:bookmarkEnd w:id="18"/>
    </w:p>
    <w:p>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采购人、采购代理机构及投标人</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采购人：是指依法进行政府采购的国家机构、事业单位、团体组织。</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采购代理机构：本次招标的采购代理机构为新疆世纪星工程咨询有限公司。</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投标人：是指向采购人提供货物、工程或者服务的法人、其他组织或者自然人。</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投标人须满足以下条件：</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具备《中华人民共和国政府采购法》第二十二条关于投标人条件的规定，遵守国家、本项目采购人本级和上级财政部门政府采购的有关规定。</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以招标文件规定的方式获得了本项目的招标文件。</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符合</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中规定的其他资格要求。</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如经财政主管部门批准可以采购进口产品，将在投标须知前附表中写明。但投标人应保证所投产品可履行合法报通关手续进入中国关境内。若</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中未写明允许采购进口产品，如投标人所投产品为进口产品，其投标将作为</w:t>
      </w:r>
      <w:r>
        <w:rPr>
          <w:rFonts w:hint="eastAsia" w:ascii="仿宋" w:hAnsi="仿宋" w:eastAsia="仿宋" w:cs="仿宋"/>
          <w:b/>
          <w:bCs/>
          <w:sz w:val="24"/>
          <w:szCs w:val="24"/>
          <w:highlight w:val="none"/>
          <w:lang w:val="en-US" w:eastAsia="zh-CN"/>
        </w:rPr>
        <w:t>无效投标</w:t>
      </w:r>
      <w:r>
        <w:rPr>
          <w:rFonts w:hint="eastAsia" w:ascii="仿宋" w:hAnsi="仿宋" w:eastAsia="仿宋" w:cs="仿宋"/>
          <w:b w:val="0"/>
          <w:bCs w:val="0"/>
          <w:sz w:val="24"/>
          <w:szCs w:val="24"/>
          <w:highlight w:val="none"/>
          <w:lang w:val="en-US" w:eastAsia="zh-CN"/>
        </w:rPr>
        <w:t xml:space="preserve">被拒绝。 </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中小企业、监狱企业及残疾人福利性单位。</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采购标的对应的中小企业划分标准所属行业见</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若投标须知前附表中写明专门面向中小企业采购的，如投标人所提供的货物为非中小企业制造或提供的服务、工程为非中小企业承接，其投标将被认定为</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。本项目是否面向中小企业采购预留份额、措施及比例见</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，未达到上述比例的投标将被认定为</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。承接企业如为监狱企业或残疾人福利性单位的，视同为小型、微型企业。</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相关规定依据《中华人民共和国中小企业促进法》、《政府采购促进中小企业发展管理办法》（财库〔2020〕46 号）、《关于印发中小企业划型标准规定的通知》（工信部联企业〔2011〕300 号）、《国务院关于进一步促进中小企业发展的若干意见》（国发〔2009〕36 号）。</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 投标人提供的货物、工程或者服务符合下列情形的，享受中小企业扶持政策：</w:t>
      </w:r>
    </w:p>
    <w:p>
      <w:pPr>
        <w:keepNext w:val="0"/>
        <w:keepLines w:val="0"/>
        <w:pageBreakBefore w:val="0"/>
        <w:widowControl w:val="0"/>
        <w:numPr>
          <w:ilvl w:val="0"/>
          <w:numId w:val="5"/>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在货物采购项目中，货物由中小企业制造，即货物由中小企业生产且使用该中小企业商号或者注册商标；</w:t>
      </w:r>
    </w:p>
    <w:p>
      <w:pPr>
        <w:keepNext w:val="0"/>
        <w:keepLines w:val="0"/>
        <w:pageBreakBefore w:val="0"/>
        <w:widowControl w:val="0"/>
        <w:numPr>
          <w:ilvl w:val="0"/>
          <w:numId w:val="5"/>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在工程采购项目中，工程由中小企业承建，即工程施工单位为中小企业；</w:t>
      </w:r>
    </w:p>
    <w:p>
      <w:pPr>
        <w:keepNext w:val="0"/>
        <w:keepLines w:val="0"/>
        <w:pageBreakBefore w:val="0"/>
        <w:widowControl w:val="0"/>
        <w:numPr>
          <w:ilvl w:val="0"/>
          <w:numId w:val="5"/>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在服务采购项目中，服务由中小企业承接，即提供服务的人员为中小企业依照《中华人民共和国劳动合同法》订立劳动合同的从业人员。 </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在货物采购项目中，投标人提供的货物既有中小企业制造货物，也有大型企业制造货物的，不享受中小企业扶持政策。 </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以联合体形式参加政府采购活动，联合体各方均为中小企业的，联合体视同中小企业。其中，联合体各方均为小微企业的，联合体视同小微企业。</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 </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享受政府采购支持政策的残疾人福利性单位根据《关于促进残疾人就业政府采购政策的通知》（财库〔2017〕141号）应当同时满足以下条件： </w:t>
      </w:r>
    </w:p>
    <w:p>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安置的残疾人占本单位在职职工人数的比例不低于25%（含25%），并且安置的残疾人人数不少于10人（含10人）； </w:t>
      </w:r>
    </w:p>
    <w:p>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依法与安置的每位残疾人签订了一年以上（含一年）的劳动合同或服务协议；</w:t>
      </w:r>
    </w:p>
    <w:p>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为安置的每位残疾人按月足额缴纳了基本养老保险、基本医疗保险、失业保险、工伤保险和生育保险等社会保险费；</w:t>
      </w:r>
    </w:p>
    <w:p>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通过银行等金融机构向安置的每位残疾人，按月支付了不低于单位所在区县适用的经省级人民政府批准的月最低工资标准的工资；</w:t>
      </w:r>
    </w:p>
    <w:p>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提供本单位制造的货物、承担的工程或者服务，或者提供其他残疾人福利性单位制造的货物（不包括使用非残疾人福利性单位注册商标的货物）。</w:t>
      </w:r>
    </w:p>
    <w:p>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享受中小企业扶持政策获得政府采购合同的，小微企业不得将合同分包给大中型企业，中型企业不得将合同分包给大型企业。</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政府采购节能产品、环境标志产品</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采购人拟采购的产品属于品目清单范围的，采购人及其委托的采购代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2019〕9 号）。 </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如本项目采购产品属于实施政府强制采购品目清单范围的节能产品，则投标人所报产品必须获得国家确定的认证机构出具的、处于有效期之内的节能产品认证证书，否则</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非政府强制采购的节能产品或环境标志产品，依据品目清单和认证证书实施政府优先采购。优先采购的具体规定见第六章《评标程序、评标方法和评标标准》（如涉及）。</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支持乡村产业振兴管理</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为落实《关于运用政府采购政策支持乡村产业振兴的通知》（财库〔2021〕19 号）有关要求，做好支持脱贫攻坚工作，本项目采购活动中对于支持乡村振兴管理的相关要求见第五章《采购需求》（如涉及）。</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 正版软件</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依据《财政部国家发展改革委信息产业部关于印发无线局域网产品政府采购实施意见的通知》（财库〔2005〕366 号），采购无线局域网产品和含有无线局域网功能的计算机、通信设备、打印机、复印机、投影仪等产品的，优先采购符合国家无线局域网安全标准（GB15629.11/1102）并通过国家产品认证的产品。其中，国家有特殊信息安全要求的项目必须采购认证产品，否则</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财政部、国家发展改革委、信息产业部根据政府采购改革进展和无线局域网产品技术及市场成熟等情况，从国家指定的认证机构认证的生产厂商和产品型号中确定优先采购的产品，并以“无线局域网认证产品政府采购清单”（以下简称清单）的形式公布。清单中新增认证产品厂商和型号，由财政部、国家发展改革委、信息产业部以文件形式确定、公布并适时调整。</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 号）、《国务院办公厅关于进一步做好政府机关使用正版软件工作的通知》（国办发〔2010〕47 号）、《财政部关于进一步做好政府机关使用正版软件工作的通知》（财预〔2010〕536 号）。 </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 信息安全产品</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所投产品属于《关于调整信息安全产品强制性认证实施要求的公告》（2009 年第 33 号）范围的，采购经国家认证的信息安全产品，否则</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。关于信息安全相关规定依据《关于信息安全产品实施政府采购的通知》（财库〔2010〕48 号）。</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如</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中允许联合体投标，对联合体规定如下：</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两个以上投标人可以组成一个投标联合体，以一个投标人的身份投标。  </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联合体各方均应符合《中华人民共和国政府采购法》第二十二条规定的条件，遵守国家、本项目采购人本级和上级财政部门政府采购的有关规定。</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采购人根据采购项目对投标人的特殊要求，联合体中至少应当有一方符合相关规定。</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联合体各方应签订共同投标协议，明确约定联合体各方承担的工作和相应的责任，并将共同投标协议连同投标文件一并提交采购人或采购代理机构。</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大中型企业、自然人、法人或者其他组织与小型、微型企业组成联合体共同参加投标，共同投标协议中应写明小型、微型企业的协议合同金额占到共同投标协议投标总金额的比例。联合体各方均为中小企业的，联合体视同中小企业。其中，联合体各方均为小微企业的，联合体视同小微企业。</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联合体中有同类资质的投标人按照联合体分工承担相同工作的，按照资质等级较低的投标人确定资质等级。</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对联合体投标的其他资格要求见</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单位负责人为同一人或者存在直接控股、管理关系的不同投标人，其投标将被认定为</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 xml:space="preserve">。 </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为本项目提供整体设计、规范编制或者项目管理、监理、检测等服务的投标人，其投标将被认定为</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 xml:space="preserve"> 资金来源 </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本项目的采购人已获得足以支付本次招标后所签订的合同项下的资金（包括财政性资金和本项目采购中无法与财政性资金分割的非财政性资金）。 </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项目预算金额和最高限价见</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投标人报价超过招标文件规定的预算金额或者最高限价的，其投标将被认定为</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 xml:space="preserve">。 </w:t>
      </w:r>
    </w:p>
    <w:p>
      <w:pPr>
        <w:keepNext w:val="0"/>
        <w:keepLines w:val="0"/>
        <w:pageBreakBefore w:val="0"/>
        <w:widowControl w:val="0"/>
        <w:numPr>
          <w:ilvl w:val="0"/>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投标费用</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投标人应自行承担所有与准备和参加投标有关的费用，无论投标的结果如何，采购人或采购代理机构在任何情况下均无承担这些费用的义务和责任。</w:t>
      </w:r>
    </w:p>
    <w:p>
      <w:pPr>
        <w:keepNext w:val="0"/>
        <w:keepLines w:val="0"/>
        <w:pageBreakBefore w:val="0"/>
        <w:widowControl w:val="0"/>
        <w:numPr>
          <w:ilvl w:val="0"/>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bCs/>
          <w:sz w:val="24"/>
          <w:szCs w:val="24"/>
          <w:highlight w:val="none"/>
          <w:lang w:val="en-US" w:eastAsia="zh-CN"/>
        </w:rPr>
        <w:t>适用法律</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本项目采购人、采购代理机构、投标人、评标委员会的相关行为均受《中华人民共和国政府采购法》、《中华人民共和国政府采购法实施条例》、《政府采购货物和服务招标投标管理办法》（财政部令第87号）及本项目本级和上级财政部门政府采购有关规定的约束，其权利受到上述法律法规的保护。</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bCs/>
          <w:sz w:val="24"/>
          <w:szCs w:val="24"/>
          <w:highlight w:val="none"/>
          <w:lang w:val="en-US" w:eastAsia="zh-CN"/>
        </w:rPr>
      </w:pPr>
    </w:p>
    <w:p>
      <w:pPr>
        <w:keepNext w:val="0"/>
        <w:keepLines w:val="0"/>
        <w:pageBreakBefore w:val="0"/>
        <w:widowControl w:val="0"/>
        <w:numPr>
          <w:ilvl w:val="0"/>
          <w:numId w:val="8"/>
        </w:numPr>
        <w:tabs>
          <w:tab w:val="left" w:pos="0"/>
        </w:tabs>
        <w:kinsoku/>
        <w:wordWrap/>
        <w:overflowPunct/>
        <w:topLinePunct w:val="0"/>
        <w:autoSpaceDE/>
        <w:autoSpaceDN/>
        <w:bidi w:val="0"/>
        <w:adjustRightInd/>
        <w:snapToGrid/>
        <w:spacing w:line="500" w:lineRule="exact"/>
        <w:ind w:leftChars="0"/>
        <w:jc w:val="center"/>
        <w:textAlignment w:val="auto"/>
        <w:outlineLvl w:val="1"/>
        <w:rPr>
          <w:rFonts w:hint="eastAsia" w:ascii="仿宋" w:hAnsi="仿宋" w:eastAsia="仿宋" w:cs="仿宋"/>
          <w:b/>
          <w:bCs/>
          <w:sz w:val="24"/>
          <w:szCs w:val="24"/>
          <w:highlight w:val="none"/>
          <w:lang w:val="en-US" w:eastAsia="zh-CN"/>
        </w:rPr>
      </w:pPr>
      <w:bookmarkStart w:id="19" w:name="_Toc6547"/>
      <w:r>
        <w:rPr>
          <w:rFonts w:hint="eastAsia" w:ascii="仿宋" w:hAnsi="仿宋" w:eastAsia="仿宋" w:cs="仿宋"/>
          <w:b/>
          <w:bCs/>
          <w:sz w:val="24"/>
          <w:szCs w:val="24"/>
          <w:highlight w:val="none"/>
          <w:lang w:val="en-US" w:eastAsia="zh-CN"/>
        </w:rPr>
        <w:t>招标文件</w:t>
      </w:r>
      <w:bookmarkEnd w:id="19"/>
    </w:p>
    <w:p>
      <w:pPr>
        <w:keepNext w:val="0"/>
        <w:keepLines w:val="0"/>
        <w:pageBreakBefore w:val="0"/>
        <w:widowControl w:val="0"/>
        <w:numPr>
          <w:ilvl w:val="0"/>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招标文件构成</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招标文件包括以下部分：</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第一章 招标公告（投标邀请） </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第二章 投标须知前附表 </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第三章 投标人须知</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第四章 政府采购合同 </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第五章 采购需求 </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第六章 评标程序、评标方法和评标标准</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第七章 投标文件格式 </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投标人应认真阅读招标文件的全部内容。投标人应按照招标文件要求提交投标文件并保证所提供的全部资料的真实性，并对招标文件做出实质性响应，否则</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招标文件中有不一致的，有澄清的部分以最终的澄清更正内容为准；未澄清的，以投标须知前附表为准；</w:t>
      </w:r>
      <w:r>
        <w:rPr>
          <w:rFonts w:hint="eastAsia" w:ascii="仿宋" w:hAnsi="仿宋" w:eastAsia="仿宋" w:cs="仿宋"/>
          <w:b w:val="0"/>
          <w:bCs w:val="0"/>
          <w:sz w:val="24"/>
          <w:szCs w:val="24"/>
          <w:highlight w:val="none"/>
          <w:u w:val="none"/>
          <w:lang w:val="en-US" w:eastAsia="zh-CN"/>
        </w:rPr>
        <w:t>投标须知前附表</w:t>
      </w:r>
      <w:r>
        <w:rPr>
          <w:rFonts w:hint="eastAsia" w:ascii="仿宋" w:hAnsi="仿宋" w:eastAsia="仿宋" w:cs="仿宋"/>
          <w:b w:val="0"/>
          <w:bCs w:val="0"/>
          <w:sz w:val="24"/>
          <w:szCs w:val="24"/>
          <w:highlight w:val="none"/>
          <w:lang w:val="en-US" w:eastAsia="zh-CN"/>
        </w:rPr>
        <w:t>不涉及的内容，以编排在后的最后描述为准。</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现场考察或者答疑会及相关事项见</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采购人在踏勘现场中介绍的资料和数据等，只是为了使投标人能够利用招标人现有的资料。招标人对投标人由此而作出的推论、解释和结论概不负责。</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投标人自行承担踏勘现场发生的责任、风险和自身费用。</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原则上采购人、采购代理机构不要求投标人提供样品。除仅凭书面方式不能准确描述采购需求，或者需要对样品进行主观判断以确认是否满足采购需求等特殊情况除外。如需提供样品，对样品相关要求见</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，对样品的评审方法及评审标准见招标文件第六章《评标程序、评标方法和评标标准》。</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招标文件规定投标人提交样品的，样品属于投标文件的组成部分。样品的生产、运输、安装、保全等一切费用由投标人自理。</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结果公告发布后，中标供应商的样品由采购人封存，作为履约验收的依据之一。未中标供应商在接到采购代理机构通知后，应按规定时间尽快自行取回样品，否则视同供应商不再认领，代理机构有权进行处理。</w:t>
      </w:r>
    </w:p>
    <w:p>
      <w:pPr>
        <w:keepNext w:val="0"/>
        <w:keepLines w:val="0"/>
        <w:pageBreakBefore w:val="0"/>
        <w:widowControl w:val="0"/>
        <w:numPr>
          <w:ilvl w:val="0"/>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对招标文件的澄清或修改</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人或采购代理机构对已发出的招标文件进行必要澄清或者修改的，将在原公告发布媒体（网站）上发布更正公告（通知），因投标人未及时登陆媒体（网站）查看导致通知未及时收到通知的，采购人或采购代理机构不承担责任。</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澄清或者修改的内容为招标文件的组成部分，并对所有获取招标文件的潜在投标人具有约束力。澄清或者修改的内容可能影响投标文件编制的，将在投标截止时间至少 15 日前发布；不足 15 日的，将顺延提交投标文件的截止时间和开标时间。</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为了保证对招标文件的澄清和修改满足法律的时限要求，任何要求对招标文件进行澄清的投标人，均应在投标截止期十五日前，以书面形式将澄清要求通知采购人或采购代理机构。</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如更正公告有重新发布电子招标文件的，投标人应登录电子招投标平台下载最新发布的电子招标文件制作投标文件。</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投标人在规定的时间内未对招标文件提出疑问、质疑或要求澄清的，将视其为无异议。对招标文件中描述有歧义或前后不一致的地方，评标委员会有权进行评判，但对同一条款的评判应适用于每个投标人。</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lang w:val="en-US" w:eastAsia="zh-CN"/>
        </w:rPr>
      </w:pPr>
    </w:p>
    <w:p>
      <w:pPr>
        <w:keepNext w:val="0"/>
        <w:keepLines w:val="0"/>
        <w:pageBreakBefore w:val="0"/>
        <w:widowControl w:val="0"/>
        <w:numPr>
          <w:ilvl w:val="0"/>
          <w:numId w:val="8"/>
        </w:numPr>
        <w:tabs>
          <w:tab w:val="left" w:pos="0"/>
        </w:tabs>
        <w:kinsoku/>
        <w:wordWrap/>
        <w:overflowPunct/>
        <w:topLinePunct w:val="0"/>
        <w:autoSpaceDE/>
        <w:autoSpaceDN/>
        <w:bidi w:val="0"/>
        <w:adjustRightInd/>
        <w:snapToGrid/>
        <w:spacing w:line="500" w:lineRule="exact"/>
        <w:ind w:left="0" w:leftChars="0" w:firstLine="0" w:firstLineChars="0"/>
        <w:jc w:val="center"/>
        <w:textAlignment w:val="auto"/>
        <w:outlineLvl w:val="1"/>
        <w:rPr>
          <w:rFonts w:hint="eastAsia" w:ascii="仿宋" w:hAnsi="仿宋" w:eastAsia="仿宋" w:cs="仿宋"/>
          <w:b/>
          <w:bCs/>
          <w:sz w:val="24"/>
          <w:szCs w:val="24"/>
          <w:highlight w:val="none"/>
          <w:lang w:val="en-US" w:eastAsia="zh-CN"/>
        </w:rPr>
      </w:pPr>
      <w:bookmarkStart w:id="20" w:name="_Toc9070"/>
      <w:r>
        <w:rPr>
          <w:rFonts w:hint="eastAsia" w:ascii="仿宋" w:hAnsi="仿宋" w:eastAsia="仿宋" w:cs="仿宋"/>
          <w:b/>
          <w:bCs/>
          <w:sz w:val="24"/>
          <w:szCs w:val="24"/>
          <w:highlight w:val="none"/>
          <w:lang w:val="en-US" w:eastAsia="zh-CN"/>
        </w:rPr>
        <w:t>投标文件的编制</w:t>
      </w:r>
      <w:bookmarkEnd w:id="20"/>
    </w:p>
    <w:p>
      <w:pPr>
        <w:keepNext w:val="0"/>
        <w:keepLines w:val="0"/>
        <w:pageBreakBefore w:val="0"/>
        <w:widowControl w:val="0"/>
        <w:numPr>
          <w:ilvl w:val="0"/>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single"/>
          <w:lang w:val="en-US" w:eastAsia="zh-CN"/>
        </w:rPr>
      </w:pPr>
      <w:r>
        <w:rPr>
          <w:rFonts w:hint="eastAsia" w:ascii="仿宋" w:hAnsi="仿宋" w:eastAsia="仿宋" w:cs="仿宋"/>
          <w:b w:val="0"/>
          <w:bCs w:val="0"/>
          <w:sz w:val="24"/>
          <w:szCs w:val="24"/>
          <w:highlight w:val="none"/>
          <w:lang w:val="en-US" w:eastAsia="zh-CN"/>
        </w:rPr>
        <w:t>投标范围、投标文件中计量单位的使用及投标语言</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投标人可对招标文件中一个或几个分包进行投标，除非在</w:t>
      </w:r>
      <w:r>
        <w:rPr>
          <w:rFonts w:hint="eastAsia" w:ascii="仿宋" w:hAnsi="仿宋" w:eastAsia="仿宋" w:cs="仿宋"/>
          <w:b w:val="0"/>
          <w:bCs w:val="0"/>
          <w:sz w:val="24"/>
          <w:szCs w:val="24"/>
          <w:highlight w:val="none"/>
          <w:u w:val="single"/>
          <w:lang w:val="en-US" w:eastAsia="zh-CN"/>
        </w:rPr>
        <w:t>投标须知前附表中另有规定</w:t>
      </w:r>
      <w:r>
        <w:rPr>
          <w:rFonts w:hint="eastAsia" w:ascii="仿宋" w:hAnsi="仿宋" w:eastAsia="仿宋" w:cs="仿宋"/>
          <w:b w:val="0"/>
          <w:bCs w:val="0"/>
          <w:sz w:val="24"/>
          <w:szCs w:val="24"/>
          <w:highlight w:val="none"/>
          <w:lang w:val="en-US" w:eastAsia="zh-CN"/>
        </w:rPr>
        <w:t xml:space="preserve">。 </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投标人应当对所投采购包对应第五章《采购需求》所列的全部内容进行投标，如仅响应采购包中的部分内容，其该包投标将被认定为</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无论招标文件中是否要求，投标人所投货物或服务均应符合国家强制性标准。</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除招标文件有特殊要求外，本项目投标所使用的计量单位，应采用中华人民共和国法定计量单位。</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承担。 </w:t>
      </w:r>
    </w:p>
    <w:p>
      <w:pPr>
        <w:keepNext w:val="0"/>
        <w:keepLines w:val="0"/>
        <w:pageBreakBefore w:val="0"/>
        <w:widowControl w:val="0"/>
        <w:numPr>
          <w:ilvl w:val="0"/>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投标文件构成</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投标人应当按照招标文件的要求编制投标文件。投标文件应由资格证明文件、报价文件、商务和技术文件四部分构成。投标文件的部分格式要求，见第七章《投标文件格式》。</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第五章《采购需求》及第六章《评标程序、评标方法和评标标准》中涉及的证明文件。</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对照第五章《采购需求》，说明所提供货物或服务已对第五章《采购需求》做出了响应，或申明与第五章《采购需求》的偏差和例外。如第五章《采购需求》中要求提供证明文件的，投标人应当按具体要求提供证明文件。</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投标人认为应附的其他材料。</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上述文件应按照招标文件的规定签署和盖公章或经公章授权的其他单位章（以下统称公章）。采用公章授权方式的，应当在投标文件中附公章授权书（格式自定）。使用电子签名和电子印章的（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文件指定位置进行签名（含电子签名）和盖章（含电子印章），对允许采用手写签名的文件，应在纸质文件手写签名后，提供文件的彩色扫描电子文档进行后续操作。</w:t>
      </w:r>
    </w:p>
    <w:p>
      <w:pPr>
        <w:keepNext w:val="0"/>
        <w:keepLines w:val="0"/>
        <w:pageBreakBefore w:val="0"/>
        <w:widowControl w:val="0"/>
        <w:numPr>
          <w:ilvl w:val="0"/>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投标报价</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所有投标均以人民币报价。</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的报价应当包括满足本次招标全部采购需求所应提供的全部内容。投标人的投标报价应遵守《中华人民共和国价格法》。同时，根据《中华人民共和国政府采购法》及相关配套法律、法规的规定，为保证公平竞争，如投标人有赠与行为的，将导致其</w:t>
      </w:r>
      <w:r>
        <w:rPr>
          <w:rFonts w:hint="eastAsia" w:ascii="仿宋" w:hAnsi="仿宋" w:eastAsia="仿宋" w:cs="仿宋"/>
          <w:b/>
          <w:bCs/>
          <w:sz w:val="24"/>
          <w:szCs w:val="24"/>
          <w:highlight w:val="none"/>
          <w:lang w:val="en-US" w:eastAsia="zh-CN"/>
        </w:rPr>
        <w:t>投标被拒绝</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投标人所报的各分项投标单价在合同履行过程中是固定不变的，不得以任何理由予以变更。任何包含价格调整要求的投标，其投标将被认定为</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 xml:space="preserve">。 </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应按照““第五章采购需求”的需求内容、责任范围以及第四章政府采购合同”进行报价。并按“开标一览表”和“分项报价表”规定的格式报出总价和分项价格。投标总价中不得包含招标文件要求以外的内容，否则，在评审时不予核减。</w:t>
      </w:r>
    </w:p>
    <w:p>
      <w:pPr>
        <w:keepNext w:val="0"/>
        <w:keepLines w:val="0"/>
        <w:pageBreakBefore w:val="0"/>
        <w:widowControl w:val="0"/>
        <w:numPr>
          <w:ilvl w:val="0"/>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投标保证金</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投标人应按</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中规定的金额及要求交纳投标保证金，并作为其投标的一部分。</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交纳投标保证金的形式除</w:t>
      </w:r>
      <w:r>
        <w:rPr>
          <w:rFonts w:hint="eastAsia" w:ascii="仿宋" w:hAnsi="仿宋" w:eastAsia="仿宋" w:cs="仿宋"/>
          <w:b w:val="0"/>
          <w:bCs w:val="0"/>
          <w:sz w:val="24"/>
          <w:szCs w:val="24"/>
          <w:highlight w:val="none"/>
          <w:u w:val="single"/>
          <w:lang w:val="en-US" w:eastAsia="zh-CN"/>
        </w:rPr>
        <w:t>投标须知前附表中</w:t>
      </w:r>
      <w:r>
        <w:rPr>
          <w:rFonts w:hint="eastAsia" w:ascii="仿宋" w:hAnsi="仿宋" w:eastAsia="仿宋" w:cs="仿宋"/>
          <w:b w:val="0"/>
          <w:bCs w:val="0"/>
          <w:sz w:val="24"/>
          <w:szCs w:val="24"/>
          <w:highlight w:val="none"/>
          <w:u w:val="none"/>
          <w:lang w:val="en-US" w:eastAsia="zh-CN"/>
        </w:rPr>
        <w:t>另有约定外，</w:t>
      </w:r>
      <w:r>
        <w:rPr>
          <w:rFonts w:hint="eastAsia" w:ascii="仿宋" w:hAnsi="仿宋" w:eastAsia="仿宋" w:cs="仿宋"/>
          <w:b w:val="0"/>
          <w:bCs w:val="0"/>
          <w:sz w:val="24"/>
          <w:szCs w:val="24"/>
          <w:highlight w:val="none"/>
          <w:lang w:val="en-US" w:eastAsia="zh-CN"/>
        </w:rPr>
        <w:t>可采用的形式：政府采购法律法规接受的支票、汇票、本票、网上银行支付或者金融机构、担保机构出具的保函等非现金形式。</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保证金到账（保函提交）截止时间同投标截止时间。以支票、汇票、本票、网上银行支付等形式提交投标保证金的，应在投标截止时间前到账。由于到账时间晚于投标截止时间的，或者票据错误、印鉴不清等原因导致不能到账的，其</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如采用金融机构、专业担保机构开具的投标担保函、投标保证保险函等形式提交投标保证金的，投标担保函或投标保证保险函须开具给采购人（保险受益人须为采购人），否则其</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。电子保函与纸质保函具有同样效力。</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投标保证金（保函）有效期同投标有效期。</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联合体投标的，可以由联合体中的一方或者共同提交投标保证金，以一方名义提交投标保证金的，对联合体各方均具有约束力。</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人、采购代理机构将及时退还投标人的投标保证金，采用银行保函、担保机构担保函等形式递交的投标保证金，经供应商同意后采购人、采购代理机构可以不再退还，但因投标人自身原因导致无法及时退还的除外。</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投标人在投标截止时间前撤回已提交的投标文件的，自收到投标人书面撤回通知之日起 5 个工作日内退还已收取的投标保证金。 </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中标人的投标保证金，自采购合同签订之日起 5 个工作日内退还中标人。 </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未中标投标人的投标保证金，自中标通知书发出之日起 5 个工作日内退还未中标人。</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终止采购活动的项目已经收取投标保证金的，自终止采购活动后 5 个工作日内退还已收取的投标保证金。</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有下列情形之一的，采购人或采购代理机构可以不予退还投标保证金：</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在投标有效期内，投标人撤回投标的； </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中标人不按本招标文件的规定与采购人签订合同的； </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中标人不按本招标文件的规定提交履约保证金的； </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中标人不按本招标文件的规定缴纳中标服务费的； </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存在的串通投标情形的； </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存在向采购人、代理机构或评标专家行贿事实的； </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法律、法规规定的其它情况。 </w:t>
      </w:r>
    </w:p>
    <w:p>
      <w:pPr>
        <w:keepNext w:val="0"/>
        <w:keepLines w:val="0"/>
        <w:pageBreakBefore w:val="0"/>
        <w:widowControl w:val="0"/>
        <w:numPr>
          <w:ilvl w:val="0"/>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投标有效期</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投标文件应在</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中规定的投标有效期内保持有效，投标有效期少于招标文件规定期限的，其</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人或采购代理机构可根据实际情况，在原投标有效期截止之前，要求投标人延长投标文件的有效期。接受该要求的投标人将不会被要求和允许修正其投标，且本须知中有关投标保证金的要求须在延长的有效期内继续有效。投标人也可以拒绝延长投标有效期的要求，退还其投标保证金。上述要求和答复都应以书面形式提交。</w:t>
      </w:r>
    </w:p>
    <w:p>
      <w:pPr>
        <w:keepNext w:val="0"/>
        <w:keepLines w:val="0"/>
        <w:pageBreakBefore w:val="0"/>
        <w:widowControl w:val="0"/>
        <w:numPr>
          <w:ilvl w:val="0"/>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投标文件的制作</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文件中，所有内容均以电子文件编制，如因不按电子招投标平台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投标人应使用电子招投标平台提供的投标客户端编制、标记、加密投标文件，成功加密后将生成指定格式的电子投标文件和电子备用投标文件</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如有对多个采购包投标的，要对每个采购包独立制作电子投标文件。</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投标人须对招标文件的对应要求给予唯一的实质性响应，否则将视为</w:t>
      </w:r>
      <w:r>
        <w:rPr>
          <w:rFonts w:hint="eastAsia" w:ascii="仿宋" w:hAnsi="仿宋" w:eastAsia="仿宋" w:cs="仿宋"/>
          <w:b/>
          <w:bCs/>
          <w:sz w:val="24"/>
          <w:szCs w:val="24"/>
          <w:highlight w:val="none"/>
          <w:lang w:val="en-US" w:eastAsia="zh-CN"/>
        </w:rPr>
        <w:t>不响应</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招标文件中，凡标有“※”的地方均为实质性响应条款，投标人若有一项带“※”的条款未响应或不满足，将按无效投标处理。</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lang w:val="en-US" w:eastAsia="zh-CN"/>
        </w:rPr>
      </w:pPr>
    </w:p>
    <w:p>
      <w:pPr>
        <w:keepNext w:val="0"/>
        <w:keepLines w:val="0"/>
        <w:pageBreakBefore w:val="0"/>
        <w:widowControl w:val="0"/>
        <w:numPr>
          <w:ilvl w:val="0"/>
          <w:numId w:val="8"/>
        </w:numPr>
        <w:tabs>
          <w:tab w:val="left" w:pos="0"/>
        </w:tabs>
        <w:kinsoku/>
        <w:wordWrap/>
        <w:overflowPunct/>
        <w:topLinePunct w:val="0"/>
        <w:autoSpaceDE/>
        <w:autoSpaceDN/>
        <w:bidi w:val="0"/>
        <w:adjustRightInd/>
        <w:snapToGrid/>
        <w:spacing w:line="500" w:lineRule="exact"/>
        <w:ind w:left="0" w:leftChars="0" w:firstLine="0" w:firstLineChars="0"/>
        <w:jc w:val="center"/>
        <w:textAlignment w:val="auto"/>
        <w:outlineLvl w:val="1"/>
        <w:rPr>
          <w:rFonts w:hint="eastAsia" w:ascii="仿宋" w:hAnsi="仿宋" w:eastAsia="仿宋" w:cs="仿宋"/>
          <w:b/>
          <w:bCs/>
          <w:sz w:val="24"/>
          <w:szCs w:val="24"/>
          <w:highlight w:val="none"/>
          <w:lang w:val="en-US" w:eastAsia="zh-CN"/>
        </w:rPr>
      </w:pPr>
      <w:bookmarkStart w:id="21" w:name="_Toc21719"/>
      <w:r>
        <w:rPr>
          <w:rFonts w:hint="eastAsia" w:ascii="仿宋" w:hAnsi="仿宋" w:eastAsia="仿宋" w:cs="仿宋"/>
          <w:b/>
          <w:bCs/>
          <w:sz w:val="24"/>
          <w:szCs w:val="24"/>
          <w:highlight w:val="none"/>
          <w:lang w:val="en-US" w:eastAsia="zh-CN"/>
        </w:rPr>
        <w:t>投标文件的提交</w:t>
      </w:r>
      <w:bookmarkEnd w:id="21"/>
    </w:p>
    <w:p>
      <w:pPr>
        <w:keepNext w:val="0"/>
        <w:keepLines w:val="0"/>
        <w:pageBreakBefore w:val="0"/>
        <w:widowControl w:val="0"/>
        <w:numPr>
          <w:ilvl w:val="0"/>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投标文件的提交</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投标人应在</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中规定的截止时间前，将投标文件递交到招标公告中规定的电子招投标平台。时间以电子招投标平台系统服务器从中国科学院国家授时中心取得的北京时间为准，投标截止时间结束后，系统将不允许投标人上传投标文件，已上传投标文件但未完成传输的文件系统将拒绝接收。</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代理机构对因不可抗力事件造成的投标文件的损坏、丢失的，不承担责任。</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出现下述情形之一，属于未成功提交投标文件，按无效</w:t>
      </w:r>
      <w:r>
        <w:rPr>
          <w:rFonts w:hint="eastAsia" w:ascii="仿宋" w:hAnsi="仿宋" w:eastAsia="仿宋" w:cs="仿宋"/>
          <w:b/>
          <w:bCs/>
          <w:sz w:val="24"/>
          <w:szCs w:val="24"/>
          <w:highlight w:val="none"/>
          <w:lang w:val="en-US" w:eastAsia="zh-CN"/>
        </w:rPr>
        <w:t>投标处理</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至提交投标文件截止时，投标文件未完整上传的。 </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投标文件未按投标格式中注明需签字盖章的要求进行签名（含电子签名）和加盖电子印章，或签名（含电子签名）或电子印章不完整的。</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投标文件损坏或格式不正确的。</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投标文件的修改、撤回与撤销</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在提交投标文件截止时间前，投标人可以修改或撤回未解密的电子投标文件，并于提交投标文件截止时间前将修改后重新生成的电子投标文件上传至系统，到达投标文件提交截止时间后，将不允许修改或撤回。</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val="0"/>
          <w:bCs w:val="0"/>
          <w:sz w:val="24"/>
          <w:szCs w:val="24"/>
          <w:highlight w:val="none"/>
          <w:lang w:val="en-US" w:eastAsia="zh-CN"/>
        </w:rPr>
        <w:t>在提交投标文件截止时间后，投标人不得补充、修改和更换投标文件。</w:t>
      </w:r>
      <w:r>
        <w:rPr>
          <w:rFonts w:hint="eastAsia" w:ascii="仿宋" w:hAnsi="仿宋" w:eastAsia="仿宋" w:cs="仿宋"/>
          <w:b/>
          <w:bCs/>
          <w:sz w:val="24"/>
          <w:szCs w:val="24"/>
          <w:highlight w:val="none"/>
          <w:lang w:val="en-US" w:eastAsia="zh-CN"/>
        </w:rPr>
        <w:t xml:space="preserve"> </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bCs/>
          <w:sz w:val="24"/>
          <w:szCs w:val="24"/>
          <w:highlight w:val="none"/>
          <w:lang w:val="en-US" w:eastAsia="zh-CN"/>
        </w:rPr>
      </w:pPr>
    </w:p>
    <w:p>
      <w:pPr>
        <w:keepNext w:val="0"/>
        <w:keepLines w:val="0"/>
        <w:pageBreakBefore w:val="0"/>
        <w:widowControl w:val="0"/>
        <w:numPr>
          <w:ilvl w:val="0"/>
          <w:numId w:val="8"/>
        </w:numPr>
        <w:tabs>
          <w:tab w:val="left" w:pos="0"/>
        </w:tabs>
        <w:kinsoku/>
        <w:wordWrap/>
        <w:overflowPunct/>
        <w:topLinePunct w:val="0"/>
        <w:autoSpaceDE/>
        <w:autoSpaceDN/>
        <w:bidi w:val="0"/>
        <w:adjustRightInd/>
        <w:snapToGrid/>
        <w:spacing w:line="500" w:lineRule="exact"/>
        <w:ind w:left="0" w:leftChars="0" w:firstLine="0" w:firstLineChars="0"/>
        <w:jc w:val="center"/>
        <w:textAlignment w:val="auto"/>
        <w:outlineLvl w:val="1"/>
        <w:rPr>
          <w:rFonts w:hint="eastAsia" w:ascii="仿宋" w:hAnsi="仿宋" w:eastAsia="仿宋" w:cs="仿宋"/>
          <w:b/>
          <w:bCs/>
          <w:sz w:val="24"/>
          <w:szCs w:val="24"/>
          <w:highlight w:val="none"/>
          <w:lang w:val="en-US" w:eastAsia="zh-CN"/>
        </w:rPr>
      </w:pPr>
      <w:bookmarkStart w:id="22" w:name="_Toc15263"/>
      <w:r>
        <w:rPr>
          <w:rFonts w:hint="eastAsia" w:ascii="仿宋" w:hAnsi="仿宋" w:eastAsia="仿宋" w:cs="仿宋"/>
          <w:b/>
          <w:bCs/>
          <w:sz w:val="24"/>
          <w:szCs w:val="24"/>
          <w:highlight w:val="none"/>
          <w:lang w:val="en-US" w:eastAsia="zh-CN"/>
        </w:rPr>
        <w:t>开标、资格审查及评标</w:t>
      </w:r>
      <w:bookmarkEnd w:id="22"/>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开标</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采购人和采购代理机构将按</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中规定的开标时间和地点组织公开开标并邀请所有投标人代表参加。开标时，由采购人或者采购代理机构工作人员宣布投标人名称、解密情况，投标价格和招标文件规定的需要宣布的其他内容（以开标一览表要求为准），开标为远程电子开标。</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采用远程电子开标的：</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的法定代表人或其授权代表应当按照本招标公告载明的时间和模式等要求参加开标。在投标截止时间前30分钟，应当登录开标大厅进行签到，并且填写授权代表的姓名与手机号码。若因签到时填写的授权代表信息有误而导致的不良后果，由供应商自行承担。</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如在电子开标过程中出现因系统原因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w:t>
      </w:r>
      <w:r>
        <w:rPr>
          <w:rFonts w:hint="eastAsia" w:ascii="仿宋" w:hAnsi="仿宋" w:eastAsia="仿宋" w:cs="仿宋"/>
          <w:b/>
          <w:bCs/>
          <w:sz w:val="24"/>
          <w:szCs w:val="24"/>
          <w:highlight w:val="none"/>
          <w:lang w:val="en-US" w:eastAsia="zh-CN"/>
        </w:rPr>
        <w:t>投标处理</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投标人代表对开标过程和开标记录有疑义，以及认为采购人、采购代理机构相关工作人员有需要回避的情形的，应当场提出询问或者回避申请。投标人未参加开标的，视同认可开标结果。</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投标截止时间后，投标人不足3家的，不得开标。同时，本次采购活动结束。</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开标时出现下列情况的，视为</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处理：</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因投标人自身原因，未在规定时间内完成电子投标文件解密的；</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如需使用备用电子投标文件解密时，在规定的解密时间内无法提供备用电子投标文件或提供的备用电子投标文件与加密的电子投标文件版本不一致（即两份文件不是投标客户端编制同时生成的）。 </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采购人或采购代理机构将对开标过程进行记录，由参加开标的各投标人代表和相关工作人员签字确认。</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资格审查</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采购人或采购代理机构依据法律法规和招标文件中规定的内容，对投标人及其投标货物或服务的资格进行审查，未通过资格审查的投标人不进入评标；资格证明文件不按电子招投标平台要求编制导致系统无法检索、读取相关信息时，将被认定为未通过资格审查；通过资格审查的投标人少于三家的，不进行评标。 </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资格审查要求详见第六章《评标程序、评标方法和评标标准》。</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采购人或采购代理机构将按</w:t>
      </w:r>
      <w:r>
        <w:rPr>
          <w:rFonts w:hint="eastAsia" w:ascii="仿宋" w:hAnsi="仿宋" w:eastAsia="仿宋" w:cs="仿宋"/>
          <w:b w:val="0"/>
          <w:bCs w:val="0"/>
          <w:sz w:val="24"/>
          <w:szCs w:val="24"/>
          <w:highlight w:val="none"/>
          <w:u w:val="none"/>
          <w:lang w:val="en-US" w:eastAsia="zh-CN"/>
        </w:rPr>
        <w:t>第六章《评标程序、评标方法和评标标准》</w:t>
      </w:r>
      <w:r>
        <w:rPr>
          <w:rFonts w:hint="eastAsia" w:ascii="仿宋" w:hAnsi="仿宋" w:eastAsia="仿宋" w:cs="仿宋"/>
          <w:b w:val="0"/>
          <w:bCs w:val="0"/>
          <w:sz w:val="24"/>
          <w:szCs w:val="24"/>
          <w:highlight w:val="none"/>
          <w:lang w:val="en-US" w:eastAsia="zh-CN"/>
        </w:rPr>
        <w:t>中规定的时间查询投标人的信用记录。采购人或采购代理机构将查询网页打印、签字并存档备查。投标人不良信用记录以采购人或采购代理机构查询结果为准。在本招标文件规定的查询时间之外，网站信息发生的任何变更均不作为资格审查依据。</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评标委员会</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评标委员会根据政府采购有关规定和本次招标采购项目的特点进行组建，并负责具体评标事务，独立履行职责。 </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评审专家须符合《财政部关于在政府采购活动中查询及使用信用记录有关问题的通知》（财库〔2016〕125 号）的规定。依法自行选定评审专家的，采购人和采购代理机构将查询有关信用记录，对具有行贿、受贿、欺诈等不良信用记录的人员，拒绝其参与政府采购活动。</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评标程序、评标方法和评标标准</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详见第六章《评标程序、评标方法和评标标准》</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p>
    <w:p>
      <w:pPr>
        <w:keepNext w:val="0"/>
        <w:keepLines w:val="0"/>
        <w:pageBreakBefore w:val="0"/>
        <w:widowControl w:val="0"/>
        <w:numPr>
          <w:ilvl w:val="0"/>
          <w:numId w:val="8"/>
        </w:numPr>
        <w:kinsoku/>
        <w:wordWrap/>
        <w:overflowPunct/>
        <w:topLinePunct w:val="0"/>
        <w:autoSpaceDE/>
        <w:autoSpaceDN/>
        <w:bidi w:val="0"/>
        <w:adjustRightInd/>
        <w:snapToGrid/>
        <w:spacing w:line="500" w:lineRule="exact"/>
        <w:ind w:left="0" w:leftChars="0" w:firstLine="0" w:firstLineChars="0"/>
        <w:jc w:val="center"/>
        <w:textAlignment w:val="auto"/>
        <w:outlineLvl w:val="1"/>
        <w:rPr>
          <w:rFonts w:hint="eastAsia" w:ascii="仿宋" w:hAnsi="仿宋" w:eastAsia="仿宋" w:cs="仿宋"/>
          <w:b/>
          <w:bCs/>
          <w:sz w:val="24"/>
          <w:szCs w:val="24"/>
          <w:highlight w:val="none"/>
          <w:lang w:val="en-US" w:eastAsia="zh-CN"/>
        </w:rPr>
      </w:pPr>
      <w:bookmarkStart w:id="23" w:name="_Toc7787"/>
      <w:r>
        <w:rPr>
          <w:rFonts w:hint="eastAsia" w:ascii="仿宋" w:hAnsi="仿宋" w:eastAsia="仿宋" w:cs="仿宋"/>
          <w:b/>
          <w:bCs/>
          <w:sz w:val="24"/>
          <w:szCs w:val="24"/>
          <w:highlight w:val="none"/>
          <w:lang w:val="en-US" w:eastAsia="zh-CN"/>
        </w:rPr>
        <w:t>确定中标</w:t>
      </w:r>
      <w:bookmarkEnd w:id="23"/>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确定中标人</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采购人将在评标报告确定的中标候选人名单中按综合得分排名顺序确定中标人。采购人是否委托评标委员会直接确定中标人见</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中标公告与中标通知书</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采购人或采购代理机构自中标人确定之日起 2 个工作日内，在招标公告发布媒体发布中标结果，同时向中标人发出中标通知书，中标公告期限为 1 个工作日。</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中标通知书对采购人和中标供应商均具有法律效力。中标通知书发出后，中标供应商放弃中标项目的，应当依法承担法律责任。</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废标</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在招标采购中，出现下列情形之一的，应予废标：</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符合专业条件的供应商或者对招标文件作实质响应的供应商不足三家的；</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出现影响采购公正的违法、违规行为的；</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投标人的报价均超过了采购预算，采购人不能支付的；</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因重大变故，采购任务取消的。</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废标后，采购人将废标理由通知所有投标人。</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签订合同</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中标人、采购人应当自中标通知书发出之日起 30 日内，按照招标文件和中标人投标文件的规定签订书面合同。所签订的合同不得对招标文件确定的事项和中标人投标文件作实质性修改。 </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中标人拒绝与采购人签订合同的，采购人可以按照评标报告推荐的中标候选人名单排序，确定下一候选人为中标人，也可以重新开展政府采购活动。</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联合体中标的，联合体各方应当共同与采购人签订合同，就中标项目向采购人承担连带责任。 </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政府采购合同不能转包。如采购人允许采用分包方式履行合同的，中标人可以依法在中标后将中标项目的非主体、非关键性工作采取分包方式履行合同。</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履约保证金</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中标人应按照</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规定的金额、形式和时间向采购人缴纳履约保证金。</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经采购人同意，中标人也可以自愿采用其他履约保证金的提供方式。</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如果中标人没有按照上述条款规定缴纳履约保证金，将视为放弃中标资格，中标人的投标保证金将被没收。在此情况下，采购人可确定下一候选人为中标人，也可以重新开展政府采购活动。</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代理服务费</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收费对象、收费标准及缴纳时间见</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 xml:space="preserve">。由中标人支付的，中标人须一次性向采购代理机构缴纳代理费，投标报价应包含代理费用。 </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询问与质疑</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询问</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对政府采购活动事项（招标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中“采购人、采购代理机构的名称、地址和联系方式”。</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质疑</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投标人认为招标文件、采购过程、中标结果使自己的权益受到损害的，可以在知道或者应知其权益受到损害之日起 7 个工作日内，由投标人派授权代表以书面形式向采购人、采购代理机构提出质疑。采购人、采购代理机构在收到质疑函后 7 个工作日内作出答复。</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供应商应知其权益受到损害之日是指：</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（1）对招标文件提出质疑的，为获取招标文件之日或者招标文件获取期限届满之日；</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（2）对采购过程提出质疑的，为各采购程序环节结束之日；</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（3）对中标结果提出质疑的，为中标结果公告期限届满之日。 </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质疑应当有明确的请求和必要的证明材料。依照谁主张谁举证的原则，提出质疑者须同时提交相关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质疑函须使用财政部制定的范本文件。</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投标人为自然人的，应当由本人签字；投标人为法人或者其他组织的，应当由法定代表人、主要负责人，或者其授权代表签字或者盖章，并加盖公章。</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应在法定质疑期内一次性提出针对同一采购程序环节的质疑，法定质疑期内针对同一采购程序环节再次提出的质疑、超出法定质疑期的、重复提出的、分次提出的或内容、形式不符合《政府采购质疑和投诉办法》的采购人、采购代理机构有权不予回复。</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其他</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本次招标活动中除招标文件规定外还需执行《中华人民共和国政府采购法》、《中华人民共和国政府采购法实施条例》、《政府采购货物和服务招标投标管理办法》（财政部令第87号）及本项目本级和上级财政部门政府采购有关规定。</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在采购人或采购代理机构认为适当时、国家机关调查、审查、审计时以及其他符合法律规定的情形下，采购人或采购代理机构无须事先征求投标人同意而可以披露关于采购过程、合同文本、签署情况的资料、投标人的名称及地址、投标文件的有关信息以及补充条款等，但应当在合理的必要范围内。对任何已经公布过的内容或与之内容相同的资料，以及投标人已经泄露或公开的，无须再承担保密责任。</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适用于本投标人须知的额外增加的变动详见</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p>
    <w:p>
      <w:pPr>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br w:type="page"/>
      </w:r>
    </w:p>
    <w:p>
      <w:pPr>
        <w:pStyle w:val="3"/>
        <w:numPr>
          <w:ilvl w:val="0"/>
          <w:numId w:val="1"/>
        </w:numPr>
        <w:bidi w:val="0"/>
        <w:jc w:val="center"/>
        <w:rPr>
          <w:rFonts w:hint="eastAsia" w:ascii="仿宋" w:hAnsi="仿宋" w:eastAsia="仿宋" w:cs="仿宋"/>
          <w:sz w:val="32"/>
          <w:szCs w:val="32"/>
          <w:highlight w:val="none"/>
          <w:lang w:val="en-US" w:eastAsia="zh-CN"/>
        </w:rPr>
      </w:pPr>
      <w:bookmarkStart w:id="24" w:name="_Toc22543"/>
      <w:r>
        <w:rPr>
          <w:rFonts w:hint="eastAsia" w:ascii="仿宋" w:hAnsi="仿宋" w:eastAsia="仿宋" w:cs="仿宋"/>
          <w:sz w:val="32"/>
          <w:szCs w:val="32"/>
          <w:highlight w:val="none"/>
          <w:lang w:val="en-US" w:eastAsia="zh-CN"/>
        </w:rPr>
        <w:t>政府采购合同</w:t>
      </w:r>
      <w:bookmarkEnd w:id="24"/>
    </w:p>
    <w:p>
      <w:pPr>
        <w:pStyle w:val="29"/>
        <w:spacing w:line="440" w:lineRule="exact"/>
        <w:ind w:firstLine="480"/>
        <w:jc w:val="left"/>
        <w:rPr>
          <w:rFonts w:hint="eastAsia" w:ascii="仿宋" w:hAnsi="仿宋" w:eastAsia="仿宋" w:cs="仿宋"/>
          <w:bCs/>
          <w:sz w:val="24"/>
          <w:szCs w:val="24"/>
          <w:highlight w:val="none"/>
        </w:rPr>
      </w:pPr>
      <w:r>
        <w:rPr>
          <w:rFonts w:hint="eastAsia" w:ascii="仿宋" w:hAnsi="仿宋" w:eastAsia="仿宋" w:cs="仿宋"/>
          <w:b w:val="0"/>
          <w:bCs w:val="0"/>
          <w:sz w:val="24"/>
          <w:szCs w:val="24"/>
          <w:highlight w:val="none"/>
          <w:lang w:val="en-US" w:eastAsia="zh-CN"/>
        </w:rPr>
        <w:t xml:space="preserve"> </w:t>
      </w:r>
      <w:r>
        <w:rPr>
          <w:rFonts w:hint="eastAsia" w:ascii="仿宋" w:hAnsi="仿宋" w:eastAsia="仿宋" w:cs="仿宋"/>
          <w:bCs/>
          <w:sz w:val="24"/>
          <w:szCs w:val="24"/>
          <w:highlight w:val="none"/>
        </w:rPr>
        <w:t>（根据《政府采购法》和《</w:t>
      </w:r>
      <w:r>
        <w:rPr>
          <w:rFonts w:hint="eastAsia" w:ascii="仿宋" w:hAnsi="仿宋" w:eastAsia="仿宋" w:cs="仿宋"/>
          <w:bCs/>
          <w:sz w:val="24"/>
          <w:szCs w:val="24"/>
          <w:highlight w:val="none"/>
          <w:lang w:val="en-US" w:eastAsia="zh-CN"/>
        </w:rPr>
        <w:t>中华人民共和国民法典</w:t>
      </w:r>
      <w:r>
        <w:rPr>
          <w:rFonts w:hint="eastAsia" w:ascii="仿宋" w:hAnsi="仿宋" w:eastAsia="仿宋" w:cs="仿宋"/>
          <w:bCs/>
          <w:sz w:val="24"/>
          <w:szCs w:val="24"/>
          <w:highlight w:val="none"/>
        </w:rPr>
        <w:t>》。采购人和供应商之间的权利和义务，应当按照平等的原则以合同方式约定。</w:t>
      </w:r>
      <w:r>
        <w:rPr>
          <w:rFonts w:hint="eastAsia" w:ascii="仿宋" w:hAnsi="仿宋" w:eastAsia="仿宋" w:cs="仿宋"/>
          <w:b/>
          <w:bCs w:val="0"/>
          <w:sz w:val="24"/>
          <w:szCs w:val="24"/>
          <w:highlight w:val="none"/>
        </w:rPr>
        <w:t>此合同书仅作为签订正式合同时的参考。</w:t>
      </w:r>
      <w:r>
        <w:rPr>
          <w:rFonts w:hint="eastAsia" w:ascii="仿宋" w:hAnsi="仿宋" w:eastAsia="仿宋" w:cs="仿宋"/>
          <w:bCs/>
          <w:sz w:val="24"/>
          <w:szCs w:val="24"/>
          <w:highlight w:val="none"/>
        </w:rPr>
        <w:t>）</w:t>
      </w:r>
    </w:p>
    <w:p>
      <w:pPr>
        <w:pStyle w:val="29"/>
        <w:spacing w:line="440" w:lineRule="exact"/>
        <w:ind w:firstLine="482"/>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 合同文件</w:t>
      </w:r>
    </w:p>
    <w:p>
      <w:pPr>
        <w:pStyle w:val="29"/>
        <w:spacing w:line="440" w:lineRule="exact"/>
        <w:ind w:firstLine="48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本合同所附下列文件是构成本合同不可分割的部分：</w:t>
      </w:r>
    </w:p>
    <w:p>
      <w:pPr>
        <w:pStyle w:val="29"/>
        <w:spacing w:line="440" w:lineRule="exact"/>
        <w:ind w:left="560" w:firstLine="0" w:firstLineChars="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(1)采购文件</w:t>
      </w:r>
    </w:p>
    <w:p>
      <w:pPr>
        <w:pStyle w:val="29"/>
        <w:spacing w:line="440" w:lineRule="exact"/>
        <w:ind w:left="560" w:firstLine="0" w:firstLineChars="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(2)合同条款</w:t>
      </w:r>
    </w:p>
    <w:p>
      <w:pPr>
        <w:pStyle w:val="29"/>
        <w:spacing w:line="440" w:lineRule="exact"/>
        <w:ind w:left="560" w:firstLine="0" w:firstLineChars="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(3)</w:t>
      </w:r>
      <w:r>
        <w:rPr>
          <w:rFonts w:hint="eastAsia" w:ascii="仿宋" w:hAnsi="仿宋" w:eastAsia="仿宋" w:cs="仿宋"/>
          <w:bCs/>
          <w:sz w:val="24"/>
          <w:szCs w:val="24"/>
          <w:highlight w:val="none"/>
          <w:lang w:eastAsia="zh-CN"/>
        </w:rPr>
        <w:t>成交供应商</w:t>
      </w:r>
      <w:r>
        <w:rPr>
          <w:rFonts w:hint="eastAsia" w:ascii="仿宋" w:hAnsi="仿宋" w:eastAsia="仿宋" w:cs="仿宋"/>
          <w:bCs/>
          <w:sz w:val="24"/>
          <w:szCs w:val="24"/>
          <w:highlight w:val="none"/>
        </w:rPr>
        <w:t>提交的响应文件</w:t>
      </w:r>
    </w:p>
    <w:p>
      <w:pPr>
        <w:pStyle w:val="29"/>
        <w:spacing w:line="440" w:lineRule="exact"/>
        <w:ind w:left="560" w:firstLine="0" w:firstLineChars="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(4)技术规格（包括图纸，如果有的话）</w:t>
      </w:r>
    </w:p>
    <w:p>
      <w:pPr>
        <w:pStyle w:val="29"/>
        <w:spacing w:line="440" w:lineRule="exact"/>
        <w:ind w:left="560" w:firstLine="0" w:firstLineChars="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(5)中标/成交通知书</w:t>
      </w:r>
    </w:p>
    <w:p>
      <w:pPr>
        <w:pStyle w:val="29"/>
        <w:spacing w:line="440" w:lineRule="exact"/>
        <w:ind w:firstLine="482"/>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2．合同范围和条件</w:t>
      </w:r>
    </w:p>
    <w:p>
      <w:pPr>
        <w:pStyle w:val="29"/>
        <w:spacing w:line="440" w:lineRule="exact"/>
        <w:ind w:firstLine="48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本合同的范围和条件与上述文件的规定相一致。</w:t>
      </w:r>
    </w:p>
    <w:p>
      <w:pPr>
        <w:pStyle w:val="29"/>
        <w:spacing w:line="440" w:lineRule="exact"/>
        <w:ind w:firstLine="482"/>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3．货物及数量</w:t>
      </w:r>
    </w:p>
    <w:p>
      <w:pPr>
        <w:pStyle w:val="29"/>
        <w:spacing w:line="440" w:lineRule="exact"/>
        <w:ind w:firstLine="48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本合同所提供的货物数量/服务详见</w:t>
      </w:r>
      <w:r>
        <w:rPr>
          <w:rFonts w:hint="eastAsia" w:ascii="仿宋" w:hAnsi="仿宋" w:eastAsia="仿宋" w:cs="仿宋"/>
          <w:bCs/>
          <w:sz w:val="24"/>
          <w:szCs w:val="24"/>
          <w:highlight w:val="none"/>
          <w:lang w:eastAsia="zh-CN"/>
        </w:rPr>
        <w:t>磋商</w:t>
      </w:r>
      <w:r>
        <w:rPr>
          <w:rFonts w:hint="eastAsia" w:ascii="仿宋" w:hAnsi="仿宋" w:eastAsia="仿宋" w:cs="仿宋"/>
          <w:bCs/>
          <w:sz w:val="24"/>
          <w:szCs w:val="24"/>
          <w:highlight w:val="none"/>
        </w:rPr>
        <w:t>文件“第</w:t>
      </w:r>
      <w:r>
        <w:rPr>
          <w:rFonts w:hint="eastAsia" w:ascii="仿宋" w:hAnsi="仿宋" w:eastAsia="仿宋" w:cs="仿宋"/>
          <w:bCs/>
          <w:sz w:val="24"/>
          <w:szCs w:val="24"/>
          <w:highlight w:val="none"/>
          <w:lang w:eastAsia="zh-CN"/>
        </w:rPr>
        <w:t>四</w:t>
      </w:r>
      <w:r>
        <w:rPr>
          <w:rFonts w:hint="eastAsia" w:ascii="仿宋" w:hAnsi="仿宋" w:eastAsia="仿宋" w:cs="仿宋"/>
          <w:bCs/>
          <w:sz w:val="24"/>
          <w:szCs w:val="24"/>
          <w:highlight w:val="none"/>
        </w:rPr>
        <w:t>章</w:t>
      </w:r>
      <w:r>
        <w:rPr>
          <w:rFonts w:hint="eastAsia" w:ascii="仿宋" w:hAnsi="仿宋" w:eastAsia="仿宋" w:cs="仿宋"/>
          <w:sz w:val="24"/>
          <w:szCs w:val="24"/>
          <w:highlight w:val="none"/>
        </w:rPr>
        <w:t>采购项目技术规格、参数及要求</w:t>
      </w:r>
      <w:r>
        <w:rPr>
          <w:rFonts w:hint="eastAsia" w:ascii="仿宋" w:hAnsi="仿宋" w:eastAsia="仿宋" w:cs="仿宋"/>
          <w:bCs/>
          <w:sz w:val="24"/>
          <w:szCs w:val="24"/>
          <w:highlight w:val="none"/>
        </w:rPr>
        <w:t>”。</w:t>
      </w:r>
    </w:p>
    <w:p>
      <w:pPr>
        <w:pStyle w:val="29"/>
        <w:spacing w:line="440" w:lineRule="exact"/>
        <w:ind w:firstLine="482"/>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4．合同金额</w:t>
      </w:r>
    </w:p>
    <w:p>
      <w:pPr>
        <w:pStyle w:val="29"/>
        <w:spacing w:line="440" w:lineRule="exact"/>
        <w:ind w:firstLine="48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合同总金额为元人民币，分项价格见响应文件按报价明细表。</w:t>
      </w:r>
    </w:p>
    <w:p>
      <w:pPr>
        <w:pStyle w:val="29"/>
        <w:spacing w:line="440" w:lineRule="exact"/>
        <w:ind w:firstLine="482"/>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5．合同生效及支付条件和方式</w:t>
      </w:r>
    </w:p>
    <w:p>
      <w:pPr>
        <w:pStyle w:val="29"/>
        <w:spacing w:line="440" w:lineRule="exact"/>
        <w:ind w:firstLine="482"/>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6．交货时间和交货地点</w:t>
      </w:r>
    </w:p>
    <w:p>
      <w:pPr>
        <w:pStyle w:val="29"/>
        <w:spacing w:line="440" w:lineRule="exact"/>
        <w:ind w:firstLine="48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本合同货物的交货时间和交货地点按</w:t>
      </w:r>
      <w:r>
        <w:rPr>
          <w:rFonts w:hint="eastAsia" w:ascii="仿宋" w:hAnsi="仿宋" w:eastAsia="仿宋" w:cs="仿宋"/>
          <w:bCs/>
          <w:sz w:val="24"/>
          <w:szCs w:val="24"/>
          <w:highlight w:val="none"/>
          <w:lang w:eastAsia="zh-CN"/>
        </w:rPr>
        <w:t>磋商</w:t>
      </w:r>
      <w:r>
        <w:rPr>
          <w:rFonts w:hint="eastAsia" w:ascii="仿宋" w:hAnsi="仿宋" w:eastAsia="仿宋" w:cs="仿宋"/>
          <w:bCs/>
          <w:sz w:val="24"/>
          <w:szCs w:val="24"/>
          <w:highlight w:val="none"/>
        </w:rPr>
        <w:t>文件“第</w:t>
      </w:r>
      <w:r>
        <w:rPr>
          <w:rFonts w:hint="eastAsia" w:ascii="仿宋" w:hAnsi="仿宋" w:eastAsia="仿宋" w:cs="仿宋"/>
          <w:bCs/>
          <w:sz w:val="24"/>
          <w:szCs w:val="24"/>
          <w:highlight w:val="none"/>
          <w:lang w:eastAsia="zh-CN"/>
        </w:rPr>
        <w:t>四</w:t>
      </w:r>
      <w:r>
        <w:rPr>
          <w:rFonts w:hint="eastAsia" w:ascii="仿宋" w:hAnsi="仿宋" w:eastAsia="仿宋" w:cs="仿宋"/>
          <w:bCs/>
          <w:sz w:val="24"/>
          <w:szCs w:val="24"/>
          <w:highlight w:val="none"/>
        </w:rPr>
        <w:t xml:space="preserve">章 </w:t>
      </w:r>
      <w:r>
        <w:rPr>
          <w:rFonts w:hint="eastAsia" w:ascii="仿宋" w:hAnsi="仿宋" w:eastAsia="仿宋" w:cs="仿宋"/>
          <w:sz w:val="24"/>
          <w:szCs w:val="24"/>
          <w:highlight w:val="none"/>
        </w:rPr>
        <w:t>采购需求</w:t>
      </w:r>
      <w:r>
        <w:rPr>
          <w:rFonts w:hint="eastAsia" w:ascii="仿宋" w:hAnsi="仿宋" w:eastAsia="仿宋" w:cs="仿宋"/>
          <w:bCs/>
          <w:sz w:val="24"/>
          <w:szCs w:val="24"/>
          <w:highlight w:val="none"/>
        </w:rPr>
        <w:t>”执行。</w:t>
      </w:r>
    </w:p>
    <w:p>
      <w:pPr>
        <w:pStyle w:val="30"/>
        <w:autoSpaceDE w:val="0"/>
        <w:autoSpaceDN w:val="0"/>
        <w:adjustRightInd w:val="0"/>
        <w:spacing w:line="500" w:lineRule="exact"/>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采购人（盖章）：</w:t>
      </w:r>
      <w:r>
        <w:rPr>
          <w:rFonts w:hint="eastAsia" w:ascii="仿宋" w:hAnsi="仿宋" w:eastAsia="仿宋" w:cs="仿宋"/>
          <w:kern w:val="0"/>
          <w:sz w:val="24"/>
          <w:szCs w:val="24"/>
          <w:highlight w:val="none"/>
        </w:rPr>
        <w:tab/>
      </w:r>
      <w:r>
        <w:rPr>
          <w:rFonts w:hint="eastAsia" w:ascii="仿宋" w:hAnsi="仿宋" w:eastAsia="仿宋" w:cs="仿宋"/>
          <w:kern w:val="0"/>
          <w:sz w:val="24"/>
          <w:szCs w:val="24"/>
          <w:highlight w:val="none"/>
        </w:rPr>
        <w:t>供　　方（盖章）：</w:t>
      </w:r>
    </w:p>
    <w:p>
      <w:pPr>
        <w:pStyle w:val="30"/>
        <w:autoSpaceDE w:val="0"/>
        <w:autoSpaceDN w:val="0"/>
        <w:adjustRightInd w:val="0"/>
        <w:spacing w:line="500" w:lineRule="exact"/>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单位地址：</w:t>
      </w:r>
      <w:r>
        <w:rPr>
          <w:rFonts w:hint="eastAsia" w:ascii="仿宋" w:hAnsi="仿宋" w:eastAsia="仿宋" w:cs="仿宋"/>
          <w:kern w:val="0"/>
          <w:sz w:val="24"/>
          <w:szCs w:val="24"/>
          <w:highlight w:val="none"/>
        </w:rPr>
        <w:tab/>
      </w:r>
      <w:r>
        <w:rPr>
          <w:rFonts w:hint="eastAsia" w:ascii="仿宋" w:hAnsi="仿宋" w:eastAsia="仿宋" w:cs="仿宋"/>
          <w:kern w:val="0"/>
          <w:sz w:val="24"/>
          <w:szCs w:val="24"/>
          <w:highlight w:val="none"/>
        </w:rPr>
        <w:t xml:space="preserve">                         单位地址：</w:t>
      </w:r>
    </w:p>
    <w:p>
      <w:pPr>
        <w:pStyle w:val="30"/>
        <w:autoSpaceDE w:val="0"/>
        <w:autoSpaceDN w:val="0"/>
        <w:adjustRightInd w:val="0"/>
        <w:spacing w:line="500" w:lineRule="exact"/>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法人代表授权人(签字)：</w:t>
      </w:r>
      <w:r>
        <w:rPr>
          <w:rFonts w:hint="eastAsia" w:ascii="仿宋" w:hAnsi="仿宋" w:eastAsia="仿宋" w:cs="仿宋"/>
          <w:kern w:val="0"/>
          <w:sz w:val="24"/>
          <w:szCs w:val="24"/>
          <w:highlight w:val="none"/>
        </w:rPr>
        <w:tab/>
      </w:r>
      <w:r>
        <w:rPr>
          <w:rFonts w:hint="eastAsia" w:ascii="仿宋" w:hAnsi="仿宋" w:eastAsia="仿宋" w:cs="仿宋"/>
          <w:kern w:val="0"/>
          <w:sz w:val="24"/>
          <w:szCs w:val="24"/>
          <w:highlight w:val="none"/>
        </w:rPr>
        <w:t xml:space="preserve">              法人代表授权人(签字)：</w:t>
      </w:r>
    </w:p>
    <w:p>
      <w:pPr>
        <w:pStyle w:val="30"/>
        <w:autoSpaceDE w:val="0"/>
        <w:autoSpaceDN w:val="0"/>
        <w:adjustRightInd w:val="0"/>
        <w:spacing w:line="500" w:lineRule="exact"/>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联 系 人：</w:t>
      </w:r>
      <w:r>
        <w:rPr>
          <w:rFonts w:hint="eastAsia" w:ascii="仿宋" w:hAnsi="仿宋" w:eastAsia="仿宋" w:cs="仿宋"/>
          <w:kern w:val="0"/>
          <w:sz w:val="24"/>
          <w:szCs w:val="24"/>
          <w:highlight w:val="none"/>
        </w:rPr>
        <w:tab/>
      </w:r>
      <w:r>
        <w:rPr>
          <w:rFonts w:hint="eastAsia" w:ascii="仿宋" w:hAnsi="仿宋" w:eastAsia="仿宋" w:cs="仿宋"/>
          <w:kern w:val="0"/>
          <w:sz w:val="24"/>
          <w:szCs w:val="24"/>
          <w:highlight w:val="none"/>
        </w:rPr>
        <w:t xml:space="preserve">                         联 系 人：</w:t>
      </w:r>
    </w:p>
    <w:p>
      <w:pPr>
        <w:pStyle w:val="30"/>
        <w:autoSpaceDE w:val="0"/>
        <w:autoSpaceDN w:val="0"/>
        <w:adjustRightInd w:val="0"/>
        <w:spacing w:line="500" w:lineRule="exact"/>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电　　话：</w:t>
      </w:r>
      <w:r>
        <w:rPr>
          <w:rFonts w:hint="eastAsia" w:ascii="仿宋" w:hAnsi="仿宋" w:eastAsia="仿宋" w:cs="仿宋"/>
          <w:kern w:val="0"/>
          <w:sz w:val="24"/>
          <w:szCs w:val="24"/>
          <w:highlight w:val="none"/>
        </w:rPr>
        <w:tab/>
      </w:r>
      <w:r>
        <w:rPr>
          <w:rFonts w:hint="eastAsia" w:ascii="仿宋" w:hAnsi="仿宋" w:eastAsia="仿宋" w:cs="仿宋"/>
          <w:kern w:val="0"/>
          <w:sz w:val="24"/>
          <w:szCs w:val="24"/>
          <w:highlight w:val="none"/>
        </w:rPr>
        <w:t xml:space="preserve">                        电　　话：</w:t>
      </w:r>
    </w:p>
    <w:p>
      <w:pPr>
        <w:pStyle w:val="30"/>
        <w:autoSpaceDE w:val="0"/>
        <w:autoSpaceDN w:val="0"/>
        <w:adjustRightInd w:val="0"/>
        <w:spacing w:line="500" w:lineRule="exact"/>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传　　真：</w:t>
      </w:r>
      <w:r>
        <w:rPr>
          <w:rFonts w:hint="eastAsia" w:ascii="仿宋" w:hAnsi="仿宋" w:eastAsia="仿宋" w:cs="仿宋"/>
          <w:kern w:val="0"/>
          <w:sz w:val="24"/>
          <w:szCs w:val="24"/>
          <w:highlight w:val="none"/>
        </w:rPr>
        <w:tab/>
      </w:r>
      <w:r>
        <w:rPr>
          <w:rFonts w:hint="eastAsia" w:ascii="仿宋" w:hAnsi="仿宋" w:eastAsia="仿宋" w:cs="仿宋"/>
          <w:kern w:val="0"/>
          <w:sz w:val="24"/>
          <w:szCs w:val="24"/>
          <w:highlight w:val="none"/>
        </w:rPr>
        <w:t xml:space="preserve">                        传　　真：</w:t>
      </w:r>
    </w:p>
    <w:p>
      <w:pPr>
        <w:pStyle w:val="30"/>
        <w:autoSpaceDE w:val="0"/>
        <w:autoSpaceDN w:val="0"/>
        <w:adjustRightInd w:val="0"/>
        <w:spacing w:line="500" w:lineRule="exact"/>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邮政编码：</w:t>
      </w:r>
      <w:r>
        <w:rPr>
          <w:rFonts w:hint="eastAsia" w:ascii="仿宋" w:hAnsi="仿宋" w:eastAsia="仿宋" w:cs="仿宋"/>
          <w:kern w:val="0"/>
          <w:sz w:val="24"/>
          <w:szCs w:val="24"/>
          <w:highlight w:val="none"/>
        </w:rPr>
        <w:tab/>
      </w:r>
      <w:r>
        <w:rPr>
          <w:rFonts w:hint="eastAsia" w:ascii="仿宋" w:hAnsi="仿宋" w:eastAsia="仿宋" w:cs="仿宋"/>
          <w:kern w:val="0"/>
          <w:sz w:val="24"/>
          <w:szCs w:val="24"/>
          <w:highlight w:val="none"/>
        </w:rPr>
        <w:t xml:space="preserve">               </w:t>
      </w:r>
      <w:r>
        <w:rPr>
          <w:rFonts w:hint="eastAsia" w:ascii="仿宋" w:hAnsi="仿宋" w:eastAsia="仿宋" w:cs="仿宋"/>
          <w:kern w:val="0"/>
          <w:sz w:val="24"/>
          <w:szCs w:val="24"/>
          <w:highlight w:val="none"/>
          <w:lang w:val="en-US" w:eastAsia="zh-CN"/>
        </w:rPr>
        <w:t xml:space="preserve">     </w:t>
      </w:r>
      <w:r>
        <w:rPr>
          <w:rFonts w:hint="eastAsia" w:ascii="仿宋" w:hAnsi="仿宋" w:eastAsia="仿宋" w:cs="仿宋"/>
          <w:kern w:val="0"/>
          <w:sz w:val="24"/>
          <w:szCs w:val="24"/>
          <w:highlight w:val="none"/>
        </w:rPr>
        <w:t xml:space="preserve">   邮政编码：</w:t>
      </w:r>
    </w:p>
    <w:p>
      <w:pPr>
        <w:pStyle w:val="30"/>
        <w:autoSpaceDE w:val="0"/>
        <w:autoSpaceDN w:val="0"/>
        <w:adjustRightInd w:val="0"/>
        <w:spacing w:line="500" w:lineRule="exact"/>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开户银行：</w:t>
      </w:r>
      <w:r>
        <w:rPr>
          <w:rFonts w:hint="eastAsia" w:ascii="仿宋" w:hAnsi="仿宋" w:eastAsia="仿宋" w:cs="仿宋"/>
          <w:kern w:val="0"/>
          <w:sz w:val="24"/>
          <w:szCs w:val="24"/>
          <w:highlight w:val="none"/>
        </w:rPr>
        <w:tab/>
      </w:r>
      <w:r>
        <w:rPr>
          <w:rFonts w:hint="eastAsia" w:ascii="仿宋" w:hAnsi="仿宋" w:eastAsia="仿宋" w:cs="仿宋"/>
          <w:kern w:val="0"/>
          <w:sz w:val="24"/>
          <w:szCs w:val="24"/>
          <w:highlight w:val="none"/>
        </w:rPr>
        <w:t xml:space="preserve">                   </w:t>
      </w:r>
      <w:r>
        <w:rPr>
          <w:rFonts w:hint="eastAsia" w:ascii="仿宋" w:hAnsi="仿宋" w:eastAsia="仿宋" w:cs="仿宋"/>
          <w:kern w:val="0"/>
          <w:sz w:val="24"/>
          <w:szCs w:val="24"/>
          <w:highlight w:val="none"/>
          <w:lang w:val="en-US" w:eastAsia="zh-CN"/>
        </w:rPr>
        <w:t xml:space="preserve">    </w:t>
      </w:r>
      <w:r>
        <w:rPr>
          <w:rFonts w:hint="eastAsia" w:ascii="仿宋" w:hAnsi="仿宋" w:eastAsia="仿宋" w:cs="仿宋"/>
          <w:kern w:val="0"/>
          <w:sz w:val="24"/>
          <w:szCs w:val="24"/>
          <w:highlight w:val="none"/>
        </w:rPr>
        <w:t xml:space="preserve"> 开户银行：</w:t>
      </w:r>
    </w:p>
    <w:p>
      <w:pPr>
        <w:pStyle w:val="30"/>
        <w:autoSpaceDE w:val="0"/>
        <w:autoSpaceDN w:val="0"/>
        <w:adjustRightInd w:val="0"/>
        <w:spacing w:line="500" w:lineRule="exact"/>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帐　　号：</w:t>
      </w:r>
      <w:r>
        <w:rPr>
          <w:rFonts w:hint="eastAsia" w:ascii="仿宋" w:hAnsi="仿宋" w:eastAsia="仿宋" w:cs="仿宋"/>
          <w:kern w:val="0"/>
          <w:sz w:val="24"/>
          <w:szCs w:val="24"/>
          <w:highlight w:val="none"/>
        </w:rPr>
        <w:tab/>
      </w:r>
      <w:r>
        <w:rPr>
          <w:rFonts w:hint="eastAsia" w:ascii="仿宋" w:hAnsi="仿宋" w:eastAsia="仿宋" w:cs="仿宋"/>
          <w:kern w:val="0"/>
          <w:sz w:val="24"/>
          <w:szCs w:val="24"/>
          <w:highlight w:val="none"/>
        </w:rPr>
        <w:t>帐　　号：</w:t>
      </w:r>
    </w:p>
    <w:p>
      <w:pPr>
        <w:pStyle w:val="30"/>
        <w:rPr>
          <w:rFonts w:hint="eastAsia" w:ascii="仿宋" w:hAnsi="仿宋" w:eastAsia="仿宋" w:cs="仿宋"/>
          <w:sz w:val="24"/>
          <w:szCs w:val="24"/>
          <w:highlight w:val="none"/>
        </w:rPr>
      </w:pPr>
    </w:p>
    <w:p>
      <w:pPr>
        <w:pStyle w:val="30"/>
        <w:spacing w:line="500" w:lineRule="exact"/>
        <w:jc w:val="center"/>
        <w:rPr>
          <w:rFonts w:hint="eastAsia" w:ascii="仿宋" w:hAnsi="仿宋" w:eastAsia="仿宋" w:cs="仿宋"/>
          <w:b/>
          <w:kern w:val="0"/>
          <w:sz w:val="24"/>
          <w:szCs w:val="24"/>
          <w:highlight w:val="none"/>
        </w:rPr>
      </w:pPr>
      <w:bookmarkStart w:id="25" w:name="_Hlk450145418"/>
      <w:r>
        <w:rPr>
          <w:rFonts w:hint="eastAsia" w:ascii="仿宋" w:hAnsi="仿宋" w:eastAsia="仿宋" w:cs="仿宋"/>
          <w:b/>
          <w:spacing w:val="120"/>
          <w:kern w:val="0"/>
          <w:sz w:val="24"/>
          <w:szCs w:val="24"/>
          <w:highlight w:val="none"/>
        </w:rPr>
        <w:t>合同条</w:t>
      </w:r>
      <w:r>
        <w:rPr>
          <w:rFonts w:hint="eastAsia" w:ascii="仿宋" w:hAnsi="仿宋" w:eastAsia="仿宋" w:cs="仿宋"/>
          <w:b/>
          <w:kern w:val="0"/>
          <w:sz w:val="24"/>
          <w:szCs w:val="24"/>
          <w:highlight w:val="none"/>
        </w:rPr>
        <w:t>款</w:t>
      </w:r>
    </w:p>
    <w:p>
      <w:pPr>
        <w:pStyle w:val="30"/>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1．有关概念</w:t>
      </w:r>
    </w:p>
    <w:p>
      <w:pPr>
        <w:pStyle w:val="30"/>
        <w:spacing w:line="500" w:lineRule="exact"/>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本合同下列术语应解释为：</w:t>
      </w:r>
    </w:p>
    <w:p>
      <w:pPr>
        <w:pStyle w:val="30"/>
        <w:spacing w:line="500" w:lineRule="exact"/>
        <w:ind w:left="485" w:hanging="484" w:hangingChars="202"/>
        <w:jc w:val="left"/>
        <w:rPr>
          <w:rFonts w:hint="eastAsia" w:ascii="仿宋" w:hAnsi="仿宋" w:eastAsia="仿宋" w:cs="仿宋"/>
          <w:bCs/>
          <w:sz w:val="24"/>
          <w:szCs w:val="24"/>
          <w:highlight w:val="none"/>
        </w:rPr>
      </w:pPr>
      <w:r>
        <w:rPr>
          <w:rFonts w:hint="eastAsia" w:ascii="仿宋" w:hAnsi="仿宋" w:eastAsia="仿宋" w:cs="仿宋"/>
          <w:sz w:val="24"/>
          <w:szCs w:val="24"/>
          <w:highlight w:val="none"/>
        </w:rPr>
        <w:t>1.1</w:t>
      </w:r>
      <w:r>
        <w:rPr>
          <w:rFonts w:hint="eastAsia" w:ascii="仿宋" w:hAnsi="仿宋" w:eastAsia="仿宋" w:cs="仿宋"/>
          <w:bCs/>
          <w:sz w:val="24"/>
          <w:szCs w:val="24"/>
          <w:highlight w:val="none"/>
        </w:rPr>
        <w:t>“合同”，系指买供双方签署的、合同格式中载明的买供双方所达成的协议，包括所有的附件、附录和上述文件所提到的构成合同的所有文件。</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1.2“合同价”，系指根据合同规定供方在正确地履行合同义务后采购人应支付给供方的价格。</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1.3“货物”，系指供方根据合同规定须向采购人提供的各种形态和种类的物品，包括产品、设备、配件等。</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1.4“服务”，系指伴随本项目产生的，根据合同规定由供方承担的与供货有关的辅助服务，例如安装、调试、技术援助、培训、售后服务等以及合同中规定供方应承担的所有其它类似义务。</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1.5“采购人”，系指</w:t>
      </w:r>
      <w:r>
        <w:rPr>
          <w:rFonts w:hint="eastAsia" w:ascii="仿宋" w:hAnsi="仿宋" w:eastAsia="仿宋" w:cs="仿宋"/>
          <w:sz w:val="24"/>
          <w:szCs w:val="24"/>
          <w:highlight w:val="none"/>
          <w:lang w:eastAsia="zh-CN"/>
        </w:rPr>
        <w:t>磋商</w:t>
      </w:r>
      <w:r>
        <w:rPr>
          <w:rFonts w:hint="eastAsia" w:ascii="仿宋" w:hAnsi="仿宋" w:eastAsia="仿宋" w:cs="仿宋"/>
          <w:sz w:val="24"/>
          <w:szCs w:val="24"/>
          <w:highlight w:val="none"/>
        </w:rPr>
        <w:t>文件中所述购买货物和服务的单位。</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1.6“供方”，系指</w:t>
      </w:r>
      <w:r>
        <w:rPr>
          <w:rFonts w:hint="eastAsia" w:ascii="仿宋" w:hAnsi="仿宋" w:eastAsia="仿宋" w:cs="仿宋"/>
          <w:sz w:val="24"/>
          <w:szCs w:val="24"/>
          <w:highlight w:val="none"/>
          <w:lang w:eastAsia="zh-CN"/>
        </w:rPr>
        <w:t>磋商</w:t>
      </w:r>
      <w:r>
        <w:rPr>
          <w:rFonts w:hint="eastAsia" w:ascii="仿宋" w:hAnsi="仿宋" w:eastAsia="仿宋" w:cs="仿宋"/>
          <w:sz w:val="24"/>
          <w:szCs w:val="24"/>
          <w:highlight w:val="none"/>
        </w:rPr>
        <w:t>文件中所述提供货物和服务的公司或实体，亦即中标人。</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1.7“天”，系日历天数。</w:t>
      </w:r>
    </w:p>
    <w:p>
      <w:pPr>
        <w:pStyle w:val="30"/>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2．技术规格</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2.1交付货物的技术规格应与响应文件规定的技术规格以及所附的技术规格响应表相一致。</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2.2除技术规格另有规定外，计量单位均使用中华人民共和国法定计量单位。</w:t>
      </w:r>
    </w:p>
    <w:p>
      <w:pPr>
        <w:pStyle w:val="30"/>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3．专利权</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3.1供方应保证采购人在使用该货物或其任何一部分时免受第三方提出侵犯其专利权、商标权或工业设计权的起诉。若由此出现侵权诉讼，由供方承担全部责任。</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3.2供方按合同要求为采购人提交的设计方案，其所有权、使用权等所有权力均转为采购人所拥有，供方放弃拥有关于设计方案的所有权力。</w:t>
      </w:r>
    </w:p>
    <w:p>
      <w:pPr>
        <w:pStyle w:val="30"/>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4.包装要求</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4.1除合同另有规定外，供方提供的所有单独包装的货物都应具有原始的、完好的标准包装。如遇交付前已拆封货物，采购人有权拒绝接受或要求更换。</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4.2每个包装箱内的装箱清单、使用说明书、质量证书、保修卡及软件使用说明等所有资料均须齐全。</w:t>
      </w:r>
    </w:p>
    <w:p>
      <w:pPr>
        <w:pStyle w:val="30"/>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5. 装运条件</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5.1供方负责安排运输，运输费由供方承担。</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5.2提单日期应视为实际交货日期。</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5.3供方装运的货物不得超过合同规定的数量或重量。否则，供方应对超运数量或重量而产生的一切后果负责。</w:t>
      </w:r>
    </w:p>
    <w:p>
      <w:pPr>
        <w:pStyle w:val="30"/>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6. 付款</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6.1本合同以人民币支付。</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6.2供方按照合同规定交货。交货后供方把下列单据提交给采购人,采购人按合同规定审核后办理付款手续：</w:t>
      </w:r>
    </w:p>
    <w:p>
      <w:pPr>
        <w:pStyle w:val="30"/>
        <w:spacing w:line="500" w:lineRule="exact"/>
        <w:ind w:left="565" w:leftChars="269" w:firstLine="1"/>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（1）发票</w:t>
      </w:r>
    </w:p>
    <w:p>
      <w:pPr>
        <w:pStyle w:val="30"/>
        <w:spacing w:line="500" w:lineRule="exact"/>
        <w:ind w:left="565" w:leftChars="269" w:firstLine="1"/>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（2）质量证书</w:t>
      </w:r>
    </w:p>
    <w:p>
      <w:pPr>
        <w:pStyle w:val="30"/>
        <w:spacing w:line="500" w:lineRule="exact"/>
        <w:ind w:left="565" w:leftChars="269" w:firstLine="1"/>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（3）详细配置、数量清单</w:t>
      </w:r>
    </w:p>
    <w:p>
      <w:pPr>
        <w:pStyle w:val="30"/>
        <w:spacing w:line="500" w:lineRule="exact"/>
        <w:ind w:left="565" w:leftChars="269" w:firstLine="1"/>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（4）检验报告</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6.3采购人按合同规定的合同生效及支付条件和方式安排付款。</w:t>
      </w:r>
    </w:p>
    <w:p>
      <w:pPr>
        <w:pStyle w:val="30"/>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7．伴随服务</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7.1供方随同货物提交所供货物的技术资料。包括相应每套货物的中文技术文件，如：产品目录、操作手册、使用说明、维护手册或服务指南等。</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7.2供方应提供下列服务：</w:t>
      </w:r>
    </w:p>
    <w:p>
      <w:pPr>
        <w:pStyle w:val="30"/>
        <w:spacing w:line="500" w:lineRule="exact"/>
        <w:ind w:left="565" w:leftChars="269" w:firstLine="1"/>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（1）货物的现场安装和启动监督；</w:t>
      </w:r>
    </w:p>
    <w:p>
      <w:pPr>
        <w:pStyle w:val="30"/>
        <w:spacing w:line="500" w:lineRule="exact"/>
        <w:ind w:left="565" w:leftChars="269" w:firstLine="1"/>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（2）提供货物组装和维修所必须的工具；</w:t>
      </w:r>
    </w:p>
    <w:p>
      <w:pPr>
        <w:pStyle w:val="30"/>
        <w:spacing w:line="500" w:lineRule="exact"/>
        <w:ind w:left="565" w:leftChars="269" w:firstLine="1"/>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（3）在项目现场就货物的安装、启动、运行和维护，按采购人的要求提供技术培训。</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7.3伴随服务的费用含在合同价中，不另行支付。</w:t>
      </w:r>
    </w:p>
    <w:p>
      <w:pPr>
        <w:pStyle w:val="30"/>
        <w:spacing w:line="500" w:lineRule="exact"/>
        <w:jc w:val="left"/>
        <w:rPr>
          <w:rFonts w:hint="eastAsia" w:ascii="仿宋" w:hAnsi="仿宋" w:eastAsia="仿宋" w:cs="仿宋"/>
          <w:b/>
          <w:sz w:val="24"/>
          <w:szCs w:val="24"/>
          <w:highlight w:val="none"/>
        </w:rPr>
      </w:pPr>
      <w:r>
        <w:rPr>
          <w:rFonts w:hint="eastAsia" w:ascii="仿宋" w:hAnsi="仿宋" w:eastAsia="仿宋" w:cs="仿宋"/>
          <w:bCs/>
          <w:sz w:val="24"/>
          <w:szCs w:val="24"/>
          <w:highlight w:val="none"/>
        </w:rPr>
        <w:t>8.</w:t>
      </w:r>
      <w:r>
        <w:rPr>
          <w:rFonts w:hint="eastAsia" w:ascii="仿宋" w:hAnsi="仿宋" w:eastAsia="仿宋" w:cs="仿宋"/>
          <w:b/>
          <w:sz w:val="24"/>
          <w:szCs w:val="24"/>
          <w:highlight w:val="none"/>
        </w:rPr>
        <w:t>备品备件</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bCs/>
          <w:sz w:val="24"/>
          <w:szCs w:val="24"/>
          <w:highlight w:val="none"/>
        </w:rPr>
        <w:t>8.1</w:t>
      </w:r>
      <w:r>
        <w:rPr>
          <w:rFonts w:hint="eastAsia" w:ascii="仿宋" w:hAnsi="仿宋" w:eastAsia="仿宋" w:cs="仿宋"/>
          <w:sz w:val="24"/>
          <w:szCs w:val="24"/>
          <w:highlight w:val="none"/>
        </w:rPr>
        <w:t>供</w:t>
      </w:r>
      <w:r>
        <w:rPr>
          <w:rFonts w:hint="eastAsia" w:ascii="仿宋" w:hAnsi="仿宋" w:eastAsia="仿宋" w:cs="仿宋"/>
          <w:bCs/>
          <w:sz w:val="24"/>
          <w:szCs w:val="24"/>
          <w:highlight w:val="none"/>
        </w:rPr>
        <w:t>方可能被要</w:t>
      </w:r>
      <w:r>
        <w:rPr>
          <w:rFonts w:hint="eastAsia" w:ascii="仿宋" w:hAnsi="仿宋" w:eastAsia="仿宋" w:cs="仿宋"/>
          <w:sz w:val="24"/>
          <w:szCs w:val="24"/>
          <w:highlight w:val="none"/>
        </w:rPr>
        <w:t>求提供下列与备件有关的材料、通知和资料：</w:t>
      </w:r>
    </w:p>
    <w:p>
      <w:pPr>
        <w:pStyle w:val="30"/>
        <w:spacing w:line="500" w:lineRule="exact"/>
        <w:ind w:left="567" w:leftChars="27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（1）采购方从供方选购备件，但前提条件是该选购并不能免除供方在合同保证期内所承担的义务；</w:t>
      </w:r>
    </w:p>
    <w:p>
      <w:pPr>
        <w:pStyle w:val="30"/>
        <w:spacing w:line="500" w:lineRule="exact"/>
        <w:ind w:left="567" w:leftChars="27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（2）在备件停止生产的情况下，供方应事先将要停止生产的计划通知买方有足够的时间采购所需的备件；</w:t>
      </w:r>
    </w:p>
    <w:p>
      <w:pPr>
        <w:pStyle w:val="30"/>
        <w:spacing w:line="500" w:lineRule="exact"/>
        <w:ind w:left="567" w:leftChars="27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（3）在备件停止生产后，如果采购方要求，供方应免费向采购方提供备件的蓝图、图纸和规格。</w:t>
      </w:r>
    </w:p>
    <w:p>
      <w:pPr>
        <w:pStyle w:val="30"/>
        <w:tabs>
          <w:tab w:val="left" w:pos="-540"/>
          <w:tab w:val="left" w:pos="0"/>
          <w:tab w:val="left" w:pos="420"/>
          <w:tab w:val="left" w:pos="840"/>
          <w:tab w:val="left" w:pos="1260"/>
          <w:tab w:val="left" w:pos="1680"/>
          <w:tab w:val="left" w:pos="2250"/>
        </w:tabs>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9、质量保证及售后服务</w:t>
      </w:r>
    </w:p>
    <w:p>
      <w:pPr>
        <w:pStyle w:val="30"/>
        <w:tabs>
          <w:tab w:val="left" w:pos="-540"/>
          <w:tab w:val="left" w:pos="0"/>
          <w:tab w:val="left" w:pos="420"/>
          <w:tab w:val="left" w:pos="840"/>
          <w:tab w:val="left" w:pos="1260"/>
          <w:tab w:val="left" w:pos="1680"/>
          <w:tab w:val="left" w:pos="2250"/>
        </w:tabs>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（一）质量保证</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9.1供方保证所提供的货物是全新的、未使用过的，是完全符合合同规定的质量、规格和性能要求的。保证货物在正常使用和保养条件下，在其使用寿命内具有满意的性能。在质保期内供方免费提供货物正常使用情况下发生故障的维修服务和更换配件服务。在供方或制造商承诺的货物质量保证期内，供方对由于设计工艺或材料的缺陷而产生的故障负责；货物无质保期的，供方在两年内对由于设计工艺或材料的缺陷而产生的故障负责。</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9.2在质保期内或货物无质保期的则在两年内，如果货物的数量、质量或规格与合同不符，或证实货物有缺陷的，采购人可尽快以书面形式向供方提出本保证下的索赔。</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9.3供方在收到索赔通知后十日内须免费更换有缺陷的货物或部件。</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9.4供方在收到索赔通知后十日内没有弥补缺陷，采购人可采取必要的补救措施，其风险和费用将由供方承担，采购人根据合同规定向供方行使的其它权利不受影响。</w:t>
      </w:r>
    </w:p>
    <w:p>
      <w:pPr>
        <w:pStyle w:val="30"/>
        <w:tabs>
          <w:tab w:val="left" w:pos="-540"/>
          <w:tab w:val="left" w:pos="0"/>
          <w:tab w:val="left" w:pos="420"/>
          <w:tab w:val="left" w:pos="840"/>
          <w:tab w:val="left" w:pos="1260"/>
          <w:tab w:val="left" w:pos="1680"/>
          <w:tab w:val="left" w:pos="2250"/>
        </w:tabs>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(二)质量保证期后服务</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9.5 质保期满后，若有零部件出现故障，经权威部门鉴定属于寿命异常问题（明显短于该零部件正常寿命时），则由供方负责免费更换及维修。</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9.6 质保期满后，应采购方要求，供方应按投标时的价格与采购方签订定期维修保养合同及提供采购方所需零配件，若投标时的价格高于市场价，则按市场价与与采购方签订定期维修保养合同及提供采购方所需零配件。</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9.7 乙方交货后，若设备发生故障，乙方应在甲方报修后24小时内到达。</w:t>
      </w:r>
    </w:p>
    <w:p>
      <w:pPr>
        <w:pStyle w:val="30"/>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10．检验</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10.1在交货前，供方应对货物的质量、规格、性能、数量等进行详细全面的检验，并出具一份证明货物符合合同规定要求的检验报告。检验报告是付款必要的文件组成部分，但不作为对有关质量、规格、数量的最终检验。</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10.2货物交付后，采购人申请有关部门对货物的质量、数量等进行检验并出具检验证书。</w:t>
      </w:r>
    </w:p>
    <w:p>
      <w:pPr>
        <w:pStyle w:val="30"/>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11．索赔</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bCs/>
          <w:sz w:val="24"/>
          <w:szCs w:val="24"/>
          <w:highlight w:val="none"/>
        </w:rPr>
        <w:t>1</w:t>
      </w:r>
      <w:r>
        <w:rPr>
          <w:rFonts w:hint="eastAsia" w:ascii="仿宋" w:hAnsi="仿宋" w:eastAsia="仿宋" w:cs="仿宋"/>
          <w:sz w:val="24"/>
          <w:szCs w:val="24"/>
          <w:highlight w:val="none"/>
        </w:rPr>
        <w:t>1.1采购人有权根据有关部门出具的检验证书向供方提出索赔。</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11.2在合同条款第8条规定的质保期内，如果供方对差异负有责任而采购人提出索赔，供方应按照采购人的损失程度进行赔偿。</w:t>
      </w:r>
    </w:p>
    <w:p>
      <w:pPr>
        <w:pStyle w:val="29"/>
        <w:spacing w:line="500" w:lineRule="exact"/>
        <w:ind w:firstLine="0" w:firstLineChars="0"/>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12．</w:t>
      </w:r>
      <w:r>
        <w:rPr>
          <w:rFonts w:hint="eastAsia" w:ascii="仿宋" w:hAnsi="仿宋" w:eastAsia="仿宋" w:cs="仿宋"/>
          <w:sz w:val="24"/>
          <w:szCs w:val="24"/>
          <w:highlight w:val="none"/>
        </w:rPr>
        <w:t>供</w:t>
      </w:r>
      <w:r>
        <w:rPr>
          <w:rFonts w:hint="eastAsia" w:ascii="仿宋" w:hAnsi="仿宋" w:eastAsia="仿宋" w:cs="仿宋"/>
          <w:b/>
          <w:sz w:val="24"/>
          <w:szCs w:val="24"/>
          <w:highlight w:val="none"/>
        </w:rPr>
        <w:t>方履约延误</w:t>
      </w:r>
    </w:p>
    <w:p>
      <w:pPr>
        <w:pStyle w:val="30"/>
        <w:spacing w:line="500" w:lineRule="exact"/>
        <w:ind w:left="485" w:hanging="484" w:hangingChars="202"/>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12.1</w:t>
      </w:r>
      <w:r>
        <w:rPr>
          <w:rFonts w:hint="eastAsia" w:ascii="仿宋" w:hAnsi="仿宋" w:eastAsia="仿宋" w:cs="仿宋"/>
          <w:sz w:val="24"/>
          <w:szCs w:val="24"/>
          <w:highlight w:val="none"/>
        </w:rPr>
        <w:t>供</w:t>
      </w:r>
      <w:r>
        <w:rPr>
          <w:rFonts w:hint="eastAsia" w:ascii="仿宋" w:hAnsi="仿宋" w:eastAsia="仿宋" w:cs="仿宋"/>
          <w:bCs/>
          <w:sz w:val="24"/>
          <w:szCs w:val="24"/>
          <w:highlight w:val="none"/>
        </w:rPr>
        <w:t>方应</w:t>
      </w:r>
      <w:r>
        <w:rPr>
          <w:rFonts w:hint="eastAsia" w:ascii="仿宋" w:hAnsi="仿宋" w:eastAsia="仿宋" w:cs="仿宋"/>
          <w:sz w:val="24"/>
          <w:szCs w:val="24"/>
          <w:highlight w:val="none"/>
        </w:rPr>
        <w:t>按规定</w:t>
      </w:r>
      <w:r>
        <w:rPr>
          <w:rFonts w:hint="eastAsia" w:ascii="仿宋" w:hAnsi="仿宋" w:eastAsia="仿宋" w:cs="仿宋"/>
          <w:bCs/>
          <w:sz w:val="24"/>
          <w:szCs w:val="24"/>
          <w:highlight w:val="none"/>
        </w:rPr>
        <w:t>的时间交货和提供服务。</w:t>
      </w:r>
    </w:p>
    <w:p>
      <w:pPr>
        <w:pStyle w:val="29"/>
        <w:spacing w:line="500" w:lineRule="exact"/>
        <w:ind w:left="617" w:hanging="616" w:hangingChars="257"/>
        <w:jc w:val="left"/>
        <w:rPr>
          <w:rFonts w:hint="eastAsia" w:ascii="仿宋" w:hAnsi="仿宋" w:eastAsia="仿宋" w:cs="仿宋"/>
          <w:sz w:val="24"/>
          <w:szCs w:val="24"/>
          <w:highlight w:val="none"/>
        </w:rPr>
      </w:pPr>
      <w:r>
        <w:rPr>
          <w:rFonts w:hint="eastAsia" w:ascii="仿宋" w:hAnsi="仿宋" w:eastAsia="仿宋" w:cs="仿宋"/>
          <w:bCs/>
          <w:sz w:val="24"/>
          <w:szCs w:val="24"/>
          <w:highlight w:val="none"/>
        </w:rPr>
        <w:t>12.2如</w:t>
      </w:r>
      <w:r>
        <w:rPr>
          <w:rFonts w:hint="eastAsia" w:ascii="仿宋" w:hAnsi="仿宋" w:eastAsia="仿宋" w:cs="仿宋"/>
          <w:sz w:val="24"/>
          <w:szCs w:val="24"/>
          <w:highlight w:val="none"/>
        </w:rPr>
        <w:t>供方无正当理由而拖延交货，采购人将从货款中扣除误期赔偿费而不影响合同项下的其他补救方法，赔偿费按每周迟交货物交货价或未提供服务费用的百分之一（1%）计收，直至交货或提供服务为止。误期赔偿费的最高限额不超过误期货物或服务合同价的百分之五（5%）。一周按七（7）天计算，不足七（7）天按一周计算。一旦达到误期赔偿费的最高限额，采购人有权终止合同。</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bCs/>
          <w:sz w:val="24"/>
          <w:szCs w:val="24"/>
          <w:highlight w:val="none"/>
        </w:rPr>
        <w:t>12.3在履行</w:t>
      </w:r>
      <w:r>
        <w:rPr>
          <w:rFonts w:hint="eastAsia" w:ascii="仿宋" w:hAnsi="仿宋" w:eastAsia="仿宋" w:cs="仿宋"/>
          <w:sz w:val="24"/>
          <w:szCs w:val="24"/>
          <w:highlight w:val="none"/>
        </w:rPr>
        <w:t>合同过程中，如果供方遇到可能妨碍按时交货和提供服务的情况时，应及时以书面形式将拖延的事实、可能拖延的期限和理由通知采购人。采购人在收到通知后，要尽快对情况进行评价，并确定是否通过修改合同酌情延长交货时间以及是否收取误期赔偿费。延期应通过修改合同的方式由双方认可。</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12.4供方交付的货物不符合</w:t>
      </w:r>
      <w:r>
        <w:rPr>
          <w:rFonts w:hint="eastAsia" w:ascii="仿宋" w:hAnsi="仿宋" w:eastAsia="仿宋" w:cs="仿宋"/>
          <w:sz w:val="24"/>
          <w:szCs w:val="24"/>
          <w:highlight w:val="none"/>
          <w:lang w:eastAsia="zh-CN"/>
        </w:rPr>
        <w:t>磋商</w:t>
      </w:r>
      <w:r>
        <w:rPr>
          <w:rFonts w:hint="eastAsia" w:ascii="仿宋" w:hAnsi="仿宋" w:eastAsia="仿宋" w:cs="仿宋"/>
          <w:sz w:val="24"/>
          <w:szCs w:val="24"/>
          <w:highlight w:val="none"/>
        </w:rPr>
        <w:t>文件、响应文件和本合同规定的，采购方有权拒收，并且供方需向采购方支付本合同总价10%的违约金。</w:t>
      </w:r>
    </w:p>
    <w:p>
      <w:pPr>
        <w:pStyle w:val="29"/>
        <w:spacing w:line="500" w:lineRule="exact"/>
        <w:ind w:firstLine="0" w:firstLineChars="0"/>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13．不可抗力</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bCs/>
          <w:sz w:val="24"/>
          <w:szCs w:val="24"/>
          <w:highlight w:val="none"/>
        </w:rPr>
        <w:t>13.1如果双</w:t>
      </w:r>
      <w:r>
        <w:rPr>
          <w:rFonts w:hint="eastAsia" w:ascii="仿宋" w:hAnsi="仿宋" w:eastAsia="仿宋" w:cs="仿宋"/>
          <w:sz w:val="24"/>
          <w:szCs w:val="24"/>
          <w:highlight w:val="none"/>
        </w:rPr>
        <w:t>方任何一方由于经双方认可属于不可抗力的事故，致使影响合同履行时，履行合同的期限予以延长，延长的期限应相当于事故所影响的时间。不可抗力事件是指买供双方在缔结合同时所不能预见、并且它的发生及其后果是无法避免及无法克服的事件，比如战争、严重火灾、洪水、台风、地震等。</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13.2受事故影响的一方应在不可抗力发生后尽快以传真、电报通知另一方，并在事故发生后14天内，将有关部门出具的证明文件用特快专递或挂号信寄给另一方。如果不可抗力影响时间延续90天以上时，双方可通过友好协商在合理的时间内达成进一步履行或解除合同的协议。</w:t>
      </w:r>
    </w:p>
    <w:p>
      <w:pPr>
        <w:pStyle w:val="29"/>
        <w:spacing w:line="500" w:lineRule="exact"/>
        <w:ind w:firstLine="0" w:firstLineChars="0"/>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14．税费</w:t>
      </w:r>
    </w:p>
    <w:p>
      <w:pPr>
        <w:pStyle w:val="30"/>
        <w:spacing w:line="500" w:lineRule="exact"/>
        <w:ind w:left="485" w:hanging="484" w:hangingChars="202"/>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14.1政府根据现行税法对</w:t>
      </w:r>
      <w:r>
        <w:rPr>
          <w:rFonts w:hint="eastAsia" w:ascii="仿宋" w:hAnsi="仿宋" w:eastAsia="仿宋" w:cs="仿宋"/>
          <w:sz w:val="24"/>
          <w:szCs w:val="24"/>
          <w:highlight w:val="none"/>
        </w:rPr>
        <w:t>供</w:t>
      </w:r>
      <w:r>
        <w:rPr>
          <w:rFonts w:hint="eastAsia" w:ascii="仿宋" w:hAnsi="仿宋" w:eastAsia="仿宋" w:cs="仿宋"/>
          <w:bCs/>
          <w:sz w:val="24"/>
          <w:szCs w:val="24"/>
          <w:highlight w:val="none"/>
        </w:rPr>
        <w:t>方征收的与本合同有关的一切税费均由</w:t>
      </w:r>
      <w:r>
        <w:rPr>
          <w:rFonts w:hint="eastAsia" w:ascii="仿宋" w:hAnsi="仿宋" w:eastAsia="仿宋" w:cs="仿宋"/>
          <w:sz w:val="24"/>
          <w:szCs w:val="24"/>
          <w:highlight w:val="none"/>
        </w:rPr>
        <w:t>供</w:t>
      </w:r>
      <w:r>
        <w:rPr>
          <w:rFonts w:hint="eastAsia" w:ascii="仿宋" w:hAnsi="仿宋" w:eastAsia="仿宋" w:cs="仿宋"/>
          <w:bCs/>
          <w:sz w:val="24"/>
          <w:szCs w:val="24"/>
          <w:highlight w:val="none"/>
        </w:rPr>
        <w:t>方负担。</w:t>
      </w:r>
    </w:p>
    <w:p>
      <w:pPr>
        <w:pStyle w:val="29"/>
        <w:spacing w:line="500" w:lineRule="exact"/>
        <w:ind w:firstLine="0" w:firstLineChars="0"/>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15．违约终止合同</w:t>
      </w:r>
    </w:p>
    <w:p>
      <w:pPr>
        <w:pStyle w:val="29"/>
        <w:spacing w:line="500" w:lineRule="exact"/>
        <w:ind w:left="617" w:hanging="616" w:hangingChars="257"/>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15.1出现下</w:t>
      </w:r>
      <w:r>
        <w:rPr>
          <w:rFonts w:hint="eastAsia" w:ascii="仿宋" w:hAnsi="仿宋" w:eastAsia="仿宋" w:cs="仿宋"/>
          <w:sz w:val="24"/>
          <w:szCs w:val="24"/>
          <w:highlight w:val="none"/>
        </w:rPr>
        <w:t>列情况之一，采购人在对供方违约而采取的任何补救措施不受影响的情况下，可向供方发出终止部分或全部合同的书面通知书。</w:t>
      </w:r>
    </w:p>
    <w:p>
      <w:pPr>
        <w:pStyle w:val="29"/>
        <w:tabs>
          <w:tab w:val="left" w:pos="3210"/>
        </w:tabs>
        <w:spacing w:line="500" w:lineRule="exact"/>
        <w:ind w:left="708" w:leftChars="337" w:firstLine="1" w:firstLineChars="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bCs/>
          <w:sz w:val="24"/>
          <w:szCs w:val="24"/>
          <w:highlight w:val="none"/>
        </w:rPr>
        <w:t>如果</w:t>
      </w:r>
      <w:r>
        <w:rPr>
          <w:rFonts w:hint="eastAsia" w:ascii="仿宋" w:hAnsi="仿宋" w:eastAsia="仿宋" w:cs="仿宋"/>
          <w:sz w:val="24"/>
          <w:szCs w:val="24"/>
          <w:highlight w:val="none"/>
        </w:rPr>
        <w:t>供方未能按合同规定的期限或采购人同意延长的限期内提供部分或全部货物（服务）、完成工程施工；</w:t>
      </w:r>
    </w:p>
    <w:p>
      <w:pPr>
        <w:pStyle w:val="29"/>
        <w:tabs>
          <w:tab w:val="left" w:pos="3210"/>
        </w:tabs>
        <w:spacing w:line="500" w:lineRule="exact"/>
        <w:ind w:left="708" w:leftChars="337" w:firstLine="1" w:firstLineChars="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（2）供方在收到采购人发出的违约通知后20天内，或经采购人书面认可延长的时间内未能纠正其过失；</w:t>
      </w:r>
    </w:p>
    <w:p>
      <w:pPr>
        <w:pStyle w:val="29"/>
        <w:tabs>
          <w:tab w:val="left" w:pos="3210"/>
        </w:tabs>
        <w:spacing w:line="500" w:lineRule="exact"/>
        <w:ind w:left="708" w:leftChars="337" w:firstLine="1" w:firstLineChars="0"/>
        <w:jc w:val="left"/>
        <w:rPr>
          <w:rFonts w:hint="eastAsia" w:ascii="仿宋" w:hAnsi="仿宋" w:eastAsia="仿宋" w:cs="仿宋"/>
          <w:bCs/>
          <w:sz w:val="24"/>
          <w:szCs w:val="24"/>
          <w:highlight w:val="none"/>
        </w:rPr>
      </w:pPr>
      <w:r>
        <w:rPr>
          <w:rFonts w:hint="eastAsia" w:ascii="仿宋" w:hAnsi="仿宋" w:eastAsia="仿宋" w:cs="仿宋"/>
          <w:sz w:val="24"/>
          <w:szCs w:val="24"/>
          <w:highlight w:val="none"/>
        </w:rPr>
        <w:t>（3）如果供方未能履行合同规定</w:t>
      </w:r>
      <w:r>
        <w:rPr>
          <w:rFonts w:hint="eastAsia" w:ascii="仿宋" w:hAnsi="仿宋" w:eastAsia="仿宋" w:cs="仿宋"/>
          <w:bCs/>
          <w:sz w:val="24"/>
          <w:szCs w:val="24"/>
          <w:highlight w:val="none"/>
        </w:rPr>
        <w:t>的其它任何义务。</w:t>
      </w:r>
    </w:p>
    <w:p>
      <w:pPr>
        <w:pStyle w:val="29"/>
        <w:spacing w:line="500" w:lineRule="exact"/>
        <w:ind w:left="617" w:hanging="616" w:hangingChars="257"/>
        <w:jc w:val="left"/>
        <w:rPr>
          <w:rFonts w:hint="eastAsia" w:ascii="仿宋" w:hAnsi="仿宋" w:eastAsia="仿宋" w:cs="仿宋"/>
          <w:sz w:val="24"/>
          <w:szCs w:val="24"/>
          <w:highlight w:val="none"/>
        </w:rPr>
      </w:pPr>
      <w:r>
        <w:rPr>
          <w:rFonts w:hint="eastAsia" w:ascii="仿宋" w:hAnsi="仿宋" w:eastAsia="仿宋" w:cs="仿宋"/>
          <w:bCs/>
          <w:sz w:val="24"/>
          <w:szCs w:val="24"/>
          <w:highlight w:val="none"/>
        </w:rPr>
        <w:t>15.2在采购人</w:t>
      </w:r>
      <w:r>
        <w:rPr>
          <w:rFonts w:hint="eastAsia" w:ascii="仿宋" w:hAnsi="仿宋" w:eastAsia="仿宋" w:cs="仿宋"/>
          <w:sz w:val="24"/>
          <w:szCs w:val="24"/>
          <w:highlight w:val="none"/>
        </w:rPr>
        <w:t>根据上述第15.1条规定，终止了全部或部分合同后，采购人可以依其认为适当的条件和方法购买类似未交的货物、服务或进行工程施工，供方应对采购人购买类似货物、服务或进行工程施工所超出的费用部分负责，并继续执行合同中未终止部分。</w:t>
      </w:r>
    </w:p>
    <w:p>
      <w:pPr>
        <w:pStyle w:val="29"/>
        <w:spacing w:line="500" w:lineRule="exact"/>
        <w:ind w:firstLine="0" w:firstLineChars="0"/>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16．破产终止合同</w:t>
      </w:r>
    </w:p>
    <w:p>
      <w:pPr>
        <w:pStyle w:val="29"/>
        <w:spacing w:line="500" w:lineRule="exact"/>
        <w:ind w:left="617" w:hanging="616" w:hangingChars="257"/>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16.1如果供</w:t>
      </w:r>
      <w:r>
        <w:rPr>
          <w:rFonts w:hint="eastAsia" w:ascii="仿宋" w:hAnsi="仿宋" w:eastAsia="仿宋" w:cs="仿宋"/>
          <w:sz w:val="24"/>
          <w:szCs w:val="24"/>
          <w:highlight w:val="none"/>
        </w:rPr>
        <w:t>方破产或无清偿能力时，采购人可在任何时候以书面形式通知供方终止合同而无须给供方补偿。终止该合同将不损害或影响采购人</w:t>
      </w:r>
      <w:r>
        <w:rPr>
          <w:rFonts w:hint="eastAsia" w:ascii="仿宋" w:hAnsi="仿宋" w:eastAsia="仿宋" w:cs="仿宋"/>
          <w:bCs/>
          <w:sz w:val="24"/>
          <w:szCs w:val="24"/>
          <w:highlight w:val="none"/>
        </w:rPr>
        <w:t>已经采取或将要采取的补救措施的权利。</w:t>
      </w:r>
    </w:p>
    <w:p>
      <w:pPr>
        <w:pStyle w:val="29"/>
        <w:spacing w:line="500" w:lineRule="exact"/>
        <w:ind w:firstLine="0" w:firstLineChars="0"/>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17．转让</w:t>
      </w:r>
    </w:p>
    <w:p>
      <w:pPr>
        <w:pStyle w:val="29"/>
        <w:spacing w:line="500" w:lineRule="exact"/>
        <w:ind w:left="617" w:hanging="616" w:hangingChars="257"/>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17.1除采</w:t>
      </w:r>
      <w:r>
        <w:rPr>
          <w:rFonts w:hint="eastAsia" w:ascii="仿宋" w:hAnsi="仿宋" w:eastAsia="仿宋" w:cs="仿宋"/>
          <w:sz w:val="24"/>
          <w:szCs w:val="24"/>
          <w:highlight w:val="none"/>
        </w:rPr>
        <w:t>购人事先书面同意外，供方不得部分转让或全部转让其应履行的合</w:t>
      </w:r>
      <w:r>
        <w:rPr>
          <w:rFonts w:hint="eastAsia" w:ascii="仿宋" w:hAnsi="仿宋" w:eastAsia="仿宋" w:cs="仿宋"/>
          <w:bCs/>
          <w:sz w:val="24"/>
          <w:szCs w:val="24"/>
          <w:highlight w:val="none"/>
        </w:rPr>
        <w:t>同义务。</w:t>
      </w:r>
    </w:p>
    <w:p>
      <w:pPr>
        <w:pStyle w:val="29"/>
        <w:spacing w:line="500" w:lineRule="exact"/>
        <w:ind w:firstLine="0" w:firstLineChars="0"/>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18．适用法律</w:t>
      </w:r>
    </w:p>
    <w:p>
      <w:pPr>
        <w:pStyle w:val="29"/>
        <w:spacing w:line="500" w:lineRule="exact"/>
        <w:ind w:firstLine="0" w:firstLineChars="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18.1本合同应按中华人民共和国的法律进行解释。</w:t>
      </w:r>
    </w:p>
    <w:p>
      <w:pPr>
        <w:pStyle w:val="29"/>
        <w:spacing w:line="500" w:lineRule="exact"/>
        <w:ind w:firstLine="0" w:firstLineChars="0"/>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19．合同生效</w:t>
      </w:r>
    </w:p>
    <w:p>
      <w:pPr>
        <w:pStyle w:val="29"/>
        <w:spacing w:line="500" w:lineRule="exact"/>
        <w:ind w:firstLine="0" w:firstLineChars="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19.1合同在双方授权代表签字并盖章后生效。</w:t>
      </w:r>
    </w:p>
    <w:p>
      <w:pPr>
        <w:pStyle w:val="29"/>
        <w:spacing w:line="500" w:lineRule="exact"/>
        <w:ind w:left="617" w:hanging="616" w:hangingChars="257"/>
        <w:jc w:val="left"/>
        <w:rPr>
          <w:rFonts w:hint="eastAsia" w:ascii="仿宋" w:hAnsi="仿宋" w:eastAsia="仿宋" w:cs="仿宋"/>
          <w:sz w:val="24"/>
          <w:szCs w:val="24"/>
          <w:highlight w:val="none"/>
        </w:rPr>
      </w:pPr>
      <w:r>
        <w:rPr>
          <w:rFonts w:hint="eastAsia" w:ascii="仿宋" w:hAnsi="仿宋" w:eastAsia="仿宋" w:cs="仿宋"/>
          <w:bCs/>
          <w:sz w:val="24"/>
          <w:szCs w:val="24"/>
          <w:highlight w:val="none"/>
        </w:rPr>
        <w:t>19.2本</w:t>
      </w:r>
      <w:r>
        <w:rPr>
          <w:rFonts w:hint="eastAsia" w:ascii="仿宋" w:hAnsi="仿宋" w:eastAsia="仿宋" w:cs="仿宋"/>
          <w:sz w:val="24"/>
          <w:szCs w:val="24"/>
          <w:highlight w:val="none"/>
        </w:rPr>
        <w:t>合同一式四份，以中文书写，采购人、供方、采购中心、政府采购监管部门各执一份。</w:t>
      </w:r>
    </w:p>
    <w:p>
      <w:pPr>
        <w:pStyle w:val="29"/>
        <w:spacing w:line="500" w:lineRule="exact"/>
        <w:ind w:firstLine="0" w:firstLineChars="0"/>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20.  争议解决方式</w:t>
      </w:r>
    </w:p>
    <w:p>
      <w:pPr>
        <w:pStyle w:val="29"/>
        <w:spacing w:line="500" w:lineRule="exact"/>
        <w:ind w:firstLine="0" w:firstLineChars="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20.1 合同</w:t>
      </w:r>
      <w:r>
        <w:rPr>
          <w:rFonts w:hint="eastAsia" w:ascii="仿宋" w:hAnsi="仿宋" w:eastAsia="仿宋" w:cs="仿宋"/>
          <w:sz w:val="24"/>
          <w:szCs w:val="24"/>
          <w:highlight w:val="none"/>
        </w:rPr>
        <w:t>实施或与合同有关的一切争议应通过双方协商解决。若协商不成，则向采购人所在地法院提起诉讼</w:t>
      </w:r>
      <w:r>
        <w:rPr>
          <w:rFonts w:hint="eastAsia" w:ascii="仿宋" w:hAnsi="仿宋" w:eastAsia="仿宋" w:cs="仿宋"/>
          <w:bCs/>
          <w:sz w:val="24"/>
          <w:szCs w:val="24"/>
          <w:highlight w:val="none"/>
        </w:rPr>
        <w:t>。</w:t>
      </w:r>
    </w:p>
    <w:p>
      <w:pPr>
        <w:pStyle w:val="29"/>
        <w:spacing w:line="500" w:lineRule="exact"/>
        <w:ind w:firstLine="0" w:firstLineChars="0"/>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21．合同修改</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Cs/>
          <w:sz w:val="24"/>
          <w:szCs w:val="24"/>
          <w:highlight w:val="none"/>
        </w:rPr>
        <w:t>21.1除双方</w:t>
      </w:r>
      <w:r>
        <w:rPr>
          <w:rFonts w:hint="eastAsia" w:ascii="仿宋" w:hAnsi="仿宋" w:eastAsia="仿宋" w:cs="仿宋"/>
          <w:sz w:val="24"/>
          <w:szCs w:val="24"/>
          <w:highlight w:val="none"/>
        </w:rPr>
        <w:t>签署书面修改协议，并成为本合同不可分割的一部分的情况之外，本合同不得有任何变化或修</w:t>
      </w:r>
      <w:r>
        <w:rPr>
          <w:rFonts w:hint="eastAsia" w:ascii="仿宋" w:hAnsi="仿宋" w:eastAsia="仿宋" w:cs="仿宋"/>
          <w:bCs/>
          <w:sz w:val="24"/>
          <w:szCs w:val="24"/>
          <w:highlight w:val="none"/>
        </w:rPr>
        <w:t>改。</w:t>
      </w:r>
      <w:bookmarkEnd w:id="25"/>
    </w:p>
    <w:p>
      <w:pPr>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br w:type="page"/>
      </w:r>
    </w:p>
    <w:p>
      <w:pPr>
        <w:pStyle w:val="3"/>
        <w:numPr>
          <w:ilvl w:val="0"/>
          <w:numId w:val="1"/>
        </w:numPr>
        <w:bidi w:val="0"/>
        <w:jc w:val="center"/>
        <w:rPr>
          <w:rFonts w:hint="eastAsia" w:ascii="仿宋" w:hAnsi="仿宋" w:eastAsia="仿宋" w:cs="仿宋"/>
          <w:sz w:val="32"/>
          <w:szCs w:val="32"/>
          <w:highlight w:val="none"/>
          <w:lang w:val="en-US" w:eastAsia="zh-CN"/>
        </w:rPr>
      </w:pPr>
      <w:bookmarkStart w:id="26" w:name="_Toc20159"/>
      <w:r>
        <w:rPr>
          <w:rFonts w:hint="eastAsia" w:ascii="仿宋" w:hAnsi="仿宋" w:eastAsia="仿宋" w:cs="仿宋"/>
          <w:sz w:val="32"/>
          <w:szCs w:val="32"/>
          <w:highlight w:val="none"/>
          <w:lang w:val="en-US" w:eastAsia="zh-CN"/>
        </w:rPr>
        <w:t>采购需求</w:t>
      </w:r>
      <w:bookmarkEnd w:id="26"/>
    </w:p>
    <w:p>
      <w:pPr>
        <w:pStyle w:val="2"/>
        <w:spacing w:line="360" w:lineRule="auto"/>
        <w:ind w:right="638" w:rightChars="304"/>
        <w:rPr>
          <w:rFonts w:hint="eastAsia" w:ascii="仿宋" w:hAnsi="仿宋" w:eastAsia="仿宋" w:cs="仿宋"/>
          <w:b/>
          <w:bCs/>
          <w:sz w:val="24"/>
          <w:highlight w:val="none"/>
        </w:rPr>
      </w:pPr>
      <w:r>
        <w:rPr>
          <w:rFonts w:hint="eastAsia" w:ascii="仿宋" w:hAnsi="仿宋" w:eastAsia="仿宋" w:cs="仿宋"/>
          <w:b/>
          <w:bCs/>
          <w:sz w:val="24"/>
          <w:highlight w:val="none"/>
        </w:rPr>
        <w:t>一、采购需实现的目标，以及为落实政府采购政策需满足的要求：</w:t>
      </w:r>
    </w:p>
    <w:p>
      <w:pPr>
        <w:pStyle w:val="2"/>
        <w:spacing w:line="360" w:lineRule="auto"/>
        <w:ind w:right="638" w:rightChars="304"/>
        <w:rPr>
          <w:rFonts w:hint="eastAsia" w:ascii="仿宋" w:hAnsi="仿宋" w:eastAsia="仿宋" w:cs="仿宋"/>
          <w:b/>
          <w:bCs/>
          <w:sz w:val="24"/>
          <w:highlight w:val="none"/>
        </w:rPr>
      </w:pPr>
      <w:r>
        <w:rPr>
          <w:rFonts w:hint="eastAsia" w:ascii="仿宋" w:hAnsi="仿宋" w:eastAsia="仿宋" w:cs="仿宋"/>
          <w:b/>
          <w:bCs/>
          <w:sz w:val="24"/>
          <w:highlight w:val="none"/>
        </w:rPr>
        <w:t xml:space="preserve">1、采购需实现的目标 </w:t>
      </w:r>
    </w:p>
    <w:p>
      <w:pPr>
        <w:pStyle w:val="2"/>
        <w:spacing w:line="360" w:lineRule="auto"/>
        <w:ind w:right="638" w:rightChars="304" w:firstLine="480" w:firstLineChars="200"/>
        <w:rPr>
          <w:rFonts w:hint="eastAsia" w:ascii="仿宋" w:hAnsi="仿宋" w:eastAsia="仿宋" w:cs="仿宋"/>
          <w:sz w:val="24"/>
          <w:highlight w:val="none"/>
        </w:rPr>
      </w:pPr>
      <w:r>
        <w:rPr>
          <w:rFonts w:hint="eastAsia" w:ascii="仿宋" w:hAnsi="仿宋" w:eastAsia="仿宋" w:cs="仿宋"/>
          <w:sz w:val="24"/>
          <w:highlight w:val="none"/>
        </w:rPr>
        <w:t>供应商应根据</w:t>
      </w:r>
      <w:r>
        <w:rPr>
          <w:rFonts w:hint="eastAsia" w:ascii="仿宋" w:hAnsi="仿宋" w:eastAsia="仿宋" w:cs="仿宋"/>
          <w:sz w:val="24"/>
          <w:highlight w:val="none"/>
          <w:lang w:val="en-US"/>
        </w:rPr>
        <w:t>磋商</w:t>
      </w:r>
      <w:r>
        <w:rPr>
          <w:rFonts w:hint="eastAsia" w:ascii="仿宋" w:hAnsi="仿宋" w:eastAsia="仿宋" w:cs="仿宋"/>
          <w:sz w:val="24"/>
          <w:highlight w:val="none"/>
        </w:rPr>
        <w:t>文件所提出的技术和服务要求，综合考虑。供应商应以优良的服务和优惠的价格，充分显示自己的竞争实力。</w:t>
      </w:r>
    </w:p>
    <w:p>
      <w:pPr>
        <w:pStyle w:val="2"/>
        <w:spacing w:line="360" w:lineRule="auto"/>
        <w:ind w:right="638" w:rightChars="304"/>
        <w:rPr>
          <w:rFonts w:hint="eastAsia" w:ascii="仿宋" w:hAnsi="仿宋" w:eastAsia="仿宋" w:cs="仿宋"/>
          <w:b/>
          <w:bCs/>
          <w:sz w:val="24"/>
          <w:highlight w:val="none"/>
        </w:rPr>
      </w:pPr>
      <w:r>
        <w:rPr>
          <w:rFonts w:hint="eastAsia" w:ascii="仿宋" w:hAnsi="仿宋" w:eastAsia="仿宋" w:cs="仿宋"/>
          <w:b/>
          <w:bCs/>
          <w:sz w:val="24"/>
          <w:highlight w:val="none"/>
        </w:rPr>
        <w:t>2、为落实政府采购政策需满足的要求</w:t>
      </w:r>
    </w:p>
    <w:p>
      <w:pPr>
        <w:pStyle w:val="2"/>
        <w:spacing w:line="360" w:lineRule="auto"/>
        <w:ind w:right="638" w:rightChars="304"/>
        <w:rPr>
          <w:rFonts w:hint="eastAsia" w:ascii="仿宋" w:hAnsi="仿宋" w:eastAsia="仿宋" w:cs="仿宋"/>
          <w:sz w:val="24"/>
          <w:highlight w:val="none"/>
        </w:rPr>
      </w:pPr>
      <w:r>
        <w:rPr>
          <w:rFonts w:hint="eastAsia" w:ascii="仿宋" w:hAnsi="仿宋" w:eastAsia="仿宋" w:cs="仿宋"/>
          <w:b/>
          <w:bCs/>
          <w:sz w:val="24"/>
          <w:highlight w:val="none"/>
        </w:rPr>
        <w:t>2.1 促进中小企业发展政策：</w:t>
      </w:r>
      <w:r>
        <w:rPr>
          <w:rFonts w:hint="eastAsia" w:ascii="仿宋" w:hAnsi="仿宋" w:eastAsia="仿宋" w:cs="仿宋"/>
          <w:sz w:val="24"/>
          <w:highlight w:val="none"/>
        </w:rPr>
        <w:t>根据</w:t>
      </w:r>
      <w:r>
        <w:rPr>
          <w:rFonts w:hint="eastAsia" w:ascii="仿宋" w:hAnsi="仿宋" w:eastAsia="仿宋" w:cs="仿宋"/>
          <w:sz w:val="24"/>
          <w:highlight w:val="none"/>
          <w:lang w:val="en-US"/>
        </w:rPr>
        <w:t>《政府采购促进中小企业发展管理办法》（财库﹝2020﹞46 号）</w:t>
      </w:r>
      <w:r>
        <w:rPr>
          <w:rFonts w:hint="eastAsia" w:ascii="仿宋" w:hAnsi="仿宋" w:eastAsia="仿宋" w:cs="仿宋"/>
          <w:sz w:val="24"/>
          <w:highlight w:val="none"/>
        </w:rPr>
        <w:t>文件规定，本项目供应商所投产品为小型或微型企业生产的，供应商应出具</w:t>
      </w:r>
      <w:r>
        <w:rPr>
          <w:rFonts w:hint="eastAsia" w:ascii="仿宋" w:hAnsi="仿宋" w:eastAsia="仿宋" w:cs="仿宋"/>
          <w:sz w:val="24"/>
          <w:highlight w:val="none"/>
          <w:lang w:val="en-US"/>
        </w:rPr>
        <w:t>《政府采购促进中小企业发展管理办法》（财库﹝2020﹞46 号）</w:t>
      </w:r>
      <w:r>
        <w:rPr>
          <w:rFonts w:hint="eastAsia" w:ascii="仿宋" w:hAnsi="仿宋" w:eastAsia="仿宋" w:cs="仿宋"/>
          <w:sz w:val="24"/>
          <w:highlight w:val="none"/>
        </w:rPr>
        <w:t>文件要求的《中小企业声明函》给予证明，否则评标时不予认可。供应商应对提交的中小企业声明函的真实性负责，提交的中小企业声明函不真实的，应承担相应的法律责任。中标、成交供应商为小型或微型企业的，采购代理机构将随中标结果同时公告其《中小企业声明函》，接受社会监督。</w:t>
      </w:r>
    </w:p>
    <w:p>
      <w:pPr>
        <w:pStyle w:val="2"/>
        <w:spacing w:line="360" w:lineRule="auto"/>
        <w:ind w:right="638" w:rightChars="304"/>
        <w:rPr>
          <w:rFonts w:hint="eastAsia" w:ascii="仿宋" w:hAnsi="仿宋" w:eastAsia="仿宋" w:cs="仿宋"/>
          <w:sz w:val="24"/>
          <w:highlight w:val="none"/>
        </w:rPr>
      </w:pPr>
      <w:r>
        <w:rPr>
          <w:rFonts w:hint="eastAsia" w:ascii="仿宋" w:hAnsi="仿宋" w:eastAsia="仿宋" w:cs="仿宋"/>
          <w:b/>
          <w:bCs/>
          <w:sz w:val="24"/>
          <w:highlight w:val="none"/>
        </w:rPr>
        <w:t>2.2 监狱企业扶持政策：</w:t>
      </w:r>
      <w:r>
        <w:rPr>
          <w:rFonts w:hint="eastAsia" w:ascii="仿宋" w:hAnsi="仿宋" w:eastAsia="仿宋" w:cs="仿宋"/>
          <w:sz w:val="24"/>
          <w:highlight w:val="none"/>
        </w:rPr>
        <w:t>供应商如为监狱企业将视同为小型或微型企业，且所投产品为监狱企业生产的，应提供由省级以上监狱管理局、戒毒管理局（含新疆生产建设兵团）出具的属于监狱企业的证明文件。供应商应对提交的属于监狱企业的证明文件的真实性负责，提交的监狱企业的证明文件不真实的，应承担相应的法律责任。</w:t>
      </w:r>
    </w:p>
    <w:p>
      <w:pPr>
        <w:pStyle w:val="2"/>
        <w:spacing w:line="360" w:lineRule="auto"/>
        <w:ind w:right="638" w:rightChars="304"/>
        <w:rPr>
          <w:rFonts w:hint="eastAsia" w:ascii="仿宋" w:hAnsi="仿宋" w:eastAsia="仿宋" w:cs="仿宋"/>
          <w:sz w:val="24"/>
          <w:highlight w:val="none"/>
        </w:rPr>
      </w:pPr>
      <w:r>
        <w:rPr>
          <w:rFonts w:hint="eastAsia" w:ascii="仿宋" w:hAnsi="仿宋" w:eastAsia="仿宋" w:cs="仿宋"/>
          <w:b/>
          <w:bCs/>
          <w:sz w:val="24"/>
          <w:highlight w:val="none"/>
        </w:rPr>
        <w:t>2.3 促进残疾人就业政府采购政策：</w:t>
      </w:r>
      <w:r>
        <w:rPr>
          <w:rFonts w:hint="eastAsia" w:ascii="仿宋" w:hAnsi="仿宋" w:eastAsia="仿宋" w:cs="仿宋"/>
          <w:sz w:val="24"/>
          <w:highlight w:val="none"/>
        </w:rPr>
        <w:t>根据《三部门联合发布关于促进残疾人就业政府采购政策的通知》（财库〔2017〕141 号）规定，符合条件的残疾人福利性单位在参加本项目政府采购活动时，供应商应出具《三部门联合发布关于促进残疾人就业政府采购政策的通知》（财库〔2017〕141 号）要求的《残疾人福利性单位声明函》，否则评标时不予认可，供应商应对提交的残疾人福利性单位声明函的真实性承担法律责任。中标、成交供应商为残疾人福利性单位的，采购代理机构将随中标结果同时公告其《残疾人福利性单位声明函》，接受社会监督。残疾人福利性单位视同小型、微型企业。</w:t>
      </w:r>
    </w:p>
    <w:p>
      <w:pPr>
        <w:pStyle w:val="2"/>
        <w:spacing w:line="360" w:lineRule="auto"/>
        <w:ind w:right="638" w:rightChars="304"/>
        <w:rPr>
          <w:rFonts w:hint="eastAsia" w:ascii="仿宋" w:hAnsi="仿宋" w:eastAsia="仿宋" w:cs="仿宋"/>
          <w:sz w:val="24"/>
          <w:highlight w:val="none"/>
        </w:rPr>
      </w:pPr>
      <w:r>
        <w:rPr>
          <w:rFonts w:hint="eastAsia" w:ascii="仿宋" w:hAnsi="仿宋" w:eastAsia="仿宋" w:cs="仿宋"/>
          <w:b/>
          <w:bCs/>
          <w:sz w:val="24"/>
          <w:highlight w:val="none"/>
        </w:rPr>
        <w:t>2.4 鼓励节能政策：</w:t>
      </w:r>
      <w:r>
        <w:rPr>
          <w:rFonts w:hint="eastAsia" w:ascii="仿宋" w:hAnsi="仿宋" w:eastAsia="仿宋" w:cs="仿宋"/>
          <w:sz w:val="24"/>
          <w:highlight w:val="none"/>
        </w:rPr>
        <w:t>供应商的投标产品属于财政部、发展改革委公布的“节能产品政府采购品目清单”范围的，供应商需提供国家确定的认证机构出具的、处于有效期之内的节能产品认证证书。国家确定的认证机构和节能产品获证产品信息可从市场监管总局组建的节能产品、环境标志产品认证结果信息发布平台或中国政府采购网建立的认证结果信息发布平台链接中查询下载。</w:t>
      </w:r>
    </w:p>
    <w:p>
      <w:pPr>
        <w:pStyle w:val="2"/>
        <w:spacing w:line="360" w:lineRule="auto"/>
        <w:ind w:right="638" w:rightChars="304"/>
        <w:rPr>
          <w:rFonts w:hint="eastAsia" w:ascii="仿宋" w:hAnsi="仿宋" w:eastAsia="仿宋" w:cs="仿宋"/>
          <w:sz w:val="24"/>
          <w:highlight w:val="none"/>
        </w:rPr>
      </w:pPr>
      <w:r>
        <w:rPr>
          <w:rFonts w:hint="eastAsia" w:ascii="仿宋" w:hAnsi="仿宋" w:eastAsia="仿宋" w:cs="仿宋"/>
          <w:b/>
          <w:bCs/>
          <w:sz w:val="24"/>
          <w:highlight w:val="none"/>
        </w:rPr>
        <w:t>2.5 鼓励环保政策：</w:t>
      </w:r>
      <w:r>
        <w:rPr>
          <w:rFonts w:hint="eastAsia" w:ascii="仿宋" w:hAnsi="仿宋" w:eastAsia="仿宋" w:cs="仿宋"/>
          <w:sz w:val="24"/>
          <w:highlight w:val="none"/>
        </w:rPr>
        <w:t>供应商的投标产品属于财政部、生态环境部公布的“环境标志产品政府采购品目清单”范围的，供应商需提供国家确定的认证机构出具的、处于有效期之内的环境标志产品认证证书。国家确定的认证机构和环境标志产品获证产品信息可从市场监管总局组建的节能产品、环境标志产品认证结果信息发布平台或中国政府采购网建立的认证结果信息发布平台链接中查询下载。</w:t>
      </w:r>
    </w:p>
    <w:p>
      <w:pPr>
        <w:pStyle w:val="2"/>
        <w:spacing w:line="360" w:lineRule="auto"/>
        <w:ind w:right="638" w:rightChars="304"/>
        <w:rPr>
          <w:rFonts w:hint="eastAsia" w:ascii="仿宋" w:hAnsi="仿宋" w:eastAsia="仿宋" w:cs="仿宋"/>
          <w:sz w:val="24"/>
          <w:highlight w:val="none"/>
        </w:rPr>
      </w:pPr>
      <w:r>
        <w:rPr>
          <w:rFonts w:hint="eastAsia" w:ascii="仿宋" w:hAnsi="仿宋" w:eastAsia="仿宋" w:cs="仿宋"/>
          <w:b/>
          <w:bCs/>
          <w:sz w:val="24"/>
          <w:highlight w:val="none"/>
          <w:lang w:val="en-US"/>
        </w:rPr>
        <w:t>2.6 政府采购包装政策：</w:t>
      </w:r>
      <w:r>
        <w:rPr>
          <w:rFonts w:hint="eastAsia" w:ascii="仿宋" w:hAnsi="仿宋" w:eastAsia="仿宋" w:cs="仿宋"/>
          <w:sz w:val="24"/>
          <w:highlight w:val="none"/>
          <w:lang w:val="en-US"/>
        </w:rPr>
        <w:t>本项目中如涉及商品包装和快递包装的，其包装需求标准应不低于《关于印发&lt;商品包装政府采购需求标准（试行）&gt;、&lt;快递包装政府采购需求标准（试行）&gt;的通知》（财办库〔2020〕123 号）规定的包装要求，采购人、中标/成交人双方签订合同及验收环节，应按上述包装要求执行。</w:t>
      </w:r>
    </w:p>
    <w:p>
      <w:pPr>
        <w:spacing w:line="360" w:lineRule="auto"/>
        <w:rPr>
          <w:rFonts w:hint="eastAsia" w:ascii="仿宋" w:hAnsi="仿宋" w:eastAsia="仿宋" w:cs="仿宋"/>
          <w:kern w:val="2"/>
          <w:sz w:val="24"/>
          <w:szCs w:val="18"/>
          <w:highlight w:val="none"/>
          <w:lang w:val="en-US" w:eastAsia="zh-CN" w:bidi="ar-SA"/>
        </w:rPr>
      </w:pPr>
      <w:r>
        <w:rPr>
          <w:rFonts w:hint="eastAsia" w:ascii="仿宋" w:hAnsi="仿宋" w:eastAsia="仿宋" w:cs="仿宋"/>
          <w:b/>
          <w:bCs/>
          <w:kern w:val="2"/>
          <w:sz w:val="24"/>
          <w:szCs w:val="18"/>
          <w:highlight w:val="none"/>
          <w:lang w:val="en-US" w:eastAsia="zh-CN" w:bidi="ar-SA"/>
        </w:rPr>
        <w:t>二、采购标的需执行的国家相关标准、行业标准、地方标准或者其他标准、规范：</w:t>
      </w:r>
    </w:p>
    <w:p>
      <w:pPr>
        <w:spacing w:line="360" w:lineRule="auto"/>
        <w:rPr>
          <w:rFonts w:hint="eastAsia" w:ascii="仿宋" w:hAnsi="仿宋" w:eastAsia="仿宋" w:cs="仿宋"/>
          <w:kern w:val="2"/>
          <w:sz w:val="24"/>
          <w:szCs w:val="18"/>
          <w:highlight w:val="none"/>
          <w:lang w:val="en-US" w:eastAsia="zh-CN" w:bidi="ar-SA"/>
        </w:rPr>
      </w:pPr>
      <w:r>
        <w:rPr>
          <w:rFonts w:hint="eastAsia" w:ascii="仿宋" w:hAnsi="仿宋" w:eastAsia="仿宋" w:cs="仿宋"/>
          <w:kern w:val="2"/>
          <w:sz w:val="24"/>
          <w:szCs w:val="18"/>
          <w:highlight w:val="none"/>
          <w:lang w:val="en-US" w:eastAsia="zh-CN" w:bidi="ar-SA"/>
        </w:rPr>
        <w:t>投标货物及服务应符合国家有关部门规定的相应技术法规及标准，如国家有关部门对投标货物及服务有强制性规定或要求的，投标货物及服务必须符合相应规定或要求。</w:t>
      </w:r>
    </w:p>
    <w:p>
      <w:pPr>
        <w:pStyle w:val="2"/>
        <w:spacing w:line="360" w:lineRule="auto"/>
        <w:ind w:right="638" w:rightChars="304"/>
        <w:rPr>
          <w:rFonts w:hint="eastAsia" w:ascii="仿宋" w:hAnsi="仿宋" w:eastAsia="仿宋" w:cs="仿宋"/>
          <w:b/>
          <w:bCs/>
          <w:sz w:val="24"/>
          <w:highlight w:val="none"/>
        </w:rPr>
      </w:pPr>
      <w:r>
        <w:rPr>
          <w:rFonts w:hint="eastAsia" w:ascii="仿宋" w:hAnsi="仿宋" w:eastAsia="仿宋" w:cs="仿宋"/>
          <w:b/>
          <w:bCs/>
          <w:sz w:val="24"/>
          <w:highlight w:val="none"/>
        </w:rPr>
        <w:t>三、</w:t>
      </w:r>
      <w:r>
        <w:rPr>
          <w:rFonts w:hint="eastAsia" w:ascii="仿宋" w:hAnsi="仿宋" w:eastAsia="仿宋" w:cs="仿宋"/>
          <w:b/>
          <w:bCs/>
          <w:sz w:val="24"/>
          <w:highlight w:val="none"/>
          <w:lang w:val="en-US" w:eastAsia="zh-CN"/>
        </w:rPr>
        <w:t>物资清单及质量标准</w:t>
      </w:r>
      <w:r>
        <w:rPr>
          <w:rFonts w:hint="eastAsia" w:ascii="仿宋" w:hAnsi="仿宋" w:eastAsia="仿宋" w:cs="仿宋"/>
          <w:b/>
          <w:bCs/>
          <w:sz w:val="24"/>
          <w:highlight w:val="none"/>
        </w:rPr>
        <w:t>：</w:t>
      </w:r>
    </w:p>
    <w:p>
      <w:pPr>
        <w:spacing w:line="540" w:lineRule="exact"/>
        <w:ind w:right="560"/>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 xml:space="preserve"> 禽蛋类物资购货单汇总表（参考值）</w:t>
      </w:r>
    </w:p>
    <w:tbl>
      <w:tblPr>
        <w:tblStyle w:val="19"/>
        <w:tblW w:w="0" w:type="auto"/>
        <w:tblInd w:w="-254" w:type="dxa"/>
        <w:tblLayout w:type="fixed"/>
        <w:tblCellMar>
          <w:top w:w="0" w:type="dxa"/>
          <w:left w:w="30" w:type="dxa"/>
          <w:bottom w:w="0" w:type="dxa"/>
          <w:right w:w="30" w:type="dxa"/>
        </w:tblCellMar>
      </w:tblPr>
      <w:tblGrid>
        <w:gridCol w:w="669"/>
        <w:gridCol w:w="1639"/>
        <w:gridCol w:w="1546"/>
        <w:gridCol w:w="842"/>
        <w:gridCol w:w="1684"/>
        <w:gridCol w:w="1418"/>
      </w:tblGrid>
      <w:tr>
        <w:tblPrEx>
          <w:tblCellMar>
            <w:top w:w="0" w:type="dxa"/>
            <w:left w:w="30" w:type="dxa"/>
            <w:bottom w:w="0" w:type="dxa"/>
            <w:right w:w="30" w:type="dxa"/>
          </w:tblCellMar>
        </w:tblPrEx>
        <w:trPr>
          <w:trHeight w:val="247" w:hRule="atLeast"/>
        </w:trPr>
        <w:tc>
          <w:tcPr>
            <w:tcW w:w="669"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序号</w:t>
            </w:r>
          </w:p>
        </w:tc>
        <w:tc>
          <w:tcPr>
            <w:tcW w:w="1639"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商品名称</w:t>
            </w:r>
          </w:p>
        </w:tc>
        <w:tc>
          <w:tcPr>
            <w:tcW w:w="1546"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单位</w:t>
            </w:r>
          </w:p>
        </w:tc>
        <w:tc>
          <w:tcPr>
            <w:tcW w:w="842"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数量</w:t>
            </w:r>
          </w:p>
        </w:tc>
        <w:tc>
          <w:tcPr>
            <w:tcW w:w="1684"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jc w:val="center"/>
              <w:rPr>
                <w:rFonts w:hint="eastAsia" w:ascii="仿宋" w:hAnsi="仿宋" w:eastAsia="仿宋" w:cs="仿宋"/>
                <w:color w:val="000000"/>
                <w:kern w:val="0"/>
                <w:sz w:val="20"/>
                <w:szCs w:val="20"/>
                <w:highlight w:val="none"/>
                <w:lang w:eastAsia="zh-CN"/>
              </w:rPr>
            </w:pPr>
            <w:r>
              <w:rPr>
                <w:rFonts w:hint="eastAsia" w:ascii="仿宋" w:hAnsi="仿宋" w:eastAsia="仿宋" w:cs="仿宋"/>
                <w:color w:val="000000"/>
                <w:kern w:val="0"/>
                <w:sz w:val="20"/>
                <w:szCs w:val="20"/>
                <w:highlight w:val="none"/>
                <w:lang w:val="en-US" w:eastAsia="zh-CN"/>
              </w:rPr>
              <w:t>最高限价</w:t>
            </w:r>
            <w:r>
              <w:rPr>
                <w:rFonts w:hint="eastAsia" w:ascii="仿宋" w:hAnsi="仿宋" w:eastAsia="仿宋" w:cs="仿宋"/>
                <w:color w:val="000000"/>
                <w:kern w:val="0"/>
                <w:sz w:val="20"/>
                <w:szCs w:val="20"/>
                <w:highlight w:val="none"/>
              </w:rPr>
              <w:t>单价</w:t>
            </w:r>
            <w:r>
              <w:rPr>
                <w:rFonts w:hint="eastAsia" w:ascii="仿宋" w:hAnsi="仿宋" w:eastAsia="仿宋" w:cs="仿宋"/>
                <w:color w:val="000000"/>
                <w:kern w:val="0"/>
                <w:sz w:val="20"/>
                <w:szCs w:val="20"/>
                <w:highlight w:val="none"/>
                <w:lang w:eastAsia="zh-CN"/>
              </w:rPr>
              <w:t>（</w:t>
            </w:r>
            <w:r>
              <w:rPr>
                <w:rFonts w:hint="eastAsia" w:ascii="仿宋" w:hAnsi="仿宋" w:eastAsia="仿宋" w:cs="仿宋"/>
                <w:color w:val="000000"/>
                <w:kern w:val="0"/>
                <w:sz w:val="20"/>
                <w:szCs w:val="20"/>
                <w:highlight w:val="none"/>
                <w:lang w:val="en-US" w:eastAsia="zh-CN"/>
              </w:rPr>
              <w:t>元</w:t>
            </w:r>
            <w:r>
              <w:rPr>
                <w:rFonts w:hint="eastAsia" w:ascii="仿宋" w:hAnsi="仿宋" w:eastAsia="仿宋" w:cs="仿宋"/>
                <w:color w:val="000000"/>
                <w:kern w:val="0"/>
                <w:sz w:val="20"/>
                <w:szCs w:val="20"/>
                <w:highlight w:val="none"/>
                <w:lang w:eastAsia="zh-CN"/>
              </w:rPr>
              <w:t>）</w:t>
            </w:r>
          </w:p>
        </w:tc>
        <w:tc>
          <w:tcPr>
            <w:tcW w:w="141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备注</w:t>
            </w:r>
          </w:p>
        </w:tc>
      </w:tr>
      <w:tr>
        <w:tblPrEx>
          <w:tblCellMar>
            <w:top w:w="0" w:type="dxa"/>
            <w:left w:w="30" w:type="dxa"/>
            <w:bottom w:w="0" w:type="dxa"/>
            <w:right w:w="30" w:type="dxa"/>
          </w:tblCellMar>
        </w:tblPrEx>
        <w:trPr>
          <w:trHeight w:val="247" w:hRule="atLeast"/>
        </w:trPr>
        <w:tc>
          <w:tcPr>
            <w:tcW w:w="669"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1</w:t>
            </w:r>
          </w:p>
        </w:tc>
        <w:tc>
          <w:tcPr>
            <w:tcW w:w="1639"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鸡蛋</w:t>
            </w:r>
          </w:p>
        </w:tc>
        <w:tc>
          <w:tcPr>
            <w:tcW w:w="1546"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公斤</w:t>
            </w:r>
          </w:p>
        </w:tc>
        <w:tc>
          <w:tcPr>
            <w:tcW w:w="842"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jc w:val="center"/>
              <w:rPr>
                <w:rFonts w:hint="eastAsia" w:ascii="仿宋" w:hAnsi="仿宋" w:eastAsia="仿宋" w:cs="仿宋"/>
                <w:color w:val="000000"/>
                <w:kern w:val="0"/>
                <w:sz w:val="20"/>
                <w:szCs w:val="20"/>
                <w:highlight w:val="none"/>
                <w:lang w:val="en-US"/>
              </w:rPr>
            </w:pPr>
            <w:r>
              <w:rPr>
                <w:rFonts w:hint="eastAsia" w:ascii="仿宋" w:hAnsi="仿宋" w:eastAsia="仿宋" w:cs="仿宋"/>
                <w:color w:val="000000"/>
                <w:kern w:val="0"/>
                <w:sz w:val="20"/>
                <w:szCs w:val="20"/>
                <w:highlight w:val="none"/>
                <w:lang w:val="en-US"/>
              </w:rPr>
              <w:t xml:space="preserve"> </w:t>
            </w:r>
          </w:p>
        </w:tc>
        <w:tc>
          <w:tcPr>
            <w:tcW w:w="1684"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jc w:val="center"/>
              <w:rPr>
                <w:rFonts w:hint="eastAsia" w:ascii="仿宋" w:hAnsi="仿宋" w:eastAsia="仿宋" w:cs="仿宋"/>
                <w:color w:val="000000"/>
                <w:kern w:val="0"/>
                <w:sz w:val="20"/>
                <w:szCs w:val="20"/>
                <w:highlight w:val="none"/>
                <w:lang w:val="en-US"/>
              </w:rPr>
            </w:pPr>
            <w:r>
              <w:rPr>
                <w:rFonts w:hint="eastAsia" w:ascii="仿宋" w:hAnsi="仿宋" w:eastAsia="仿宋" w:cs="仿宋"/>
                <w:color w:val="000000"/>
                <w:kern w:val="0"/>
                <w:sz w:val="20"/>
                <w:szCs w:val="20"/>
                <w:highlight w:val="none"/>
                <w:lang w:val="en-US"/>
              </w:rPr>
              <w:t>鸡蛋参照北园春市场中间价报下浮率不低于3%（有效报价区间为：3.00%≤投标下浮率＜100.00%）</w:t>
            </w:r>
          </w:p>
        </w:tc>
        <w:tc>
          <w:tcPr>
            <w:tcW w:w="141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招标折扣率</w:t>
            </w:r>
          </w:p>
        </w:tc>
      </w:tr>
      <w:tr>
        <w:tblPrEx>
          <w:tblCellMar>
            <w:top w:w="0" w:type="dxa"/>
            <w:left w:w="30" w:type="dxa"/>
            <w:bottom w:w="0" w:type="dxa"/>
            <w:right w:w="30" w:type="dxa"/>
          </w:tblCellMar>
        </w:tblPrEx>
        <w:trPr>
          <w:trHeight w:val="247" w:hRule="atLeast"/>
        </w:trPr>
        <w:tc>
          <w:tcPr>
            <w:tcW w:w="669"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2</w:t>
            </w:r>
          </w:p>
        </w:tc>
        <w:tc>
          <w:tcPr>
            <w:tcW w:w="1639"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鹌鹑蛋（熟）</w:t>
            </w:r>
          </w:p>
        </w:tc>
        <w:tc>
          <w:tcPr>
            <w:tcW w:w="1546"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公斤</w:t>
            </w:r>
          </w:p>
        </w:tc>
        <w:tc>
          <w:tcPr>
            <w:tcW w:w="842"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jc w:val="center"/>
              <w:rPr>
                <w:rFonts w:hint="eastAsia" w:ascii="仿宋" w:hAnsi="仿宋" w:eastAsia="仿宋" w:cs="仿宋"/>
                <w:color w:val="000000"/>
                <w:kern w:val="0"/>
                <w:sz w:val="20"/>
                <w:szCs w:val="20"/>
                <w:highlight w:val="none"/>
                <w:lang w:val="en-US"/>
              </w:rPr>
            </w:pPr>
            <w:r>
              <w:rPr>
                <w:rFonts w:hint="eastAsia" w:ascii="仿宋" w:hAnsi="仿宋" w:eastAsia="仿宋" w:cs="仿宋"/>
                <w:color w:val="000000"/>
                <w:kern w:val="0"/>
                <w:sz w:val="20"/>
                <w:szCs w:val="20"/>
                <w:highlight w:val="none"/>
                <w:lang w:val="en-US"/>
              </w:rPr>
              <w:t xml:space="preserve"> 5000</w:t>
            </w:r>
          </w:p>
        </w:tc>
        <w:tc>
          <w:tcPr>
            <w:tcW w:w="1684"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jc w:val="center"/>
              <w:rPr>
                <w:rFonts w:hint="eastAsia" w:ascii="仿宋" w:hAnsi="仿宋" w:eastAsia="仿宋" w:cs="仿宋"/>
                <w:color w:val="000000"/>
                <w:kern w:val="0"/>
                <w:sz w:val="20"/>
                <w:szCs w:val="20"/>
                <w:highlight w:val="none"/>
                <w:lang w:val="en-US"/>
              </w:rPr>
            </w:pPr>
            <w:r>
              <w:rPr>
                <w:rFonts w:hint="eastAsia" w:ascii="仿宋" w:hAnsi="仿宋" w:eastAsia="仿宋" w:cs="仿宋"/>
                <w:color w:val="000000"/>
                <w:kern w:val="0"/>
                <w:sz w:val="20"/>
                <w:szCs w:val="20"/>
                <w:highlight w:val="none"/>
                <w:lang w:val="en-US"/>
              </w:rPr>
              <w:t>20</w:t>
            </w:r>
          </w:p>
        </w:tc>
        <w:tc>
          <w:tcPr>
            <w:tcW w:w="141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招标单价</w:t>
            </w:r>
          </w:p>
        </w:tc>
      </w:tr>
      <w:tr>
        <w:tblPrEx>
          <w:tblCellMar>
            <w:top w:w="0" w:type="dxa"/>
            <w:left w:w="30" w:type="dxa"/>
            <w:bottom w:w="0" w:type="dxa"/>
            <w:right w:w="30" w:type="dxa"/>
          </w:tblCellMar>
        </w:tblPrEx>
        <w:trPr>
          <w:trHeight w:val="247" w:hRule="atLeast"/>
        </w:trPr>
        <w:tc>
          <w:tcPr>
            <w:tcW w:w="669"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合计</w:t>
            </w:r>
          </w:p>
        </w:tc>
        <w:tc>
          <w:tcPr>
            <w:tcW w:w="1639"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jc w:val="center"/>
              <w:rPr>
                <w:rFonts w:hint="eastAsia" w:ascii="仿宋" w:hAnsi="仿宋" w:eastAsia="仿宋" w:cs="仿宋"/>
                <w:color w:val="000000"/>
                <w:kern w:val="0"/>
                <w:sz w:val="20"/>
                <w:szCs w:val="20"/>
                <w:highlight w:val="none"/>
              </w:rPr>
            </w:pPr>
          </w:p>
        </w:tc>
        <w:tc>
          <w:tcPr>
            <w:tcW w:w="1546"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jc w:val="center"/>
              <w:rPr>
                <w:rFonts w:hint="eastAsia" w:ascii="仿宋" w:hAnsi="仿宋" w:eastAsia="仿宋" w:cs="仿宋"/>
                <w:color w:val="000000"/>
                <w:kern w:val="0"/>
                <w:sz w:val="20"/>
                <w:szCs w:val="20"/>
                <w:highlight w:val="none"/>
              </w:rPr>
            </w:pPr>
          </w:p>
        </w:tc>
        <w:tc>
          <w:tcPr>
            <w:tcW w:w="842"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jc w:val="center"/>
              <w:rPr>
                <w:rFonts w:hint="eastAsia" w:ascii="仿宋" w:hAnsi="仿宋" w:eastAsia="仿宋" w:cs="仿宋"/>
                <w:color w:val="000000"/>
                <w:kern w:val="0"/>
                <w:sz w:val="20"/>
                <w:szCs w:val="20"/>
                <w:highlight w:val="none"/>
              </w:rPr>
            </w:pPr>
          </w:p>
        </w:tc>
        <w:tc>
          <w:tcPr>
            <w:tcW w:w="1684"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jc w:val="center"/>
              <w:rPr>
                <w:rFonts w:hint="eastAsia" w:ascii="仿宋" w:hAnsi="仿宋" w:eastAsia="仿宋" w:cs="仿宋"/>
                <w:color w:val="000000"/>
                <w:kern w:val="0"/>
                <w:sz w:val="20"/>
                <w:szCs w:val="20"/>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jc w:val="center"/>
              <w:rPr>
                <w:rFonts w:hint="eastAsia" w:ascii="仿宋" w:hAnsi="仿宋" w:eastAsia="仿宋" w:cs="仿宋"/>
                <w:color w:val="000000"/>
                <w:kern w:val="0"/>
                <w:sz w:val="20"/>
                <w:szCs w:val="20"/>
                <w:highlight w:val="none"/>
              </w:rPr>
            </w:pPr>
          </w:p>
        </w:tc>
      </w:tr>
    </w:tbl>
    <w:p>
      <w:pPr>
        <w:spacing w:line="360" w:lineRule="auto"/>
        <w:rPr>
          <w:rFonts w:hint="eastAsia" w:ascii="仿宋" w:hAnsi="仿宋" w:eastAsia="仿宋" w:cs="仿宋"/>
          <w:b w:val="0"/>
          <w:bCs w:val="0"/>
          <w:sz w:val="24"/>
          <w:szCs w:val="24"/>
          <w:highlight w:val="none"/>
          <w:lang w:val="en-US" w:eastAsia="zh-CN"/>
        </w:rPr>
      </w:pPr>
    </w:p>
    <w:p>
      <w:pPr>
        <w:jc w:val="center"/>
        <w:rPr>
          <w:rFonts w:hint="eastAsia" w:ascii="仿宋" w:hAnsi="仿宋" w:eastAsia="仿宋" w:cs="仿宋"/>
          <w:b/>
          <w:sz w:val="21"/>
          <w:szCs w:val="21"/>
          <w:highlight w:val="none"/>
          <w:lang w:val="en-US" w:eastAsia="zh-CN"/>
        </w:rPr>
      </w:pPr>
    </w:p>
    <w:p>
      <w:pPr>
        <w:jc w:val="center"/>
        <w:rPr>
          <w:rFonts w:hint="eastAsia" w:ascii="仿宋" w:hAnsi="仿宋" w:eastAsia="仿宋" w:cs="仿宋"/>
          <w:b/>
          <w:sz w:val="21"/>
          <w:szCs w:val="21"/>
          <w:highlight w:val="none"/>
          <w:lang w:val="en-US" w:eastAsia="zh-CN"/>
        </w:rPr>
      </w:pPr>
    </w:p>
    <w:p>
      <w:pPr>
        <w:pStyle w:val="15"/>
        <w:jc w:val="center"/>
        <w:rPr>
          <w:rFonts w:hint="eastAsia" w:ascii="仿宋" w:hAnsi="仿宋" w:eastAsia="仿宋" w:cs="仿宋"/>
          <w:b/>
          <w:kern w:val="2"/>
          <w:sz w:val="24"/>
          <w:szCs w:val="24"/>
          <w:highlight w:val="none"/>
          <w:lang w:val="en-US" w:eastAsia="zh-CN" w:bidi="ar-SA"/>
        </w:rPr>
      </w:pPr>
      <w:r>
        <w:rPr>
          <w:rFonts w:hint="eastAsia" w:ascii="仿宋" w:hAnsi="仿宋" w:eastAsia="仿宋" w:cs="仿宋"/>
          <w:b/>
          <w:kern w:val="2"/>
          <w:sz w:val="24"/>
          <w:szCs w:val="24"/>
          <w:highlight w:val="none"/>
          <w:lang w:val="en-US" w:eastAsia="zh-CN" w:bidi="ar-SA"/>
        </w:rPr>
        <w:t>鲜鸡蛋验收技术参数</w:t>
      </w:r>
    </w:p>
    <w:tbl>
      <w:tblPr>
        <w:tblStyle w:val="19"/>
        <w:tblW w:w="0" w:type="auto"/>
        <w:tblInd w:w="93" w:type="dxa"/>
        <w:tblLayout w:type="fixed"/>
        <w:tblCellMar>
          <w:top w:w="0" w:type="dxa"/>
          <w:left w:w="108" w:type="dxa"/>
          <w:bottom w:w="0" w:type="dxa"/>
          <w:right w:w="108" w:type="dxa"/>
        </w:tblCellMar>
      </w:tblPr>
      <w:tblGrid>
        <w:gridCol w:w="593"/>
        <w:gridCol w:w="1481"/>
        <w:gridCol w:w="2600"/>
        <w:gridCol w:w="3746"/>
      </w:tblGrid>
      <w:tr>
        <w:tblPrEx>
          <w:tblCellMar>
            <w:top w:w="0" w:type="dxa"/>
            <w:left w:w="108" w:type="dxa"/>
            <w:bottom w:w="0" w:type="dxa"/>
            <w:right w:w="108" w:type="dxa"/>
          </w:tblCellMar>
        </w:tblPrEx>
        <w:trPr>
          <w:trHeight w:val="386" w:hRule="atLeast"/>
        </w:trPr>
        <w:tc>
          <w:tcPr>
            <w:tcW w:w="8420" w:type="dxa"/>
            <w:gridSpan w:val="4"/>
            <w:tcBorders>
              <w:top w:val="single" w:color="000000" w:sz="4" w:space="0"/>
              <w:left w:val="single" w:color="000000" w:sz="4" w:space="0"/>
              <w:bottom w:val="single" w:color="000000" w:sz="4" w:space="0"/>
              <w:right w:val="single" w:color="000000" w:sz="4" w:space="0"/>
            </w:tcBorders>
            <w:noWrap/>
            <w:vAlign w:val="bottom"/>
          </w:tcPr>
          <w:p>
            <w:pPr>
              <w:widowControl/>
              <w:jc w:val="center"/>
              <w:textAlignment w:val="bottom"/>
              <w:rPr>
                <w:rFonts w:hint="eastAsia" w:ascii="仿宋" w:hAnsi="仿宋" w:eastAsia="仿宋" w:cs="仿宋"/>
                <w:b/>
                <w:bCs/>
                <w:color w:val="000000"/>
                <w:sz w:val="24"/>
                <w:szCs w:val="24"/>
                <w:highlight w:val="none"/>
              </w:rPr>
            </w:pPr>
            <w:r>
              <w:rPr>
                <w:rFonts w:hint="eastAsia" w:ascii="仿宋" w:hAnsi="仿宋" w:eastAsia="仿宋" w:cs="仿宋"/>
                <w:b/>
                <w:bCs/>
                <w:color w:val="000000"/>
                <w:kern w:val="0"/>
                <w:sz w:val="24"/>
                <w:szCs w:val="24"/>
                <w:highlight w:val="none"/>
                <w:lang w:val="en-US" w:bidi="ar"/>
              </w:rPr>
              <w:t>鲜鸡蛋的重量分级要求</w:t>
            </w:r>
          </w:p>
        </w:tc>
      </w:tr>
      <w:tr>
        <w:tblPrEx>
          <w:tblCellMar>
            <w:top w:w="0" w:type="dxa"/>
            <w:left w:w="108" w:type="dxa"/>
            <w:bottom w:w="0" w:type="dxa"/>
            <w:right w:w="108" w:type="dxa"/>
          </w:tblCellMar>
        </w:tblPrEx>
        <w:trPr>
          <w:trHeight w:val="319" w:hRule="atLeast"/>
        </w:trPr>
        <w:tc>
          <w:tcPr>
            <w:tcW w:w="2074" w:type="dxa"/>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b/>
                <w:bCs/>
                <w:color w:val="000000"/>
                <w:sz w:val="24"/>
                <w:szCs w:val="24"/>
                <w:highlight w:val="none"/>
              </w:rPr>
            </w:pPr>
            <w:r>
              <w:rPr>
                <w:rFonts w:hint="eastAsia" w:ascii="仿宋" w:hAnsi="仿宋" w:eastAsia="仿宋" w:cs="仿宋"/>
                <w:b/>
                <w:bCs/>
                <w:color w:val="000000"/>
                <w:kern w:val="0"/>
                <w:sz w:val="24"/>
                <w:szCs w:val="24"/>
                <w:highlight w:val="none"/>
                <w:lang w:val="en-US" w:bidi="ar"/>
              </w:rPr>
              <w:t>级别</w:t>
            </w:r>
          </w:p>
        </w:tc>
        <w:tc>
          <w:tcPr>
            <w:tcW w:w="260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b/>
                <w:bCs/>
                <w:color w:val="000000"/>
                <w:sz w:val="24"/>
                <w:szCs w:val="24"/>
                <w:highlight w:val="none"/>
              </w:rPr>
            </w:pPr>
            <w:r>
              <w:rPr>
                <w:rFonts w:hint="eastAsia" w:ascii="仿宋" w:hAnsi="仿宋" w:eastAsia="仿宋" w:cs="仿宋"/>
                <w:b/>
                <w:bCs/>
                <w:color w:val="000000"/>
                <w:kern w:val="0"/>
                <w:sz w:val="24"/>
                <w:szCs w:val="24"/>
                <w:highlight w:val="none"/>
                <w:lang w:val="en-US" w:bidi="ar"/>
              </w:rPr>
              <w:t>单枚鸡蛋蛋重范围</w:t>
            </w:r>
          </w:p>
        </w:tc>
        <w:tc>
          <w:tcPr>
            <w:tcW w:w="3746" w:type="dxa"/>
            <w:tcBorders>
              <w:top w:val="single" w:color="000000" w:sz="4" w:space="0"/>
              <w:left w:val="single" w:color="000000" w:sz="4" w:space="0"/>
              <w:bottom w:val="single" w:color="000000" w:sz="4" w:space="0"/>
              <w:right w:val="single" w:color="000000" w:sz="4" w:space="0"/>
            </w:tcBorders>
            <w:noWrap/>
            <w:vAlign w:val="bottom"/>
          </w:tcPr>
          <w:p>
            <w:pPr>
              <w:widowControl/>
              <w:jc w:val="center"/>
              <w:textAlignment w:val="bottom"/>
              <w:rPr>
                <w:rFonts w:hint="eastAsia" w:ascii="仿宋" w:hAnsi="仿宋" w:eastAsia="仿宋" w:cs="仿宋"/>
                <w:b/>
                <w:bCs/>
                <w:color w:val="000000"/>
                <w:sz w:val="24"/>
                <w:szCs w:val="24"/>
                <w:highlight w:val="none"/>
              </w:rPr>
            </w:pPr>
            <w:r>
              <w:rPr>
                <w:rFonts w:hint="eastAsia" w:ascii="仿宋" w:hAnsi="仿宋" w:eastAsia="仿宋" w:cs="仿宋"/>
                <w:b/>
                <w:bCs/>
                <w:color w:val="000000"/>
                <w:kern w:val="0"/>
                <w:sz w:val="24"/>
                <w:szCs w:val="24"/>
                <w:highlight w:val="none"/>
                <w:lang w:val="en-US" w:bidi="ar"/>
              </w:rPr>
              <w:t>每100枚鸡蛋最低蛋重Kg</w:t>
            </w:r>
          </w:p>
        </w:tc>
      </w:tr>
      <w:tr>
        <w:tblPrEx>
          <w:tblCellMar>
            <w:top w:w="0" w:type="dxa"/>
            <w:left w:w="108" w:type="dxa"/>
            <w:bottom w:w="0" w:type="dxa"/>
            <w:right w:w="108" w:type="dxa"/>
          </w:tblCellMar>
        </w:tblPrEx>
        <w:trPr>
          <w:trHeight w:val="618" w:hRule="atLeast"/>
        </w:trPr>
        <w:tc>
          <w:tcPr>
            <w:tcW w:w="2074" w:type="dxa"/>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val="en-US" w:bidi="ar"/>
              </w:rPr>
              <w:t>XL</w:t>
            </w:r>
          </w:p>
        </w:tc>
        <w:tc>
          <w:tcPr>
            <w:tcW w:w="260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val="en-US" w:bidi="ar"/>
              </w:rPr>
              <w:t>≥</w:t>
            </w:r>
            <w:r>
              <w:rPr>
                <w:rStyle w:val="31"/>
                <w:rFonts w:hint="eastAsia" w:ascii="仿宋" w:hAnsi="仿宋" w:eastAsia="仿宋" w:cs="仿宋"/>
                <w:sz w:val="24"/>
                <w:szCs w:val="24"/>
                <w:highlight w:val="none"/>
                <w:lang w:val="en-US" w:bidi="ar"/>
              </w:rPr>
              <w:t>68</w:t>
            </w:r>
          </w:p>
        </w:tc>
        <w:tc>
          <w:tcPr>
            <w:tcW w:w="374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val="en-US" w:bidi="ar"/>
              </w:rPr>
              <w:t>≥</w:t>
            </w:r>
            <w:r>
              <w:rPr>
                <w:rStyle w:val="31"/>
                <w:rFonts w:hint="eastAsia" w:ascii="仿宋" w:hAnsi="仿宋" w:eastAsia="仿宋" w:cs="仿宋"/>
                <w:sz w:val="24"/>
                <w:szCs w:val="24"/>
                <w:highlight w:val="none"/>
                <w:lang w:val="en-US" w:bidi="ar"/>
              </w:rPr>
              <w:t>6.9</w:t>
            </w:r>
          </w:p>
        </w:tc>
      </w:tr>
      <w:tr>
        <w:tblPrEx>
          <w:tblCellMar>
            <w:top w:w="0" w:type="dxa"/>
            <w:left w:w="108" w:type="dxa"/>
            <w:bottom w:w="0" w:type="dxa"/>
            <w:right w:w="108" w:type="dxa"/>
          </w:tblCellMar>
        </w:tblPrEx>
        <w:trPr>
          <w:trHeight w:val="618" w:hRule="atLeast"/>
        </w:trPr>
        <w:tc>
          <w:tcPr>
            <w:tcW w:w="593"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val="en-US" w:bidi="ar"/>
              </w:rPr>
              <w:t>L</w:t>
            </w:r>
          </w:p>
        </w:tc>
        <w:tc>
          <w:tcPr>
            <w:tcW w:w="1481"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val="en-US" w:bidi="ar"/>
              </w:rPr>
              <w:t>L（+）</w:t>
            </w:r>
          </w:p>
        </w:tc>
        <w:tc>
          <w:tcPr>
            <w:tcW w:w="260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val="en-US" w:bidi="ar"/>
              </w:rPr>
              <w:t>63</w:t>
            </w:r>
            <w:r>
              <w:rPr>
                <w:rStyle w:val="32"/>
                <w:rFonts w:hint="eastAsia" w:ascii="仿宋" w:hAnsi="仿宋" w:eastAsia="仿宋" w:cs="仿宋"/>
                <w:sz w:val="24"/>
                <w:szCs w:val="24"/>
                <w:highlight w:val="none"/>
                <w:lang w:val="en-US" w:bidi="ar"/>
              </w:rPr>
              <w:t>≤</w:t>
            </w:r>
            <w:r>
              <w:rPr>
                <w:rStyle w:val="31"/>
                <w:rFonts w:hint="eastAsia" w:ascii="仿宋" w:hAnsi="仿宋" w:eastAsia="仿宋" w:cs="仿宋"/>
                <w:sz w:val="24"/>
                <w:szCs w:val="24"/>
                <w:highlight w:val="none"/>
                <w:lang w:val="en-US" w:bidi="ar"/>
              </w:rPr>
              <w:t>X</w:t>
            </w:r>
            <w:r>
              <w:rPr>
                <w:rStyle w:val="32"/>
                <w:rFonts w:hint="eastAsia" w:ascii="仿宋" w:hAnsi="仿宋" w:eastAsia="仿宋" w:cs="仿宋"/>
                <w:sz w:val="24"/>
                <w:szCs w:val="24"/>
                <w:highlight w:val="none"/>
                <w:lang w:val="en-US" w:bidi="ar"/>
              </w:rPr>
              <w:t>&lt;</w:t>
            </w:r>
            <w:r>
              <w:rPr>
                <w:rStyle w:val="31"/>
                <w:rFonts w:hint="eastAsia" w:ascii="仿宋" w:hAnsi="仿宋" w:eastAsia="仿宋" w:cs="仿宋"/>
                <w:sz w:val="24"/>
                <w:szCs w:val="24"/>
                <w:highlight w:val="none"/>
                <w:lang w:val="en-US" w:bidi="ar"/>
              </w:rPr>
              <w:t>68</w:t>
            </w:r>
          </w:p>
        </w:tc>
        <w:tc>
          <w:tcPr>
            <w:tcW w:w="374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val="en-US" w:bidi="ar"/>
              </w:rPr>
              <w:t>≥6.4</w:t>
            </w:r>
          </w:p>
        </w:tc>
      </w:tr>
      <w:tr>
        <w:tblPrEx>
          <w:tblCellMar>
            <w:top w:w="0" w:type="dxa"/>
            <w:left w:w="108" w:type="dxa"/>
            <w:bottom w:w="0" w:type="dxa"/>
            <w:right w:w="108" w:type="dxa"/>
          </w:tblCellMar>
        </w:tblPrEx>
        <w:trPr>
          <w:trHeight w:val="618" w:hRule="atLeast"/>
        </w:trPr>
        <w:tc>
          <w:tcPr>
            <w:tcW w:w="593"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仿宋" w:hAnsi="仿宋" w:eastAsia="仿宋" w:cs="仿宋"/>
                <w:color w:val="000000"/>
                <w:sz w:val="24"/>
                <w:szCs w:val="24"/>
                <w:highlight w:val="none"/>
              </w:rPr>
            </w:pPr>
          </w:p>
        </w:tc>
        <w:tc>
          <w:tcPr>
            <w:tcW w:w="1481"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b/>
                <w:bCs/>
                <w:sz w:val="24"/>
                <w:szCs w:val="24"/>
                <w:highlight w:val="none"/>
              </w:rPr>
            </w:pPr>
            <w:r>
              <w:rPr>
                <w:rFonts w:hint="eastAsia" w:ascii="仿宋" w:hAnsi="仿宋" w:eastAsia="仿宋" w:cs="仿宋"/>
                <w:b/>
                <w:bCs/>
                <w:kern w:val="0"/>
                <w:sz w:val="24"/>
                <w:szCs w:val="24"/>
                <w:highlight w:val="none"/>
                <w:lang w:val="en-US" w:bidi="ar"/>
              </w:rPr>
              <w:t>L（-）</w:t>
            </w:r>
          </w:p>
        </w:tc>
        <w:tc>
          <w:tcPr>
            <w:tcW w:w="260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b/>
                <w:bCs/>
                <w:sz w:val="24"/>
                <w:szCs w:val="24"/>
                <w:highlight w:val="none"/>
              </w:rPr>
            </w:pPr>
            <w:r>
              <w:rPr>
                <w:rFonts w:hint="eastAsia" w:ascii="仿宋" w:hAnsi="仿宋" w:eastAsia="仿宋" w:cs="仿宋"/>
                <w:b/>
                <w:bCs/>
                <w:kern w:val="0"/>
                <w:sz w:val="24"/>
                <w:szCs w:val="24"/>
                <w:highlight w:val="none"/>
                <w:lang w:val="en-US" w:bidi="ar"/>
              </w:rPr>
              <w:t>58</w:t>
            </w:r>
            <w:r>
              <w:rPr>
                <w:rStyle w:val="32"/>
                <w:rFonts w:hint="eastAsia" w:ascii="仿宋" w:hAnsi="仿宋" w:eastAsia="仿宋" w:cs="仿宋"/>
                <w:b/>
                <w:bCs/>
                <w:color w:val="auto"/>
                <w:sz w:val="24"/>
                <w:szCs w:val="24"/>
                <w:highlight w:val="none"/>
                <w:lang w:val="en-US" w:bidi="ar"/>
              </w:rPr>
              <w:t>≤</w:t>
            </w:r>
            <w:r>
              <w:rPr>
                <w:rStyle w:val="31"/>
                <w:rFonts w:hint="eastAsia" w:ascii="仿宋" w:hAnsi="仿宋" w:eastAsia="仿宋" w:cs="仿宋"/>
                <w:b/>
                <w:bCs/>
                <w:color w:val="auto"/>
                <w:sz w:val="24"/>
                <w:szCs w:val="24"/>
                <w:highlight w:val="none"/>
                <w:lang w:val="en-US" w:bidi="ar"/>
              </w:rPr>
              <w:t>X</w:t>
            </w:r>
            <w:r>
              <w:rPr>
                <w:rStyle w:val="32"/>
                <w:rFonts w:hint="eastAsia" w:ascii="仿宋" w:hAnsi="仿宋" w:eastAsia="仿宋" w:cs="仿宋"/>
                <w:b/>
                <w:bCs/>
                <w:color w:val="auto"/>
                <w:sz w:val="24"/>
                <w:szCs w:val="24"/>
                <w:highlight w:val="none"/>
                <w:lang w:val="en-US" w:bidi="ar"/>
              </w:rPr>
              <w:t>&lt;63</w:t>
            </w:r>
          </w:p>
        </w:tc>
        <w:tc>
          <w:tcPr>
            <w:tcW w:w="374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b/>
                <w:bCs/>
                <w:sz w:val="24"/>
                <w:szCs w:val="24"/>
                <w:highlight w:val="none"/>
              </w:rPr>
            </w:pPr>
            <w:r>
              <w:rPr>
                <w:rFonts w:hint="eastAsia" w:ascii="仿宋" w:hAnsi="仿宋" w:eastAsia="仿宋" w:cs="仿宋"/>
                <w:b/>
                <w:bCs/>
                <w:kern w:val="0"/>
                <w:sz w:val="24"/>
                <w:szCs w:val="24"/>
                <w:highlight w:val="none"/>
                <w:lang w:val="en-US" w:bidi="ar"/>
              </w:rPr>
              <w:t>≥</w:t>
            </w:r>
            <w:r>
              <w:rPr>
                <w:rStyle w:val="31"/>
                <w:rFonts w:hint="eastAsia" w:ascii="仿宋" w:hAnsi="仿宋" w:eastAsia="仿宋" w:cs="仿宋"/>
                <w:b/>
                <w:bCs/>
                <w:color w:val="auto"/>
                <w:sz w:val="24"/>
                <w:szCs w:val="24"/>
                <w:highlight w:val="none"/>
                <w:lang w:val="en-US" w:bidi="ar"/>
              </w:rPr>
              <w:t>5.9</w:t>
            </w:r>
          </w:p>
        </w:tc>
      </w:tr>
      <w:tr>
        <w:tblPrEx>
          <w:tblCellMar>
            <w:top w:w="0" w:type="dxa"/>
            <w:left w:w="108" w:type="dxa"/>
            <w:bottom w:w="0" w:type="dxa"/>
            <w:right w:w="108" w:type="dxa"/>
          </w:tblCellMar>
        </w:tblPrEx>
        <w:trPr>
          <w:trHeight w:val="618" w:hRule="atLeast"/>
        </w:trPr>
        <w:tc>
          <w:tcPr>
            <w:tcW w:w="593"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val="en-US" w:bidi="ar"/>
              </w:rPr>
              <w:t>M</w:t>
            </w:r>
          </w:p>
        </w:tc>
        <w:tc>
          <w:tcPr>
            <w:tcW w:w="1481"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b/>
                <w:bCs/>
                <w:sz w:val="24"/>
                <w:szCs w:val="24"/>
                <w:highlight w:val="none"/>
              </w:rPr>
            </w:pPr>
            <w:r>
              <w:rPr>
                <w:rFonts w:hint="eastAsia" w:ascii="仿宋" w:hAnsi="仿宋" w:eastAsia="仿宋" w:cs="仿宋"/>
                <w:b/>
                <w:bCs/>
                <w:kern w:val="0"/>
                <w:sz w:val="24"/>
                <w:szCs w:val="24"/>
                <w:highlight w:val="none"/>
                <w:lang w:val="en-US" w:bidi="ar"/>
              </w:rPr>
              <w:t>M（+）</w:t>
            </w:r>
          </w:p>
        </w:tc>
        <w:tc>
          <w:tcPr>
            <w:tcW w:w="260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b/>
                <w:bCs/>
                <w:sz w:val="24"/>
                <w:szCs w:val="24"/>
                <w:highlight w:val="none"/>
              </w:rPr>
            </w:pPr>
            <w:r>
              <w:rPr>
                <w:rFonts w:hint="eastAsia" w:ascii="仿宋" w:hAnsi="仿宋" w:eastAsia="仿宋" w:cs="仿宋"/>
                <w:b/>
                <w:bCs/>
                <w:kern w:val="0"/>
                <w:sz w:val="24"/>
                <w:szCs w:val="24"/>
                <w:highlight w:val="none"/>
                <w:lang w:val="en-US" w:bidi="ar"/>
              </w:rPr>
              <w:t>53</w:t>
            </w:r>
            <w:r>
              <w:rPr>
                <w:rStyle w:val="32"/>
                <w:rFonts w:hint="eastAsia" w:ascii="仿宋" w:hAnsi="仿宋" w:eastAsia="仿宋" w:cs="仿宋"/>
                <w:b/>
                <w:bCs/>
                <w:color w:val="auto"/>
                <w:sz w:val="24"/>
                <w:szCs w:val="24"/>
                <w:highlight w:val="none"/>
                <w:lang w:val="en-US" w:bidi="ar"/>
              </w:rPr>
              <w:t>≤</w:t>
            </w:r>
            <w:r>
              <w:rPr>
                <w:rStyle w:val="31"/>
                <w:rFonts w:hint="eastAsia" w:ascii="仿宋" w:hAnsi="仿宋" w:eastAsia="仿宋" w:cs="仿宋"/>
                <w:b/>
                <w:bCs/>
                <w:color w:val="auto"/>
                <w:sz w:val="24"/>
                <w:szCs w:val="24"/>
                <w:highlight w:val="none"/>
                <w:lang w:val="en-US" w:bidi="ar"/>
              </w:rPr>
              <w:t>X</w:t>
            </w:r>
            <w:r>
              <w:rPr>
                <w:rStyle w:val="32"/>
                <w:rFonts w:hint="eastAsia" w:ascii="仿宋" w:hAnsi="仿宋" w:eastAsia="仿宋" w:cs="仿宋"/>
                <w:b/>
                <w:bCs/>
                <w:color w:val="auto"/>
                <w:sz w:val="24"/>
                <w:szCs w:val="24"/>
                <w:highlight w:val="none"/>
                <w:lang w:val="en-US" w:bidi="ar"/>
              </w:rPr>
              <w:t>&lt;</w:t>
            </w:r>
            <w:r>
              <w:rPr>
                <w:rStyle w:val="31"/>
                <w:rFonts w:hint="eastAsia" w:ascii="仿宋" w:hAnsi="仿宋" w:eastAsia="仿宋" w:cs="仿宋"/>
                <w:b/>
                <w:bCs/>
                <w:color w:val="auto"/>
                <w:sz w:val="24"/>
                <w:szCs w:val="24"/>
                <w:highlight w:val="none"/>
                <w:lang w:val="en-US" w:bidi="ar"/>
              </w:rPr>
              <w:t>58</w:t>
            </w:r>
          </w:p>
        </w:tc>
        <w:tc>
          <w:tcPr>
            <w:tcW w:w="374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b/>
                <w:bCs/>
                <w:sz w:val="24"/>
                <w:szCs w:val="24"/>
                <w:highlight w:val="none"/>
              </w:rPr>
            </w:pPr>
            <w:r>
              <w:rPr>
                <w:rFonts w:hint="eastAsia" w:ascii="仿宋" w:hAnsi="仿宋" w:eastAsia="仿宋" w:cs="仿宋"/>
                <w:b/>
                <w:bCs/>
                <w:kern w:val="0"/>
                <w:sz w:val="24"/>
                <w:szCs w:val="24"/>
                <w:highlight w:val="none"/>
                <w:lang w:val="en-US" w:bidi="ar"/>
              </w:rPr>
              <w:t>≥5.4</w:t>
            </w:r>
          </w:p>
        </w:tc>
      </w:tr>
      <w:tr>
        <w:tblPrEx>
          <w:tblCellMar>
            <w:top w:w="0" w:type="dxa"/>
            <w:left w:w="108" w:type="dxa"/>
            <w:bottom w:w="0" w:type="dxa"/>
            <w:right w:w="108" w:type="dxa"/>
          </w:tblCellMar>
        </w:tblPrEx>
        <w:trPr>
          <w:trHeight w:val="618" w:hRule="atLeast"/>
        </w:trPr>
        <w:tc>
          <w:tcPr>
            <w:tcW w:w="593"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仿宋" w:hAnsi="仿宋" w:eastAsia="仿宋" w:cs="仿宋"/>
                <w:color w:val="000000"/>
                <w:sz w:val="24"/>
                <w:szCs w:val="24"/>
                <w:highlight w:val="none"/>
              </w:rPr>
            </w:pPr>
          </w:p>
        </w:tc>
        <w:tc>
          <w:tcPr>
            <w:tcW w:w="1481"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val="en-US" w:bidi="ar"/>
              </w:rPr>
              <w:t>M（-）</w:t>
            </w:r>
          </w:p>
        </w:tc>
        <w:tc>
          <w:tcPr>
            <w:tcW w:w="260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val="en-US" w:bidi="ar"/>
              </w:rPr>
              <w:t>48</w:t>
            </w:r>
            <w:r>
              <w:rPr>
                <w:rStyle w:val="32"/>
                <w:rFonts w:hint="eastAsia" w:ascii="仿宋" w:hAnsi="仿宋" w:eastAsia="仿宋" w:cs="仿宋"/>
                <w:sz w:val="24"/>
                <w:szCs w:val="24"/>
                <w:highlight w:val="none"/>
                <w:lang w:val="en-US" w:bidi="ar"/>
              </w:rPr>
              <w:t>≤</w:t>
            </w:r>
            <w:r>
              <w:rPr>
                <w:rStyle w:val="31"/>
                <w:rFonts w:hint="eastAsia" w:ascii="仿宋" w:hAnsi="仿宋" w:eastAsia="仿宋" w:cs="仿宋"/>
                <w:sz w:val="24"/>
                <w:szCs w:val="24"/>
                <w:highlight w:val="none"/>
                <w:lang w:val="en-US" w:bidi="ar"/>
              </w:rPr>
              <w:t>X</w:t>
            </w:r>
            <w:r>
              <w:rPr>
                <w:rStyle w:val="32"/>
                <w:rFonts w:hint="eastAsia" w:ascii="仿宋" w:hAnsi="仿宋" w:eastAsia="仿宋" w:cs="仿宋"/>
                <w:sz w:val="24"/>
                <w:szCs w:val="24"/>
                <w:highlight w:val="none"/>
                <w:lang w:val="en-US" w:bidi="ar"/>
              </w:rPr>
              <w:t>&lt;</w:t>
            </w:r>
            <w:r>
              <w:rPr>
                <w:rStyle w:val="31"/>
                <w:rFonts w:hint="eastAsia" w:ascii="仿宋" w:hAnsi="仿宋" w:eastAsia="仿宋" w:cs="仿宋"/>
                <w:sz w:val="24"/>
                <w:szCs w:val="24"/>
                <w:highlight w:val="none"/>
                <w:lang w:val="en-US" w:bidi="ar"/>
              </w:rPr>
              <w:t>53</w:t>
            </w:r>
          </w:p>
        </w:tc>
        <w:tc>
          <w:tcPr>
            <w:tcW w:w="374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val="en-US" w:bidi="ar"/>
              </w:rPr>
              <w:t>≥</w:t>
            </w:r>
            <w:r>
              <w:rPr>
                <w:rStyle w:val="31"/>
                <w:rFonts w:hint="eastAsia" w:ascii="仿宋" w:hAnsi="仿宋" w:eastAsia="仿宋" w:cs="仿宋"/>
                <w:sz w:val="24"/>
                <w:szCs w:val="24"/>
                <w:highlight w:val="none"/>
                <w:lang w:val="en-US" w:bidi="ar"/>
              </w:rPr>
              <w:t>4.9</w:t>
            </w:r>
          </w:p>
        </w:tc>
      </w:tr>
      <w:tr>
        <w:tblPrEx>
          <w:tblCellMar>
            <w:top w:w="0" w:type="dxa"/>
            <w:left w:w="108" w:type="dxa"/>
            <w:bottom w:w="0" w:type="dxa"/>
            <w:right w:w="108" w:type="dxa"/>
          </w:tblCellMar>
        </w:tblPrEx>
        <w:trPr>
          <w:trHeight w:val="618" w:hRule="atLeast"/>
        </w:trPr>
        <w:tc>
          <w:tcPr>
            <w:tcW w:w="593"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val="en-US" w:bidi="ar"/>
              </w:rPr>
              <w:t>S</w:t>
            </w:r>
          </w:p>
        </w:tc>
        <w:tc>
          <w:tcPr>
            <w:tcW w:w="1481"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val="en-US" w:bidi="ar"/>
              </w:rPr>
              <w:t>S（+）</w:t>
            </w:r>
          </w:p>
        </w:tc>
        <w:tc>
          <w:tcPr>
            <w:tcW w:w="260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val="en-US" w:bidi="ar"/>
              </w:rPr>
              <w:t>43</w:t>
            </w:r>
            <w:r>
              <w:rPr>
                <w:rStyle w:val="32"/>
                <w:rFonts w:hint="eastAsia" w:ascii="仿宋" w:hAnsi="仿宋" w:eastAsia="仿宋" w:cs="仿宋"/>
                <w:sz w:val="24"/>
                <w:szCs w:val="24"/>
                <w:highlight w:val="none"/>
                <w:lang w:val="en-US" w:bidi="ar"/>
              </w:rPr>
              <w:t>≤</w:t>
            </w:r>
            <w:r>
              <w:rPr>
                <w:rStyle w:val="31"/>
                <w:rFonts w:hint="eastAsia" w:ascii="仿宋" w:hAnsi="仿宋" w:eastAsia="仿宋" w:cs="仿宋"/>
                <w:sz w:val="24"/>
                <w:szCs w:val="24"/>
                <w:highlight w:val="none"/>
                <w:lang w:val="en-US" w:bidi="ar"/>
              </w:rPr>
              <w:t>X</w:t>
            </w:r>
            <w:r>
              <w:rPr>
                <w:rStyle w:val="32"/>
                <w:rFonts w:hint="eastAsia" w:ascii="仿宋" w:hAnsi="仿宋" w:eastAsia="仿宋" w:cs="仿宋"/>
                <w:sz w:val="24"/>
                <w:szCs w:val="24"/>
                <w:highlight w:val="none"/>
                <w:lang w:val="en-US" w:bidi="ar"/>
              </w:rPr>
              <w:t>&lt;48</w:t>
            </w:r>
          </w:p>
        </w:tc>
        <w:tc>
          <w:tcPr>
            <w:tcW w:w="374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val="en-US" w:bidi="ar"/>
              </w:rPr>
              <w:t>≥4.4</w:t>
            </w:r>
          </w:p>
        </w:tc>
      </w:tr>
      <w:tr>
        <w:tblPrEx>
          <w:tblCellMar>
            <w:top w:w="0" w:type="dxa"/>
            <w:left w:w="108" w:type="dxa"/>
            <w:bottom w:w="0" w:type="dxa"/>
            <w:right w:w="108" w:type="dxa"/>
          </w:tblCellMar>
        </w:tblPrEx>
        <w:trPr>
          <w:trHeight w:val="618" w:hRule="atLeast"/>
        </w:trPr>
        <w:tc>
          <w:tcPr>
            <w:tcW w:w="593"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仿宋" w:hAnsi="仿宋" w:eastAsia="仿宋" w:cs="仿宋"/>
                <w:color w:val="000000"/>
                <w:sz w:val="24"/>
                <w:szCs w:val="24"/>
                <w:highlight w:val="none"/>
              </w:rPr>
            </w:pPr>
          </w:p>
        </w:tc>
        <w:tc>
          <w:tcPr>
            <w:tcW w:w="1481"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val="en-US" w:bidi="ar"/>
              </w:rPr>
              <w:t>S（-）</w:t>
            </w:r>
          </w:p>
        </w:tc>
        <w:tc>
          <w:tcPr>
            <w:tcW w:w="260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val="en-US" w:bidi="ar"/>
              </w:rPr>
              <w:t>&lt;</w:t>
            </w:r>
            <w:r>
              <w:rPr>
                <w:rStyle w:val="31"/>
                <w:rFonts w:hint="eastAsia" w:ascii="仿宋" w:hAnsi="仿宋" w:eastAsia="仿宋" w:cs="仿宋"/>
                <w:sz w:val="24"/>
                <w:szCs w:val="24"/>
                <w:highlight w:val="none"/>
                <w:lang w:val="en-US" w:bidi="ar"/>
              </w:rPr>
              <w:t>43</w:t>
            </w:r>
          </w:p>
        </w:tc>
        <w:tc>
          <w:tcPr>
            <w:tcW w:w="374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val="en-US" w:bidi="ar"/>
              </w:rPr>
              <w:t>-</w:t>
            </w:r>
          </w:p>
        </w:tc>
      </w:tr>
      <w:tr>
        <w:tblPrEx>
          <w:tblCellMar>
            <w:top w:w="0" w:type="dxa"/>
            <w:left w:w="108" w:type="dxa"/>
            <w:bottom w:w="0" w:type="dxa"/>
            <w:right w:w="108" w:type="dxa"/>
          </w:tblCellMar>
        </w:tblPrEx>
        <w:trPr>
          <w:trHeight w:val="644" w:hRule="atLeast"/>
        </w:trPr>
        <w:tc>
          <w:tcPr>
            <w:tcW w:w="8420" w:type="dxa"/>
            <w:gridSpan w:val="4"/>
            <w:tcBorders>
              <w:top w:val="single" w:color="000000" w:sz="4" w:space="0"/>
              <w:left w:val="single" w:color="000000" w:sz="4" w:space="0"/>
              <w:bottom w:val="single" w:color="000000" w:sz="4" w:space="0"/>
              <w:right w:val="single" w:color="000000" w:sz="4" w:space="0"/>
            </w:tcBorders>
            <w:noWrap w:val="0"/>
            <w:vAlign w:val="bottom"/>
          </w:tcPr>
          <w:p>
            <w:pPr>
              <w:widowControl/>
              <w:jc w:val="center"/>
              <w:textAlignment w:val="bottom"/>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val="en-US" w:bidi="ar"/>
              </w:rPr>
              <w:t>注：在分级过程中</w:t>
            </w:r>
            <w:r>
              <w:rPr>
                <w:rFonts w:hint="eastAsia" w:ascii="仿宋" w:hAnsi="仿宋" w:eastAsia="仿宋" w:cs="仿宋"/>
                <w:color w:val="000000"/>
                <w:kern w:val="0"/>
                <w:sz w:val="24"/>
                <w:szCs w:val="24"/>
                <w:highlight w:val="none"/>
                <w:lang w:val="en-US" w:eastAsia="zh-CN" w:bidi="ar"/>
              </w:rPr>
              <w:t>投标人</w:t>
            </w:r>
            <w:r>
              <w:rPr>
                <w:rFonts w:hint="eastAsia" w:ascii="仿宋" w:hAnsi="仿宋" w:eastAsia="仿宋" w:cs="仿宋"/>
                <w:color w:val="000000"/>
                <w:kern w:val="0"/>
                <w:sz w:val="24"/>
                <w:szCs w:val="24"/>
                <w:highlight w:val="none"/>
                <w:lang w:val="en-US" w:bidi="ar"/>
              </w:rPr>
              <w:t>可根据技术水平可以将L、M进一步分为“+”和“-”两种级别。</w:t>
            </w:r>
          </w:p>
        </w:tc>
      </w:tr>
    </w:tbl>
    <w:p>
      <w:pPr>
        <w:pStyle w:val="15"/>
        <w:rPr>
          <w:rFonts w:hint="eastAsia" w:ascii="仿宋" w:hAnsi="仿宋" w:eastAsia="仿宋" w:cs="仿宋"/>
          <w:highlight w:val="none"/>
          <w:lang w:val="en-US"/>
        </w:rPr>
      </w:pPr>
    </w:p>
    <w:tbl>
      <w:tblPr>
        <w:tblStyle w:val="19"/>
        <w:tblW w:w="0" w:type="auto"/>
        <w:tblInd w:w="93" w:type="dxa"/>
        <w:tblLayout w:type="fixed"/>
        <w:tblCellMar>
          <w:top w:w="0" w:type="dxa"/>
          <w:left w:w="108" w:type="dxa"/>
          <w:bottom w:w="0" w:type="dxa"/>
          <w:right w:w="108" w:type="dxa"/>
        </w:tblCellMar>
      </w:tblPr>
      <w:tblGrid>
        <w:gridCol w:w="1068"/>
        <w:gridCol w:w="1871"/>
        <w:gridCol w:w="2192"/>
        <w:gridCol w:w="3249"/>
      </w:tblGrid>
      <w:tr>
        <w:tblPrEx>
          <w:tblCellMar>
            <w:top w:w="0" w:type="dxa"/>
            <w:left w:w="108" w:type="dxa"/>
            <w:bottom w:w="0" w:type="dxa"/>
            <w:right w:w="108" w:type="dxa"/>
          </w:tblCellMar>
        </w:tblPrEx>
        <w:trPr>
          <w:trHeight w:val="371" w:hRule="atLeast"/>
        </w:trPr>
        <w:tc>
          <w:tcPr>
            <w:tcW w:w="8380" w:type="dxa"/>
            <w:gridSpan w:val="4"/>
            <w:tcBorders>
              <w:top w:val="single" w:color="000000" w:sz="4" w:space="0"/>
              <w:left w:val="single" w:color="000000" w:sz="4" w:space="0"/>
              <w:bottom w:val="single" w:color="000000" w:sz="4" w:space="0"/>
              <w:right w:val="single" w:color="000000" w:sz="4" w:space="0"/>
            </w:tcBorders>
            <w:noWrap/>
            <w:vAlign w:val="bottom"/>
          </w:tcPr>
          <w:p>
            <w:pPr>
              <w:widowControl/>
              <w:jc w:val="center"/>
              <w:textAlignment w:val="bottom"/>
              <w:rPr>
                <w:rFonts w:hint="eastAsia" w:ascii="仿宋" w:hAnsi="仿宋" w:eastAsia="仿宋" w:cs="仿宋"/>
                <w:b/>
                <w:bCs/>
                <w:color w:val="000000"/>
                <w:sz w:val="28"/>
                <w:szCs w:val="28"/>
                <w:highlight w:val="none"/>
              </w:rPr>
            </w:pPr>
            <w:r>
              <w:rPr>
                <w:rFonts w:hint="eastAsia" w:ascii="仿宋" w:hAnsi="仿宋" w:eastAsia="仿宋" w:cs="仿宋"/>
                <w:b/>
                <w:bCs/>
                <w:color w:val="000000"/>
                <w:kern w:val="0"/>
                <w:sz w:val="24"/>
                <w:szCs w:val="24"/>
                <w:highlight w:val="none"/>
                <w:lang w:val="en-US" w:bidi="ar"/>
              </w:rPr>
              <w:t>鲜鸡蛋的品质分级要求</w:t>
            </w:r>
          </w:p>
        </w:tc>
      </w:tr>
      <w:tr>
        <w:tblPrEx>
          <w:tblCellMar>
            <w:top w:w="0" w:type="dxa"/>
            <w:left w:w="108" w:type="dxa"/>
            <w:bottom w:w="0" w:type="dxa"/>
            <w:right w:w="108" w:type="dxa"/>
          </w:tblCellMar>
        </w:tblPrEx>
        <w:trPr>
          <w:trHeight w:val="324" w:hRule="atLeast"/>
        </w:trPr>
        <w:tc>
          <w:tcPr>
            <w:tcW w:w="1068"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b/>
                <w:bCs/>
                <w:color w:val="000000"/>
                <w:sz w:val="22"/>
                <w:szCs w:val="22"/>
                <w:highlight w:val="none"/>
              </w:rPr>
            </w:pPr>
            <w:r>
              <w:rPr>
                <w:rFonts w:hint="eastAsia" w:ascii="仿宋" w:hAnsi="仿宋" w:eastAsia="仿宋" w:cs="仿宋"/>
                <w:b/>
                <w:bCs/>
                <w:color w:val="000000"/>
                <w:kern w:val="0"/>
                <w:sz w:val="22"/>
                <w:szCs w:val="22"/>
                <w:highlight w:val="none"/>
                <w:lang w:val="en-US" w:bidi="ar"/>
              </w:rPr>
              <w:t>项目</w:t>
            </w:r>
          </w:p>
        </w:tc>
        <w:tc>
          <w:tcPr>
            <w:tcW w:w="7312" w:type="dxa"/>
            <w:gridSpan w:val="3"/>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b/>
                <w:bCs/>
                <w:color w:val="000000"/>
                <w:sz w:val="22"/>
                <w:szCs w:val="22"/>
                <w:highlight w:val="none"/>
              </w:rPr>
            </w:pPr>
            <w:r>
              <w:rPr>
                <w:rFonts w:hint="eastAsia" w:ascii="仿宋" w:hAnsi="仿宋" w:eastAsia="仿宋" w:cs="仿宋"/>
                <w:b/>
                <w:bCs/>
                <w:color w:val="000000"/>
                <w:kern w:val="0"/>
                <w:sz w:val="22"/>
                <w:szCs w:val="22"/>
                <w:highlight w:val="none"/>
                <w:lang w:val="en-US" w:bidi="ar"/>
              </w:rPr>
              <w:t>指标</w:t>
            </w:r>
          </w:p>
        </w:tc>
      </w:tr>
      <w:tr>
        <w:tblPrEx>
          <w:tblCellMar>
            <w:top w:w="0" w:type="dxa"/>
            <w:left w:w="108" w:type="dxa"/>
            <w:bottom w:w="0" w:type="dxa"/>
            <w:right w:w="108" w:type="dxa"/>
          </w:tblCellMar>
        </w:tblPrEx>
        <w:trPr>
          <w:trHeight w:val="324" w:hRule="atLeast"/>
        </w:trPr>
        <w:tc>
          <w:tcPr>
            <w:tcW w:w="1068"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仿宋" w:hAnsi="仿宋" w:eastAsia="仿宋" w:cs="仿宋"/>
                <w:b/>
                <w:bCs/>
                <w:color w:val="000000"/>
                <w:sz w:val="22"/>
                <w:szCs w:val="22"/>
                <w:highlight w:val="none"/>
              </w:rPr>
            </w:pPr>
          </w:p>
        </w:tc>
        <w:tc>
          <w:tcPr>
            <w:tcW w:w="1871"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b/>
                <w:bCs/>
                <w:color w:val="000000"/>
                <w:sz w:val="22"/>
                <w:szCs w:val="22"/>
                <w:highlight w:val="none"/>
              </w:rPr>
            </w:pPr>
            <w:r>
              <w:rPr>
                <w:rFonts w:hint="eastAsia" w:ascii="仿宋" w:hAnsi="仿宋" w:eastAsia="仿宋" w:cs="仿宋"/>
                <w:b/>
                <w:bCs/>
                <w:color w:val="000000"/>
                <w:kern w:val="0"/>
                <w:sz w:val="22"/>
                <w:szCs w:val="22"/>
                <w:highlight w:val="none"/>
                <w:lang w:val="en-US" w:bidi="ar"/>
              </w:rPr>
              <w:t>AA级</w:t>
            </w:r>
          </w:p>
        </w:tc>
        <w:tc>
          <w:tcPr>
            <w:tcW w:w="219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b/>
                <w:bCs/>
                <w:color w:val="000000"/>
                <w:sz w:val="22"/>
                <w:szCs w:val="22"/>
                <w:highlight w:val="none"/>
              </w:rPr>
            </w:pPr>
            <w:r>
              <w:rPr>
                <w:rFonts w:hint="eastAsia" w:ascii="仿宋" w:hAnsi="仿宋" w:eastAsia="仿宋" w:cs="仿宋"/>
                <w:b/>
                <w:bCs/>
                <w:color w:val="000000"/>
                <w:kern w:val="0"/>
                <w:sz w:val="22"/>
                <w:szCs w:val="22"/>
                <w:highlight w:val="none"/>
                <w:lang w:val="en-US" w:bidi="ar"/>
              </w:rPr>
              <w:t>A级</w:t>
            </w:r>
          </w:p>
        </w:tc>
        <w:tc>
          <w:tcPr>
            <w:tcW w:w="3249"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b/>
                <w:bCs/>
                <w:color w:val="000000"/>
                <w:sz w:val="22"/>
                <w:szCs w:val="22"/>
                <w:highlight w:val="none"/>
              </w:rPr>
            </w:pPr>
            <w:r>
              <w:rPr>
                <w:rFonts w:hint="eastAsia" w:ascii="仿宋" w:hAnsi="仿宋" w:eastAsia="仿宋" w:cs="仿宋"/>
                <w:b/>
                <w:bCs/>
                <w:color w:val="000000"/>
                <w:kern w:val="0"/>
                <w:sz w:val="22"/>
                <w:szCs w:val="22"/>
                <w:highlight w:val="none"/>
                <w:lang w:val="en-US" w:bidi="ar"/>
              </w:rPr>
              <w:t>B级</w:t>
            </w:r>
          </w:p>
        </w:tc>
      </w:tr>
      <w:tr>
        <w:tblPrEx>
          <w:tblCellMar>
            <w:top w:w="0" w:type="dxa"/>
            <w:left w:w="108" w:type="dxa"/>
            <w:bottom w:w="0" w:type="dxa"/>
            <w:right w:w="108" w:type="dxa"/>
          </w:tblCellMar>
        </w:tblPrEx>
        <w:trPr>
          <w:trHeight w:val="324" w:hRule="atLeast"/>
        </w:trPr>
        <w:tc>
          <w:tcPr>
            <w:tcW w:w="106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2"/>
                <w:szCs w:val="22"/>
                <w:highlight w:val="none"/>
              </w:rPr>
            </w:pPr>
            <w:r>
              <w:rPr>
                <w:rFonts w:hint="eastAsia" w:ascii="仿宋" w:hAnsi="仿宋" w:eastAsia="仿宋" w:cs="仿宋"/>
                <w:color w:val="000000"/>
                <w:kern w:val="0"/>
                <w:sz w:val="22"/>
                <w:szCs w:val="22"/>
                <w:highlight w:val="none"/>
                <w:lang w:val="en-US" w:bidi="ar"/>
              </w:rPr>
              <w:t>蛋壳</w:t>
            </w:r>
          </w:p>
        </w:tc>
        <w:tc>
          <w:tcPr>
            <w:tcW w:w="7312" w:type="dxa"/>
            <w:gridSpan w:val="3"/>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2"/>
                <w:szCs w:val="22"/>
                <w:highlight w:val="none"/>
              </w:rPr>
            </w:pPr>
            <w:r>
              <w:rPr>
                <w:rFonts w:hint="eastAsia" w:ascii="仿宋" w:hAnsi="仿宋" w:eastAsia="仿宋" w:cs="仿宋"/>
                <w:color w:val="000000"/>
                <w:kern w:val="0"/>
                <w:sz w:val="22"/>
                <w:szCs w:val="22"/>
                <w:highlight w:val="none"/>
                <w:lang w:val="en-US" w:bidi="ar"/>
              </w:rPr>
              <w:t>清洁、完整，呈规则卵圆形，具有蛋壳固有的色泽，表面无肉眼可见污物</w:t>
            </w:r>
          </w:p>
        </w:tc>
      </w:tr>
      <w:tr>
        <w:tblPrEx>
          <w:tblCellMar>
            <w:top w:w="0" w:type="dxa"/>
            <w:left w:w="108" w:type="dxa"/>
            <w:bottom w:w="0" w:type="dxa"/>
            <w:right w:w="108" w:type="dxa"/>
          </w:tblCellMar>
        </w:tblPrEx>
        <w:trPr>
          <w:trHeight w:val="939" w:hRule="atLeast"/>
        </w:trPr>
        <w:tc>
          <w:tcPr>
            <w:tcW w:w="106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2"/>
                <w:szCs w:val="22"/>
                <w:highlight w:val="none"/>
              </w:rPr>
            </w:pPr>
            <w:r>
              <w:rPr>
                <w:rFonts w:hint="eastAsia" w:ascii="仿宋" w:hAnsi="仿宋" w:eastAsia="仿宋" w:cs="仿宋"/>
                <w:color w:val="000000"/>
                <w:kern w:val="0"/>
                <w:sz w:val="22"/>
                <w:szCs w:val="22"/>
                <w:highlight w:val="none"/>
                <w:lang w:val="en-US" w:bidi="ar"/>
              </w:rPr>
              <w:t>蛋白</w:t>
            </w:r>
          </w:p>
        </w:tc>
        <w:tc>
          <w:tcPr>
            <w:tcW w:w="187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2"/>
                <w:szCs w:val="22"/>
                <w:highlight w:val="none"/>
              </w:rPr>
            </w:pPr>
            <w:r>
              <w:rPr>
                <w:rFonts w:hint="eastAsia" w:ascii="仿宋" w:hAnsi="仿宋" w:eastAsia="仿宋" w:cs="仿宋"/>
                <w:color w:val="000000"/>
                <w:kern w:val="0"/>
                <w:sz w:val="22"/>
                <w:szCs w:val="22"/>
                <w:highlight w:val="none"/>
                <w:lang w:val="en-US" w:bidi="ar"/>
              </w:rPr>
              <w:t>粘稠、透明，浓蛋白、稀蛋白清晰可辨</w:t>
            </w:r>
          </w:p>
        </w:tc>
        <w:tc>
          <w:tcPr>
            <w:tcW w:w="219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2"/>
                <w:szCs w:val="22"/>
                <w:highlight w:val="none"/>
              </w:rPr>
            </w:pPr>
            <w:r>
              <w:rPr>
                <w:rFonts w:hint="eastAsia" w:ascii="仿宋" w:hAnsi="仿宋" w:eastAsia="仿宋" w:cs="仿宋"/>
                <w:color w:val="000000"/>
                <w:kern w:val="0"/>
                <w:sz w:val="22"/>
                <w:szCs w:val="22"/>
                <w:highlight w:val="none"/>
                <w:lang w:val="en-US" w:bidi="ar"/>
              </w:rPr>
              <w:t>较粘稠、透明，浓蛋白、稀蛋白清晰可辨</w:t>
            </w:r>
          </w:p>
        </w:tc>
        <w:tc>
          <w:tcPr>
            <w:tcW w:w="3249"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2"/>
                <w:szCs w:val="22"/>
                <w:highlight w:val="none"/>
              </w:rPr>
            </w:pPr>
            <w:r>
              <w:rPr>
                <w:rFonts w:hint="eastAsia" w:ascii="仿宋" w:hAnsi="仿宋" w:eastAsia="仿宋" w:cs="仿宋"/>
                <w:color w:val="000000"/>
                <w:kern w:val="0"/>
                <w:sz w:val="22"/>
                <w:szCs w:val="22"/>
                <w:highlight w:val="none"/>
                <w:lang w:val="en-US" w:bidi="ar"/>
              </w:rPr>
              <w:t>较粘稠、透明</w:t>
            </w:r>
          </w:p>
        </w:tc>
      </w:tr>
      <w:tr>
        <w:tblPrEx>
          <w:tblCellMar>
            <w:top w:w="0" w:type="dxa"/>
            <w:left w:w="108" w:type="dxa"/>
            <w:bottom w:w="0" w:type="dxa"/>
            <w:right w:w="108" w:type="dxa"/>
          </w:tblCellMar>
        </w:tblPrEx>
        <w:trPr>
          <w:trHeight w:val="630" w:hRule="atLeast"/>
        </w:trPr>
        <w:tc>
          <w:tcPr>
            <w:tcW w:w="106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2"/>
                <w:szCs w:val="22"/>
                <w:highlight w:val="none"/>
              </w:rPr>
            </w:pPr>
            <w:r>
              <w:rPr>
                <w:rFonts w:hint="eastAsia" w:ascii="仿宋" w:hAnsi="仿宋" w:eastAsia="仿宋" w:cs="仿宋"/>
                <w:color w:val="000000"/>
                <w:kern w:val="0"/>
                <w:sz w:val="22"/>
                <w:szCs w:val="22"/>
                <w:highlight w:val="none"/>
                <w:lang w:val="en-US" w:bidi="ar"/>
              </w:rPr>
              <w:t>蛋黄</w:t>
            </w:r>
          </w:p>
        </w:tc>
        <w:tc>
          <w:tcPr>
            <w:tcW w:w="187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2"/>
                <w:szCs w:val="22"/>
                <w:highlight w:val="none"/>
              </w:rPr>
            </w:pPr>
            <w:r>
              <w:rPr>
                <w:rFonts w:hint="eastAsia" w:ascii="仿宋" w:hAnsi="仿宋" w:eastAsia="仿宋" w:cs="仿宋"/>
                <w:color w:val="000000"/>
                <w:kern w:val="0"/>
                <w:sz w:val="22"/>
                <w:szCs w:val="22"/>
                <w:highlight w:val="none"/>
                <w:lang w:val="en-US" w:bidi="ar"/>
              </w:rPr>
              <w:t>居中，轮廓清晰，胚胎未发育</w:t>
            </w:r>
          </w:p>
        </w:tc>
        <w:tc>
          <w:tcPr>
            <w:tcW w:w="219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2"/>
                <w:szCs w:val="22"/>
                <w:highlight w:val="none"/>
              </w:rPr>
            </w:pPr>
            <w:r>
              <w:rPr>
                <w:rFonts w:hint="eastAsia" w:ascii="仿宋" w:hAnsi="仿宋" w:eastAsia="仿宋" w:cs="仿宋"/>
                <w:color w:val="000000"/>
                <w:kern w:val="0"/>
                <w:sz w:val="22"/>
                <w:szCs w:val="22"/>
                <w:highlight w:val="none"/>
                <w:lang w:val="en-US" w:bidi="ar"/>
              </w:rPr>
              <w:t>居中或稍偏，轮廓清晰，胚胎未发育</w:t>
            </w:r>
          </w:p>
        </w:tc>
        <w:tc>
          <w:tcPr>
            <w:tcW w:w="324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2"/>
                <w:szCs w:val="22"/>
                <w:highlight w:val="none"/>
              </w:rPr>
            </w:pPr>
            <w:r>
              <w:rPr>
                <w:rFonts w:hint="eastAsia" w:ascii="仿宋" w:hAnsi="仿宋" w:eastAsia="仿宋" w:cs="仿宋"/>
                <w:color w:val="000000"/>
                <w:kern w:val="0"/>
                <w:sz w:val="22"/>
                <w:szCs w:val="22"/>
                <w:highlight w:val="none"/>
                <w:lang w:val="en-US" w:bidi="ar"/>
              </w:rPr>
              <w:t>居中或稍偏，轮廓较清晰，胚胎未发育</w:t>
            </w:r>
          </w:p>
        </w:tc>
      </w:tr>
      <w:tr>
        <w:tblPrEx>
          <w:tblCellMar>
            <w:top w:w="0" w:type="dxa"/>
            <w:left w:w="108" w:type="dxa"/>
            <w:bottom w:w="0" w:type="dxa"/>
            <w:right w:w="108" w:type="dxa"/>
          </w:tblCellMar>
        </w:tblPrEx>
        <w:trPr>
          <w:trHeight w:val="324" w:hRule="atLeast"/>
        </w:trPr>
        <w:tc>
          <w:tcPr>
            <w:tcW w:w="106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2"/>
                <w:szCs w:val="22"/>
                <w:highlight w:val="none"/>
              </w:rPr>
            </w:pPr>
            <w:r>
              <w:rPr>
                <w:rFonts w:hint="eastAsia" w:ascii="仿宋" w:hAnsi="仿宋" w:eastAsia="仿宋" w:cs="仿宋"/>
                <w:color w:val="000000"/>
                <w:kern w:val="0"/>
                <w:sz w:val="22"/>
                <w:szCs w:val="22"/>
                <w:highlight w:val="none"/>
                <w:lang w:val="en-US" w:bidi="ar"/>
              </w:rPr>
              <w:t>异物</w:t>
            </w:r>
          </w:p>
        </w:tc>
        <w:tc>
          <w:tcPr>
            <w:tcW w:w="7312" w:type="dxa"/>
            <w:gridSpan w:val="3"/>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2"/>
                <w:szCs w:val="22"/>
                <w:highlight w:val="none"/>
              </w:rPr>
            </w:pPr>
            <w:r>
              <w:rPr>
                <w:rFonts w:hint="eastAsia" w:ascii="仿宋" w:hAnsi="仿宋" w:eastAsia="仿宋" w:cs="仿宋"/>
                <w:color w:val="000000"/>
                <w:kern w:val="0"/>
                <w:sz w:val="22"/>
                <w:szCs w:val="22"/>
                <w:highlight w:val="none"/>
                <w:lang w:val="en-US" w:bidi="ar"/>
              </w:rPr>
              <w:t>蛋内容物中无血斑、肉斑等异物</w:t>
            </w:r>
          </w:p>
        </w:tc>
      </w:tr>
      <w:tr>
        <w:tblPrEx>
          <w:tblCellMar>
            <w:top w:w="0" w:type="dxa"/>
            <w:left w:w="108" w:type="dxa"/>
            <w:bottom w:w="0" w:type="dxa"/>
            <w:right w:w="108" w:type="dxa"/>
          </w:tblCellMar>
        </w:tblPrEx>
        <w:trPr>
          <w:trHeight w:val="640" w:hRule="atLeast"/>
        </w:trPr>
        <w:tc>
          <w:tcPr>
            <w:tcW w:w="106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2"/>
                <w:szCs w:val="22"/>
                <w:highlight w:val="none"/>
              </w:rPr>
            </w:pPr>
            <w:r>
              <w:rPr>
                <w:rFonts w:hint="eastAsia" w:ascii="仿宋" w:hAnsi="仿宋" w:eastAsia="仿宋" w:cs="仿宋"/>
                <w:color w:val="000000"/>
                <w:kern w:val="0"/>
                <w:sz w:val="22"/>
                <w:szCs w:val="22"/>
                <w:highlight w:val="none"/>
                <w:lang w:val="en-US" w:bidi="ar"/>
              </w:rPr>
              <w:t>哈夫单位</w:t>
            </w:r>
          </w:p>
        </w:tc>
        <w:tc>
          <w:tcPr>
            <w:tcW w:w="1871"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2"/>
                <w:szCs w:val="22"/>
                <w:highlight w:val="none"/>
              </w:rPr>
            </w:pPr>
            <w:r>
              <w:rPr>
                <w:rFonts w:hint="eastAsia" w:ascii="仿宋" w:hAnsi="仿宋" w:eastAsia="仿宋" w:cs="仿宋"/>
                <w:color w:val="000000"/>
                <w:kern w:val="0"/>
                <w:sz w:val="22"/>
                <w:szCs w:val="22"/>
                <w:highlight w:val="none"/>
                <w:lang w:val="en-US" w:bidi="ar"/>
              </w:rPr>
              <w:t>≥72</w:t>
            </w:r>
          </w:p>
        </w:tc>
        <w:tc>
          <w:tcPr>
            <w:tcW w:w="219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2"/>
                <w:szCs w:val="22"/>
                <w:highlight w:val="none"/>
              </w:rPr>
            </w:pPr>
            <w:r>
              <w:rPr>
                <w:rFonts w:hint="eastAsia" w:ascii="仿宋" w:hAnsi="仿宋" w:eastAsia="仿宋" w:cs="仿宋"/>
                <w:color w:val="000000"/>
                <w:kern w:val="0"/>
                <w:sz w:val="22"/>
                <w:szCs w:val="22"/>
                <w:highlight w:val="none"/>
                <w:lang w:val="en-US" w:bidi="ar"/>
              </w:rPr>
              <w:t>≥60</w:t>
            </w:r>
          </w:p>
        </w:tc>
        <w:tc>
          <w:tcPr>
            <w:tcW w:w="3249"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22"/>
                <w:szCs w:val="22"/>
                <w:highlight w:val="none"/>
              </w:rPr>
            </w:pPr>
            <w:r>
              <w:rPr>
                <w:rFonts w:hint="eastAsia" w:ascii="仿宋" w:hAnsi="仿宋" w:eastAsia="仿宋" w:cs="仿宋"/>
                <w:color w:val="000000"/>
                <w:kern w:val="0"/>
                <w:sz w:val="22"/>
                <w:szCs w:val="22"/>
                <w:highlight w:val="none"/>
                <w:lang w:val="en-US" w:bidi="ar"/>
              </w:rPr>
              <w:t>≥55</w:t>
            </w:r>
          </w:p>
        </w:tc>
      </w:tr>
    </w:tbl>
    <w:p>
      <w:pPr>
        <w:pStyle w:val="15"/>
        <w:rPr>
          <w:rFonts w:hint="eastAsia" w:ascii="仿宋" w:hAnsi="仿宋" w:eastAsia="仿宋" w:cs="仿宋"/>
          <w:highlight w:val="none"/>
          <w:lang w:val="en-US"/>
        </w:rPr>
      </w:pPr>
    </w:p>
    <w:p>
      <w:pPr>
        <w:spacing w:line="500" w:lineRule="exact"/>
        <w:ind w:right="561" w:firstLine="480" w:firstLineChars="200"/>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鲜鸡蛋应根据SB/T10638-2011国内贸易行业标准中，鲜鸡蛋重量分级要求需满足L（-）和M（+）的分级要求，品质分级应至少符合A级分级要求。必须符合GB/T37108-2018及GB2749-2015国家标准中所涉及的各项指标参数，例如：理化指标、食品安全指标、污染物限量农药残留限量和兽药残留限量。</w:t>
      </w:r>
    </w:p>
    <w:p>
      <w:pPr>
        <w:spacing w:line="500" w:lineRule="exact"/>
        <w:ind w:right="561" w:firstLine="482" w:firstLineChars="200"/>
        <w:jc w:val="center"/>
        <w:rPr>
          <w:rFonts w:hint="eastAsia" w:ascii="仿宋" w:hAnsi="仿宋" w:eastAsia="仿宋" w:cs="仿宋"/>
          <w:b/>
          <w:bCs/>
          <w:sz w:val="24"/>
          <w:szCs w:val="24"/>
          <w:highlight w:val="none"/>
          <w:lang w:val="en-US"/>
        </w:rPr>
      </w:pPr>
    </w:p>
    <w:p>
      <w:pPr>
        <w:spacing w:line="500" w:lineRule="exact"/>
        <w:ind w:right="561" w:firstLine="482" w:firstLineChars="200"/>
        <w:jc w:val="center"/>
        <w:rPr>
          <w:rFonts w:hint="eastAsia" w:ascii="仿宋" w:hAnsi="仿宋" w:eastAsia="仿宋" w:cs="仿宋"/>
          <w:b/>
          <w:bCs/>
          <w:sz w:val="24"/>
          <w:szCs w:val="24"/>
          <w:highlight w:val="none"/>
          <w:lang w:val="en-US"/>
        </w:rPr>
      </w:pPr>
      <w:r>
        <w:rPr>
          <w:rFonts w:hint="eastAsia" w:ascii="仿宋" w:hAnsi="仿宋" w:eastAsia="仿宋" w:cs="仿宋"/>
          <w:b/>
          <w:bCs/>
          <w:sz w:val="24"/>
          <w:szCs w:val="24"/>
          <w:highlight w:val="none"/>
          <w:lang w:val="en-US"/>
        </w:rPr>
        <w:t>鸡蛋验收标准</w:t>
      </w:r>
    </w:p>
    <w:p>
      <w:pPr>
        <w:spacing w:line="500" w:lineRule="exact"/>
        <w:ind w:right="561"/>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1.每批次产品</w:t>
      </w:r>
      <w:r>
        <w:rPr>
          <w:rFonts w:hint="eastAsia" w:ascii="仿宋" w:hAnsi="仿宋" w:eastAsia="仿宋" w:cs="仿宋"/>
          <w:sz w:val="24"/>
          <w:szCs w:val="24"/>
          <w:highlight w:val="none"/>
        </w:rPr>
        <w:t>必须提供有关部门的检验检疫合格证。</w:t>
      </w:r>
      <w:r>
        <w:rPr>
          <w:rFonts w:hint="eastAsia" w:ascii="仿宋" w:hAnsi="仿宋" w:eastAsia="仿宋" w:cs="仿宋"/>
          <w:sz w:val="24"/>
          <w:szCs w:val="24"/>
          <w:highlight w:val="none"/>
          <w:lang w:val="en-US"/>
        </w:rPr>
        <w:t>如出现故意或无意不提供相关合格证的情况，验收人员有权当场拒收物资或扣除当批次货款。一年度累计三次不提供相关证明文件，甲方有权终止其供货资格。</w:t>
      </w:r>
    </w:p>
    <w:p>
      <w:pPr>
        <w:spacing w:line="500" w:lineRule="exact"/>
        <w:ind w:right="561"/>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2.不得供应超过生产日期10日的鸡蛋。</w:t>
      </w:r>
    </w:p>
    <w:p>
      <w:pPr>
        <w:spacing w:line="500" w:lineRule="exact"/>
        <w:ind w:right="561"/>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3.所供应的鲜鸡蛋检测报告结果必须符合国家标准《GB2748-2015鲜蛋卫生标准》，污染物限量应符合GB2762的规定、农药残限量GB2763和兽药残留限量、微生物限量（致病菌限量应符合GB29921的规定）。</w:t>
      </w:r>
    </w:p>
    <w:p>
      <w:pPr>
        <w:spacing w:line="500" w:lineRule="exact"/>
        <w:ind w:right="561"/>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4.大小均匀、无斑点、无粪便、无血迹、无污染、无明显颜色差异。</w:t>
      </w:r>
    </w:p>
    <w:p>
      <w:pPr>
        <w:spacing w:line="500" w:lineRule="exact"/>
        <w:ind w:right="561"/>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5.盛装鸡蛋的容器或包装物必须保持干净卫生，表面无菜叶、昆虫及各类污物，验收过程中发现产品及供应商载具整体卫生条件不符合食品卫生安全标准，甲方有权拒付被污物污染部分的货款。</w:t>
      </w:r>
    </w:p>
    <w:p>
      <w:pPr>
        <w:spacing w:line="500" w:lineRule="exact"/>
        <w:ind w:right="561"/>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rPr>
        <w:t>6.供应给各餐厅鸡蛋的破损率不应超过其订购总数的1%，超过1%-3%的部分的货款由供应商自行承担并在次日早上补充新一批次的鸡蛋，超出3%的部分甲方将拒付其款项。</w:t>
      </w:r>
    </w:p>
    <w:p>
      <w:pPr>
        <w:spacing w:line="500" w:lineRule="exact"/>
        <w:ind w:right="561"/>
        <w:jc w:val="center"/>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鹌鹑蛋（熟）验收标准</w:t>
      </w:r>
    </w:p>
    <w:p>
      <w:pPr>
        <w:spacing w:line="500" w:lineRule="exact"/>
        <w:ind w:right="561"/>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1.符合国家有个鹌鹑蛋（熟）质量标准。</w:t>
      </w:r>
    </w:p>
    <w:p>
      <w:pPr>
        <w:spacing w:line="500" w:lineRule="exact"/>
        <w:ind w:right="561"/>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2.鹌鹑蛋（熟）要求为去皮</w:t>
      </w:r>
    </w:p>
    <w:p>
      <w:pPr>
        <w:pStyle w:val="2"/>
        <w:rPr>
          <w:rFonts w:hint="eastAsia" w:ascii="仿宋" w:hAnsi="仿宋" w:eastAsia="仿宋" w:cs="仿宋"/>
          <w:b/>
          <w:bCs/>
          <w:sz w:val="24"/>
          <w:szCs w:val="24"/>
          <w:highlight w:val="none"/>
          <w:lang w:val="en-US" w:eastAsia="zh-CN"/>
        </w:rPr>
      </w:pPr>
    </w:p>
    <w:p>
      <w:pPr>
        <w:numPr>
          <w:ilvl w:val="0"/>
          <w:numId w:val="9"/>
        </w:numPr>
        <w:spacing w:line="360" w:lineRule="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主要商务要求：</w:t>
      </w:r>
    </w:p>
    <w:p>
      <w:pPr>
        <w:keepNext w:val="0"/>
        <w:keepLines w:val="0"/>
        <w:widowControl w:val="0"/>
        <w:numPr>
          <w:ilvl w:val="0"/>
          <w:numId w:val="10"/>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kern w:val="2"/>
          <w:sz w:val="24"/>
          <w:szCs w:val="24"/>
          <w:highlight w:val="none"/>
        </w:rPr>
      </w:pPr>
      <w:r>
        <w:rPr>
          <w:rFonts w:hint="eastAsia" w:ascii="仿宋" w:hAnsi="仿宋" w:eastAsia="仿宋" w:cs="仿宋"/>
          <w:b/>
          <w:bCs/>
          <w:kern w:val="2"/>
          <w:sz w:val="24"/>
          <w:szCs w:val="24"/>
          <w:highlight w:val="none"/>
          <w:lang w:val="en-US" w:eastAsia="zh-CN" w:bidi="ar"/>
        </w:rPr>
        <w:t>合同履约期限：</w:t>
      </w:r>
      <w:r>
        <w:rPr>
          <w:rFonts w:hint="eastAsia" w:ascii="仿宋" w:hAnsi="仿宋" w:eastAsia="仿宋" w:cs="仿宋"/>
          <w:kern w:val="2"/>
          <w:sz w:val="24"/>
          <w:szCs w:val="24"/>
          <w:highlight w:val="none"/>
          <w:lang w:val="en-US" w:eastAsia="zh-CN" w:bidi="ar"/>
        </w:rPr>
        <w:t>合同签订之日起一年</w:t>
      </w:r>
    </w:p>
    <w:p>
      <w:pPr>
        <w:keepNext w:val="0"/>
        <w:keepLines w:val="0"/>
        <w:widowControl w:val="0"/>
        <w:numPr>
          <w:ilvl w:val="0"/>
          <w:numId w:val="10"/>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kern w:val="2"/>
          <w:sz w:val="24"/>
          <w:szCs w:val="24"/>
          <w:highlight w:val="none"/>
        </w:rPr>
      </w:pPr>
      <w:r>
        <w:rPr>
          <w:rFonts w:hint="eastAsia" w:ascii="仿宋" w:hAnsi="仿宋" w:eastAsia="仿宋" w:cs="仿宋"/>
          <w:b/>
          <w:bCs/>
          <w:kern w:val="2"/>
          <w:sz w:val="24"/>
          <w:szCs w:val="24"/>
          <w:highlight w:val="none"/>
          <w:lang w:val="en-US" w:eastAsia="zh-CN" w:bidi="ar"/>
        </w:rPr>
        <w:t>标的提供的地点：</w:t>
      </w:r>
      <w:r>
        <w:rPr>
          <w:rFonts w:hint="eastAsia" w:ascii="仿宋" w:hAnsi="仿宋" w:eastAsia="仿宋" w:cs="仿宋"/>
          <w:kern w:val="2"/>
          <w:sz w:val="24"/>
          <w:szCs w:val="24"/>
          <w:highlight w:val="none"/>
          <w:lang w:val="en-US" w:eastAsia="zh-CN" w:bidi="ar"/>
        </w:rPr>
        <w:t>新疆师范大学</w:t>
      </w:r>
    </w:p>
    <w:p>
      <w:pPr>
        <w:keepNext w:val="0"/>
        <w:keepLines w:val="0"/>
        <w:widowControl w:val="0"/>
        <w:numPr>
          <w:ilvl w:val="0"/>
          <w:numId w:val="10"/>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kern w:val="2"/>
          <w:sz w:val="24"/>
          <w:szCs w:val="24"/>
          <w:highlight w:val="none"/>
        </w:rPr>
      </w:pPr>
      <w:r>
        <w:rPr>
          <w:rFonts w:hint="eastAsia" w:ascii="仿宋" w:hAnsi="仿宋" w:eastAsia="仿宋" w:cs="仿宋"/>
          <w:b/>
          <w:bCs/>
          <w:kern w:val="2"/>
          <w:sz w:val="24"/>
          <w:szCs w:val="24"/>
          <w:highlight w:val="none"/>
          <w:lang w:val="en-US" w:eastAsia="zh-CN" w:bidi="ar"/>
        </w:rPr>
        <w:t>付款方式：</w:t>
      </w:r>
      <w:r>
        <w:rPr>
          <w:rFonts w:hint="eastAsia" w:ascii="仿宋" w:hAnsi="仿宋" w:eastAsia="仿宋" w:cs="仿宋"/>
          <w:kern w:val="2"/>
          <w:sz w:val="24"/>
          <w:szCs w:val="24"/>
          <w:highlight w:val="none"/>
          <w:lang w:val="en-US" w:eastAsia="zh-CN" w:bidi="ar"/>
        </w:rPr>
        <w:t>结账采用先使用后结账的方式，中标供应商按采购人要求完成当月供货，在餐厅正常使用并向中心反馈无质量问题后，于次月10日前凭国家正式发票向采购人申请付款，经校财务审批程序进行结账。次月20日结算货款，如遇节假日、寒暑假等特殊情况，另行通知。</w:t>
      </w:r>
    </w:p>
    <w:p>
      <w:pPr>
        <w:keepNext w:val="0"/>
        <w:keepLines w:val="0"/>
        <w:widowControl w:val="0"/>
        <w:numPr>
          <w:ilvl w:val="0"/>
          <w:numId w:val="10"/>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b/>
          <w:bCs/>
          <w:kern w:val="2"/>
          <w:sz w:val="24"/>
          <w:szCs w:val="24"/>
          <w:highlight w:val="none"/>
        </w:rPr>
      </w:pPr>
      <w:r>
        <w:rPr>
          <w:rFonts w:hint="eastAsia" w:ascii="仿宋" w:hAnsi="仿宋" w:eastAsia="仿宋" w:cs="仿宋"/>
          <w:b/>
          <w:bCs/>
          <w:kern w:val="2"/>
          <w:sz w:val="24"/>
          <w:szCs w:val="24"/>
          <w:highlight w:val="none"/>
          <w:lang w:val="en-US" w:eastAsia="zh-CN" w:bidi="ar"/>
        </w:rPr>
        <w:t>验收要求：</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4.1 按本需求书的质量要求及验收标准进行验收。</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4.2 双方对质量有争议，如需将货物送至具有资质的质量检测机构检测的，若检测结果合格，检测费用由采购人支付。若检测结果不合格，则检测费用由中标供应商支付，采购人将该批次货物退货，中标供应商除重新配送合格物资外，同时扣除30%履约保证金。</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lang w:val="en-US" w:eastAsia="zh-CN" w:bidi="ar"/>
        </w:rPr>
      </w:pPr>
      <w:r>
        <w:rPr>
          <w:rFonts w:hint="eastAsia" w:ascii="仿宋" w:hAnsi="仿宋" w:eastAsia="仿宋" w:cs="仿宋"/>
          <w:b w:val="0"/>
          <w:bCs w:val="0"/>
          <w:kern w:val="2"/>
          <w:sz w:val="24"/>
          <w:szCs w:val="24"/>
          <w:highlight w:val="none"/>
          <w:lang w:val="en-US" w:eastAsia="zh-CN" w:bidi="ar"/>
        </w:rPr>
        <w:t>4.3 合同期内，采购人对货物质量进行日常任意抽查，若发现货物质量（含包装）不合格，中标供应商必对该批次产品作出更换、退货，并扣除20%履约保证金，情节严重的按解除合同等方式处理。合同期内两次抽查发现不合格的（可为相同或不同货物），则扣除全部履约保证金并解除合同。</w:t>
      </w:r>
    </w:p>
    <w:p>
      <w:pPr>
        <w:keepNext w:val="0"/>
        <w:keepLines w:val="0"/>
        <w:widowControl w:val="0"/>
        <w:numPr>
          <w:ilvl w:val="0"/>
          <w:numId w:val="10"/>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b/>
          <w:bCs/>
          <w:kern w:val="2"/>
          <w:sz w:val="24"/>
          <w:szCs w:val="24"/>
          <w:highlight w:val="none"/>
        </w:rPr>
      </w:pPr>
      <w:r>
        <w:rPr>
          <w:rFonts w:hint="eastAsia" w:ascii="仿宋" w:hAnsi="仿宋" w:eastAsia="仿宋" w:cs="仿宋"/>
          <w:b/>
          <w:bCs/>
          <w:kern w:val="2"/>
          <w:sz w:val="24"/>
          <w:szCs w:val="24"/>
          <w:highlight w:val="none"/>
          <w:lang w:val="en-US" w:eastAsia="zh-CN" w:bidi="ar"/>
        </w:rPr>
        <w:t>履约保证金</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5.1 合同签订后十个工作日内，中标供应商须向采购人支付中标金额10%（最高不超过30万元）作为履约保证金。在中标供应商完成其合同义务，包括任何保证义务后30日内，采购人一次性无息退还保证金。履约保证金以银行转账、支票、汇票、本票等非现金形式提交。</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5.2 发生以下情形，经调查属实的，扣除5%履约保证金：</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（1）未按要求随货提供相关票证；</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（2）未按采购人采购计划的时间、数量供货，并未影响伙食供应的（提前一天与采购人协商，且未影响职工食堂伙食供应的除外）；</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（3）未按采购人指定秩序卸货；</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（4）货物出现质量问题，供应商不积极配合查找原因，不及时反馈处理结果。</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5.2 发生以下情形，经调查属实的，扣除10%履约保证金：</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（1）中标供应商供应货物品种、品牌、规格与合同不符，并且超过1小时不予以解决问题的，每次按相应货款金额予以处罚并且扣除10%履约保证金，合同期内累计三次合同自动终止；</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（2）提供虚假检验报告等相关票证；</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（3）因退货或未按采购人采购计划数量、时间供应，造成采购人伙食无法按时供应，每次按相应货款金额予以处罚并且扣除10%履约保证金，合同期内累计三次合同自动终止；；</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（4）把采购人验收不合格退货的货物重新配送给采购人；</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（5）在包装、运输、装卸等环节不符合食品安全要求；</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（6）组织机构发生调整，或经营场所、联系人、联系方式变更，未及时通知采购人业务部门，造成无法及时联系；</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（7）食品溯源管理制度不落实，进货查验记录不全。</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5.3 供应商有以下行为，经调查属实的，采购人将立即解除相关供应合同，履约保证金不退还：</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（1）弄虚作假，提供虚假材料取得中标供应资格的；</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（2）中标供应项目有转包、分包行为的；</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（3）无正当理由拒绝履行合同向采购人供货的；</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（4）有行贿等不正当竞争行为的；</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（5）因所供货物质量原因导致狱内发生食品安全事故的；</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（6）所供应货物存在故意假冒伪劣行为的；</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5.4 如在合同执行期间因中标供应商违约导致履约保证金部分扣除，中标供应商需在五个工作日内将扣除的履约保证金补齐，未按时补齐的，采购人有权从应付货款中扣除相应款项进行补齐。</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5.5 如中标供应商在合同执行过程需终止执行合同的，需提前两个月以书面形式告知采购人，否则按单方面终止执行合同处理，履约保证金不退还。</w:t>
      </w:r>
    </w:p>
    <w:p>
      <w:pPr>
        <w:pStyle w:val="2"/>
        <w:rPr>
          <w:rFonts w:hint="eastAsia" w:ascii="仿宋" w:hAnsi="仿宋" w:eastAsia="仿宋" w:cs="仿宋"/>
          <w:highlight w:val="none"/>
        </w:rPr>
      </w:pPr>
    </w:p>
    <w:p>
      <w:pPr>
        <w:keepNext w:val="0"/>
        <w:keepLines w:val="0"/>
        <w:widowControl w:val="0"/>
        <w:numPr>
          <w:ilvl w:val="0"/>
          <w:numId w:val="10"/>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b/>
          <w:bCs/>
          <w:kern w:val="2"/>
          <w:sz w:val="24"/>
          <w:szCs w:val="24"/>
          <w:highlight w:val="none"/>
        </w:rPr>
      </w:pPr>
      <w:r>
        <w:rPr>
          <w:rFonts w:hint="eastAsia" w:ascii="仿宋" w:hAnsi="仿宋" w:eastAsia="仿宋" w:cs="仿宋"/>
          <w:b/>
          <w:bCs/>
          <w:kern w:val="2"/>
          <w:sz w:val="24"/>
          <w:szCs w:val="24"/>
          <w:highlight w:val="none"/>
          <w:lang w:val="en-US" w:eastAsia="zh-CN" w:bidi="ar"/>
        </w:rPr>
        <w:t>报价要求</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6.1 投标报价包含产品价格、运输、装卸、售后服务、保险、搬运费、税金等</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lang w:val="en-US" w:eastAsia="zh-CN" w:bidi="ar"/>
        </w:rPr>
      </w:pPr>
      <w:r>
        <w:rPr>
          <w:rFonts w:hint="eastAsia" w:ascii="仿宋" w:hAnsi="仿宋" w:eastAsia="仿宋" w:cs="仿宋"/>
          <w:b w:val="0"/>
          <w:bCs w:val="0"/>
          <w:kern w:val="2"/>
          <w:sz w:val="24"/>
          <w:szCs w:val="24"/>
          <w:highlight w:val="none"/>
          <w:lang w:val="en-US" w:eastAsia="zh-CN" w:bidi="ar"/>
        </w:rPr>
        <w:t>一切费用。</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6.2  鸡蛋采用参照物资参照北园春市场官网公布的价格行情中间价投报“投标下浮率（%）”的方式，即单价报价=北园春市场中间价×（1-投标下浮率）。有效报价区间为：3.00%≤投标下浮率＜100.00%。投标人若中标，其所报的下浮率将作为结算依据。在执行合同中不予调整。</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lang w:val="en-US" w:eastAsia="zh-CN" w:bidi="ar"/>
        </w:rPr>
      </w:pPr>
      <w:r>
        <w:rPr>
          <w:rFonts w:hint="eastAsia" w:ascii="仿宋" w:hAnsi="仿宋" w:eastAsia="仿宋" w:cs="仿宋"/>
          <w:b w:val="0"/>
          <w:bCs w:val="0"/>
          <w:kern w:val="2"/>
          <w:sz w:val="24"/>
          <w:szCs w:val="24"/>
          <w:highlight w:val="none"/>
          <w:lang w:val="en-US" w:eastAsia="zh-CN" w:bidi="ar"/>
        </w:rPr>
        <w:t>6.3 鹌鹑蛋（熟）参照物资单价最高限价投报单价的方式，投标人若中标，其所报的单价将作为结算依据。在合同执行过程中不予调整。</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lang w:val="en-US" w:eastAsia="zh-CN" w:bidi="ar"/>
        </w:rPr>
      </w:pPr>
      <w:r>
        <w:rPr>
          <w:rFonts w:hint="eastAsia" w:ascii="仿宋" w:hAnsi="仿宋" w:eastAsia="仿宋" w:cs="仿宋"/>
          <w:b w:val="0"/>
          <w:bCs w:val="0"/>
          <w:kern w:val="2"/>
          <w:sz w:val="24"/>
          <w:szCs w:val="24"/>
          <w:highlight w:val="none"/>
          <w:lang w:val="en-US" w:eastAsia="zh-CN" w:bidi="ar"/>
        </w:rPr>
        <w:t>6.4 本项目投标下浮率必须是唯一固定的值（须保留两位小数),不得存在区间值（如5.00~8.00%)。</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lang w:val="en-US" w:eastAsia="zh-CN" w:bidi="ar"/>
        </w:rPr>
      </w:pPr>
      <w:r>
        <w:rPr>
          <w:rFonts w:hint="eastAsia" w:ascii="仿宋" w:hAnsi="仿宋" w:eastAsia="仿宋" w:cs="仿宋"/>
          <w:b w:val="0"/>
          <w:bCs w:val="0"/>
          <w:kern w:val="2"/>
          <w:sz w:val="24"/>
          <w:szCs w:val="24"/>
          <w:highlight w:val="none"/>
          <w:lang w:val="en-US" w:eastAsia="zh-CN" w:bidi="ar"/>
        </w:rPr>
        <w:t>6.5 投标人报价时应充分考虑合同期内因原材料、人员工资、运输等成本上涨所带来的风险，以及本项目配送地点所带来的运输成本。</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lang w:val="en-US" w:eastAsia="zh-CN" w:bidi="ar"/>
        </w:rPr>
      </w:pPr>
      <w:r>
        <w:rPr>
          <w:rFonts w:hint="eastAsia" w:ascii="仿宋" w:hAnsi="仿宋" w:eastAsia="仿宋" w:cs="仿宋"/>
          <w:b w:val="0"/>
          <w:bCs w:val="0"/>
          <w:kern w:val="2"/>
          <w:sz w:val="24"/>
          <w:szCs w:val="24"/>
          <w:highlight w:val="none"/>
          <w:lang w:val="en-US" w:eastAsia="zh-CN" w:bidi="ar"/>
        </w:rPr>
        <w:t>6.6  鸡蛋采用北园春市场官网公布的供货当日的价格行情中间价×（1-投标下浮率）作为最终结算价格。</w:t>
      </w:r>
    </w:p>
    <w:p>
      <w:pPr>
        <w:keepNext w:val="0"/>
        <w:keepLines w:val="0"/>
        <w:widowControl w:val="0"/>
        <w:numPr>
          <w:ilvl w:val="0"/>
          <w:numId w:val="10"/>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b/>
          <w:bCs/>
          <w:kern w:val="2"/>
          <w:sz w:val="24"/>
          <w:szCs w:val="24"/>
          <w:highlight w:val="none"/>
        </w:rPr>
      </w:pPr>
      <w:r>
        <w:rPr>
          <w:rFonts w:hint="eastAsia" w:ascii="仿宋" w:hAnsi="仿宋" w:eastAsia="仿宋" w:cs="仿宋"/>
          <w:b/>
          <w:bCs/>
          <w:kern w:val="2"/>
          <w:sz w:val="24"/>
          <w:szCs w:val="24"/>
          <w:highlight w:val="none"/>
          <w:lang w:val="en-US" w:eastAsia="zh-CN" w:bidi="ar"/>
        </w:rPr>
        <w:t>配送要求</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（一）全部货物由中标供应商按照采购计划清单要求，将货物送至新疆师范大学指定地点并负责卸货，卸货完毕后将卸货点卫生清理干净。</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二）首次供应时，应提供中标供应商的《营业执照》、配送人员的身份证复印件、健康证等证照复印件予采购人存档。每次供应时应向采购人提供加盖公章的货物清单（送货单）。每批次鸡蛋需提供《食用农产品合格证》。</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（三）运输要求：厢式货车或冷藏（保鲜）车不少于3辆，整个过程应科学合理，运输必须采用符合卫生要求的外包装和运载工具，并且要保持清洁和定其他期消毒，车厢内无不良气味、异味。</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（四）商品包装要求：容器(框、箱、袋、桶)要求清洁、干燥、牢固、无异味、无霉变现象，食品包装符合国家有关法规、标准的要求，包装完好无破损。</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五）送货时间：合同签订所有物资按采购人要求供应。采购人根据实际需求，提前一天，以微信、电话等方式将需求计划通知中标供应商，第二天早上12:30之前中标供应商送至餐厅或中心冷库。经中心验收后入库，交货时提供每批货物相关手续及文件。对采购人临时性的供货要求需随订随送，并须在接到电话后2个小时内响应。中标供应商在接到通知后备齐货物，按时送达交货地点。中标供应商除不可抗力，不得因其他任何理由延迟送货。采购人如遇特殊情况需推迟送货，应提前通知中标供应商。中标供应商不能按时、按质、按量供货，导致采购人无法正常供应伙食的，采购人有权自行采购同等质量的货物，由此造成的经济损失和责任均由中标供应商承担，并承担违约责任。</w:t>
      </w:r>
    </w:p>
    <w:p>
      <w:pPr>
        <w:keepNext w:val="0"/>
        <w:keepLines w:val="0"/>
        <w:widowControl w:val="0"/>
        <w:numPr>
          <w:ilvl w:val="0"/>
          <w:numId w:val="10"/>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b/>
          <w:bCs/>
          <w:kern w:val="2"/>
          <w:sz w:val="24"/>
          <w:szCs w:val="24"/>
          <w:highlight w:val="none"/>
        </w:rPr>
      </w:pPr>
      <w:r>
        <w:rPr>
          <w:rFonts w:hint="eastAsia" w:ascii="仿宋" w:hAnsi="仿宋" w:eastAsia="仿宋" w:cs="仿宋"/>
          <w:b/>
          <w:bCs/>
          <w:kern w:val="2"/>
          <w:sz w:val="24"/>
          <w:szCs w:val="24"/>
          <w:highlight w:val="none"/>
          <w:lang w:val="en-US" w:eastAsia="zh-CN" w:bidi="ar"/>
        </w:rPr>
        <w:t>中标供应商的管理要求</w:t>
      </w:r>
    </w:p>
    <w:p>
      <w:pPr>
        <w:keepNext w:val="0"/>
        <w:keepLines w:val="0"/>
        <w:widowControl w:val="0"/>
        <w:numPr>
          <w:ilvl w:val="0"/>
          <w:numId w:val="11"/>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必须依据国家有关法律法规要求建立健全各项管理制度，保证食品安全，有明确的食品安全责任人。因所供货物质量原因导致采购人发生食品安全事故，除解除合同、扣除全部履约保证金外，中标供应商还需赔偿采购人救治经费及误工损失。</w:t>
      </w:r>
    </w:p>
    <w:p>
      <w:pPr>
        <w:keepNext w:val="0"/>
        <w:keepLines w:val="0"/>
        <w:widowControl w:val="0"/>
        <w:numPr>
          <w:ilvl w:val="0"/>
          <w:numId w:val="11"/>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按合同约定的标的供货，中标供应商不得转包、分包，否则采购人有权单方面终止合同，项目另行处理，中标供应商须承担由此造成的经济损失，且履约保证金不退还。</w:t>
      </w:r>
    </w:p>
    <w:p>
      <w:pPr>
        <w:keepNext w:val="0"/>
        <w:keepLines w:val="0"/>
        <w:widowControl w:val="0"/>
        <w:numPr>
          <w:ilvl w:val="0"/>
          <w:numId w:val="11"/>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中标供应商应严格按合同要求（含品牌、规格、品种、质量等）供应，不得变更供应商品，否则，采购人有权退货。</w:t>
      </w:r>
    </w:p>
    <w:p>
      <w:pPr>
        <w:keepNext w:val="0"/>
        <w:keepLines w:val="0"/>
        <w:widowControl w:val="0"/>
        <w:numPr>
          <w:ilvl w:val="0"/>
          <w:numId w:val="11"/>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采购人按合同对商品进行严格验收，对不符合规格要求的商品，供应商必须无条件退货或更换。</w:t>
      </w:r>
    </w:p>
    <w:p>
      <w:pPr>
        <w:keepNext w:val="0"/>
        <w:keepLines w:val="0"/>
        <w:widowControl w:val="0"/>
        <w:numPr>
          <w:ilvl w:val="0"/>
          <w:numId w:val="11"/>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中标供应商须按供应商品的销售额开具国家正式发票。</w:t>
      </w:r>
    </w:p>
    <w:p>
      <w:pPr>
        <w:keepNext w:val="0"/>
        <w:keepLines w:val="0"/>
        <w:widowControl w:val="0"/>
        <w:numPr>
          <w:ilvl w:val="0"/>
          <w:numId w:val="11"/>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 xml:space="preserve">食品溯源要求。食品供应链必须明确，所有食品的来源必须清晰，来源应当是受到地方政府部门监管的流通市场，生产食品的源头与供应商要有固定的合法的供应关系。供应商应保存以下资料： 1.供应商与生产企业的销售合同； 2.生产企业的送货单和销售发票； 3.供应商与采购方的采购合同及送货单据、销售发票、检疫合格证明文件。 </w:t>
      </w:r>
    </w:p>
    <w:p>
      <w:pPr>
        <w:keepNext w:val="0"/>
        <w:keepLines w:val="0"/>
        <w:widowControl w:val="0"/>
        <w:numPr>
          <w:ilvl w:val="0"/>
          <w:numId w:val="11"/>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索赔：</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1．经采购人及中标供应商双方现场确认后，采购人对中标供应商供应的食品质量有异议，采购人有权根据有关政府部门的检验结果向中标供应商提出索赔。</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2.中标供应商在供应过程中，如果出现质量问题或造成食物中毒等情况，经查实后确属中标供应商责任，中标供应商应承担由此造成的全部法律责任及经济赔偿损失（包括但不限于食物中毒人员医疗费、误工费、事故处理费等）</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3.如果在采购人发出索赔通知后30天内，中标供应商未作答复，上述索赔应视为已被中标供应商接受。采购人将从合同款项中扣回索赔金额。如果这些金额不足以补偿索赔金额，采购人有权向中标供应商提出不足部分的补偿。</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4.由于学校工作的特殊性，中标供应商及外来送货人员须无条件服从并遵守好学校的最新疫情防控措施和其他相关管理规定，配合好学校疫情防控工作，违反相关防疫规定所造成的一切后果均由中标供应商承担相应责任。</w:t>
      </w:r>
    </w:p>
    <w:p>
      <w:pPr>
        <w:pStyle w:val="2"/>
        <w:spacing w:line="360" w:lineRule="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br w:type="page"/>
      </w:r>
    </w:p>
    <w:p>
      <w:pPr>
        <w:pStyle w:val="5"/>
        <w:rPr>
          <w:rFonts w:hint="eastAsia" w:ascii="仿宋" w:hAnsi="仿宋" w:eastAsia="仿宋" w:cs="仿宋"/>
          <w:highlight w:val="none"/>
          <w:lang w:val="en-US" w:eastAsia="zh-CN"/>
        </w:rPr>
      </w:pPr>
    </w:p>
    <w:p>
      <w:pPr>
        <w:pStyle w:val="3"/>
        <w:numPr>
          <w:ilvl w:val="0"/>
          <w:numId w:val="1"/>
        </w:numPr>
        <w:bidi w:val="0"/>
        <w:jc w:val="center"/>
        <w:rPr>
          <w:rFonts w:hint="eastAsia" w:ascii="仿宋" w:hAnsi="仿宋" w:eastAsia="仿宋" w:cs="仿宋"/>
          <w:sz w:val="32"/>
          <w:szCs w:val="32"/>
          <w:highlight w:val="none"/>
          <w:lang w:val="en-US" w:eastAsia="zh-CN"/>
        </w:rPr>
      </w:pPr>
      <w:bookmarkStart w:id="27" w:name="_Toc21893"/>
      <w:r>
        <w:rPr>
          <w:rFonts w:hint="eastAsia" w:ascii="仿宋" w:hAnsi="仿宋" w:eastAsia="仿宋" w:cs="仿宋"/>
          <w:sz w:val="32"/>
          <w:szCs w:val="32"/>
          <w:highlight w:val="none"/>
          <w:lang w:val="en-US" w:eastAsia="zh-CN"/>
        </w:rPr>
        <w:t>评标程序、评标方法和评标标准</w:t>
      </w:r>
      <w:bookmarkEnd w:id="27"/>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p>
    <w:p>
      <w:pPr>
        <w:keepNext w:val="0"/>
        <w:keepLines w:val="0"/>
        <w:pageBreakBefore w:val="0"/>
        <w:widowControl w:val="0"/>
        <w:numPr>
          <w:ilvl w:val="0"/>
          <w:numId w:val="12"/>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b/>
          <w:bCs/>
          <w:sz w:val="24"/>
          <w:szCs w:val="24"/>
          <w:highlight w:val="none"/>
          <w:lang w:val="en-US" w:eastAsia="zh-CN"/>
        </w:rPr>
      </w:pPr>
      <w:bookmarkStart w:id="28" w:name="_Toc27440"/>
      <w:r>
        <w:rPr>
          <w:rFonts w:hint="eastAsia" w:ascii="仿宋" w:hAnsi="仿宋" w:eastAsia="仿宋" w:cs="仿宋"/>
          <w:b/>
          <w:bCs/>
          <w:sz w:val="24"/>
          <w:szCs w:val="24"/>
          <w:highlight w:val="none"/>
          <w:lang w:val="en-US" w:eastAsia="zh-CN"/>
        </w:rPr>
        <w:t>评标方法</w:t>
      </w:r>
      <w:bookmarkEnd w:id="28"/>
      <w:r>
        <w:rPr>
          <w:rFonts w:hint="eastAsia" w:ascii="仿宋" w:hAnsi="仿宋" w:eastAsia="仿宋" w:cs="仿宋"/>
          <w:b/>
          <w:bCs/>
          <w:sz w:val="24"/>
          <w:szCs w:val="24"/>
          <w:highlight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本项目采用综合评分法，是指投标文件满足招标文件全部实质性要求，且按照评审因素的量化指标评审得分最高的投标人为中标候选人的评标方法。</w:t>
      </w:r>
    </w:p>
    <w:p>
      <w:pPr>
        <w:keepNext w:val="0"/>
        <w:keepLines w:val="0"/>
        <w:pageBreakBefore w:val="0"/>
        <w:widowControl w:val="0"/>
        <w:numPr>
          <w:ilvl w:val="0"/>
          <w:numId w:val="12"/>
        </w:numPr>
        <w:kinsoku/>
        <w:wordWrap/>
        <w:overflowPunct/>
        <w:topLinePunct w:val="0"/>
        <w:autoSpaceDE/>
        <w:autoSpaceDN/>
        <w:bidi w:val="0"/>
        <w:adjustRightInd/>
        <w:snapToGrid/>
        <w:spacing w:line="500" w:lineRule="exact"/>
        <w:ind w:left="0" w:leftChars="0" w:firstLine="0" w:firstLineChars="0"/>
        <w:jc w:val="both"/>
        <w:textAlignment w:val="auto"/>
        <w:outlineLvl w:val="1"/>
        <w:rPr>
          <w:rFonts w:hint="eastAsia" w:ascii="仿宋" w:hAnsi="仿宋" w:eastAsia="仿宋" w:cs="仿宋"/>
          <w:b/>
          <w:bCs/>
          <w:sz w:val="24"/>
          <w:szCs w:val="24"/>
          <w:highlight w:val="none"/>
          <w:lang w:val="en-US" w:eastAsia="zh-CN"/>
        </w:rPr>
      </w:pPr>
      <w:bookmarkStart w:id="29" w:name="_Toc12617"/>
      <w:r>
        <w:rPr>
          <w:rFonts w:hint="eastAsia" w:ascii="仿宋" w:hAnsi="仿宋" w:eastAsia="仿宋" w:cs="仿宋"/>
          <w:b/>
          <w:bCs/>
          <w:sz w:val="24"/>
          <w:szCs w:val="24"/>
          <w:highlight w:val="none"/>
          <w:lang w:val="en-US" w:eastAsia="zh-CN"/>
        </w:rPr>
        <w:t>评标原则</w:t>
      </w:r>
      <w:bookmarkEnd w:id="29"/>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val="0"/>
          <w:bCs w:val="0"/>
          <w:sz w:val="24"/>
          <w:szCs w:val="24"/>
          <w:highlight w:val="none"/>
          <w:lang w:val="en-US" w:eastAsia="zh-CN"/>
        </w:rPr>
        <w:t>评标活动遵循公平、公正、科学和择优的原则，以招标文件和投标文件为评标的基本依据，并按照招标文件规定的评标方法和评标标准进行评标。</w:t>
      </w: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具体评审事项由评标委员会负责，并按招标文件的规定办法进行评审。对招标文件中描述有歧义或前后不一致的地方，评标委员会有权按法律法规的规定进行评判，但对同一条款的评判应适用于每个投标人。</w:t>
      </w:r>
    </w:p>
    <w:p>
      <w:pPr>
        <w:keepNext w:val="0"/>
        <w:keepLines w:val="0"/>
        <w:pageBreakBefore w:val="0"/>
        <w:widowControl w:val="0"/>
        <w:numPr>
          <w:ilvl w:val="0"/>
          <w:numId w:val="12"/>
        </w:numPr>
        <w:kinsoku/>
        <w:wordWrap/>
        <w:overflowPunct/>
        <w:topLinePunct w:val="0"/>
        <w:autoSpaceDE/>
        <w:autoSpaceDN/>
        <w:bidi w:val="0"/>
        <w:adjustRightInd/>
        <w:snapToGrid/>
        <w:spacing w:line="500" w:lineRule="exact"/>
        <w:ind w:left="0" w:leftChars="0" w:firstLine="0" w:firstLineChars="0"/>
        <w:jc w:val="both"/>
        <w:textAlignment w:val="auto"/>
        <w:outlineLvl w:val="1"/>
        <w:rPr>
          <w:rFonts w:hint="eastAsia" w:ascii="仿宋" w:hAnsi="仿宋" w:eastAsia="仿宋" w:cs="仿宋"/>
          <w:b/>
          <w:bCs/>
          <w:sz w:val="24"/>
          <w:szCs w:val="24"/>
          <w:highlight w:val="none"/>
          <w:lang w:val="en-US" w:eastAsia="zh-CN"/>
        </w:rPr>
      </w:pPr>
      <w:bookmarkStart w:id="30" w:name="_Toc6046"/>
      <w:r>
        <w:rPr>
          <w:rFonts w:hint="eastAsia" w:ascii="仿宋" w:hAnsi="仿宋" w:eastAsia="仿宋" w:cs="仿宋"/>
          <w:b/>
          <w:bCs/>
          <w:sz w:val="24"/>
          <w:szCs w:val="24"/>
          <w:highlight w:val="none"/>
          <w:lang w:val="en-US" w:eastAsia="zh-CN"/>
        </w:rPr>
        <w:t>资格审查</w:t>
      </w:r>
      <w:bookmarkEnd w:id="30"/>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开标结束后，采购人或采购代理机构将根据《资格审查要求》中的规定，对投标人进行资格审查，以确定投标人是否具备投标资格，并形成资格审查结果。资格性审查中凡有其中任意一项未通过的，评审结果为未通过，未通过资格性审查的投标人按</w:t>
      </w:r>
      <w:r>
        <w:rPr>
          <w:rFonts w:hint="eastAsia" w:ascii="仿宋" w:hAnsi="仿宋" w:eastAsia="仿宋" w:cs="仿宋"/>
          <w:b/>
          <w:bCs/>
          <w:sz w:val="24"/>
          <w:szCs w:val="24"/>
          <w:highlight w:val="none"/>
          <w:lang w:val="en-US" w:eastAsia="zh-CN"/>
        </w:rPr>
        <w:t>无效投标</w:t>
      </w:r>
      <w:r>
        <w:rPr>
          <w:rFonts w:hint="eastAsia" w:ascii="仿宋" w:hAnsi="仿宋" w:eastAsia="仿宋" w:cs="仿宋"/>
          <w:b w:val="0"/>
          <w:bCs w:val="0"/>
          <w:sz w:val="24"/>
          <w:szCs w:val="24"/>
          <w:highlight w:val="none"/>
          <w:lang w:val="en-US" w:eastAsia="zh-CN"/>
        </w:rPr>
        <w:t>处理，不进入符合性审查。资格审查要求如下：</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center"/>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资格审查要求</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8"/>
        <w:gridCol w:w="2536"/>
        <w:gridCol w:w="52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21"/>
                <w:szCs w:val="21"/>
                <w:highlight w:val="none"/>
                <w:vertAlign w:val="baseline"/>
                <w:lang w:val="en-US" w:eastAsia="zh-CN"/>
              </w:rPr>
            </w:pPr>
            <w:r>
              <w:rPr>
                <w:rFonts w:hint="eastAsia" w:ascii="仿宋" w:hAnsi="仿宋" w:eastAsia="仿宋" w:cs="仿宋"/>
                <w:b/>
                <w:bCs/>
                <w:sz w:val="21"/>
                <w:szCs w:val="21"/>
                <w:highlight w:val="none"/>
                <w:vertAlign w:val="baseline"/>
                <w:lang w:val="en-US" w:eastAsia="zh-CN"/>
              </w:rPr>
              <w:t>序号</w:t>
            </w:r>
          </w:p>
        </w:tc>
        <w:tc>
          <w:tcPr>
            <w:tcW w:w="253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21"/>
                <w:szCs w:val="21"/>
                <w:highlight w:val="none"/>
                <w:vertAlign w:val="baseline"/>
                <w:lang w:val="en-US" w:eastAsia="zh-CN"/>
              </w:rPr>
            </w:pPr>
            <w:r>
              <w:rPr>
                <w:rFonts w:hint="eastAsia" w:ascii="仿宋" w:hAnsi="仿宋" w:eastAsia="仿宋" w:cs="仿宋"/>
                <w:b/>
                <w:bCs/>
                <w:sz w:val="21"/>
                <w:szCs w:val="21"/>
                <w:highlight w:val="none"/>
                <w:vertAlign w:val="baseline"/>
                <w:lang w:val="en-US" w:eastAsia="zh-CN"/>
              </w:rPr>
              <w:t>审查因素</w:t>
            </w:r>
          </w:p>
        </w:tc>
        <w:tc>
          <w:tcPr>
            <w:tcW w:w="522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21"/>
                <w:szCs w:val="21"/>
                <w:highlight w:val="none"/>
                <w:vertAlign w:val="baseline"/>
                <w:lang w:val="en-US" w:eastAsia="zh-CN"/>
              </w:rPr>
            </w:pPr>
            <w:r>
              <w:rPr>
                <w:rFonts w:hint="eastAsia" w:ascii="仿宋" w:hAnsi="仿宋" w:eastAsia="仿宋" w:cs="仿宋"/>
                <w:b/>
                <w:bCs/>
                <w:sz w:val="21"/>
                <w:szCs w:val="21"/>
                <w:highlight w:val="none"/>
                <w:vertAlign w:val="baseline"/>
                <w:lang w:val="en-US" w:eastAsia="zh-CN"/>
              </w:rPr>
              <w:t>审查内容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1</w:t>
            </w:r>
          </w:p>
        </w:tc>
        <w:tc>
          <w:tcPr>
            <w:tcW w:w="253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具有独立承担民事责任的能力</w:t>
            </w:r>
          </w:p>
        </w:tc>
        <w:tc>
          <w:tcPr>
            <w:tcW w:w="522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须提供法人或其他组织或自然人的营业执照副本或事业法人登记证或执业许可证或身份证等相关证明复印件（除身份证外其余证件须加盖公章）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2</w:t>
            </w:r>
          </w:p>
        </w:tc>
        <w:tc>
          <w:tcPr>
            <w:tcW w:w="253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具有良好的商业信誉和健全的财务会计制度</w:t>
            </w:r>
          </w:p>
        </w:tc>
        <w:tc>
          <w:tcPr>
            <w:tcW w:w="522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须提供本单位上一年度由会计师事务所出具的财务审计报告（当上一年度审计报告未出来时，可提供前一年度审计报告），审计报告须包括资产负债表、利润表、现金流量表、所有者权益变动（如有）及其附注（复印件并加盖本单位公章）。如投标人无法提供上年度审计报告，则需提供开标日前三个月内银行出具的资信证明原件或复印件加盖公章。如投标人注册成立不足三个月的则提供承诺书（自拟）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3</w:t>
            </w:r>
          </w:p>
        </w:tc>
        <w:tc>
          <w:tcPr>
            <w:tcW w:w="253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具有履行合同所必需的设备和专业技术能力</w:t>
            </w:r>
          </w:p>
        </w:tc>
        <w:tc>
          <w:tcPr>
            <w:tcW w:w="522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须提供具备履行合同所必需的设备和专业技术能力的书面声明原件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4</w:t>
            </w:r>
          </w:p>
        </w:tc>
        <w:tc>
          <w:tcPr>
            <w:tcW w:w="253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有依法缴纳税收和依法缴纳社会保障资金的记录</w:t>
            </w:r>
          </w:p>
        </w:tc>
        <w:tc>
          <w:tcPr>
            <w:tcW w:w="522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1.须提供投标文件递交截止日期之前六个月内任何一期的纳税记录或证明文件原件或复印件加盖公章（依法免税的应提供相应文件说明）</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2.须提供投标文件递交截止日期之前六个月内为员工缴纳社会保障资金的证明材料原件或复印件加盖公章（任意一个月即可），证明材料是缴纳社会保险的凭据（专用收据或社会保险缴纳清单或银行回单等）（依法不需要缴纳社会保障资金的应提供相应文件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5</w:t>
            </w:r>
          </w:p>
        </w:tc>
        <w:tc>
          <w:tcPr>
            <w:tcW w:w="253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参加政府采购活动前三年内，在经营活动中没有重大违法记录</w:t>
            </w:r>
          </w:p>
        </w:tc>
        <w:tc>
          <w:tcPr>
            <w:tcW w:w="522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须提供声明函原件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6</w:t>
            </w:r>
          </w:p>
        </w:tc>
        <w:tc>
          <w:tcPr>
            <w:tcW w:w="253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投标人信用记录</w:t>
            </w:r>
          </w:p>
        </w:tc>
        <w:tc>
          <w:tcPr>
            <w:tcW w:w="522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查询渠道：信用中国网站和中国政府采购网</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查询时间：投标截止时间后至资格审查阶段完成；</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信用信息查询记录和证据留存具体方式：查询结果网页打印页作为查询记录和证据，与其他采购文件一并保存；信用信息的使用原则：经认定的被列入失信被执行人、重大税收违法案件当事人名单、政府采购严重违法失信行为记录名单的投标人，其投标无效。联合体形式投标的，联合体成员存在不良信用记录，视同联合体存在不良信用记录。</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无须投标人提供，由采购人或采购代理机构查询。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75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7</w:t>
            </w:r>
          </w:p>
        </w:tc>
        <w:tc>
          <w:tcPr>
            <w:tcW w:w="253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投标保证金</w:t>
            </w:r>
          </w:p>
        </w:tc>
        <w:tc>
          <w:tcPr>
            <w:tcW w:w="522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按照招标文件的规定提交投标保证金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8</w:t>
            </w:r>
          </w:p>
        </w:tc>
        <w:tc>
          <w:tcPr>
            <w:tcW w:w="253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落实政府采购政策</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的资格要求</w:t>
            </w:r>
          </w:p>
        </w:tc>
        <w:tc>
          <w:tcPr>
            <w:tcW w:w="522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要求获得采购合同的供应商将不低于 70%比例分包给一家或者多家中小企业（其中，不低于50.48%需分包给一家或多家小微企业）。 潜在供应商需承诺如成交将按照部分预留方式与采购人签订合同（需提供中小企业声明函及分包意向协议）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default"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9</w:t>
            </w:r>
          </w:p>
        </w:tc>
        <w:tc>
          <w:tcPr>
            <w:tcW w:w="253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default"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特定资格条件</w:t>
            </w:r>
          </w:p>
        </w:tc>
        <w:tc>
          <w:tcPr>
            <w:tcW w:w="522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default"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供应商应具有《食品生产许可证》或《食品经营许可证》提供复印件加盖公章</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bCs/>
          <w:sz w:val="24"/>
          <w:szCs w:val="24"/>
          <w:highlight w:val="none"/>
          <w:lang w:val="en-US" w:eastAsia="zh-CN"/>
        </w:rPr>
      </w:pPr>
    </w:p>
    <w:p>
      <w:pPr>
        <w:keepNext w:val="0"/>
        <w:keepLines w:val="0"/>
        <w:pageBreakBefore w:val="0"/>
        <w:widowControl w:val="0"/>
        <w:numPr>
          <w:ilvl w:val="0"/>
          <w:numId w:val="12"/>
        </w:numPr>
        <w:kinsoku/>
        <w:wordWrap/>
        <w:overflowPunct/>
        <w:topLinePunct w:val="0"/>
        <w:autoSpaceDE/>
        <w:autoSpaceDN/>
        <w:bidi w:val="0"/>
        <w:adjustRightInd/>
        <w:snapToGrid/>
        <w:spacing w:line="500" w:lineRule="exact"/>
        <w:ind w:left="0" w:leftChars="0" w:firstLine="0" w:firstLineChars="0"/>
        <w:jc w:val="both"/>
        <w:textAlignment w:val="auto"/>
        <w:outlineLvl w:val="1"/>
        <w:rPr>
          <w:rFonts w:hint="eastAsia" w:ascii="仿宋" w:hAnsi="仿宋" w:eastAsia="仿宋" w:cs="仿宋"/>
          <w:b/>
          <w:bCs/>
          <w:sz w:val="24"/>
          <w:szCs w:val="24"/>
          <w:highlight w:val="none"/>
          <w:lang w:val="en-US" w:eastAsia="zh-CN"/>
        </w:rPr>
      </w:pPr>
      <w:bookmarkStart w:id="31" w:name="_Toc4337"/>
      <w:r>
        <w:rPr>
          <w:rFonts w:hint="eastAsia" w:ascii="仿宋" w:hAnsi="仿宋" w:eastAsia="仿宋" w:cs="仿宋"/>
          <w:b/>
          <w:bCs/>
          <w:sz w:val="24"/>
          <w:szCs w:val="24"/>
          <w:highlight w:val="none"/>
          <w:lang w:val="en-US" w:eastAsia="zh-CN"/>
        </w:rPr>
        <w:t>符合性审查</w:t>
      </w:r>
      <w:bookmarkEnd w:id="31"/>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评标委员会对通过资格审查的合格投标人的投标文件进行符合性审查。评标委员会根据《符合性审查要求》中规定的审查因素和审查内容，对投标人的投标文件是否实质上响应招标文件进行符合性审查，并形成符合性审查评审结果。符合性审查中凡有其中任意一项未通过的，评审结果为未通过，未通过符合性审查的投标人按无效投标处理，不进入详细评审。符合性审查要求如下：</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center"/>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符合性审查要求</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2132"/>
        <w:gridCol w:w="55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21"/>
                <w:szCs w:val="21"/>
                <w:highlight w:val="none"/>
                <w:vertAlign w:val="baseline"/>
                <w:lang w:val="en-US" w:eastAsia="zh-CN"/>
              </w:rPr>
            </w:pPr>
            <w:r>
              <w:rPr>
                <w:rFonts w:hint="eastAsia" w:ascii="仿宋" w:hAnsi="仿宋" w:eastAsia="仿宋" w:cs="仿宋"/>
                <w:b/>
                <w:bCs/>
                <w:sz w:val="21"/>
                <w:szCs w:val="21"/>
                <w:highlight w:val="none"/>
                <w:vertAlign w:val="baseline"/>
                <w:lang w:val="en-US" w:eastAsia="zh-CN"/>
              </w:rPr>
              <w:t>序号</w:t>
            </w:r>
          </w:p>
        </w:tc>
        <w:tc>
          <w:tcPr>
            <w:tcW w:w="213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21"/>
                <w:szCs w:val="21"/>
                <w:highlight w:val="none"/>
                <w:vertAlign w:val="baseline"/>
                <w:lang w:val="en-US" w:eastAsia="zh-CN"/>
              </w:rPr>
            </w:pPr>
            <w:r>
              <w:rPr>
                <w:rFonts w:hint="eastAsia" w:ascii="仿宋" w:hAnsi="仿宋" w:eastAsia="仿宋" w:cs="仿宋"/>
                <w:b/>
                <w:bCs/>
                <w:sz w:val="21"/>
                <w:szCs w:val="21"/>
                <w:highlight w:val="none"/>
                <w:vertAlign w:val="baseline"/>
                <w:lang w:val="en-US" w:eastAsia="zh-CN"/>
              </w:rPr>
              <w:t>审查因素</w:t>
            </w:r>
          </w:p>
        </w:tc>
        <w:tc>
          <w:tcPr>
            <w:tcW w:w="557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21"/>
                <w:szCs w:val="21"/>
                <w:highlight w:val="none"/>
                <w:vertAlign w:val="baseline"/>
                <w:lang w:val="en-US" w:eastAsia="zh-CN"/>
              </w:rPr>
            </w:pPr>
            <w:r>
              <w:rPr>
                <w:rFonts w:hint="eastAsia" w:ascii="仿宋" w:hAnsi="仿宋" w:eastAsia="仿宋" w:cs="仿宋"/>
                <w:b/>
                <w:bCs/>
                <w:sz w:val="21"/>
                <w:szCs w:val="21"/>
                <w:highlight w:val="none"/>
                <w:vertAlign w:val="baseline"/>
                <w:lang w:val="en-US" w:eastAsia="zh-CN"/>
              </w:rPr>
              <w:t>审查内容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1</w:t>
            </w:r>
          </w:p>
        </w:tc>
        <w:tc>
          <w:tcPr>
            <w:tcW w:w="213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授权委托书</w:t>
            </w:r>
          </w:p>
        </w:tc>
        <w:tc>
          <w:tcPr>
            <w:tcW w:w="557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投标文件中由法定代表人签字或盖签名章的，须提供法定代表人身份证明书；投标文件中由授权委托人签字的，须提供法定代表人授权委托书及法定代表人身份证明书。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2</w:t>
            </w:r>
          </w:p>
        </w:tc>
        <w:tc>
          <w:tcPr>
            <w:tcW w:w="213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投标完整性</w:t>
            </w:r>
          </w:p>
        </w:tc>
        <w:tc>
          <w:tcPr>
            <w:tcW w:w="557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未将一个采购包中的内容拆开投标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3</w:t>
            </w:r>
          </w:p>
        </w:tc>
        <w:tc>
          <w:tcPr>
            <w:tcW w:w="213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投标报价</w:t>
            </w:r>
          </w:p>
        </w:tc>
        <w:tc>
          <w:tcPr>
            <w:tcW w:w="557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投标报价未超过招标文件中规定的项目/采购包预算金额或者项目/采购包最高限价；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4</w:t>
            </w:r>
          </w:p>
        </w:tc>
        <w:tc>
          <w:tcPr>
            <w:tcW w:w="213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报价唯一性</w:t>
            </w:r>
          </w:p>
        </w:tc>
        <w:tc>
          <w:tcPr>
            <w:tcW w:w="557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投标文件未出现可选择性或可调整的报价（招标文件另有规定的除外）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5</w:t>
            </w:r>
          </w:p>
        </w:tc>
        <w:tc>
          <w:tcPr>
            <w:tcW w:w="213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投标有效期</w:t>
            </w:r>
          </w:p>
        </w:tc>
        <w:tc>
          <w:tcPr>
            <w:tcW w:w="557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投标文件中承诺的投标有效期满足招标文件中载明的投标有效期的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6</w:t>
            </w:r>
          </w:p>
        </w:tc>
        <w:tc>
          <w:tcPr>
            <w:tcW w:w="213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签署、盖章</w:t>
            </w:r>
          </w:p>
        </w:tc>
        <w:tc>
          <w:tcPr>
            <w:tcW w:w="557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按照招标文件要求签署、盖章的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7</w:t>
            </w:r>
          </w:p>
        </w:tc>
        <w:tc>
          <w:tcPr>
            <w:tcW w:w="213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采购需求的响应</w:t>
            </w:r>
          </w:p>
        </w:tc>
        <w:tc>
          <w:tcPr>
            <w:tcW w:w="557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投标文件满足招标文件中※号条款要求的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8</w:t>
            </w:r>
          </w:p>
        </w:tc>
        <w:tc>
          <w:tcPr>
            <w:tcW w:w="213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报价合理性</w:t>
            </w:r>
          </w:p>
        </w:tc>
        <w:tc>
          <w:tcPr>
            <w:tcW w:w="557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报价合理，或投标人的报价明显低于其他通过符合性审查投标人的报价，有可能影响产品质量或者不能诚信履约的，能够应评标委员会要求在规定时间内证明其报价合理性的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9</w:t>
            </w:r>
          </w:p>
        </w:tc>
        <w:tc>
          <w:tcPr>
            <w:tcW w:w="213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附加条件</w:t>
            </w:r>
          </w:p>
        </w:tc>
        <w:tc>
          <w:tcPr>
            <w:tcW w:w="557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投标文件未含有采购人不能接受的附加条件的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10</w:t>
            </w:r>
          </w:p>
        </w:tc>
        <w:tc>
          <w:tcPr>
            <w:tcW w:w="213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其他</w:t>
            </w:r>
          </w:p>
        </w:tc>
        <w:tc>
          <w:tcPr>
            <w:tcW w:w="557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投标文件中不存在违反国家法律、法规和招标文件规定的其他无效情形</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p>
    <w:p>
      <w:pPr>
        <w:keepNext w:val="0"/>
        <w:keepLines w:val="0"/>
        <w:pageBreakBefore w:val="0"/>
        <w:widowControl w:val="0"/>
        <w:numPr>
          <w:ilvl w:val="0"/>
          <w:numId w:val="12"/>
        </w:numPr>
        <w:kinsoku/>
        <w:wordWrap/>
        <w:overflowPunct/>
        <w:topLinePunct w:val="0"/>
        <w:autoSpaceDE/>
        <w:autoSpaceDN/>
        <w:bidi w:val="0"/>
        <w:adjustRightInd/>
        <w:snapToGrid/>
        <w:spacing w:line="500" w:lineRule="exact"/>
        <w:ind w:left="0" w:leftChars="0" w:firstLine="0" w:firstLineChars="0"/>
        <w:jc w:val="both"/>
        <w:textAlignment w:val="auto"/>
        <w:outlineLvl w:val="1"/>
        <w:rPr>
          <w:rFonts w:hint="eastAsia" w:ascii="仿宋" w:hAnsi="仿宋" w:eastAsia="仿宋" w:cs="仿宋"/>
          <w:b/>
          <w:bCs/>
          <w:sz w:val="24"/>
          <w:szCs w:val="24"/>
          <w:highlight w:val="none"/>
          <w:lang w:val="en-US" w:eastAsia="zh-CN"/>
        </w:rPr>
      </w:pPr>
      <w:bookmarkStart w:id="32" w:name="_Toc23924"/>
      <w:r>
        <w:rPr>
          <w:rFonts w:hint="eastAsia" w:ascii="仿宋" w:hAnsi="仿宋" w:eastAsia="仿宋" w:cs="仿宋"/>
          <w:b/>
          <w:bCs/>
          <w:sz w:val="24"/>
          <w:szCs w:val="24"/>
          <w:highlight w:val="none"/>
          <w:lang w:val="en-US" w:eastAsia="zh-CN"/>
        </w:rPr>
        <w:t>投标文件有关事项的澄清或者说明</w:t>
      </w:r>
      <w:bookmarkEnd w:id="32"/>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评标过程中，评标委员会将以书面形式要求投标人对其投标文件中含义不明确、同类问题表述不一致或者有明显文字和计算错误的内容，作出必要的澄清、说明或者补正。代理机构可根据开标环节记录的授权代表人联系方式电话告知投标人，投标人需登录电子招投标系统，在规定时间内完成澄清（响应），并加盖电子印章。若因投标人联系方式错误未接收短信、未接听电话或超时未进行澄清（响应）造成的不利后果由供应商自行承担。投标人的澄清、说明或者补正不得超出投标文件的范围或者改变投标文件的实质性内容。澄清文件将作为投标文件内容的一部分。</w:t>
      </w: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评标委员会认为投标人的报价明显低于其他通过符合性审查投标人的报价，有可能影响产品质量或者不能诚信履约的，有权要求该投标人在评标现场合理的时间内提供书面说明，必要时提交相关证明材料；若投标人不能证明其报价合理性，评标委员会将其作为</w:t>
      </w:r>
      <w:r>
        <w:rPr>
          <w:rFonts w:hint="eastAsia" w:ascii="仿宋" w:hAnsi="仿宋" w:eastAsia="仿宋" w:cs="仿宋"/>
          <w:b/>
          <w:bCs/>
          <w:sz w:val="24"/>
          <w:szCs w:val="24"/>
          <w:highlight w:val="none"/>
          <w:lang w:val="en-US" w:eastAsia="zh-CN"/>
        </w:rPr>
        <w:t>无效投标</w:t>
      </w:r>
      <w:r>
        <w:rPr>
          <w:rFonts w:hint="eastAsia" w:ascii="仿宋" w:hAnsi="仿宋" w:eastAsia="仿宋" w:cs="仿宋"/>
          <w:b w:val="0"/>
          <w:bCs w:val="0"/>
          <w:sz w:val="24"/>
          <w:szCs w:val="24"/>
          <w:highlight w:val="none"/>
          <w:lang w:val="en-US" w:eastAsia="zh-CN"/>
        </w:rPr>
        <w:t>处理。</w:t>
      </w: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开投标，其</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评标委员会不接受投标人主动提出的澄清、说明或补正。</w:t>
      </w: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评标委员会对投标人提交的澄清、说明或补正有疑问的，可以要求投标人进一步澄清、说明或补正。</w:t>
      </w: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对报价的计算错误按以下原则修正：</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投标文件中开标一览表内容与投标文件中相应内容不一致的，以开标一览表为准；</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大写金额和小写金额不一致的，以大写金额为准；</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单价金额小数点或者百分比有明显错位的，以开标一览表的总价为准，并修改单价。</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总价金额与按单价汇总金额不一致的，以单价金额计算结果为准。但是单价金额计算结果超过预算金额/最高限价的，对其按</w:t>
      </w:r>
      <w:r>
        <w:rPr>
          <w:rFonts w:hint="eastAsia" w:ascii="仿宋" w:hAnsi="仿宋" w:eastAsia="仿宋" w:cs="仿宋"/>
          <w:b/>
          <w:bCs/>
          <w:sz w:val="24"/>
          <w:szCs w:val="24"/>
          <w:highlight w:val="none"/>
          <w:lang w:val="en-US" w:eastAsia="zh-CN"/>
        </w:rPr>
        <w:t>无效投标</w:t>
      </w:r>
      <w:r>
        <w:rPr>
          <w:rFonts w:hint="eastAsia" w:ascii="仿宋" w:hAnsi="仿宋" w:eastAsia="仿宋" w:cs="仿宋"/>
          <w:b w:val="0"/>
          <w:bCs w:val="0"/>
          <w:sz w:val="24"/>
          <w:szCs w:val="24"/>
          <w:highlight w:val="none"/>
          <w:lang w:val="en-US" w:eastAsia="zh-CN"/>
        </w:rPr>
        <w:t>处理。</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若投标客户端上传的电子报价数据（开标一览表中的公布唱标价）与电子投标文件价格不一致的，以电子报价数据（开标一览表中的公布唱标价）为准。 </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注：同时出现两种以上不一致的，按照前款规定的顺序在系统上进行价格澄清。澄清后的价格加盖电子印章确认后产生约束力，但不得超出投标文件的范围或者改变投标文件的实质性内容，投标人不确认的，其</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0"/>
          <w:numId w:val="12"/>
        </w:numPr>
        <w:kinsoku/>
        <w:wordWrap/>
        <w:overflowPunct/>
        <w:topLinePunct w:val="0"/>
        <w:autoSpaceDE/>
        <w:autoSpaceDN/>
        <w:bidi w:val="0"/>
        <w:adjustRightInd/>
        <w:snapToGrid/>
        <w:spacing w:line="500" w:lineRule="exact"/>
        <w:ind w:left="0" w:leftChars="0" w:firstLine="0" w:firstLineChars="0"/>
        <w:jc w:val="both"/>
        <w:textAlignment w:val="auto"/>
        <w:outlineLvl w:val="1"/>
        <w:rPr>
          <w:rFonts w:hint="eastAsia" w:ascii="仿宋" w:hAnsi="仿宋" w:eastAsia="仿宋" w:cs="仿宋"/>
          <w:b/>
          <w:bCs/>
          <w:sz w:val="24"/>
          <w:szCs w:val="24"/>
          <w:highlight w:val="none"/>
          <w:lang w:val="en-US" w:eastAsia="zh-CN"/>
        </w:rPr>
      </w:pPr>
      <w:bookmarkStart w:id="33" w:name="_Toc22049"/>
      <w:r>
        <w:rPr>
          <w:rFonts w:hint="eastAsia" w:ascii="仿宋" w:hAnsi="仿宋" w:eastAsia="仿宋" w:cs="仿宋"/>
          <w:b/>
          <w:bCs/>
          <w:sz w:val="24"/>
          <w:szCs w:val="24"/>
          <w:highlight w:val="none"/>
          <w:lang w:val="en-US" w:eastAsia="zh-CN"/>
        </w:rPr>
        <w:t>详细评审</w:t>
      </w:r>
      <w:bookmarkEnd w:id="33"/>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经资格审查和符合性审查合格的投标文件，评标委员会将根据《详细评审标准》，对其技术部分、商务部分及报价部分作进一步的综合比较和评价。详细评审标准如下：</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详细评审标准</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4"/>
        <w:gridCol w:w="994"/>
        <w:gridCol w:w="843"/>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2068" w:type="dxa"/>
            <w:gridSpan w:val="2"/>
            <w:vAlign w:val="center"/>
          </w:tcPr>
          <w:p>
            <w:pPr>
              <w:spacing w:line="240" w:lineRule="auto"/>
              <w:ind w:left="0" w:leftChars="0" w:right="638" w:rightChars="304"/>
              <w:jc w:val="center"/>
              <w:rPr>
                <w:rFonts w:hint="eastAsia" w:ascii="仿宋" w:hAnsi="仿宋" w:eastAsia="仿宋" w:cs="仿宋"/>
                <w:b/>
                <w:bCs w:val="0"/>
                <w:color w:val="auto"/>
                <w:sz w:val="21"/>
                <w:szCs w:val="21"/>
                <w:highlight w:val="none"/>
                <w:vertAlign w:val="baseline"/>
              </w:rPr>
            </w:pPr>
            <w:r>
              <w:rPr>
                <w:rFonts w:hint="eastAsia" w:ascii="仿宋" w:hAnsi="仿宋" w:eastAsia="仿宋" w:cs="仿宋"/>
                <w:b/>
                <w:bCs w:val="0"/>
                <w:color w:val="auto"/>
                <w:kern w:val="0"/>
                <w:sz w:val="21"/>
                <w:szCs w:val="21"/>
                <w:highlight w:val="none"/>
              </w:rPr>
              <w:t>评分因素</w:t>
            </w:r>
          </w:p>
        </w:tc>
        <w:tc>
          <w:tcPr>
            <w:tcW w:w="843" w:type="dxa"/>
            <w:vAlign w:val="center"/>
          </w:tcPr>
          <w:p>
            <w:pPr>
              <w:spacing w:line="240" w:lineRule="auto"/>
              <w:ind w:left="0" w:leftChars="0" w:right="0" w:rightChars="0"/>
              <w:jc w:val="center"/>
              <w:rPr>
                <w:rFonts w:hint="eastAsia" w:ascii="仿宋" w:hAnsi="仿宋" w:eastAsia="仿宋" w:cs="仿宋"/>
                <w:b/>
                <w:bCs w:val="0"/>
                <w:color w:val="auto"/>
                <w:sz w:val="21"/>
                <w:szCs w:val="21"/>
                <w:highlight w:val="none"/>
                <w:vertAlign w:val="baseline"/>
              </w:rPr>
            </w:pPr>
            <w:r>
              <w:rPr>
                <w:rFonts w:hint="eastAsia" w:ascii="仿宋" w:hAnsi="仿宋" w:eastAsia="仿宋" w:cs="仿宋"/>
                <w:b/>
                <w:bCs w:val="0"/>
                <w:color w:val="auto"/>
                <w:kern w:val="0"/>
                <w:sz w:val="21"/>
                <w:szCs w:val="21"/>
                <w:highlight w:val="none"/>
              </w:rPr>
              <w:t>分值</w:t>
            </w:r>
          </w:p>
        </w:tc>
        <w:tc>
          <w:tcPr>
            <w:tcW w:w="5611" w:type="dxa"/>
            <w:vAlign w:val="center"/>
          </w:tcPr>
          <w:p>
            <w:pPr>
              <w:spacing w:line="240" w:lineRule="auto"/>
              <w:ind w:left="0" w:leftChars="0" w:right="-31" w:rightChars="-15"/>
              <w:jc w:val="center"/>
              <w:rPr>
                <w:rFonts w:hint="eastAsia" w:ascii="仿宋" w:hAnsi="仿宋" w:eastAsia="仿宋" w:cs="仿宋"/>
                <w:b/>
                <w:bCs w:val="0"/>
                <w:color w:val="auto"/>
                <w:sz w:val="21"/>
                <w:szCs w:val="21"/>
                <w:highlight w:val="none"/>
                <w:vertAlign w:val="baseline"/>
              </w:rPr>
            </w:pPr>
            <w:r>
              <w:rPr>
                <w:rFonts w:hint="eastAsia" w:ascii="仿宋" w:hAnsi="仿宋" w:eastAsia="仿宋" w:cs="仿宋"/>
                <w:b/>
                <w:bCs w:val="0"/>
                <w:color w:val="auto"/>
                <w:kern w:val="0"/>
                <w:sz w:val="21"/>
                <w:szCs w:val="21"/>
                <w:highlight w:val="none"/>
              </w:rPr>
              <w:t>评分细则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jc w:val="center"/>
        </w:trPr>
        <w:tc>
          <w:tcPr>
            <w:tcW w:w="2068" w:type="dxa"/>
            <w:gridSpan w:val="2"/>
            <w:vAlign w:val="center"/>
          </w:tcPr>
          <w:p>
            <w:pPr>
              <w:spacing w:line="240" w:lineRule="auto"/>
              <w:ind w:left="0" w:leftChars="0" w:right="638" w:rightChars="304"/>
              <w:jc w:val="center"/>
              <w:rPr>
                <w:rFonts w:hint="eastAsia" w:ascii="仿宋" w:hAnsi="仿宋" w:eastAsia="仿宋" w:cs="仿宋"/>
                <w:b/>
                <w:bCs w:val="0"/>
                <w:color w:val="auto"/>
                <w:kern w:val="0"/>
                <w:sz w:val="21"/>
                <w:szCs w:val="21"/>
                <w:highlight w:val="none"/>
                <w:lang w:val="en-US" w:eastAsia="zh-CN"/>
              </w:rPr>
            </w:pPr>
            <w:r>
              <w:rPr>
                <w:rFonts w:hint="eastAsia" w:ascii="仿宋" w:hAnsi="仿宋" w:eastAsia="仿宋" w:cs="仿宋"/>
                <w:b w:val="0"/>
                <w:bCs/>
                <w:color w:val="auto"/>
                <w:kern w:val="0"/>
                <w:sz w:val="21"/>
                <w:szCs w:val="21"/>
                <w:highlight w:val="none"/>
                <w:lang w:val="en-US" w:eastAsia="zh-CN"/>
              </w:rPr>
              <w:t>分值构成</w:t>
            </w:r>
          </w:p>
        </w:tc>
        <w:tc>
          <w:tcPr>
            <w:tcW w:w="6454" w:type="dxa"/>
            <w:gridSpan w:val="2"/>
            <w:vAlign w:val="center"/>
          </w:tcPr>
          <w:p>
            <w:pPr>
              <w:spacing w:line="240" w:lineRule="auto"/>
              <w:ind w:left="0" w:leftChars="0" w:right="-31" w:rightChars="-15"/>
              <w:jc w:val="left"/>
              <w:rPr>
                <w:rFonts w:hint="eastAsia" w:ascii="仿宋" w:hAnsi="仿宋" w:eastAsia="仿宋" w:cs="仿宋"/>
                <w:b w:val="0"/>
                <w:bCs/>
                <w:color w:val="auto"/>
                <w:kern w:val="0"/>
                <w:sz w:val="21"/>
                <w:szCs w:val="21"/>
                <w:highlight w:val="none"/>
              </w:rPr>
            </w:pPr>
            <w:r>
              <w:rPr>
                <w:rFonts w:hint="eastAsia" w:ascii="仿宋" w:hAnsi="仿宋" w:eastAsia="仿宋" w:cs="仿宋"/>
                <w:b w:val="0"/>
                <w:bCs/>
                <w:color w:val="auto"/>
                <w:kern w:val="0"/>
                <w:sz w:val="21"/>
                <w:szCs w:val="21"/>
                <w:highlight w:val="none"/>
              </w:rPr>
              <w:t>商务部分</w:t>
            </w:r>
            <w:r>
              <w:rPr>
                <w:rFonts w:hint="eastAsia" w:ascii="仿宋" w:hAnsi="仿宋" w:eastAsia="仿宋" w:cs="仿宋"/>
                <w:b w:val="0"/>
                <w:bCs/>
                <w:color w:val="auto"/>
                <w:kern w:val="0"/>
                <w:sz w:val="21"/>
                <w:szCs w:val="21"/>
                <w:highlight w:val="none"/>
                <w:lang w:val="en-US" w:eastAsia="zh-CN"/>
              </w:rPr>
              <w:t>1</w:t>
            </w:r>
            <w:r>
              <w:rPr>
                <w:rFonts w:hint="eastAsia" w:ascii="仿宋" w:hAnsi="仿宋" w:eastAsia="仿宋" w:cs="仿宋"/>
                <w:b w:val="0"/>
                <w:bCs/>
                <w:color w:val="auto"/>
                <w:kern w:val="0"/>
                <w:sz w:val="21"/>
                <w:szCs w:val="21"/>
                <w:highlight w:val="none"/>
              </w:rPr>
              <w:t>0.0分</w:t>
            </w:r>
          </w:p>
          <w:p>
            <w:pPr>
              <w:spacing w:line="240" w:lineRule="auto"/>
              <w:ind w:left="0" w:leftChars="0" w:right="-31" w:rightChars="-15"/>
              <w:jc w:val="left"/>
              <w:rPr>
                <w:rFonts w:hint="eastAsia" w:ascii="仿宋" w:hAnsi="仿宋" w:eastAsia="仿宋" w:cs="仿宋"/>
                <w:b w:val="0"/>
                <w:bCs/>
                <w:color w:val="auto"/>
                <w:kern w:val="0"/>
                <w:sz w:val="21"/>
                <w:szCs w:val="21"/>
                <w:highlight w:val="none"/>
              </w:rPr>
            </w:pPr>
            <w:r>
              <w:rPr>
                <w:rFonts w:hint="eastAsia" w:ascii="仿宋" w:hAnsi="仿宋" w:eastAsia="仿宋" w:cs="仿宋"/>
                <w:b w:val="0"/>
                <w:bCs/>
                <w:color w:val="auto"/>
                <w:kern w:val="0"/>
                <w:sz w:val="21"/>
                <w:szCs w:val="21"/>
                <w:highlight w:val="none"/>
              </w:rPr>
              <w:t>技术部分</w:t>
            </w:r>
            <w:r>
              <w:rPr>
                <w:rFonts w:hint="eastAsia" w:ascii="仿宋" w:hAnsi="仿宋" w:eastAsia="仿宋" w:cs="仿宋"/>
                <w:b w:val="0"/>
                <w:bCs/>
                <w:color w:val="auto"/>
                <w:kern w:val="0"/>
                <w:sz w:val="21"/>
                <w:szCs w:val="21"/>
                <w:highlight w:val="none"/>
                <w:lang w:val="en-US" w:eastAsia="zh-CN"/>
              </w:rPr>
              <w:t>5</w:t>
            </w:r>
            <w:r>
              <w:rPr>
                <w:rFonts w:hint="eastAsia" w:ascii="仿宋" w:hAnsi="仿宋" w:eastAsia="仿宋" w:cs="仿宋"/>
                <w:b w:val="0"/>
                <w:bCs/>
                <w:color w:val="auto"/>
                <w:kern w:val="0"/>
                <w:sz w:val="21"/>
                <w:szCs w:val="21"/>
                <w:highlight w:val="none"/>
              </w:rPr>
              <w:t>0.0分</w:t>
            </w:r>
          </w:p>
          <w:p>
            <w:pPr>
              <w:spacing w:line="240" w:lineRule="auto"/>
              <w:ind w:left="0" w:leftChars="0" w:right="-31" w:rightChars="-15"/>
              <w:jc w:val="left"/>
              <w:rPr>
                <w:rFonts w:hint="eastAsia" w:ascii="仿宋" w:hAnsi="仿宋" w:eastAsia="仿宋" w:cs="仿宋"/>
                <w:b/>
                <w:bCs w:val="0"/>
                <w:color w:val="auto"/>
                <w:kern w:val="0"/>
                <w:sz w:val="21"/>
                <w:szCs w:val="21"/>
                <w:highlight w:val="none"/>
              </w:rPr>
            </w:pPr>
            <w:r>
              <w:rPr>
                <w:rFonts w:hint="eastAsia" w:ascii="仿宋" w:hAnsi="仿宋" w:eastAsia="仿宋" w:cs="仿宋"/>
                <w:b w:val="0"/>
                <w:bCs/>
                <w:color w:val="auto"/>
                <w:kern w:val="0"/>
                <w:sz w:val="21"/>
                <w:szCs w:val="21"/>
                <w:highlight w:val="none"/>
              </w:rPr>
              <w:t>报价得分</w:t>
            </w:r>
            <w:r>
              <w:rPr>
                <w:rFonts w:hint="eastAsia" w:ascii="仿宋" w:hAnsi="仿宋" w:eastAsia="仿宋" w:cs="仿宋"/>
                <w:b w:val="0"/>
                <w:bCs/>
                <w:color w:val="auto"/>
                <w:kern w:val="0"/>
                <w:sz w:val="21"/>
                <w:szCs w:val="21"/>
                <w:highlight w:val="none"/>
                <w:lang w:val="en-US" w:eastAsia="zh-CN"/>
              </w:rPr>
              <w:t>4</w:t>
            </w:r>
            <w:r>
              <w:rPr>
                <w:rFonts w:hint="eastAsia" w:ascii="仿宋" w:hAnsi="仿宋" w:eastAsia="仿宋" w:cs="仿宋"/>
                <w:b w:val="0"/>
                <w:bCs/>
                <w:color w:val="auto"/>
                <w:kern w:val="0"/>
                <w:sz w:val="21"/>
                <w:szCs w:val="21"/>
                <w:highlight w:val="none"/>
              </w:rPr>
              <w:t>0.0分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1" w:hRule="atLeast"/>
          <w:jc w:val="center"/>
        </w:trPr>
        <w:tc>
          <w:tcPr>
            <w:tcW w:w="2068" w:type="dxa"/>
            <w:gridSpan w:val="2"/>
            <w:vAlign w:val="center"/>
          </w:tcPr>
          <w:p>
            <w:pPr>
              <w:pStyle w:val="2"/>
              <w:spacing w:line="240" w:lineRule="auto"/>
              <w:ind w:right="8" w:rightChars="0"/>
              <w:jc w:val="center"/>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lang w:val="en-US" w:eastAsia="zh-CN"/>
              </w:rPr>
              <w:t>报价</w:t>
            </w:r>
            <w:r>
              <w:rPr>
                <w:rFonts w:hint="eastAsia" w:ascii="仿宋" w:hAnsi="仿宋" w:eastAsia="仿宋" w:cs="仿宋"/>
                <w:sz w:val="21"/>
                <w:szCs w:val="21"/>
                <w:highlight w:val="none"/>
                <w:vertAlign w:val="baseline"/>
              </w:rPr>
              <w:t>部分（</w:t>
            </w:r>
            <w:r>
              <w:rPr>
                <w:rFonts w:hint="eastAsia" w:ascii="仿宋" w:hAnsi="仿宋" w:eastAsia="仿宋" w:cs="仿宋"/>
                <w:sz w:val="21"/>
                <w:szCs w:val="21"/>
                <w:highlight w:val="none"/>
                <w:vertAlign w:val="baseline"/>
                <w:lang w:val="en-US" w:eastAsia="zh-CN"/>
              </w:rPr>
              <w:t>4</w:t>
            </w:r>
            <w:r>
              <w:rPr>
                <w:rFonts w:hint="eastAsia" w:ascii="仿宋" w:hAnsi="仿宋" w:eastAsia="仿宋" w:cs="仿宋"/>
                <w:sz w:val="21"/>
                <w:szCs w:val="21"/>
                <w:highlight w:val="none"/>
                <w:vertAlign w:val="baseline"/>
              </w:rPr>
              <w:t>0 分）</w:t>
            </w:r>
          </w:p>
        </w:tc>
        <w:tc>
          <w:tcPr>
            <w:tcW w:w="843" w:type="dxa"/>
            <w:vAlign w:val="center"/>
          </w:tcPr>
          <w:p>
            <w:pPr>
              <w:pStyle w:val="2"/>
              <w:spacing w:line="240" w:lineRule="auto"/>
              <w:ind w:right="0" w:right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40</w:t>
            </w:r>
          </w:p>
        </w:tc>
        <w:tc>
          <w:tcPr>
            <w:tcW w:w="5611" w:type="dxa"/>
          </w:tcPr>
          <w:p>
            <w:pPr>
              <w:pStyle w:val="2"/>
              <w:spacing w:line="240" w:lineRule="auto"/>
              <w:ind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1、鸡蛋</w:t>
            </w:r>
          </w:p>
          <w:p>
            <w:pPr>
              <w:pStyle w:val="2"/>
              <w:spacing w:line="240" w:lineRule="auto"/>
              <w:ind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评标基准价=有效投标报价的最低值（1-下浮率），有效投标报价等于基准值的得30分，投标报价得分=（评标基准价/投标报价）×30。有效投标报价为通过初步审查的供应商报价。</w:t>
            </w:r>
          </w:p>
          <w:p>
            <w:pPr>
              <w:pStyle w:val="2"/>
              <w:spacing w:line="240" w:lineRule="auto"/>
              <w:ind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2、鹌鹑蛋（熟）</w:t>
            </w:r>
          </w:p>
          <w:p>
            <w:pPr>
              <w:pStyle w:val="2"/>
              <w:spacing w:line="240" w:lineRule="auto"/>
              <w:ind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满足招标文件要求且报价最低的投标人的价格为评标基准价,其价格为10 分。其他供应商的价格分统一按照下列公式计算：投标报价得分=(评标基准价/投标报价)×10。有效投标报价为通过初步审查的供应商报价。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4" w:hRule="atLeast"/>
          <w:jc w:val="center"/>
        </w:trPr>
        <w:tc>
          <w:tcPr>
            <w:tcW w:w="1074" w:type="dxa"/>
            <w:vMerge w:val="restart"/>
            <w:tcBorders>
              <w:right w:val="single" w:color="000000" w:sz="4" w:space="0"/>
            </w:tcBorders>
            <w:vAlign w:val="center"/>
          </w:tcPr>
          <w:p>
            <w:pPr>
              <w:pStyle w:val="2"/>
              <w:spacing w:line="240" w:lineRule="auto"/>
              <w:ind w:right="-19" w:rightChars="-9"/>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rPr>
              <w:t>商务部分(1</w:t>
            </w:r>
            <w:r>
              <w:rPr>
                <w:rFonts w:hint="eastAsia" w:ascii="仿宋" w:hAnsi="仿宋" w:eastAsia="仿宋" w:cs="仿宋"/>
                <w:sz w:val="21"/>
                <w:szCs w:val="21"/>
                <w:highlight w:val="none"/>
                <w:vertAlign w:val="baseline"/>
                <w:lang w:val="en-US" w:eastAsia="zh-CN"/>
              </w:rPr>
              <w:t>0</w:t>
            </w:r>
            <w:r>
              <w:rPr>
                <w:rFonts w:hint="eastAsia" w:ascii="仿宋" w:hAnsi="仿宋" w:eastAsia="仿宋" w:cs="仿宋"/>
                <w:sz w:val="21"/>
                <w:szCs w:val="21"/>
                <w:highlight w:val="none"/>
                <w:vertAlign w:val="baseline"/>
              </w:rPr>
              <w:t xml:space="preserve"> 分)</w:t>
            </w:r>
          </w:p>
        </w:tc>
        <w:tc>
          <w:tcPr>
            <w:tcW w:w="994" w:type="dxa"/>
            <w:tcBorders>
              <w:left w:val="single" w:color="000000" w:sz="4" w:space="0"/>
            </w:tcBorders>
            <w:vAlign w:val="center"/>
          </w:tcPr>
          <w:p>
            <w:pPr>
              <w:pStyle w:val="2"/>
              <w:spacing w:line="240" w:lineRule="auto"/>
              <w:ind w:right="31" w:rightChars="15"/>
              <w:jc w:val="center"/>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类似项目业绩</w:t>
            </w:r>
          </w:p>
        </w:tc>
        <w:tc>
          <w:tcPr>
            <w:tcW w:w="843" w:type="dxa"/>
            <w:vAlign w:val="center"/>
          </w:tcPr>
          <w:p>
            <w:pPr>
              <w:pStyle w:val="2"/>
              <w:spacing w:line="240" w:lineRule="auto"/>
              <w:ind w:right="0" w:right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7</w:t>
            </w:r>
          </w:p>
        </w:tc>
        <w:tc>
          <w:tcPr>
            <w:tcW w:w="5611" w:type="dxa"/>
          </w:tcPr>
          <w:p>
            <w:pPr>
              <w:pStyle w:val="2"/>
              <w:spacing w:line="240" w:lineRule="auto"/>
              <w:ind w:right="-31" w:rightChars="-15"/>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lang w:val="en-US" w:eastAsia="zh-CN"/>
              </w:rPr>
              <w:t>投标人</w:t>
            </w:r>
            <w:r>
              <w:rPr>
                <w:rFonts w:hint="eastAsia" w:ascii="仿宋" w:hAnsi="仿宋" w:eastAsia="仿宋" w:cs="仿宋"/>
                <w:sz w:val="21"/>
                <w:szCs w:val="21"/>
                <w:highlight w:val="none"/>
                <w:vertAlign w:val="baseline"/>
              </w:rPr>
              <w:t>自 20</w:t>
            </w:r>
            <w:r>
              <w:rPr>
                <w:rFonts w:hint="eastAsia" w:ascii="仿宋" w:hAnsi="仿宋" w:eastAsia="仿宋" w:cs="仿宋"/>
                <w:sz w:val="21"/>
                <w:szCs w:val="21"/>
                <w:highlight w:val="none"/>
                <w:vertAlign w:val="baseline"/>
                <w:lang w:val="en-US" w:eastAsia="zh-CN"/>
              </w:rPr>
              <w:t>20</w:t>
            </w:r>
            <w:r>
              <w:rPr>
                <w:rFonts w:hint="eastAsia" w:ascii="仿宋" w:hAnsi="仿宋" w:eastAsia="仿宋" w:cs="仿宋"/>
                <w:sz w:val="21"/>
                <w:szCs w:val="21"/>
                <w:highlight w:val="none"/>
                <w:vertAlign w:val="baseline"/>
              </w:rPr>
              <w:t xml:space="preserve">年 </w:t>
            </w:r>
            <w:r>
              <w:rPr>
                <w:rFonts w:hint="eastAsia" w:ascii="仿宋" w:hAnsi="仿宋" w:eastAsia="仿宋" w:cs="仿宋"/>
                <w:sz w:val="21"/>
                <w:szCs w:val="21"/>
                <w:highlight w:val="none"/>
                <w:vertAlign w:val="baseline"/>
                <w:lang w:val="en-US" w:eastAsia="zh-CN"/>
              </w:rPr>
              <w:t>1</w:t>
            </w:r>
            <w:r>
              <w:rPr>
                <w:rFonts w:hint="eastAsia" w:ascii="仿宋" w:hAnsi="仿宋" w:eastAsia="仿宋" w:cs="仿宋"/>
                <w:sz w:val="21"/>
                <w:szCs w:val="21"/>
                <w:highlight w:val="none"/>
                <w:vertAlign w:val="baseline"/>
              </w:rPr>
              <w:t xml:space="preserve"> 月 1 日至投标截止日止（以合同签订合同时间为准）独立承担的类似项目，每提供 1 份有效的业绩资料</w:t>
            </w:r>
          </w:p>
          <w:p>
            <w:pPr>
              <w:pStyle w:val="2"/>
              <w:spacing w:line="240" w:lineRule="auto"/>
              <w:ind w:right="-31" w:rightChars="-15"/>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 xml:space="preserve">得 </w:t>
            </w:r>
            <w:r>
              <w:rPr>
                <w:rFonts w:hint="eastAsia" w:ascii="仿宋" w:hAnsi="仿宋" w:eastAsia="仿宋" w:cs="仿宋"/>
                <w:sz w:val="21"/>
                <w:szCs w:val="21"/>
                <w:highlight w:val="none"/>
                <w:vertAlign w:val="baseline"/>
                <w:lang w:val="en-US" w:eastAsia="zh-CN"/>
              </w:rPr>
              <w:t>1</w:t>
            </w:r>
            <w:r>
              <w:rPr>
                <w:rFonts w:hint="eastAsia" w:ascii="仿宋" w:hAnsi="仿宋" w:eastAsia="仿宋" w:cs="仿宋"/>
                <w:sz w:val="21"/>
                <w:szCs w:val="21"/>
                <w:highlight w:val="none"/>
                <w:vertAlign w:val="baseline"/>
              </w:rPr>
              <w:t xml:space="preserve"> 分，满分 </w:t>
            </w:r>
            <w:r>
              <w:rPr>
                <w:rFonts w:hint="eastAsia" w:ascii="仿宋" w:hAnsi="仿宋" w:eastAsia="仿宋" w:cs="仿宋"/>
                <w:sz w:val="21"/>
                <w:szCs w:val="21"/>
                <w:highlight w:val="none"/>
                <w:vertAlign w:val="baseline"/>
                <w:lang w:val="en-US" w:eastAsia="zh-CN"/>
              </w:rPr>
              <w:t>7</w:t>
            </w:r>
            <w:r>
              <w:rPr>
                <w:rFonts w:hint="eastAsia" w:ascii="仿宋" w:hAnsi="仿宋" w:eastAsia="仿宋" w:cs="仿宋"/>
                <w:sz w:val="21"/>
                <w:szCs w:val="21"/>
                <w:highlight w:val="none"/>
                <w:vertAlign w:val="baseline"/>
              </w:rPr>
              <w:t xml:space="preserve"> 分。</w:t>
            </w:r>
          </w:p>
          <w:p>
            <w:pPr>
              <w:pStyle w:val="2"/>
              <w:spacing w:line="240" w:lineRule="auto"/>
              <w:ind w:right="-31" w:rightChars="-15"/>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注：1.须提供业绩合同关键页（含：首页、</w:t>
            </w:r>
            <w:r>
              <w:rPr>
                <w:rFonts w:hint="eastAsia" w:ascii="仿宋" w:hAnsi="仿宋" w:eastAsia="仿宋" w:cs="仿宋"/>
                <w:sz w:val="21"/>
                <w:szCs w:val="21"/>
                <w:highlight w:val="none"/>
                <w:vertAlign w:val="baseline"/>
                <w:lang w:val="en-US" w:eastAsia="zh-CN"/>
              </w:rPr>
              <w:t>货物和</w:t>
            </w:r>
            <w:r>
              <w:rPr>
                <w:rFonts w:hint="eastAsia" w:ascii="仿宋" w:hAnsi="仿宋" w:eastAsia="仿宋" w:cs="仿宋"/>
                <w:sz w:val="21"/>
                <w:szCs w:val="21"/>
                <w:highlight w:val="none"/>
                <w:vertAlign w:val="baseline"/>
              </w:rPr>
              <w:t>服务内容信息页、合同金额页、签字盖章页）。复印件加盖公章，时间以合同签订日期为准。不符合上述要求或未按要求提供有效证明文件的业绩在评审时将不予承认。</w:t>
            </w:r>
          </w:p>
          <w:p>
            <w:pPr>
              <w:pStyle w:val="2"/>
              <w:spacing w:line="240" w:lineRule="auto"/>
              <w:ind w:right="-31" w:rightChars="-15"/>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lang w:val="en-US" w:eastAsia="zh-CN"/>
              </w:rPr>
              <w:t>2.</w:t>
            </w:r>
            <w:r>
              <w:rPr>
                <w:rFonts w:hint="eastAsia" w:ascii="仿宋" w:hAnsi="仿宋" w:eastAsia="仿宋" w:cs="仿宋"/>
                <w:sz w:val="21"/>
                <w:szCs w:val="21"/>
                <w:highlight w:val="none"/>
                <w:vertAlign w:val="baseline"/>
                <w:lang w:eastAsia="zh-CN"/>
              </w:rPr>
              <w:t>投标人</w:t>
            </w:r>
            <w:r>
              <w:rPr>
                <w:rFonts w:hint="eastAsia" w:ascii="仿宋" w:hAnsi="仿宋" w:eastAsia="仿宋" w:cs="仿宋"/>
                <w:sz w:val="21"/>
                <w:szCs w:val="21"/>
                <w:highlight w:val="none"/>
                <w:vertAlign w:val="baseline"/>
              </w:rPr>
              <w:t>提供虚假合同的，按虚假投标处理。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6" w:hRule="atLeast"/>
          <w:jc w:val="center"/>
        </w:trPr>
        <w:tc>
          <w:tcPr>
            <w:tcW w:w="1074" w:type="dxa"/>
            <w:vMerge w:val="continue"/>
            <w:tcBorders>
              <w:right w:val="single" w:color="000000" w:sz="4" w:space="0"/>
            </w:tcBorders>
            <w:vAlign w:val="center"/>
          </w:tcPr>
          <w:p>
            <w:pPr>
              <w:pStyle w:val="2"/>
              <w:spacing w:line="240" w:lineRule="auto"/>
              <w:ind w:right="-19" w:rightChars="-9"/>
              <w:jc w:val="center"/>
              <w:rPr>
                <w:rFonts w:hint="eastAsia" w:ascii="仿宋" w:hAnsi="仿宋" w:eastAsia="仿宋" w:cs="仿宋"/>
                <w:sz w:val="21"/>
                <w:szCs w:val="21"/>
                <w:highlight w:val="none"/>
                <w:vertAlign w:val="baseline"/>
              </w:rPr>
            </w:pPr>
          </w:p>
        </w:tc>
        <w:tc>
          <w:tcPr>
            <w:tcW w:w="994" w:type="dxa"/>
            <w:tcBorders>
              <w:left w:val="single" w:color="000000" w:sz="4" w:space="0"/>
            </w:tcBorders>
            <w:vAlign w:val="center"/>
          </w:tcPr>
          <w:p>
            <w:pPr>
              <w:pStyle w:val="2"/>
              <w:spacing w:line="240" w:lineRule="auto"/>
              <w:ind w:right="31" w:rightChars="15"/>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质量、安全、环境管理体系证书</w:t>
            </w:r>
          </w:p>
        </w:tc>
        <w:tc>
          <w:tcPr>
            <w:tcW w:w="843" w:type="dxa"/>
            <w:vAlign w:val="center"/>
          </w:tcPr>
          <w:p>
            <w:pPr>
              <w:pStyle w:val="2"/>
              <w:spacing w:line="240" w:lineRule="auto"/>
              <w:ind w:right="0" w:right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3</w:t>
            </w:r>
          </w:p>
        </w:tc>
        <w:tc>
          <w:tcPr>
            <w:tcW w:w="5611" w:type="dxa"/>
          </w:tcPr>
          <w:p>
            <w:pPr>
              <w:pStyle w:val="2"/>
              <w:spacing w:line="240" w:lineRule="auto"/>
              <w:ind w:right="-31" w:rightChars="-15"/>
              <w:rPr>
                <w:rFonts w:hint="eastAsia" w:ascii="仿宋" w:hAnsi="仿宋" w:eastAsia="仿宋" w:cs="仿宋"/>
                <w:sz w:val="21"/>
                <w:szCs w:val="21"/>
                <w:highlight w:val="none"/>
                <w:vertAlign w:val="baseline"/>
                <w:lang w:val="en-US" w:eastAsia="zh-CN"/>
              </w:rPr>
            </w:pPr>
            <w:bookmarkStart w:id="34" w:name="_Toc16348"/>
            <w:r>
              <w:rPr>
                <w:rFonts w:hint="eastAsia" w:ascii="仿宋" w:hAnsi="仿宋" w:eastAsia="仿宋" w:cs="仿宋"/>
                <w:sz w:val="21"/>
                <w:szCs w:val="21"/>
                <w:highlight w:val="none"/>
                <w:vertAlign w:val="baseline"/>
                <w:lang w:val="en-US" w:eastAsia="zh-CN"/>
              </w:rPr>
              <w:t>投标人具有ISO9001质量管理体系认证证书得1分，未提供不得分；</w:t>
            </w:r>
            <w:bookmarkEnd w:id="34"/>
          </w:p>
          <w:p>
            <w:pPr>
              <w:pStyle w:val="2"/>
              <w:spacing w:line="240" w:lineRule="auto"/>
              <w:ind w:right="-31" w:rightChars="-15"/>
              <w:rPr>
                <w:rFonts w:hint="eastAsia" w:ascii="仿宋" w:hAnsi="仿宋" w:eastAsia="仿宋" w:cs="仿宋"/>
                <w:sz w:val="21"/>
                <w:szCs w:val="21"/>
                <w:highlight w:val="none"/>
                <w:vertAlign w:val="baseline"/>
                <w:lang w:val="en-US" w:eastAsia="zh-CN"/>
              </w:rPr>
            </w:pPr>
            <w:bookmarkStart w:id="35" w:name="_Toc21690"/>
            <w:r>
              <w:rPr>
                <w:rFonts w:hint="eastAsia" w:ascii="仿宋" w:hAnsi="仿宋" w:eastAsia="仿宋" w:cs="仿宋"/>
                <w:sz w:val="21"/>
                <w:szCs w:val="21"/>
                <w:highlight w:val="none"/>
                <w:vertAlign w:val="baseline"/>
                <w:lang w:val="en-US" w:eastAsia="zh-CN"/>
              </w:rPr>
              <w:t>投标人具有职业健康安全管理体系认证证书得1分，未提供不得分；</w:t>
            </w:r>
            <w:bookmarkEnd w:id="35"/>
          </w:p>
          <w:p>
            <w:pPr>
              <w:pStyle w:val="2"/>
              <w:spacing w:line="240" w:lineRule="auto"/>
              <w:ind w:right="-31" w:rightChars="-15"/>
              <w:rPr>
                <w:rFonts w:hint="eastAsia" w:ascii="仿宋" w:hAnsi="仿宋" w:eastAsia="仿宋" w:cs="仿宋"/>
                <w:sz w:val="21"/>
                <w:szCs w:val="21"/>
                <w:highlight w:val="none"/>
                <w:vertAlign w:val="baseline"/>
              </w:rPr>
            </w:pPr>
            <w:bookmarkStart w:id="36" w:name="_Toc355"/>
            <w:r>
              <w:rPr>
                <w:rFonts w:hint="eastAsia" w:ascii="仿宋" w:hAnsi="仿宋" w:eastAsia="仿宋" w:cs="仿宋"/>
                <w:sz w:val="21"/>
                <w:szCs w:val="21"/>
                <w:highlight w:val="none"/>
                <w:vertAlign w:val="baseline"/>
                <w:lang w:val="en-US" w:eastAsia="zh-CN"/>
              </w:rPr>
              <w:t>投标人具有ISO14000环境管理体系认证证书得1分，未提供不得分</w:t>
            </w:r>
            <w:bookmarkEnd w:id="3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1" w:hRule="atLeast"/>
          <w:jc w:val="center"/>
        </w:trPr>
        <w:tc>
          <w:tcPr>
            <w:tcW w:w="1074" w:type="dxa"/>
            <w:vMerge w:val="restart"/>
            <w:tcBorders>
              <w:right w:val="single" w:color="000000" w:sz="4" w:space="0"/>
            </w:tcBorders>
            <w:vAlign w:val="center"/>
          </w:tcPr>
          <w:p>
            <w:pPr>
              <w:pStyle w:val="2"/>
              <w:spacing w:line="240" w:lineRule="auto"/>
              <w:ind w:right="-19" w:rightChars="-9"/>
              <w:jc w:val="center"/>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技术部分 (</w:t>
            </w:r>
            <w:r>
              <w:rPr>
                <w:rFonts w:hint="eastAsia" w:ascii="仿宋" w:hAnsi="仿宋" w:eastAsia="仿宋" w:cs="仿宋"/>
                <w:sz w:val="21"/>
                <w:szCs w:val="21"/>
                <w:highlight w:val="none"/>
                <w:vertAlign w:val="baseline"/>
                <w:lang w:val="en-US" w:eastAsia="zh-CN"/>
              </w:rPr>
              <w:t>50</w:t>
            </w:r>
            <w:r>
              <w:rPr>
                <w:rFonts w:hint="eastAsia" w:ascii="仿宋" w:hAnsi="仿宋" w:eastAsia="仿宋" w:cs="仿宋"/>
                <w:sz w:val="21"/>
                <w:szCs w:val="21"/>
                <w:highlight w:val="none"/>
                <w:vertAlign w:val="baseline"/>
              </w:rPr>
              <w:t>分)</w:t>
            </w:r>
          </w:p>
        </w:tc>
        <w:tc>
          <w:tcPr>
            <w:tcW w:w="994" w:type="dxa"/>
            <w:tcBorders>
              <w:left w:val="single" w:color="000000" w:sz="4" w:space="0"/>
            </w:tcBorders>
            <w:vAlign w:val="center"/>
          </w:tcPr>
          <w:p>
            <w:pPr>
              <w:pStyle w:val="2"/>
              <w:spacing w:line="240" w:lineRule="auto"/>
              <w:ind w:right="31" w:rightChars="15"/>
              <w:jc w:val="center"/>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对</w:t>
            </w:r>
            <w:r>
              <w:rPr>
                <w:rFonts w:hint="eastAsia" w:ascii="仿宋" w:hAnsi="仿宋" w:eastAsia="仿宋" w:cs="仿宋"/>
                <w:sz w:val="21"/>
                <w:szCs w:val="21"/>
                <w:highlight w:val="none"/>
                <w:vertAlign w:val="baseline"/>
                <w:lang w:val="en-US" w:eastAsia="zh-CN"/>
              </w:rPr>
              <w:t>投标</w:t>
            </w:r>
            <w:r>
              <w:rPr>
                <w:rFonts w:hint="eastAsia" w:ascii="仿宋" w:hAnsi="仿宋" w:eastAsia="仿宋" w:cs="仿宋"/>
                <w:sz w:val="21"/>
                <w:szCs w:val="21"/>
                <w:highlight w:val="none"/>
                <w:vertAlign w:val="baseline"/>
                <w:lang w:eastAsia="zh-CN"/>
              </w:rPr>
              <w:t>文件</w:t>
            </w:r>
            <w:r>
              <w:rPr>
                <w:rFonts w:hint="eastAsia" w:ascii="仿宋" w:hAnsi="仿宋" w:eastAsia="仿宋" w:cs="仿宋"/>
                <w:sz w:val="21"/>
                <w:szCs w:val="21"/>
                <w:highlight w:val="none"/>
                <w:vertAlign w:val="baseline"/>
              </w:rPr>
              <w:t>技术规格要求的响应程度</w:t>
            </w:r>
          </w:p>
        </w:tc>
        <w:tc>
          <w:tcPr>
            <w:tcW w:w="843" w:type="dxa"/>
            <w:vAlign w:val="center"/>
          </w:tcPr>
          <w:p>
            <w:pPr>
              <w:pStyle w:val="2"/>
              <w:spacing w:line="240" w:lineRule="auto"/>
              <w:ind w:right="0" w:right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5</w:t>
            </w:r>
          </w:p>
        </w:tc>
        <w:tc>
          <w:tcPr>
            <w:tcW w:w="5611" w:type="dxa"/>
          </w:tcPr>
          <w:p>
            <w:pPr>
              <w:pStyle w:val="2"/>
              <w:spacing w:line="240" w:lineRule="auto"/>
              <w:ind w:right="-31" w:rightChars="-15"/>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技术参数及要求中一般技术要求，全部满足得</w:t>
            </w:r>
            <w:r>
              <w:rPr>
                <w:rFonts w:hint="eastAsia" w:ascii="仿宋" w:hAnsi="仿宋" w:eastAsia="仿宋" w:cs="仿宋"/>
                <w:sz w:val="21"/>
                <w:szCs w:val="21"/>
                <w:highlight w:val="none"/>
                <w:vertAlign w:val="baseline"/>
                <w:lang w:val="en-US" w:eastAsia="zh-CN"/>
              </w:rPr>
              <w:t>5</w:t>
            </w:r>
            <w:r>
              <w:rPr>
                <w:rFonts w:hint="eastAsia" w:ascii="仿宋" w:hAnsi="仿宋" w:eastAsia="仿宋" w:cs="仿宋"/>
                <w:sz w:val="21"/>
                <w:szCs w:val="21"/>
                <w:highlight w:val="none"/>
                <w:vertAlign w:val="baseline"/>
              </w:rPr>
              <w:t>分，一项不满足扣</w:t>
            </w:r>
            <w:r>
              <w:rPr>
                <w:rFonts w:hint="eastAsia" w:ascii="仿宋" w:hAnsi="仿宋" w:eastAsia="仿宋" w:cs="仿宋"/>
                <w:sz w:val="21"/>
                <w:szCs w:val="21"/>
                <w:highlight w:val="none"/>
                <w:vertAlign w:val="baseline"/>
                <w:lang w:val="en-US" w:eastAsia="zh-CN"/>
              </w:rPr>
              <w:t>1</w:t>
            </w:r>
            <w:r>
              <w:rPr>
                <w:rFonts w:hint="eastAsia" w:ascii="仿宋" w:hAnsi="仿宋" w:eastAsia="仿宋" w:cs="仿宋"/>
                <w:sz w:val="21"/>
                <w:szCs w:val="21"/>
                <w:highlight w:val="none"/>
                <w:vertAlign w:val="baseline"/>
              </w:rPr>
              <w:t xml:space="preserve">分，扣完为止。 </w:t>
            </w:r>
          </w:p>
          <w:p>
            <w:pPr>
              <w:pStyle w:val="2"/>
              <w:spacing w:line="240" w:lineRule="auto"/>
              <w:ind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rPr>
              <w:t>注：</w:t>
            </w:r>
            <w:r>
              <w:rPr>
                <w:rFonts w:hint="eastAsia" w:ascii="仿宋" w:hAnsi="仿宋" w:eastAsia="仿宋" w:cs="仿宋"/>
                <w:sz w:val="21"/>
                <w:szCs w:val="21"/>
                <w:highlight w:val="none"/>
                <w:vertAlign w:val="baseline"/>
                <w:lang w:val="en-US" w:eastAsia="zh-CN"/>
              </w:rPr>
              <w:t>投标人</w:t>
            </w:r>
            <w:r>
              <w:rPr>
                <w:rFonts w:hint="eastAsia" w:ascii="仿宋" w:hAnsi="仿宋" w:eastAsia="仿宋" w:cs="仿宋"/>
                <w:sz w:val="21"/>
                <w:szCs w:val="21"/>
                <w:highlight w:val="none"/>
                <w:vertAlign w:val="baseline"/>
              </w:rPr>
              <w:t>须对本</w:t>
            </w:r>
            <w:r>
              <w:rPr>
                <w:rFonts w:hint="eastAsia" w:ascii="仿宋" w:hAnsi="仿宋" w:eastAsia="仿宋" w:cs="仿宋"/>
                <w:sz w:val="21"/>
                <w:szCs w:val="21"/>
                <w:highlight w:val="none"/>
                <w:vertAlign w:val="baseline"/>
                <w:lang w:val="en-US" w:eastAsia="zh-CN"/>
              </w:rPr>
              <w:t>招标</w:t>
            </w:r>
            <w:r>
              <w:rPr>
                <w:rFonts w:hint="eastAsia" w:ascii="仿宋" w:hAnsi="仿宋" w:eastAsia="仿宋" w:cs="仿宋"/>
                <w:sz w:val="21"/>
                <w:szCs w:val="21"/>
                <w:highlight w:val="none"/>
                <w:vertAlign w:val="baseline"/>
              </w:rPr>
              <w:t>文件技术要求进行点对点应答，必须在引用本采购文件的基础上,进行逐条逐项答复、说明和解释,特别对有具体参数要求的指标，</w:t>
            </w:r>
            <w:r>
              <w:rPr>
                <w:rFonts w:hint="eastAsia" w:ascii="仿宋" w:hAnsi="仿宋" w:eastAsia="仿宋" w:cs="仿宋"/>
                <w:sz w:val="21"/>
                <w:szCs w:val="21"/>
                <w:highlight w:val="none"/>
                <w:vertAlign w:val="baseline"/>
                <w:lang w:val="en-US" w:eastAsia="zh-CN"/>
              </w:rPr>
              <w:t>投标人</w:t>
            </w:r>
            <w:r>
              <w:rPr>
                <w:rFonts w:hint="eastAsia" w:ascii="仿宋" w:hAnsi="仿宋" w:eastAsia="仿宋" w:cs="仿宋"/>
                <w:sz w:val="21"/>
                <w:szCs w:val="21"/>
                <w:highlight w:val="none"/>
                <w:vertAlign w:val="baseline"/>
              </w:rPr>
              <w:t>必须提供所投</w:t>
            </w:r>
            <w:r>
              <w:rPr>
                <w:rFonts w:hint="eastAsia" w:ascii="仿宋" w:hAnsi="仿宋" w:eastAsia="仿宋" w:cs="仿宋"/>
                <w:sz w:val="21"/>
                <w:szCs w:val="21"/>
                <w:highlight w:val="none"/>
                <w:vertAlign w:val="baseline"/>
                <w:lang w:val="en-US" w:eastAsia="zh-CN"/>
              </w:rPr>
              <w:t>货物</w:t>
            </w:r>
            <w:r>
              <w:rPr>
                <w:rFonts w:hint="eastAsia" w:ascii="仿宋" w:hAnsi="仿宋" w:eastAsia="仿宋" w:cs="仿宋"/>
                <w:sz w:val="21"/>
                <w:szCs w:val="21"/>
                <w:highlight w:val="none"/>
                <w:vertAlign w:val="baseline"/>
              </w:rPr>
              <w:t>的具体参数值。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1" w:hRule="atLeast"/>
          <w:jc w:val="center"/>
        </w:trPr>
        <w:tc>
          <w:tcPr>
            <w:tcW w:w="1074" w:type="dxa"/>
            <w:vMerge w:val="continue"/>
            <w:tcBorders>
              <w:right w:val="single" w:color="000000" w:sz="4" w:space="0"/>
            </w:tcBorders>
            <w:vAlign w:val="center"/>
          </w:tcPr>
          <w:p>
            <w:pPr>
              <w:pStyle w:val="2"/>
              <w:spacing w:line="240" w:lineRule="auto"/>
              <w:ind w:right="638" w:rightChars="304"/>
              <w:jc w:val="center"/>
              <w:rPr>
                <w:rFonts w:hint="eastAsia" w:ascii="仿宋" w:hAnsi="仿宋" w:eastAsia="仿宋" w:cs="仿宋"/>
                <w:sz w:val="21"/>
                <w:szCs w:val="21"/>
                <w:highlight w:val="none"/>
                <w:vertAlign w:val="baseline"/>
              </w:rPr>
            </w:pPr>
          </w:p>
        </w:tc>
        <w:tc>
          <w:tcPr>
            <w:tcW w:w="994" w:type="dxa"/>
            <w:tcBorders>
              <w:left w:val="single" w:color="000000" w:sz="4" w:space="0"/>
            </w:tcBorders>
            <w:vAlign w:val="center"/>
          </w:tcPr>
          <w:p>
            <w:pPr>
              <w:pStyle w:val="2"/>
              <w:spacing w:line="240" w:lineRule="auto"/>
              <w:ind w:right="31" w:rightChars="15"/>
              <w:jc w:val="center"/>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整体服务方案</w:t>
            </w:r>
          </w:p>
          <w:p>
            <w:pPr>
              <w:pStyle w:val="2"/>
              <w:spacing w:line="240" w:lineRule="auto"/>
              <w:ind w:right="31" w:rightChars="15"/>
              <w:jc w:val="center"/>
              <w:rPr>
                <w:rFonts w:hint="eastAsia" w:ascii="仿宋" w:hAnsi="仿宋" w:eastAsia="仿宋" w:cs="仿宋"/>
                <w:sz w:val="21"/>
                <w:szCs w:val="21"/>
                <w:highlight w:val="none"/>
                <w:vertAlign w:val="baseline"/>
              </w:rPr>
            </w:pPr>
          </w:p>
        </w:tc>
        <w:tc>
          <w:tcPr>
            <w:tcW w:w="843" w:type="dxa"/>
            <w:vAlign w:val="center"/>
          </w:tcPr>
          <w:p>
            <w:pPr>
              <w:pStyle w:val="2"/>
              <w:spacing w:line="240" w:lineRule="auto"/>
              <w:ind w:right="0" w:right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20</w:t>
            </w:r>
          </w:p>
        </w:tc>
        <w:tc>
          <w:tcPr>
            <w:tcW w:w="5611" w:type="dxa"/>
          </w:tcPr>
          <w:p>
            <w:pPr>
              <w:pStyle w:val="2"/>
              <w:numPr>
                <w:ilvl w:val="0"/>
                <w:numId w:val="13"/>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货品配送方案（8分）:</w:t>
            </w:r>
          </w:p>
          <w:p>
            <w:pPr>
              <w:pStyle w:val="2"/>
              <w:numPr>
                <w:ilvl w:val="0"/>
                <w:numId w:val="0"/>
              </w:numPr>
              <w:spacing w:line="240" w:lineRule="auto"/>
              <w:ind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（1）投标人对本项目的配送服务方案全面、科学、合理、针对性强，得8分</w:t>
            </w:r>
          </w:p>
          <w:p>
            <w:pPr>
              <w:pStyle w:val="2"/>
              <w:numPr>
                <w:ilvl w:val="0"/>
                <w:numId w:val="0"/>
              </w:numPr>
              <w:spacing w:line="240" w:lineRule="auto"/>
              <w:ind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（2）投标人对本项目的配送服务方案基本全面、科学、合理，针对性一般，得5分； </w:t>
            </w:r>
          </w:p>
          <w:p>
            <w:pPr>
              <w:pStyle w:val="2"/>
              <w:numPr>
                <w:ilvl w:val="0"/>
                <w:numId w:val="0"/>
              </w:numPr>
              <w:spacing w:line="240" w:lineRule="auto"/>
              <w:ind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（3）投标人对本项目的配送服务方案不够全面、科学、合理，针对性不强，得3分； </w:t>
            </w:r>
          </w:p>
          <w:p>
            <w:pPr>
              <w:pStyle w:val="2"/>
              <w:numPr>
                <w:ilvl w:val="0"/>
                <w:numId w:val="0"/>
              </w:numPr>
              <w:spacing w:line="240" w:lineRule="auto"/>
              <w:ind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（4）没有项目配送服务方案不得分。 </w:t>
            </w:r>
          </w:p>
          <w:p>
            <w:pPr>
              <w:pStyle w:val="2"/>
              <w:numPr>
                <w:ilvl w:val="0"/>
                <w:numId w:val="0"/>
              </w:numPr>
              <w:spacing w:line="240" w:lineRule="auto"/>
              <w:ind w:right="-31" w:rightChars="-15"/>
              <w:rPr>
                <w:rFonts w:hint="eastAsia" w:ascii="仿宋" w:hAnsi="仿宋" w:eastAsia="仿宋" w:cs="仿宋"/>
                <w:sz w:val="21"/>
                <w:szCs w:val="21"/>
                <w:highlight w:val="none"/>
                <w:vertAlign w:val="baseline"/>
                <w:lang w:val="en-US" w:eastAsia="zh-CN"/>
              </w:rPr>
            </w:pPr>
          </w:p>
          <w:p>
            <w:pPr>
              <w:pStyle w:val="2"/>
              <w:numPr>
                <w:ilvl w:val="0"/>
                <w:numId w:val="13"/>
              </w:numPr>
              <w:spacing w:line="240" w:lineRule="auto"/>
              <w:ind w:left="0" w:leftChars="0" w:right="-31" w:rightChars="-15" w:firstLine="0" w:firstLineChars="0"/>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拟投入本项目团队人员情况（6分）</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（1）项目团队人员工作经验丰富，职责分工详细明确，岗位设置安排科学合理，后备人员力量充足得6分；</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（2）项目团队人员具备一定工作经验，职责分工基本明确，岗位设置安排基本合理，后备人员力量仅满足需求得4分；；</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（3）项目团队人员职责分工模糊不清，岗位设置欠合理，无后备人员得2分；</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注：需提供拟派项目团队人员及后备人员的健康证、劳动合同及近六个月内任意一期的社保缴纳证明材料加盖公章，未提供不得分。</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p>
          <w:p>
            <w:pPr>
              <w:pStyle w:val="2"/>
              <w:numPr>
                <w:ilvl w:val="0"/>
                <w:numId w:val="13"/>
              </w:numPr>
              <w:spacing w:line="240" w:lineRule="auto"/>
              <w:ind w:left="0" w:leftChars="0" w:right="-31" w:rightChars="-15" w:firstLine="0" w:firstLineChars="0"/>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工作流程及内部管理制度（6分）</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（1）投标人对本项目的工作流程及内部管理制度全面、科学、合理、针对性强，得6分</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（2）投标人对本项目的工作流程及内部管理制度基本全面、科学、合理，针对性一般，得4分； </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（3）投标人对本项目的工作流程及内部管理制度不够全面、科学、合理，针对性不强，得2分； </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（4）没有项目工作流程及内部管理制度不得分。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8" w:hRule="atLeast"/>
          <w:jc w:val="center"/>
        </w:trPr>
        <w:tc>
          <w:tcPr>
            <w:tcW w:w="1074" w:type="dxa"/>
            <w:vMerge w:val="continue"/>
            <w:tcBorders>
              <w:right w:val="single" w:color="000000" w:sz="4" w:space="0"/>
            </w:tcBorders>
            <w:vAlign w:val="center"/>
          </w:tcPr>
          <w:p>
            <w:pPr>
              <w:pStyle w:val="2"/>
              <w:spacing w:line="240" w:lineRule="auto"/>
              <w:ind w:right="638" w:rightChars="304"/>
              <w:jc w:val="center"/>
              <w:rPr>
                <w:rFonts w:hint="eastAsia" w:ascii="仿宋" w:hAnsi="仿宋" w:eastAsia="仿宋" w:cs="仿宋"/>
                <w:sz w:val="21"/>
                <w:szCs w:val="21"/>
                <w:highlight w:val="none"/>
                <w:vertAlign w:val="baseline"/>
              </w:rPr>
            </w:pPr>
          </w:p>
        </w:tc>
        <w:tc>
          <w:tcPr>
            <w:tcW w:w="994" w:type="dxa"/>
            <w:tcBorders>
              <w:left w:val="single" w:color="000000" w:sz="4" w:space="0"/>
            </w:tcBorders>
            <w:vAlign w:val="center"/>
          </w:tcPr>
          <w:p>
            <w:pPr>
              <w:pStyle w:val="2"/>
              <w:spacing w:line="240" w:lineRule="auto"/>
              <w:ind w:right="31" w:rightChars="15"/>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服务保障措施</w:t>
            </w:r>
          </w:p>
        </w:tc>
        <w:tc>
          <w:tcPr>
            <w:tcW w:w="843" w:type="dxa"/>
            <w:vAlign w:val="center"/>
          </w:tcPr>
          <w:p>
            <w:pPr>
              <w:pStyle w:val="2"/>
              <w:spacing w:line="240" w:lineRule="auto"/>
              <w:ind w:right="0" w:right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15</w:t>
            </w:r>
          </w:p>
        </w:tc>
        <w:tc>
          <w:tcPr>
            <w:tcW w:w="5611" w:type="dxa"/>
          </w:tcPr>
          <w:p>
            <w:pPr>
              <w:pStyle w:val="2"/>
              <w:numPr>
                <w:ilvl w:val="0"/>
                <w:numId w:val="14"/>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售后服务保障方案（5分）</w:t>
            </w:r>
          </w:p>
          <w:p>
            <w:pPr>
              <w:pStyle w:val="2"/>
              <w:numPr>
                <w:ilvl w:val="0"/>
                <w:numId w:val="0"/>
              </w:numPr>
              <w:spacing w:line="240" w:lineRule="auto"/>
              <w:ind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（1）投标人对本项目的售后服务保障方案方案全面、科学、合理、针对性强，得5分</w:t>
            </w:r>
          </w:p>
          <w:p>
            <w:pPr>
              <w:pStyle w:val="2"/>
              <w:numPr>
                <w:ilvl w:val="0"/>
                <w:numId w:val="0"/>
              </w:numPr>
              <w:spacing w:line="240" w:lineRule="auto"/>
              <w:ind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（2）投标人对本项目的售后服务保障方案基本全面、科学、合理，针对性一般，得3分； </w:t>
            </w:r>
          </w:p>
          <w:p>
            <w:pPr>
              <w:pStyle w:val="2"/>
              <w:numPr>
                <w:ilvl w:val="0"/>
                <w:numId w:val="0"/>
              </w:numPr>
              <w:spacing w:line="240" w:lineRule="auto"/>
              <w:ind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（3）投标人对本项目的售后服务保障方案不够全面、科学、合理，针对性不强，得1分； </w:t>
            </w:r>
          </w:p>
          <w:p>
            <w:pPr>
              <w:pStyle w:val="2"/>
              <w:numPr>
                <w:ilvl w:val="0"/>
                <w:numId w:val="0"/>
              </w:numPr>
              <w:spacing w:line="240" w:lineRule="auto"/>
              <w:ind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（4）没有项目售后服务保障方案不得分。</w:t>
            </w:r>
          </w:p>
          <w:p>
            <w:pPr>
              <w:pStyle w:val="2"/>
              <w:numPr>
                <w:ilvl w:val="0"/>
                <w:numId w:val="0"/>
              </w:numPr>
              <w:spacing w:line="240" w:lineRule="auto"/>
              <w:ind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2、应急处理预案及措施（5分）</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（1）各环节的预案计划措施全面、科学、合理、针对性强，得5分。 </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（2）各环节的预案计划措施较全面、科学、合理，针对性一般，得3分。 </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（3）各环节的预案计划措施不全面、不科学、不合理，无针对性，得1分。 </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（4）没有提供各环节的预案计划措施的，不得分。</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3、运输配送车辆（5分）</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根据项目要求提供物流车辆清单满足采购需求，得5分，投标人须提供包括车辆照片，自有车辆提供购车发票和机动车登记证书复印件加盖投标人公章，对于租赁车辆提供租赁协议或合同【其中租赁协议/合同需在有效期内的（有效期须包含本项目合同期限），且是以投标人名义签订的】复印件加盖投标人公章、车辆行驶证和租金转账记录或租金发票复印件加盖投标人公章。未提供或专家无法认定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1" w:hRule="atLeast"/>
          <w:jc w:val="center"/>
        </w:trPr>
        <w:tc>
          <w:tcPr>
            <w:tcW w:w="1074" w:type="dxa"/>
            <w:vMerge w:val="continue"/>
            <w:tcBorders>
              <w:right w:val="single" w:color="000000" w:sz="4" w:space="0"/>
            </w:tcBorders>
            <w:vAlign w:val="center"/>
          </w:tcPr>
          <w:p>
            <w:pPr>
              <w:pStyle w:val="2"/>
              <w:spacing w:line="240" w:lineRule="auto"/>
              <w:ind w:right="638" w:rightChars="304"/>
              <w:jc w:val="center"/>
              <w:rPr>
                <w:rFonts w:hint="eastAsia" w:ascii="仿宋" w:hAnsi="仿宋" w:eastAsia="仿宋" w:cs="仿宋"/>
                <w:sz w:val="21"/>
                <w:szCs w:val="21"/>
                <w:highlight w:val="none"/>
                <w:vertAlign w:val="baseline"/>
              </w:rPr>
            </w:pPr>
          </w:p>
        </w:tc>
        <w:tc>
          <w:tcPr>
            <w:tcW w:w="994" w:type="dxa"/>
            <w:tcBorders>
              <w:left w:val="single" w:color="000000" w:sz="4" w:space="0"/>
            </w:tcBorders>
            <w:vAlign w:val="center"/>
          </w:tcPr>
          <w:p>
            <w:pPr>
              <w:pStyle w:val="2"/>
              <w:spacing w:line="240" w:lineRule="auto"/>
              <w:ind w:right="31" w:rightChars="15"/>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质量及安全保证措施</w:t>
            </w:r>
          </w:p>
        </w:tc>
        <w:tc>
          <w:tcPr>
            <w:tcW w:w="843" w:type="dxa"/>
            <w:vAlign w:val="center"/>
          </w:tcPr>
          <w:p>
            <w:pPr>
              <w:pStyle w:val="2"/>
              <w:spacing w:line="240" w:lineRule="auto"/>
              <w:ind w:right="0" w:right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5</w:t>
            </w:r>
          </w:p>
        </w:tc>
        <w:tc>
          <w:tcPr>
            <w:tcW w:w="5611" w:type="dxa"/>
          </w:tcPr>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对投标人的质量及安全保证措施（包括但不限于投标产品的来源、储存、运输、验收各环节的质量保证及安全措施）进行评审： </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1、来源清晰具体、验收方案全面，质量及安全保证各环节措施详细、完善，针对性、可行性强，完全符合采购需求，得5分； </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2、来源清晰较具体、验收方案较全面，质量及安全保证措施完整、各环节基本合理、完善，针对性、可行性较强，基本符合采购需求，得4分； </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3、来源不够清晰、验收方案不够全面，质量及安全保证各环节措施不够具体、完善，针对性、可行性一般，得3分； 4、来源不清晰、验收方案有明显的缺漏，质量及安全保证各环节措施不完整，针对性、可行性较差，得1分。</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未提供不得分。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2" w:hRule="atLeast"/>
          <w:jc w:val="center"/>
        </w:trPr>
        <w:tc>
          <w:tcPr>
            <w:tcW w:w="1074" w:type="dxa"/>
            <w:vMerge w:val="continue"/>
            <w:tcBorders>
              <w:right w:val="single" w:color="000000" w:sz="4" w:space="0"/>
            </w:tcBorders>
            <w:vAlign w:val="center"/>
          </w:tcPr>
          <w:p>
            <w:pPr>
              <w:pStyle w:val="2"/>
              <w:spacing w:line="240" w:lineRule="auto"/>
              <w:ind w:right="638" w:rightChars="304"/>
              <w:jc w:val="center"/>
              <w:rPr>
                <w:rFonts w:hint="eastAsia" w:ascii="仿宋" w:hAnsi="仿宋" w:eastAsia="仿宋" w:cs="仿宋"/>
                <w:sz w:val="21"/>
                <w:szCs w:val="21"/>
                <w:highlight w:val="none"/>
                <w:vertAlign w:val="baseline"/>
              </w:rPr>
            </w:pPr>
          </w:p>
        </w:tc>
        <w:tc>
          <w:tcPr>
            <w:tcW w:w="994" w:type="dxa"/>
            <w:tcBorders>
              <w:left w:val="single" w:color="000000" w:sz="4" w:space="0"/>
            </w:tcBorders>
            <w:vAlign w:val="center"/>
          </w:tcPr>
          <w:p>
            <w:pPr>
              <w:pStyle w:val="2"/>
              <w:spacing w:line="240" w:lineRule="auto"/>
              <w:ind w:right="31" w:rightChars="15"/>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出现产品质量问题退换货方案</w:t>
            </w:r>
          </w:p>
        </w:tc>
        <w:tc>
          <w:tcPr>
            <w:tcW w:w="843" w:type="dxa"/>
            <w:vAlign w:val="center"/>
          </w:tcPr>
          <w:p>
            <w:pPr>
              <w:pStyle w:val="2"/>
              <w:spacing w:line="240" w:lineRule="auto"/>
              <w:ind w:right="0" w:right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5</w:t>
            </w:r>
          </w:p>
        </w:tc>
        <w:tc>
          <w:tcPr>
            <w:tcW w:w="5611" w:type="dxa"/>
          </w:tcPr>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本项目产品质量问题退换货方案内容包括但不限于：退换货流程、退换货便利性说明及相关承诺。</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退换货流程清晰，便利程度高，退换货承诺全面、具体、合理，得5分；</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退换货流程较清晰，便利程度较高，退换货承诺基本合理和详细，得3分；</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退换货流程基本清晰，便利程度一般，退换货承诺不够充分合理，得1分。</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未提供方案 0 分。</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lang w:val="en-US" w:eastAsia="zh-CN"/>
        </w:rPr>
      </w:pP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评标委员会每位成员独立对每个有效投标人的投标文件进行评价、打分；然后汇总每个投标人的得分，计算得分平均值，以平均值由高到低进行排序，按排序顺序推荐中标候选人。分值计算保留小数点后二位，第三位四舍五入。</w:t>
      </w: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落实中小企业政府采购政策的价格调整：</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对于未预留份额专门面向中小企业采购的采购项目，以及预留份额项目中的非预留部分采购包，根据《关于进一步加大政府采购支持中小企业力度的通知》（财库〔2022〕19号）、《关于印发《政府采购促进中小企业发展管理办法》的通知》（财库〔2020〕46号）、《财政部 司法部关于政府采购支持监狱企业发展有关问题的通知》（财库〔2014〕68号）和《三部门联合发布关于促进残疾人就业政府采购政策的通知》（财库〔2017〕141号）的规定，对满足价格扣除条件且在投标文件中提交了《中小企业声明函》、《残疾人福利性单位声明函》或省级以上监狱管理局、戒毒管理局（含新疆生产建设兵团）出具的属于监狱企业的证明文件的投标人，其投标报价扣除</w:t>
      </w:r>
      <w:r>
        <w:rPr>
          <w:rFonts w:hint="eastAsia" w:ascii="仿宋" w:hAnsi="仿宋" w:eastAsia="仿宋" w:cs="仿宋"/>
          <w:b w:val="0"/>
          <w:bCs w:val="0"/>
          <w:sz w:val="24"/>
          <w:szCs w:val="24"/>
          <w:highlight w:val="none"/>
          <w:u w:val="single"/>
          <w:lang w:val="en-US" w:eastAsia="zh-CN"/>
        </w:rPr>
        <w:t xml:space="preserve"> 10 % </w:t>
      </w:r>
      <w:r>
        <w:rPr>
          <w:rFonts w:hint="eastAsia" w:ascii="仿宋" w:hAnsi="仿宋" w:eastAsia="仿宋" w:cs="仿宋"/>
          <w:b w:val="0"/>
          <w:bCs w:val="0"/>
          <w:sz w:val="24"/>
          <w:szCs w:val="24"/>
          <w:highlight w:val="none"/>
          <w:lang w:val="en-US" w:eastAsia="zh-CN"/>
        </w:rPr>
        <w:t>后参与评审。对于同时属于小微企业、监狱企业或残疾人福利性单位的，不重复进行投标报价扣除。</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接受大中型企业与小微企业组成联合体或者允许大中型企业向一家或者多家小微企业分包的采购项目，对于联合协议或者分包意向协议约定小微企业的合同份额占到合同总金额 30%以上的，采购人、采购代理机构应当对联合体或者大中型企业的报价给予</w:t>
      </w:r>
      <w:r>
        <w:rPr>
          <w:rFonts w:hint="eastAsia" w:ascii="仿宋" w:hAnsi="仿宋" w:eastAsia="仿宋" w:cs="仿宋"/>
          <w:b w:val="0"/>
          <w:bCs w:val="0"/>
          <w:sz w:val="24"/>
          <w:szCs w:val="24"/>
          <w:highlight w:val="none"/>
          <w:u w:val="single"/>
          <w:lang w:val="en-US" w:eastAsia="zh-CN"/>
        </w:rPr>
        <w:t xml:space="preserve"> 4% </w:t>
      </w:r>
      <w:r>
        <w:rPr>
          <w:rFonts w:hint="eastAsia" w:ascii="仿宋" w:hAnsi="仿宋" w:eastAsia="仿宋" w:cs="仿宋"/>
          <w:b w:val="0"/>
          <w:bCs w:val="0"/>
          <w:sz w:val="24"/>
          <w:szCs w:val="24"/>
          <w:highlight w:val="none"/>
          <w:lang w:val="en-US" w:eastAsia="zh-CN"/>
        </w:rPr>
        <w:t>的扣除，用扣除后的价格参加评审。</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组成联合体或者接受分包的小微企业与联合体内其他企业、分包企业之间存在直接控股、管理关系的，不享受价格扣除优惠政策。</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价格扣除比例对小型企业和微型企业同等对待，不作区分。</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中小企业参加政府采购活动，应当按照招标文件给定的格式出具《中小企业声明函》，否则不得享受相关中小企业扶持政策。</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监狱企业提供了由省级以上监狱管理局、戒毒管理局（含新疆生产建设兵团）出具的属于监狱企业的证明文件的，视同小微企业。</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残疾人福利性单位按招标文件要求提供了《残疾人福利性单位声明函》（见附件）的，视同小微企业。</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若投标人同时属于小型或微型企业、监狱企业、残疾人福利性单位中的两种及以上，将不重复享受小微企业价格扣减的优惠政策。</w:t>
      </w: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single"/>
          <w:lang w:val="en-US" w:eastAsia="zh-CN"/>
        </w:rPr>
      </w:pPr>
      <w:r>
        <w:rPr>
          <w:rFonts w:hint="eastAsia" w:ascii="仿宋" w:hAnsi="仿宋" w:eastAsia="仿宋" w:cs="仿宋"/>
          <w:b w:val="0"/>
          <w:bCs w:val="0"/>
          <w:sz w:val="24"/>
          <w:szCs w:val="24"/>
          <w:highlight w:val="none"/>
          <w:lang w:val="en-US" w:eastAsia="zh-CN"/>
        </w:rPr>
        <w:t>投标人所投产品如被列入财政部与国家主管部门颁发的节能产品目录或环境标志产品目录或无线局域网产品目录，应提供相关证明，在评标时予以优先采购，具体优惠措施为：</w:t>
      </w:r>
      <w:r>
        <w:rPr>
          <w:rFonts w:hint="eastAsia" w:ascii="仿宋" w:hAnsi="仿宋" w:eastAsia="仿宋" w:cs="仿宋"/>
          <w:b w:val="0"/>
          <w:bCs w:val="0"/>
          <w:sz w:val="24"/>
          <w:szCs w:val="24"/>
          <w:highlight w:val="none"/>
          <w:u w:val="single"/>
          <w:lang w:val="en-US" w:eastAsia="zh-CN"/>
        </w:rPr>
        <w:t>综合得分相同时排名优先。</w:t>
      </w: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single"/>
          <w:lang w:val="en-US" w:eastAsia="zh-CN"/>
        </w:rPr>
      </w:pPr>
      <w:r>
        <w:rPr>
          <w:rFonts w:hint="eastAsia" w:ascii="仿宋" w:hAnsi="仿宋" w:eastAsia="仿宋" w:cs="仿宋"/>
          <w:b w:val="0"/>
          <w:bCs w:val="0"/>
          <w:sz w:val="24"/>
          <w:szCs w:val="24"/>
          <w:highlight w:val="none"/>
          <w:u w:val="none"/>
          <w:lang w:val="en-US" w:eastAsia="zh-CN"/>
        </w:rPr>
        <w:t>如采购人所采购产品为政府强制采购的节能产品，投标人所投产品的品牌及型号必须为清单中有效期内产品并提供证明文件，否则其投标将作为</w:t>
      </w:r>
      <w:r>
        <w:rPr>
          <w:rFonts w:hint="eastAsia" w:ascii="仿宋" w:hAnsi="仿宋" w:eastAsia="仿宋" w:cs="仿宋"/>
          <w:b/>
          <w:bCs/>
          <w:sz w:val="24"/>
          <w:szCs w:val="24"/>
          <w:highlight w:val="none"/>
          <w:u w:val="none"/>
          <w:lang w:val="en-US" w:eastAsia="zh-CN"/>
        </w:rPr>
        <w:t>无效投标</w:t>
      </w:r>
      <w:r>
        <w:rPr>
          <w:rFonts w:hint="eastAsia" w:ascii="仿宋" w:hAnsi="仿宋" w:eastAsia="仿宋" w:cs="仿宋"/>
          <w:b w:val="0"/>
          <w:bCs w:val="0"/>
          <w:sz w:val="24"/>
          <w:szCs w:val="24"/>
          <w:highlight w:val="none"/>
          <w:u w:val="none"/>
          <w:lang w:val="en-US" w:eastAsia="zh-CN"/>
        </w:rPr>
        <w:t>被拒绝。</w:t>
      </w: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投标人所投产品列入无线局域网产品清单，应提供相关证明，在评标时予以优先采购，具体优惠措施为：</w:t>
      </w:r>
      <w:r>
        <w:rPr>
          <w:rFonts w:hint="eastAsia" w:ascii="仿宋" w:hAnsi="仿宋" w:eastAsia="仿宋" w:cs="仿宋"/>
          <w:b w:val="0"/>
          <w:bCs w:val="0"/>
          <w:sz w:val="24"/>
          <w:szCs w:val="24"/>
          <w:highlight w:val="none"/>
          <w:u w:val="single"/>
          <w:lang w:val="en-US" w:eastAsia="zh-CN"/>
        </w:rPr>
        <w:t>综合得分相同时排名优先 。</w:t>
      </w: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同品牌处理办法：</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如采用最低评标办法，则：</w:t>
      </w:r>
      <w:r>
        <w:rPr>
          <w:rFonts w:hint="eastAsia" w:ascii="仿宋" w:hAnsi="仿宋" w:eastAsia="仿宋" w:cs="仿宋"/>
          <w:b w:val="0"/>
          <w:bCs w:val="0"/>
          <w:sz w:val="24"/>
          <w:szCs w:val="24"/>
          <w:highlight w:val="none"/>
          <w:u w:val="single"/>
          <w:lang w:val="en-US" w:eastAsia="zh-CN"/>
        </w:rPr>
        <w:t>提供相同品牌产品的不同投标人以其中通过资格审查、符合性审查且报价最低的参加评标；报价相同的，由评标委员会采取随机抽取方式确定，其他同品牌投标人不作为中标候选人。</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如采用综合评标法，则：</w:t>
      </w:r>
      <w:r>
        <w:rPr>
          <w:rFonts w:hint="eastAsia" w:ascii="仿宋" w:hAnsi="仿宋" w:eastAsia="仿宋" w:cs="仿宋"/>
          <w:b w:val="0"/>
          <w:bCs w:val="0"/>
          <w:sz w:val="24"/>
          <w:szCs w:val="24"/>
          <w:highlight w:val="none"/>
          <w:u w:val="single"/>
          <w:lang w:val="en-US" w:eastAsia="zh-CN"/>
        </w:rPr>
        <w:t>提供相同品牌产品且通过资格审查、符合性审查的不同投标人，按一家投标人计算，评审后得分最高的同品牌投标人获得中标人推荐资格；评审得分相同的，按投标报价最低的获得中标人推荐资格；评审得分和投标报价均相同的，按技术评审得分最高的获得中标人推荐资格，评审得分、投标报价和技术评审得分三项均相同的由评标委员会采取随机抽取方式确定，其他同品牌投标人不作为中标候选人</w:t>
      </w:r>
      <w:r>
        <w:rPr>
          <w:rFonts w:hint="eastAsia" w:ascii="仿宋" w:hAnsi="仿宋" w:eastAsia="仿宋" w:cs="仿宋"/>
          <w:b w:val="0"/>
          <w:bCs w:val="0"/>
          <w:sz w:val="24"/>
          <w:szCs w:val="24"/>
          <w:highlight w:val="none"/>
          <w:u w:val="none"/>
          <w:lang w:val="en-US" w:eastAsia="zh-CN"/>
        </w:rPr>
        <w:t>。</w:t>
      </w: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如一个分包内包含多种产品的，采购人或采购代理机构将在</w:t>
      </w:r>
      <w:r>
        <w:rPr>
          <w:rFonts w:hint="eastAsia" w:ascii="仿宋" w:hAnsi="仿宋" w:eastAsia="仿宋" w:cs="仿宋"/>
          <w:b w:val="0"/>
          <w:bCs w:val="0"/>
          <w:sz w:val="24"/>
          <w:szCs w:val="24"/>
          <w:highlight w:val="none"/>
          <w:u w:val="single"/>
          <w:lang w:val="en-US" w:eastAsia="zh-CN"/>
        </w:rPr>
        <w:t>投标人须知前附表</w:t>
      </w:r>
      <w:r>
        <w:rPr>
          <w:rFonts w:hint="eastAsia" w:ascii="仿宋" w:hAnsi="仿宋" w:eastAsia="仿宋" w:cs="仿宋"/>
          <w:b w:val="0"/>
          <w:bCs w:val="0"/>
          <w:sz w:val="24"/>
          <w:szCs w:val="24"/>
          <w:highlight w:val="none"/>
          <w:u w:val="none"/>
          <w:lang w:val="en-US" w:eastAsia="zh-CN"/>
        </w:rPr>
        <w:t xml:space="preserve">中载明核心产品，多家投标人提供的所有核心产品品牌均相同的，按第六章  评标程序、评标方法和评标标准第6.6条规定处理。 </w:t>
      </w: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确定中标候选人名单</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采用综合评分法时，评标结果按评审后得分由高到低顺序排列。评审得分最高的投标人为排名第一的中标候选人。综合评审得分相同的,投标报价最低优先，如报价相同则技术部分得分最高优先，投标报价相同且技术部分得分也相同的，由评标委员会现场采取随机抽取方式确定。</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采用最低评标价法时，评标结果按投标报价由低到高顺序排列。投标文件满足招标文件全部实质性要求且投标报价最低的投标人为排名第一的中标候选人。投标报价相同的评标委员会随机抽取的方式确定排名。</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评标委员会要对评分汇总情况进行复核，特别是对排名第一的、报价最低的、投标或响应文件被认定为无效的情形进行重点复核。</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评标委员会将根据各投标人的评标排序，依次推荐本项目（各采购包）的中标候选人，起草并签署评标报告。本项目（各采购包）评标委员会共（各）推荐三名中标候选人。</w:t>
      </w:r>
    </w:p>
    <w:p>
      <w:pPr>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br w:type="page"/>
      </w:r>
    </w:p>
    <w:p>
      <w:pPr>
        <w:pStyle w:val="3"/>
        <w:numPr>
          <w:ilvl w:val="0"/>
          <w:numId w:val="1"/>
        </w:numPr>
        <w:bidi w:val="0"/>
        <w:jc w:val="center"/>
        <w:rPr>
          <w:rFonts w:hint="eastAsia" w:ascii="仿宋" w:hAnsi="仿宋" w:eastAsia="仿宋" w:cs="仿宋"/>
          <w:sz w:val="32"/>
          <w:szCs w:val="32"/>
          <w:highlight w:val="none"/>
          <w:lang w:val="en-US" w:eastAsia="zh-CN"/>
        </w:rPr>
      </w:pPr>
      <w:bookmarkStart w:id="37" w:name="_Toc31337"/>
      <w:r>
        <w:rPr>
          <w:rFonts w:hint="eastAsia" w:ascii="仿宋" w:hAnsi="仿宋" w:eastAsia="仿宋" w:cs="仿宋"/>
          <w:sz w:val="32"/>
          <w:szCs w:val="32"/>
          <w:highlight w:val="none"/>
          <w:lang w:val="en-US" w:eastAsia="zh-CN"/>
        </w:rPr>
        <w:t>投标文件格式</w:t>
      </w:r>
      <w:bookmarkEnd w:id="37"/>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bCs/>
          <w:sz w:val="24"/>
          <w:szCs w:val="24"/>
          <w:highlight w:val="none"/>
          <w:u w:val="none"/>
          <w:lang w:val="en-US" w:eastAsia="zh-CN"/>
        </w:rPr>
      </w:pPr>
      <w:r>
        <w:rPr>
          <w:rFonts w:hint="eastAsia" w:ascii="仿宋" w:hAnsi="仿宋" w:eastAsia="仿宋" w:cs="仿宋"/>
          <w:b/>
          <w:bCs/>
          <w:sz w:val="24"/>
          <w:szCs w:val="24"/>
          <w:highlight w:val="none"/>
          <w:u w:val="none"/>
          <w:lang w:val="en-US" w:eastAsia="zh-CN"/>
        </w:rPr>
        <w:t>投标人编制文件须知</w:t>
      </w:r>
    </w:p>
    <w:p>
      <w:pPr>
        <w:keepNext w:val="0"/>
        <w:keepLines w:val="0"/>
        <w:pageBreakBefore w:val="0"/>
        <w:widowControl w:val="0"/>
        <w:numPr>
          <w:ilvl w:val="0"/>
          <w:numId w:val="15"/>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为保证评标工作的顺利进行，各投标人需参照如下的格式，认真进行投标文件的编写工作。需建立详细的目录。</w:t>
      </w:r>
    </w:p>
    <w:p>
      <w:pPr>
        <w:keepNext w:val="0"/>
        <w:keepLines w:val="0"/>
        <w:pageBreakBefore w:val="0"/>
        <w:widowControl w:val="0"/>
        <w:numPr>
          <w:ilvl w:val="0"/>
          <w:numId w:val="15"/>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各投标人提交文件中涉及商业机密的，应明确标明，采购人及最终用户将给予保密处理，否则视为公开资料。</w:t>
      </w:r>
    </w:p>
    <w:p>
      <w:pPr>
        <w:keepNext w:val="0"/>
        <w:keepLines w:val="0"/>
        <w:pageBreakBefore w:val="0"/>
        <w:widowControl w:val="0"/>
        <w:numPr>
          <w:ilvl w:val="0"/>
          <w:numId w:val="15"/>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全部声明和问题的回答及所附材料必须是真实的、准确的和完整的。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u w:val="none"/>
          <w:lang w:val="en-US" w:eastAsia="zh-CN"/>
        </w:rPr>
      </w:pPr>
    </w:p>
    <w:p>
      <w:pPr>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br w:type="page"/>
      </w:r>
    </w:p>
    <w:p>
      <w:pPr>
        <w:keepNext w:val="0"/>
        <w:keepLines w:val="0"/>
        <w:widowControl/>
        <w:suppressLineNumbers w:val="0"/>
        <w:jc w:val="left"/>
        <w:rPr>
          <w:rFonts w:hint="eastAsia" w:ascii="仿宋" w:hAnsi="仿宋" w:eastAsia="仿宋" w:cs="仿宋"/>
          <w:b/>
          <w:bCs/>
          <w:color w:val="000000"/>
          <w:kern w:val="0"/>
          <w:sz w:val="24"/>
          <w:szCs w:val="24"/>
          <w:highlight w:val="none"/>
          <w:lang w:val="en-US" w:eastAsia="zh-CN" w:bidi="ar"/>
        </w:rPr>
      </w:pPr>
    </w:p>
    <w:p>
      <w:pPr>
        <w:keepNext w:val="0"/>
        <w:keepLines w:val="0"/>
        <w:widowControl/>
        <w:suppressLineNumbers w:val="0"/>
        <w:jc w:val="left"/>
        <w:outlineLvl w:val="1"/>
        <w:rPr>
          <w:rFonts w:hint="eastAsia" w:ascii="仿宋" w:hAnsi="仿宋" w:eastAsia="仿宋" w:cs="仿宋"/>
          <w:b/>
          <w:bCs/>
          <w:color w:val="000000"/>
          <w:kern w:val="0"/>
          <w:sz w:val="24"/>
          <w:szCs w:val="24"/>
          <w:highlight w:val="none"/>
          <w:lang w:val="en-US" w:eastAsia="zh-CN" w:bidi="ar"/>
        </w:rPr>
      </w:pPr>
      <w:bookmarkStart w:id="38" w:name="_Toc10196"/>
      <w:r>
        <w:rPr>
          <w:rFonts w:hint="eastAsia" w:ascii="仿宋" w:hAnsi="仿宋" w:eastAsia="仿宋" w:cs="仿宋"/>
          <w:b/>
          <w:bCs/>
          <w:color w:val="000000"/>
          <w:kern w:val="0"/>
          <w:sz w:val="24"/>
          <w:szCs w:val="24"/>
          <w:highlight w:val="none"/>
          <w:lang w:val="en-US" w:eastAsia="zh-CN" w:bidi="ar"/>
        </w:rPr>
        <w:t>投标文件封面（参考格式）</w:t>
      </w:r>
      <w:bookmarkEnd w:id="38"/>
    </w:p>
    <w:p>
      <w:pPr>
        <w:keepNext w:val="0"/>
        <w:keepLines w:val="0"/>
        <w:widowControl/>
        <w:suppressLineNumbers w:val="0"/>
        <w:jc w:val="left"/>
        <w:rPr>
          <w:rFonts w:hint="eastAsia" w:ascii="仿宋" w:hAnsi="仿宋" w:eastAsia="仿宋" w:cs="仿宋"/>
          <w:b/>
          <w:bCs/>
          <w:color w:val="000000"/>
          <w:kern w:val="0"/>
          <w:sz w:val="84"/>
          <w:szCs w:val="84"/>
          <w:highlight w:val="none"/>
          <w:lang w:val="en-US" w:eastAsia="zh-CN" w:bidi="ar"/>
        </w:rPr>
      </w:pPr>
    </w:p>
    <w:p>
      <w:pPr>
        <w:keepNext w:val="0"/>
        <w:keepLines w:val="0"/>
        <w:widowControl/>
        <w:suppressLineNumbers w:val="0"/>
        <w:jc w:val="left"/>
        <w:rPr>
          <w:rFonts w:hint="eastAsia" w:ascii="仿宋" w:hAnsi="仿宋" w:eastAsia="仿宋" w:cs="仿宋"/>
          <w:b/>
          <w:bCs/>
          <w:color w:val="000000"/>
          <w:kern w:val="0"/>
          <w:sz w:val="84"/>
          <w:szCs w:val="84"/>
          <w:highlight w:val="none"/>
          <w:lang w:val="en-US" w:eastAsia="zh-CN" w:bidi="ar"/>
        </w:rPr>
      </w:pPr>
    </w:p>
    <w:p>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b/>
          <w:bCs/>
          <w:color w:val="000000"/>
          <w:kern w:val="0"/>
          <w:sz w:val="84"/>
          <w:szCs w:val="84"/>
          <w:highlight w:val="none"/>
          <w:lang w:val="en-US" w:eastAsia="zh-CN" w:bidi="ar"/>
        </w:rPr>
        <w:t>投标文件</w:t>
      </w:r>
    </w:p>
    <w:p>
      <w:pPr>
        <w:keepNext w:val="0"/>
        <w:keepLines w:val="0"/>
        <w:widowControl/>
        <w:suppressLineNumbers w:val="0"/>
        <w:jc w:val="left"/>
        <w:rPr>
          <w:rFonts w:hint="eastAsia" w:ascii="仿宋" w:hAnsi="仿宋" w:eastAsia="仿宋" w:cs="仿宋"/>
          <w:b/>
          <w:bCs/>
          <w:color w:val="000000"/>
          <w:kern w:val="0"/>
          <w:sz w:val="52"/>
          <w:szCs w:val="52"/>
          <w:highlight w:val="none"/>
          <w:lang w:val="en-US" w:eastAsia="zh-CN" w:bidi="ar"/>
        </w:rPr>
      </w:pPr>
    </w:p>
    <w:p>
      <w:pPr>
        <w:keepNext w:val="0"/>
        <w:keepLines w:val="0"/>
        <w:widowControl/>
        <w:suppressLineNumbers w:val="0"/>
        <w:jc w:val="left"/>
        <w:rPr>
          <w:rFonts w:hint="eastAsia" w:ascii="仿宋" w:hAnsi="仿宋" w:eastAsia="仿宋" w:cs="仿宋"/>
          <w:b/>
          <w:bCs/>
          <w:color w:val="000000"/>
          <w:kern w:val="0"/>
          <w:sz w:val="52"/>
          <w:szCs w:val="52"/>
          <w:highlight w:val="none"/>
          <w:lang w:val="en-US" w:eastAsia="zh-CN" w:bidi="ar"/>
        </w:rPr>
      </w:pPr>
    </w:p>
    <w:p>
      <w:pPr>
        <w:keepNext w:val="0"/>
        <w:keepLines w:val="0"/>
        <w:widowControl/>
        <w:suppressLineNumbers w:val="0"/>
        <w:jc w:val="left"/>
        <w:rPr>
          <w:rFonts w:hint="eastAsia" w:ascii="仿宋" w:hAnsi="仿宋" w:eastAsia="仿宋" w:cs="仿宋"/>
          <w:highlight w:val="none"/>
        </w:rPr>
      </w:pPr>
      <w:r>
        <w:rPr>
          <w:rFonts w:hint="eastAsia" w:ascii="仿宋" w:hAnsi="仿宋" w:eastAsia="仿宋" w:cs="仿宋"/>
          <w:b/>
          <w:bCs/>
          <w:color w:val="000000"/>
          <w:kern w:val="0"/>
          <w:sz w:val="52"/>
          <w:szCs w:val="52"/>
          <w:highlight w:val="none"/>
          <w:lang w:val="en-US" w:eastAsia="zh-CN" w:bidi="ar"/>
        </w:rPr>
        <w:t xml:space="preserve"> </w:t>
      </w:r>
    </w:p>
    <w:p>
      <w:pPr>
        <w:keepNext w:val="0"/>
        <w:keepLines w:val="0"/>
        <w:widowControl/>
        <w:suppressLineNumbers w:val="0"/>
        <w:jc w:val="left"/>
        <w:rPr>
          <w:rFonts w:hint="eastAsia" w:ascii="仿宋" w:hAnsi="仿宋" w:eastAsia="仿宋" w:cs="仿宋"/>
          <w:b/>
          <w:bCs/>
          <w:color w:val="000000"/>
          <w:kern w:val="0"/>
          <w:sz w:val="31"/>
          <w:szCs w:val="31"/>
          <w:highlight w:val="none"/>
          <w:lang w:val="en-US" w:eastAsia="zh-CN" w:bidi="ar"/>
        </w:rPr>
      </w:pPr>
    </w:p>
    <w:p>
      <w:pPr>
        <w:keepNext w:val="0"/>
        <w:keepLines w:val="0"/>
        <w:widowControl/>
        <w:suppressLineNumbers w:val="0"/>
        <w:jc w:val="left"/>
        <w:rPr>
          <w:rFonts w:hint="eastAsia" w:ascii="仿宋" w:hAnsi="仿宋" w:eastAsia="仿宋" w:cs="仿宋"/>
          <w:b/>
          <w:bCs/>
          <w:color w:val="000000"/>
          <w:kern w:val="0"/>
          <w:sz w:val="31"/>
          <w:szCs w:val="31"/>
          <w:highlight w:val="none"/>
          <w:lang w:val="en-US" w:eastAsia="zh-CN" w:bidi="ar"/>
        </w:rPr>
      </w:pPr>
    </w:p>
    <w:p>
      <w:pPr>
        <w:keepNext w:val="0"/>
        <w:keepLines w:val="0"/>
        <w:widowControl/>
        <w:suppressLineNumbers w:val="0"/>
        <w:jc w:val="left"/>
        <w:rPr>
          <w:rFonts w:hint="eastAsia" w:ascii="仿宋" w:hAnsi="仿宋" w:eastAsia="仿宋" w:cs="仿宋"/>
          <w:b/>
          <w:bCs/>
          <w:color w:val="000000"/>
          <w:kern w:val="0"/>
          <w:sz w:val="31"/>
          <w:szCs w:val="31"/>
          <w:highlight w:val="none"/>
          <w:lang w:val="en-US" w:eastAsia="zh-CN" w:bidi="ar"/>
        </w:rPr>
      </w:pPr>
    </w:p>
    <w:p>
      <w:pPr>
        <w:keepNext w:val="0"/>
        <w:keepLines w:val="0"/>
        <w:widowControl/>
        <w:suppressLineNumbers w:val="0"/>
        <w:jc w:val="left"/>
        <w:rPr>
          <w:rFonts w:hint="eastAsia" w:ascii="仿宋" w:hAnsi="仿宋" w:eastAsia="仿宋" w:cs="仿宋"/>
          <w:highlight w:val="none"/>
        </w:rPr>
      </w:pPr>
      <w:r>
        <w:rPr>
          <w:rFonts w:hint="eastAsia" w:ascii="仿宋" w:hAnsi="仿宋" w:eastAsia="仿宋" w:cs="仿宋"/>
          <w:b/>
          <w:bCs/>
          <w:color w:val="000000"/>
          <w:kern w:val="0"/>
          <w:sz w:val="31"/>
          <w:szCs w:val="31"/>
          <w:highlight w:val="none"/>
          <w:lang w:val="en-US" w:eastAsia="zh-CN" w:bidi="ar"/>
        </w:rPr>
        <w:t xml:space="preserve">项目名称: </w:t>
      </w:r>
    </w:p>
    <w:p>
      <w:pPr>
        <w:keepNext w:val="0"/>
        <w:keepLines w:val="0"/>
        <w:widowControl/>
        <w:suppressLineNumbers w:val="0"/>
        <w:jc w:val="left"/>
        <w:rPr>
          <w:rFonts w:hint="eastAsia" w:ascii="仿宋" w:hAnsi="仿宋" w:eastAsia="仿宋" w:cs="仿宋"/>
          <w:highlight w:val="none"/>
        </w:rPr>
      </w:pPr>
      <w:r>
        <w:rPr>
          <w:rFonts w:hint="eastAsia" w:ascii="仿宋" w:hAnsi="仿宋" w:eastAsia="仿宋" w:cs="仿宋"/>
          <w:b/>
          <w:bCs/>
          <w:color w:val="000000"/>
          <w:kern w:val="0"/>
          <w:sz w:val="31"/>
          <w:szCs w:val="31"/>
          <w:highlight w:val="none"/>
          <w:lang w:val="en-US" w:eastAsia="zh-CN" w:bidi="ar"/>
        </w:rPr>
        <w:t xml:space="preserve">项目编号/包号： </w:t>
      </w:r>
    </w:p>
    <w:p>
      <w:pPr>
        <w:keepNext w:val="0"/>
        <w:keepLines w:val="0"/>
        <w:widowControl/>
        <w:suppressLineNumbers w:val="0"/>
        <w:jc w:val="left"/>
        <w:rPr>
          <w:rFonts w:hint="eastAsia" w:ascii="仿宋" w:hAnsi="仿宋" w:eastAsia="仿宋" w:cs="仿宋"/>
          <w:b/>
          <w:bCs/>
          <w:color w:val="000000"/>
          <w:kern w:val="0"/>
          <w:sz w:val="31"/>
          <w:szCs w:val="31"/>
          <w:highlight w:val="none"/>
          <w:lang w:val="en-US" w:eastAsia="zh-CN" w:bidi="ar"/>
        </w:rPr>
      </w:pPr>
    </w:p>
    <w:p>
      <w:pPr>
        <w:keepNext w:val="0"/>
        <w:keepLines w:val="0"/>
        <w:widowControl/>
        <w:suppressLineNumbers w:val="0"/>
        <w:jc w:val="left"/>
        <w:rPr>
          <w:rFonts w:hint="eastAsia" w:ascii="仿宋" w:hAnsi="仿宋" w:eastAsia="仿宋" w:cs="仿宋"/>
          <w:b/>
          <w:bCs/>
          <w:color w:val="000000"/>
          <w:kern w:val="0"/>
          <w:sz w:val="31"/>
          <w:szCs w:val="31"/>
          <w:highlight w:val="none"/>
          <w:lang w:val="en-US" w:eastAsia="zh-CN" w:bidi="ar"/>
        </w:rPr>
      </w:pPr>
    </w:p>
    <w:p>
      <w:pPr>
        <w:keepNext w:val="0"/>
        <w:keepLines w:val="0"/>
        <w:widowControl/>
        <w:suppressLineNumbers w:val="0"/>
        <w:jc w:val="left"/>
        <w:rPr>
          <w:rFonts w:hint="eastAsia" w:ascii="仿宋" w:hAnsi="仿宋" w:eastAsia="仿宋" w:cs="仿宋"/>
          <w:b/>
          <w:bCs/>
          <w:color w:val="000000"/>
          <w:kern w:val="0"/>
          <w:sz w:val="31"/>
          <w:szCs w:val="31"/>
          <w:highlight w:val="none"/>
          <w:lang w:val="en-US" w:eastAsia="zh-CN" w:bidi="ar"/>
        </w:rPr>
      </w:pPr>
    </w:p>
    <w:p>
      <w:pPr>
        <w:keepNext w:val="0"/>
        <w:keepLines w:val="0"/>
        <w:widowControl/>
        <w:suppressLineNumbers w:val="0"/>
        <w:jc w:val="left"/>
        <w:rPr>
          <w:rFonts w:hint="eastAsia" w:ascii="仿宋" w:hAnsi="仿宋" w:eastAsia="仿宋" w:cs="仿宋"/>
          <w:b/>
          <w:bCs/>
          <w:color w:val="000000"/>
          <w:kern w:val="0"/>
          <w:sz w:val="31"/>
          <w:szCs w:val="31"/>
          <w:highlight w:val="none"/>
          <w:lang w:val="en-US" w:eastAsia="zh-CN" w:bidi="ar"/>
        </w:rPr>
      </w:pPr>
      <w:r>
        <w:rPr>
          <w:rFonts w:hint="eastAsia" w:ascii="仿宋" w:hAnsi="仿宋" w:eastAsia="仿宋" w:cs="仿宋"/>
          <w:b/>
          <w:bCs/>
          <w:color w:val="000000"/>
          <w:kern w:val="0"/>
          <w:sz w:val="31"/>
          <w:szCs w:val="31"/>
          <w:highlight w:val="none"/>
          <w:lang w:val="en-US" w:eastAsia="zh-CN" w:bidi="ar"/>
        </w:rPr>
        <w:t>投标人名称（盖公章）：</w:t>
      </w:r>
    </w:p>
    <w:p>
      <w:pPr>
        <w:keepNext w:val="0"/>
        <w:keepLines w:val="0"/>
        <w:widowControl/>
        <w:suppressLineNumbers w:val="0"/>
        <w:jc w:val="left"/>
        <w:rPr>
          <w:rFonts w:hint="eastAsia" w:ascii="仿宋" w:hAnsi="仿宋" w:eastAsia="仿宋" w:cs="仿宋"/>
          <w:b/>
          <w:bCs/>
          <w:color w:val="000000"/>
          <w:kern w:val="0"/>
          <w:sz w:val="31"/>
          <w:szCs w:val="31"/>
          <w:highlight w:val="none"/>
          <w:lang w:val="en-US" w:eastAsia="zh-CN" w:bidi="ar"/>
        </w:rPr>
      </w:pPr>
      <w:r>
        <w:rPr>
          <w:rFonts w:hint="eastAsia" w:ascii="仿宋" w:hAnsi="仿宋" w:eastAsia="仿宋" w:cs="仿宋"/>
          <w:b/>
          <w:bCs/>
          <w:color w:val="000000"/>
          <w:kern w:val="0"/>
          <w:sz w:val="31"/>
          <w:szCs w:val="31"/>
          <w:highlight w:val="none"/>
          <w:lang w:val="en-US" w:eastAsia="zh-CN" w:bidi="ar"/>
        </w:rPr>
        <w:t>法定代表人或其授权代表签字（或签章）：</w:t>
      </w:r>
    </w:p>
    <w:p>
      <w:pPr>
        <w:keepNext w:val="0"/>
        <w:keepLines w:val="0"/>
        <w:widowControl/>
        <w:suppressLineNumbers w:val="0"/>
        <w:jc w:val="left"/>
        <w:rPr>
          <w:rFonts w:hint="eastAsia" w:ascii="仿宋" w:hAnsi="仿宋" w:eastAsia="仿宋" w:cs="仿宋"/>
          <w:b/>
          <w:bCs/>
          <w:color w:val="000000"/>
          <w:kern w:val="0"/>
          <w:sz w:val="31"/>
          <w:szCs w:val="31"/>
          <w:highlight w:val="none"/>
          <w:lang w:val="en-US" w:eastAsia="zh-CN" w:bidi="ar"/>
        </w:rPr>
      </w:pPr>
    </w:p>
    <w:p>
      <w:pPr>
        <w:keepNext w:val="0"/>
        <w:keepLines w:val="0"/>
        <w:widowControl/>
        <w:suppressLineNumbers w:val="0"/>
        <w:jc w:val="left"/>
        <w:rPr>
          <w:rFonts w:hint="eastAsia" w:ascii="仿宋" w:hAnsi="仿宋" w:eastAsia="仿宋" w:cs="仿宋"/>
          <w:b/>
          <w:bCs/>
          <w:color w:val="000000"/>
          <w:kern w:val="0"/>
          <w:sz w:val="31"/>
          <w:szCs w:val="31"/>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 xml:space="preserve">1   满足《中华人民共和国政府采购法》第二十二条规定及法律法规的其他规定 </w:t>
      </w: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附件 1-1 法人或者其他组织的营业执照等证明文件或自然人的身份证明复印件;</w:t>
      </w:r>
    </w:p>
    <w:p>
      <w:pPr>
        <w:keepNext w:val="0"/>
        <w:keepLines w:val="0"/>
        <w:pageBreakBefore w:val="0"/>
        <w:widowControl/>
        <w:suppressLineNumbers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color w:val="000000"/>
          <w:kern w:val="0"/>
          <w:sz w:val="24"/>
          <w:szCs w:val="24"/>
          <w:highlight w:val="none"/>
          <w:lang w:val="en-US" w:eastAsia="zh-CN" w:bidi="ar"/>
        </w:rPr>
      </w:pPr>
    </w:p>
    <w:p>
      <w:pPr>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br w:type="page"/>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highlight w:val="none"/>
          <w:u w:val="none"/>
          <w:lang w:bidi="ar"/>
        </w:rPr>
      </w:pPr>
      <w:r>
        <w:rPr>
          <w:rFonts w:hint="eastAsia" w:ascii="仿宋" w:hAnsi="仿宋" w:eastAsia="仿宋" w:cs="仿宋"/>
          <w:color w:val="000000"/>
          <w:kern w:val="0"/>
          <w:sz w:val="24"/>
          <w:highlight w:val="none"/>
          <w:u w:val="none"/>
          <w:lang w:bidi="ar"/>
        </w:rPr>
        <w:t xml:space="preserve">附件 </w:t>
      </w:r>
      <w:r>
        <w:rPr>
          <w:rFonts w:hint="eastAsia" w:ascii="仿宋" w:hAnsi="仿宋" w:eastAsia="仿宋" w:cs="仿宋"/>
          <w:color w:val="000000"/>
          <w:kern w:val="0"/>
          <w:sz w:val="24"/>
          <w:highlight w:val="none"/>
          <w:u w:val="none"/>
          <w:lang w:val="en-US" w:eastAsia="zh-CN" w:bidi="ar"/>
        </w:rPr>
        <w:t>1</w:t>
      </w:r>
      <w:r>
        <w:rPr>
          <w:rFonts w:hint="eastAsia" w:ascii="仿宋" w:hAnsi="仿宋" w:eastAsia="仿宋" w:cs="仿宋"/>
          <w:color w:val="000000"/>
          <w:kern w:val="0"/>
          <w:sz w:val="24"/>
          <w:highlight w:val="none"/>
          <w:u w:val="none"/>
          <w:lang w:bidi="ar"/>
        </w:rPr>
        <w:t>-</w:t>
      </w:r>
      <w:r>
        <w:rPr>
          <w:rFonts w:hint="eastAsia" w:ascii="仿宋" w:hAnsi="仿宋" w:eastAsia="仿宋" w:cs="仿宋"/>
          <w:color w:val="000000"/>
          <w:kern w:val="0"/>
          <w:sz w:val="24"/>
          <w:highlight w:val="none"/>
          <w:u w:val="none"/>
          <w:lang w:val="en-US" w:eastAsia="zh-CN" w:bidi="ar"/>
        </w:rPr>
        <w:t>2</w:t>
      </w:r>
      <w:r>
        <w:rPr>
          <w:rFonts w:hint="eastAsia" w:ascii="仿宋" w:hAnsi="仿宋" w:eastAsia="仿宋" w:cs="仿宋"/>
          <w:color w:val="000000"/>
          <w:kern w:val="0"/>
          <w:sz w:val="24"/>
          <w:highlight w:val="none"/>
          <w:u w:val="none"/>
          <w:lang w:bidi="ar"/>
        </w:rPr>
        <w:t xml:space="preserve"> 投标人具有良好的商业信誉和健全的财务会计制度的证明文件</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highlight w:val="none"/>
          <w:u w:val="none"/>
          <w:lang w:bidi="ar"/>
        </w:rPr>
      </w:pPr>
      <w:r>
        <w:rPr>
          <w:rFonts w:hint="eastAsia" w:ascii="仿宋" w:hAnsi="仿宋" w:eastAsia="仿宋" w:cs="仿宋"/>
          <w:color w:val="000000"/>
          <w:kern w:val="0"/>
          <w:sz w:val="24"/>
          <w:highlight w:val="none"/>
          <w:u w:val="none"/>
          <w:lang w:bidi="ar"/>
        </w:rPr>
        <w:t>说明：</w:t>
      </w:r>
    </w:p>
    <w:p>
      <w:pPr>
        <w:keepNext w:val="0"/>
        <w:keepLines w:val="0"/>
        <w:pageBreakBefore w:val="0"/>
        <w:widowControl w:val="0"/>
        <w:kinsoku/>
        <w:wordWrap/>
        <w:overflowPunct/>
        <w:topLinePunct w:val="0"/>
        <w:autoSpaceDE/>
        <w:autoSpaceDN/>
        <w:bidi w:val="0"/>
        <w:adjustRightInd/>
        <w:snapToGrid/>
        <w:spacing w:line="500" w:lineRule="exact"/>
        <w:textAlignment w:val="auto"/>
        <w:outlineLvl w:val="1"/>
        <w:rPr>
          <w:rFonts w:hint="eastAsia" w:ascii="仿宋" w:hAnsi="仿宋" w:eastAsia="仿宋" w:cs="仿宋"/>
          <w:color w:val="000000"/>
          <w:kern w:val="0"/>
          <w:sz w:val="24"/>
          <w:highlight w:val="none"/>
          <w:u w:val="none"/>
          <w:lang w:bidi="ar"/>
        </w:rPr>
      </w:pPr>
      <w:bookmarkStart w:id="39" w:name="_Toc16703"/>
      <w:r>
        <w:rPr>
          <w:rFonts w:hint="eastAsia" w:ascii="仿宋" w:hAnsi="仿宋" w:eastAsia="仿宋" w:cs="仿宋"/>
          <w:color w:val="000000"/>
          <w:kern w:val="0"/>
          <w:sz w:val="24"/>
          <w:highlight w:val="none"/>
          <w:u w:val="none"/>
          <w:lang w:bidi="ar"/>
        </w:rPr>
        <w:t>1、复印件并加盖本单位公章</w:t>
      </w:r>
      <w:bookmarkEnd w:id="39"/>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highlight w:val="none"/>
          <w:u w:val="none"/>
          <w:lang w:bidi="ar"/>
        </w:rPr>
      </w:pPr>
      <w:r>
        <w:rPr>
          <w:rFonts w:hint="eastAsia" w:ascii="仿宋" w:hAnsi="仿宋" w:eastAsia="仿宋" w:cs="仿宋"/>
          <w:color w:val="000000"/>
          <w:kern w:val="0"/>
          <w:sz w:val="24"/>
          <w:highlight w:val="none"/>
          <w:u w:val="none"/>
          <w:lang w:bidi="ar"/>
        </w:rPr>
        <w:t>2、若提供的是复印件，采购人、采购代理机构保留审核原件的权利。</w:t>
      </w:r>
    </w:p>
    <w:p>
      <w:pPr>
        <w:keepNext w:val="0"/>
        <w:keepLines w:val="0"/>
        <w:pageBreakBefore w:val="0"/>
        <w:widowControl w:val="0"/>
        <w:kinsoku/>
        <w:wordWrap/>
        <w:overflowPunct/>
        <w:topLinePunct w:val="0"/>
        <w:autoSpaceDE/>
        <w:autoSpaceDN/>
        <w:bidi w:val="0"/>
        <w:adjustRightInd/>
        <w:snapToGrid/>
        <w:spacing w:line="500" w:lineRule="exact"/>
        <w:textAlignment w:val="auto"/>
        <w:outlineLvl w:val="1"/>
        <w:rPr>
          <w:rFonts w:hint="eastAsia" w:ascii="仿宋" w:hAnsi="仿宋" w:eastAsia="仿宋" w:cs="仿宋"/>
          <w:color w:val="000000"/>
          <w:kern w:val="0"/>
          <w:sz w:val="24"/>
          <w:highlight w:val="none"/>
          <w:u w:val="none"/>
          <w:lang w:bidi="ar"/>
        </w:rPr>
      </w:pPr>
      <w:bookmarkStart w:id="40" w:name="_Toc32425"/>
      <w:r>
        <w:rPr>
          <w:rFonts w:hint="eastAsia" w:ascii="仿宋" w:hAnsi="仿宋" w:eastAsia="仿宋" w:cs="仿宋"/>
          <w:color w:val="000000"/>
          <w:kern w:val="0"/>
          <w:sz w:val="24"/>
          <w:highlight w:val="none"/>
          <w:u w:val="none"/>
          <w:lang w:bidi="ar"/>
        </w:rPr>
        <w:t>3、如果是联合体投标，联合体各方均需提供上述证明。</w:t>
      </w:r>
      <w:bookmarkEnd w:id="40"/>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highlight w:val="none"/>
          <w:u w:val="none"/>
          <w:lang w:bidi="ar"/>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highlight w:val="none"/>
          <w:u w:val="none"/>
          <w:lang w:bidi="ar"/>
        </w:rPr>
      </w:pPr>
      <w:r>
        <w:rPr>
          <w:rFonts w:hint="eastAsia" w:ascii="仿宋" w:hAnsi="仿宋" w:eastAsia="仿宋" w:cs="仿宋"/>
          <w:color w:val="000000"/>
          <w:kern w:val="0"/>
          <w:sz w:val="24"/>
          <w:highlight w:val="none"/>
          <w:u w:val="none"/>
          <w:lang w:bidi="ar"/>
        </w:rPr>
        <w:br w:type="page"/>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highlight w:val="none"/>
          <w:u w:val="none"/>
          <w:lang w:bidi="ar"/>
        </w:rPr>
      </w:pPr>
      <w:r>
        <w:rPr>
          <w:rFonts w:hint="eastAsia" w:ascii="仿宋" w:hAnsi="仿宋" w:eastAsia="仿宋" w:cs="仿宋"/>
          <w:color w:val="000000"/>
          <w:kern w:val="0"/>
          <w:sz w:val="24"/>
          <w:highlight w:val="none"/>
          <w:u w:val="none"/>
          <w:lang w:bidi="ar"/>
        </w:rPr>
        <w:t>附件</w:t>
      </w:r>
      <w:r>
        <w:rPr>
          <w:rFonts w:hint="eastAsia" w:ascii="仿宋" w:hAnsi="仿宋" w:eastAsia="仿宋" w:cs="仿宋"/>
          <w:color w:val="000000"/>
          <w:kern w:val="0"/>
          <w:sz w:val="24"/>
          <w:highlight w:val="none"/>
          <w:u w:val="none"/>
          <w:lang w:val="en-US" w:eastAsia="zh-CN" w:bidi="ar"/>
        </w:rPr>
        <w:t>1</w:t>
      </w:r>
      <w:r>
        <w:rPr>
          <w:rFonts w:hint="eastAsia" w:ascii="仿宋" w:hAnsi="仿宋" w:eastAsia="仿宋" w:cs="仿宋"/>
          <w:color w:val="000000"/>
          <w:kern w:val="0"/>
          <w:sz w:val="24"/>
          <w:highlight w:val="none"/>
          <w:u w:val="none"/>
          <w:lang w:bidi="ar"/>
        </w:rPr>
        <w:t>-</w:t>
      </w:r>
      <w:r>
        <w:rPr>
          <w:rFonts w:hint="eastAsia" w:ascii="仿宋" w:hAnsi="仿宋" w:eastAsia="仿宋" w:cs="仿宋"/>
          <w:color w:val="000000"/>
          <w:kern w:val="0"/>
          <w:sz w:val="24"/>
          <w:highlight w:val="none"/>
          <w:u w:val="none"/>
          <w:lang w:val="en-US" w:eastAsia="zh-CN" w:bidi="ar"/>
        </w:rPr>
        <w:t>3</w:t>
      </w:r>
      <w:r>
        <w:rPr>
          <w:rFonts w:hint="eastAsia" w:ascii="仿宋" w:hAnsi="仿宋" w:eastAsia="仿宋" w:cs="仿宋"/>
          <w:color w:val="000000"/>
          <w:kern w:val="0"/>
          <w:sz w:val="24"/>
          <w:highlight w:val="none"/>
          <w:u w:val="none"/>
          <w:lang w:bidi="ar"/>
        </w:rPr>
        <w:t xml:space="preserve"> </w:t>
      </w:r>
      <w:r>
        <w:rPr>
          <w:rFonts w:hint="eastAsia" w:ascii="仿宋" w:hAnsi="仿宋" w:eastAsia="仿宋" w:cs="仿宋"/>
          <w:color w:val="000000"/>
          <w:kern w:val="0"/>
          <w:sz w:val="24"/>
          <w:highlight w:val="none"/>
          <w:u w:val="none"/>
          <w:lang w:val="en-US" w:eastAsia="zh-CN" w:bidi="ar"/>
        </w:rPr>
        <w:t xml:space="preserve"> </w:t>
      </w:r>
      <w:r>
        <w:rPr>
          <w:rFonts w:hint="eastAsia" w:ascii="仿宋" w:hAnsi="仿宋" w:eastAsia="仿宋" w:cs="仿宋"/>
          <w:color w:val="000000"/>
          <w:kern w:val="0"/>
          <w:sz w:val="24"/>
          <w:highlight w:val="none"/>
          <w:u w:val="none"/>
          <w:lang w:bidi="ar"/>
        </w:rPr>
        <w:t>投标人缴纳税收的证明</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highlight w:val="none"/>
          <w:u w:val="none"/>
          <w:lang w:bidi="ar"/>
        </w:rPr>
      </w:pPr>
      <w:r>
        <w:rPr>
          <w:rFonts w:hint="eastAsia" w:ascii="仿宋" w:hAnsi="仿宋" w:eastAsia="仿宋" w:cs="仿宋"/>
          <w:color w:val="000000"/>
          <w:kern w:val="0"/>
          <w:sz w:val="24"/>
          <w:highlight w:val="none"/>
          <w:u w:val="none"/>
          <w:lang w:bidi="ar"/>
        </w:rPr>
        <w:t>说明：</w:t>
      </w:r>
    </w:p>
    <w:p>
      <w:pPr>
        <w:keepNext w:val="0"/>
        <w:keepLines w:val="0"/>
        <w:pageBreakBefore w:val="0"/>
        <w:widowControl w:val="0"/>
        <w:kinsoku/>
        <w:wordWrap/>
        <w:overflowPunct/>
        <w:topLinePunct w:val="0"/>
        <w:autoSpaceDE/>
        <w:autoSpaceDN/>
        <w:bidi w:val="0"/>
        <w:adjustRightInd/>
        <w:snapToGrid/>
        <w:spacing w:line="500" w:lineRule="exact"/>
        <w:textAlignment w:val="auto"/>
        <w:outlineLvl w:val="1"/>
        <w:rPr>
          <w:rFonts w:hint="eastAsia" w:ascii="仿宋" w:hAnsi="仿宋" w:eastAsia="仿宋" w:cs="仿宋"/>
          <w:color w:val="000000"/>
          <w:kern w:val="0"/>
          <w:sz w:val="24"/>
          <w:highlight w:val="none"/>
          <w:u w:val="none"/>
          <w:lang w:bidi="ar"/>
        </w:rPr>
      </w:pPr>
      <w:bookmarkStart w:id="41" w:name="_Toc7512"/>
      <w:r>
        <w:rPr>
          <w:rFonts w:hint="eastAsia" w:ascii="仿宋" w:hAnsi="仿宋" w:eastAsia="仿宋" w:cs="仿宋"/>
          <w:color w:val="000000"/>
          <w:kern w:val="0"/>
          <w:sz w:val="24"/>
          <w:highlight w:val="none"/>
          <w:u w:val="none"/>
          <w:lang w:bidi="ar"/>
        </w:rPr>
        <w:t>1、复印件并加盖本单位公章</w:t>
      </w:r>
      <w:bookmarkEnd w:id="41"/>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highlight w:val="none"/>
          <w:u w:val="none"/>
          <w:lang w:bidi="ar"/>
        </w:rPr>
      </w:pPr>
      <w:r>
        <w:rPr>
          <w:rFonts w:hint="eastAsia" w:ascii="仿宋" w:hAnsi="仿宋" w:eastAsia="仿宋" w:cs="仿宋"/>
          <w:color w:val="000000"/>
          <w:kern w:val="0"/>
          <w:sz w:val="24"/>
          <w:highlight w:val="none"/>
          <w:u w:val="none"/>
          <w:lang w:bidi="ar"/>
        </w:rPr>
        <w:t>2、若提供的是复印件，采购人、采购代理机构保留审核原件的权利。</w:t>
      </w:r>
    </w:p>
    <w:p>
      <w:pPr>
        <w:keepNext w:val="0"/>
        <w:keepLines w:val="0"/>
        <w:pageBreakBefore w:val="0"/>
        <w:widowControl w:val="0"/>
        <w:kinsoku/>
        <w:wordWrap/>
        <w:overflowPunct/>
        <w:topLinePunct w:val="0"/>
        <w:autoSpaceDE/>
        <w:autoSpaceDN/>
        <w:bidi w:val="0"/>
        <w:adjustRightInd/>
        <w:snapToGrid/>
        <w:spacing w:line="500" w:lineRule="exact"/>
        <w:textAlignment w:val="auto"/>
        <w:outlineLvl w:val="1"/>
        <w:rPr>
          <w:rFonts w:hint="eastAsia" w:ascii="仿宋" w:hAnsi="仿宋" w:eastAsia="仿宋" w:cs="仿宋"/>
          <w:color w:val="000000"/>
          <w:kern w:val="0"/>
          <w:sz w:val="24"/>
          <w:highlight w:val="none"/>
          <w:u w:val="none"/>
          <w:lang w:bidi="ar"/>
        </w:rPr>
      </w:pPr>
      <w:bookmarkStart w:id="42" w:name="_Toc8376"/>
      <w:r>
        <w:rPr>
          <w:rFonts w:hint="eastAsia" w:ascii="仿宋" w:hAnsi="仿宋" w:eastAsia="仿宋" w:cs="仿宋"/>
          <w:color w:val="000000"/>
          <w:kern w:val="0"/>
          <w:sz w:val="24"/>
          <w:highlight w:val="none"/>
          <w:u w:val="none"/>
          <w:lang w:bidi="ar"/>
        </w:rPr>
        <w:t>3、如果是联合体投标，联合体各方均需提供上述证明。</w:t>
      </w:r>
      <w:r>
        <w:rPr>
          <w:rFonts w:hint="eastAsia" w:ascii="仿宋" w:hAnsi="仿宋" w:eastAsia="仿宋" w:cs="仿宋"/>
          <w:color w:val="000000"/>
          <w:kern w:val="0"/>
          <w:sz w:val="24"/>
          <w:highlight w:val="none"/>
          <w:u w:val="none"/>
          <w:lang w:bidi="ar"/>
        </w:rPr>
        <w:br w:type="page"/>
      </w:r>
      <w:bookmarkEnd w:id="42"/>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highlight w:val="none"/>
          <w:u w:val="none"/>
          <w:lang w:bidi="ar"/>
        </w:rPr>
      </w:pPr>
      <w:r>
        <w:rPr>
          <w:rFonts w:hint="eastAsia" w:ascii="仿宋" w:hAnsi="仿宋" w:eastAsia="仿宋" w:cs="仿宋"/>
          <w:color w:val="000000"/>
          <w:kern w:val="0"/>
          <w:sz w:val="24"/>
          <w:highlight w:val="none"/>
          <w:u w:val="none"/>
          <w:lang w:bidi="ar"/>
        </w:rPr>
        <w:t>附件</w:t>
      </w:r>
      <w:r>
        <w:rPr>
          <w:rFonts w:hint="eastAsia" w:ascii="仿宋" w:hAnsi="仿宋" w:eastAsia="仿宋" w:cs="仿宋"/>
          <w:color w:val="000000"/>
          <w:kern w:val="0"/>
          <w:sz w:val="24"/>
          <w:highlight w:val="none"/>
          <w:u w:val="none"/>
          <w:lang w:val="en-US" w:eastAsia="zh-CN" w:bidi="ar"/>
        </w:rPr>
        <w:t>1</w:t>
      </w:r>
      <w:r>
        <w:rPr>
          <w:rFonts w:hint="eastAsia" w:ascii="仿宋" w:hAnsi="仿宋" w:eastAsia="仿宋" w:cs="仿宋"/>
          <w:color w:val="000000"/>
          <w:kern w:val="0"/>
          <w:sz w:val="24"/>
          <w:highlight w:val="none"/>
          <w:u w:val="none"/>
          <w:lang w:bidi="ar"/>
        </w:rPr>
        <w:t>-</w:t>
      </w:r>
      <w:r>
        <w:rPr>
          <w:rFonts w:hint="eastAsia" w:ascii="仿宋" w:hAnsi="仿宋" w:eastAsia="仿宋" w:cs="仿宋"/>
          <w:color w:val="000000"/>
          <w:kern w:val="0"/>
          <w:sz w:val="24"/>
          <w:highlight w:val="none"/>
          <w:u w:val="none"/>
          <w:lang w:val="en-US" w:eastAsia="zh-CN" w:bidi="ar"/>
        </w:rPr>
        <w:t>4</w:t>
      </w:r>
      <w:r>
        <w:rPr>
          <w:rFonts w:hint="eastAsia" w:ascii="仿宋" w:hAnsi="仿宋" w:eastAsia="仿宋" w:cs="仿宋"/>
          <w:color w:val="000000"/>
          <w:kern w:val="0"/>
          <w:sz w:val="24"/>
          <w:highlight w:val="none"/>
          <w:u w:val="none"/>
          <w:lang w:bidi="ar"/>
        </w:rPr>
        <w:t xml:space="preserve"> </w:t>
      </w:r>
      <w:r>
        <w:rPr>
          <w:rFonts w:hint="eastAsia" w:ascii="仿宋" w:hAnsi="仿宋" w:eastAsia="仿宋" w:cs="仿宋"/>
          <w:color w:val="000000"/>
          <w:kern w:val="0"/>
          <w:sz w:val="24"/>
          <w:highlight w:val="none"/>
          <w:u w:val="none"/>
          <w:lang w:val="en-US" w:eastAsia="zh-CN" w:bidi="ar"/>
        </w:rPr>
        <w:t xml:space="preserve"> </w:t>
      </w:r>
      <w:r>
        <w:rPr>
          <w:rFonts w:hint="eastAsia" w:ascii="仿宋" w:hAnsi="仿宋" w:eastAsia="仿宋" w:cs="仿宋"/>
          <w:color w:val="000000"/>
          <w:kern w:val="0"/>
          <w:sz w:val="24"/>
          <w:highlight w:val="none"/>
          <w:u w:val="none"/>
          <w:lang w:bidi="ar"/>
        </w:rPr>
        <w:t>投标人为职工缴纳社会保险的证明</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highlight w:val="none"/>
          <w:u w:val="none"/>
          <w:lang w:bidi="ar"/>
        </w:rPr>
      </w:pPr>
      <w:r>
        <w:rPr>
          <w:rFonts w:hint="eastAsia" w:ascii="仿宋" w:hAnsi="仿宋" w:eastAsia="仿宋" w:cs="仿宋"/>
          <w:color w:val="000000"/>
          <w:kern w:val="0"/>
          <w:sz w:val="24"/>
          <w:highlight w:val="none"/>
          <w:u w:val="none"/>
          <w:lang w:bidi="ar"/>
        </w:rPr>
        <w:t>说明：</w:t>
      </w:r>
    </w:p>
    <w:p>
      <w:pPr>
        <w:keepNext w:val="0"/>
        <w:keepLines w:val="0"/>
        <w:pageBreakBefore w:val="0"/>
        <w:widowControl w:val="0"/>
        <w:kinsoku/>
        <w:wordWrap/>
        <w:overflowPunct/>
        <w:topLinePunct w:val="0"/>
        <w:autoSpaceDE/>
        <w:autoSpaceDN/>
        <w:bidi w:val="0"/>
        <w:adjustRightInd/>
        <w:snapToGrid/>
        <w:spacing w:line="500" w:lineRule="exact"/>
        <w:textAlignment w:val="auto"/>
        <w:outlineLvl w:val="1"/>
        <w:rPr>
          <w:rFonts w:hint="eastAsia" w:ascii="仿宋" w:hAnsi="仿宋" w:eastAsia="仿宋" w:cs="仿宋"/>
          <w:color w:val="000000"/>
          <w:kern w:val="0"/>
          <w:sz w:val="24"/>
          <w:highlight w:val="none"/>
          <w:u w:val="none"/>
          <w:lang w:bidi="ar"/>
        </w:rPr>
      </w:pPr>
      <w:bookmarkStart w:id="43" w:name="_Toc3006"/>
      <w:r>
        <w:rPr>
          <w:rFonts w:hint="eastAsia" w:ascii="仿宋" w:hAnsi="仿宋" w:eastAsia="仿宋" w:cs="仿宋"/>
          <w:color w:val="000000"/>
          <w:kern w:val="0"/>
          <w:sz w:val="24"/>
          <w:highlight w:val="none"/>
          <w:u w:val="none"/>
          <w:lang w:bidi="ar"/>
        </w:rPr>
        <w:t>1、复印件并加盖本单位公章</w:t>
      </w:r>
      <w:bookmarkEnd w:id="43"/>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highlight w:val="none"/>
          <w:u w:val="none"/>
          <w:lang w:bidi="ar"/>
        </w:rPr>
      </w:pPr>
      <w:r>
        <w:rPr>
          <w:rFonts w:hint="eastAsia" w:ascii="仿宋" w:hAnsi="仿宋" w:eastAsia="仿宋" w:cs="仿宋"/>
          <w:color w:val="000000"/>
          <w:kern w:val="0"/>
          <w:sz w:val="24"/>
          <w:highlight w:val="none"/>
          <w:u w:val="none"/>
          <w:lang w:bidi="ar"/>
        </w:rPr>
        <w:t>2、若提供的是复印件，采购人、采购代理机构保留审核原件的权利。</w:t>
      </w:r>
    </w:p>
    <w:p>
      <w:pPr>
        <w:keepNext w:val="0"/>
        <w:keepLines w:val="0"/>
        <w:pageBreakBefore w:val="0"/>
        <w:widowControl w:val="0"/>
        <w:kinsoku/>
        <w:wordWrap/>
        <w:overflowPunct/>
        <w:topLinePunct w:val="0"/>
        <w:autoSpaceDE/>
        <w:autoSpaceDN/>
        <w:bidi w:val="0"/>
        <w:adjustRightInd/>
        <w:snapToGrid/>
        <w:spacing w:line="500" w:lineRule="exact"/>
        <w:textAlignment w:val="auto"/>
        <w:outlineLvl w:val="1"/>
        <w:rPr>
          <w:rFonts w:hint="eastAsia" w:ascii="仿宋" w:hAnsi="仿宋" w:eastAsia="仿宋" w:cs="仿宋"/>
          <w:color w:val="000000"/>
          <w:kern w:val="0"/>
          <w:sz w:val="24"/>
          <w:highlight w:val="none"/>
          <w:u w:val="none"/>
          <w:lang w:bidi="ar"/>
        </w:rPr>
      </w:pPr>
      <w:bookmarkStart w:id="44" w:name="_Toc28907"/>
      <w:r>
        <w:rPr>
          <w:rFonts w:hint="eastAsia" w:ascii="仿宋" w:hAnsi="仿宋" w:eastAsia="仿宋" w:cs="仿宋"/>
          <w:color w:val="000000"/>
          <w:kern w:val="0"/>
          <w:sz w:val="24"/>
          <w:highlight w:val="none"/>
          <w:u w:val="none"/>
          <w:lang w:bidi="ar"/>
        </w:rPr>
        <w:t>3、如果是联合体投标，联合体各方均需提供上述证明。</w:t>
      </w:r>
      <w:bookmarkEnd w:id="44"/>
    </w:p>
    <w:p>
      <w:pPr>
        <w:rPr>
          <w:rFonts w:hint="eastAsia" w:ascii="仿宋" w:hAnsi="仿宋" w:eastAsia="仿宋" w:cs="仿宋"/>
          <w:color w:val="000000"/>
          <w:kern w:val="0"/>
          <w:sz w:val="24"/>
          <w:highlight w:val="none"/>
          <w:u w:val="none"/>
          <w:lang w:bidi="ar"/>
        </w:rPr>
      </w:pPr>
    </w:p>
    <w:p>
      <w:pPr>
        <w:rPr>
          <w:rFonts w:hint="eastAsia" w:ascii="仿宋" w:hAnsi="仿宋" w:eastAsia="仿宋" w:cs="仿宋"/>
          <w:color w:val="000000"/>
          <w:kern w:val="0"/>
          <w:sz w:val="24"/>
          <w:highlight w:val="none"/>
          <w:u w:val="none"/>
          <w:lang w:bidi="ar"/>
        </w:rPr>
      </w:pPr>
      <w:r>
        <w:rPr>
          <w:rFonts w:hint="eastAsia" w:ascii="仿宋" w:hAnsi="仿宋" w:eastAsia="仿宋" w:cs="仿宋"/>
          <w:color w:val="000000"/>
          <w:kern w:val="0"/>
          <w:sz w:val="24"/>
          <w:highlight w:val="none"/>
          <w:u w:val="none"/>
          <w:lang w:bidi="ar"/>
        </w:rPr>
        <w:br w:type="page"/>
      </w:r>
    </w:p>
    <w:p>
      <w:pPr>
        <w:rPr>
          <w:rFonts w:hint="eastAsia" w:ascii="仿宋" w:hAnsi="仿宋" w:eastAsia="仿宋" w:cs="仿宋"/>
          <w:color w:val="000000"/>
          <w:kern w:val="0"/>
          <w:sz w:val="24"/>
          <w:highlight w:val="none"/>
          <w:u w:val="none"/>
          <w:lang w:bidi="ar"/>
        </w:rPr>
      </w:pPr>
      <w:r>
        <w:rPr>
          <w:rFonts w:hint="eastAsia" w:ascii="仿宋" w:hAnsi="仿宋" w:eastAsia="仿宋" w:cs="仿宋"/>
          <w:color w:val="000000"/>
          <w:kern w:val="0"/>
          <w:sz w:val="24"/>
          <w:highlight w:val="none"/>
          <w:u w:val="none"/>
          <w:lang w:bidi="ar"/>
        </w:rPr>
        <w:t xml:space="preserve">附件 </w:t>
      </w:r>
      <w:r>
        <w:rPr>
          <w:rFonts w:hint="eastAsia" w:ascii="仿宋" w:hAnsi="仿宋" w:eastAsia="仿宋" w:cs="仿宋"/>
          <w:color w:val="000000"/>
          <w:kern w:val="0"/>
          <w:sz w:val="24"/>
          <w:highlight w:val="none"/>
          <w:u w:val="none"/>
          <w:lang w:val="en-US" w:eastAsia="zh-CN" w:bidi="ar"/>
        </w:rPr>
        <w:t>1</w:t>
      </w:r>
      <w:r>
        <w:rPr>
          <w:rFonts w:hint="eastAsia" w:ascii="仿宋" w:hAnsi="仿宋" w:eastAsia="仿宋" w:cs="仿宋"/>
          <w:color w:val="000000"/>
          <w:kern w:val="0"/>
          <w:sz w:val="24"/>
          <w:highlight w:val="none"/>
          <w:u w:val="none"/>
          <w:lang w:bidi="ar"/>
        </w:rPr>
        <w:t>-</w:t>
      </w:r>
      <w:r>
        <w:rPr>
          <w:rFonts w:hint="eastAsia" w:ascii="仿宋" w:hAnsi="仿宋" w:eastAsia="仿宋" w:cs="仿宋"/>
          <w:color w:val="000000"/>
          <w:kern w:val="0"/>
          <w:sz w:val="24"/>
          <w:highlight w:val="none"/>
          <w:u w:val="none"/>
          <w:lang w:val="en-US" w:eastAsia="zh-CN" w:bidi="ar"/>
        </w:rPr>
        <w:t>5</w:t>
      </w:r>
      <w:r>
        <w:rPr>
          <w:rFonts w:hint="eastAsia" w:ascii="仿宋" w:hAnsi="仿宋" w:eastAsia="仿宋" w:cs="仿宋"/>
          <w:color w:val="000000"/>
          <w:kern w:val="0"/>
          <w:sz w:val="24"/>
          <w:highlight w:val="none"/>
          <w:u w:val="none"/>
          <w:lang w:bidi="ar"/>
        </w:rPr>
        <w:t xml:space="preserve"> 投标人资格声明书</w:t>
      </w:r>
    </w:p>
    <w:p>
      <w:pPr>
        <w:rPr>
          <w:rFonts w:hint="eastAsia" w:ascii="仿宋" w:hAnsi="仿宋" w:eastAsia="仿宋" w:cs="仿宋"/>
          <w:color w:val="000000"/>
          <w:kern w:val="0"/>
          <w:sz w:val="24"/>
          <w:highlight w:val="none"/>
          <w:u w:val="none"/>
          <w:lang w:bidi="ar"/>
        </w:rPr>
      </w:pPr>
    </w:p>
    <w:p>
      <w:pPr>
        <w:keepNext w:val="0"/>
        <w:keepLines w:val="0"/>
        <w:widowControl/>
        <w:suppressLineNumbers w:val="0"/>
        <w:jc w:val="center"/>
        <w:rPr>
          <w:rFonts w:hint="eastAsia" w:ascii="仿宋" w:hAnsi="仿宋" w:eastAsia="仿宋" w:cs="仿宋"/>
          <w:b w:val="0"/>
          <w:bCs w:val="0"/>
          <w:sz w:val="32"/>
          <w:szCs w:val="32"/>
          <w:highlight w:val="none"/>
        </w:rPr>
      </w:pPr>
      <w:r>
        <w:rPr>
          <w:rFonts w:hint="eastAsia" w:ascii="仿宋" w:hAnsi="仿宋" w:eastAsia="仿宋" w:cs="仿宋"/>
          <w:b w:val="0"/>
          <w:bCs w:val="0"/>
          <w:color w:val="000000"/>
          <w:kern w:val="0"/>
          <w:sz w:val="32"/>
          <w:szCs w:val="32"/>
          <w:highlight w:val="none"/>
          <w:lang w:val="en-US" w:eastAsia="zh-CN" w:bidi="ar"/>
        </w:rPr>
        <w:t>投标人资格声明书</w:t>
      </w:r>
    </w:p>
    <w:p>
      <w:pPr>
        <w:keepNext w:val="0"/>
        <w:keepLines w:val="0"/>
        <w:widowControl/>
        <w:suppressLineNumbers w:val="0"/>
        <w:jc w:val="left"/>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致：</w:t>
      </w:r>
      <w:r>
        <w:rPr>
          <w:rFonts w:hint="eastAsia" w:ascii="仿宋" w:hAnsi="仿宋" w:eastAsia="仿宋" w:cs="仿宋"/>
          <w:color w:val="000000"/>
          <w:kern w:val="0"/>
          <w:sz w:val="24"/>
          <w:szCs w:val="24"/>
          <w:highlight w:val="none"/>
          <w:u w:val="single"/>
          <w:lang w:val="en-US" w:eastAsia="zh-CN" w:bidi="ar"/>
        </w:rPr>
        <w:t xml:space="preserve">采购人或采购代理机构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 xml:space="preserve">在参与本次项目投标中，我单位承诺：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 xml:space="preserve">（一）具有良好的商业信誉和健全的财务会计制度；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 xml:space="preserve">（二）具有履行合同所必需的设备和专业技术能力；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 xml:space="preserve">（三）有依法缴纳税收和社会保障资金的良好记录；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 xml:space="preserve">（四）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 xml:space="preserve">（五）我单位不属于政府采购法律、行政法规规定的公益一类事业单位、或使用事业编制且由财政拨款保障的群团组织（仅适用于政府购买服务项目）；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 xml:space="preserve">（六）我单位不存在为采购项目提供整体设计、规范编制或者项目管理、监理、检测等服务后，再参加该采购项目的其他采购活动的情形（单一来源采购项目除外）；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 xml:space="preserve">（七）与我单位存在“单位负责人为同一人或者存在直接控股、管理关系”的其他法人单位信息如下（如有，不论其是否参加同一合同项下的政府采购活动均须填写）：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5"/>
        <w:gridCol w:w="3798"/>
        <w:gridCol w:w="34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1315" w:type="dxa"/>
            <w:vAlign w:val="center"/>
          </w:tcPr>
          <w:p>
            <w:pPr>
              <w:keepNext w:val="0"/>
              <w:keepLines w:val="0"/>
              <w:widowControl/>
              <w:suppressLineNumbers w:val="0"/>
              <w:jc w:val="center"/>
              <w:rPr>
                <w:rFonts w:hint="eastAsia" w:ascii="仿宋" w:hAnsi="仿宋" w:eastAsia="仿宋" w:cs="仿宋"/>
                <w:color w:val="000000"/>
                <w:kern w:val="0"/>
                <w:sz w:val="24"/>
                <w:szCs w:val="24"/>
                <w:highlight w:val="none"/>
                <w:vertAlign w:val="baseline"/>
                <w:lang w:val="en-US" w:eastAsia="zh-CN" w:bidi="ar"/>
              </w:rPr>
            </w:pPr>
            <w:r>
              <w:rPr>
                <w:rFonts w:hint="eastAsia" w:ascii="仿宋" w:hAnsi="仿宋" w:eastAsia="仿宋" w:cs="仿宋"/>
                <w:color w:val="000000"/>
                <w:kern w:val="0"/>
                <w:sz w:val="24"/>
                <w:szCs w:val="24"/>
                <w:highlight w:val="none"/>
                <w:vertAlign w:val="baseline"/>
                <w:lang w:val="en-US" w:eastAsia="zh-CN" w:bidi="ar"/>
              </w:rPr>
              <w:t>序号</w:t>
            </w:r>
          </w:p>
        </w:tc>
        <w:tc>
          <w:tcPr>
            <w:tcW w:w="3798" w:type="dxa"/>
            <w:vAlign w:val="center"/>
          </w:tcPr>
          <w:p>
            <w:pPr>
              <w:keepNext w:val="0"/>
              <w:keepLines w:val="0"/>
              <w:widowControl/>
              <w:suppressLineNumbers w:val="0"/>
              <w:jc w:val="center"/>
              <w:rPr>
                <w:rFonts w:hint="eastAsia" w:ascii="仿宋" w:hAnsi="仿宋" w:eastAsia="仿宋" w:cs="仿宋"/>
                <w:color w:val="000000"/>
                <w:kern w:val="0"/>
                <w:sz w:val="24"/>
                <w:szCs w:val="24"/>
                <w:highlight w:val="none"/>
                <w:vertAlign w:val="baseline"/>
                <w:lang w:val="en-US" w:eastAsia="zh-CN" w:bidi="ar"/>
              </w:rPr>
            </w:pPr>
            <w:r>
              <w:rPr>
                <w:rFonts w:hint="eastAsia" w:ascii="仿宋" w:hAnsi="仿宋" w:eastAsia="仿宋" w:cs="仿宋"/>
                <w:color w:val="000000"/>
                <w:kern w:val="0"/>
                <w:sz w:val="24"/>
                <w:szCs w:val="24"/>
                <w:highlight w:val="none"/>
                <w:vertAlign w:val="baseline"/>
                <w:lang w:val="en-US" w:eastAsia="zh-CN" w:bidi="ar"/>
              </w:rPr>
              <w:t>单位名称</w:t>
            </w:r>
          </w:p>
        </w:tc>
        <w:tc>
          <w:tcPr>
            <w:tcW w:w="3406" w:type="dxa"/>
            <w:vAlign w:val="center"/>
          </w:tcPr>
          <w:p>
            <w:pPr>
              <w:keepNext w:val="0"/>
              <w:keepLines w:val="0"/>
              <w:widowControl/>
              <w:suppressLineNumbers w:val="0"/>
              <w:jc w:val="center"/>
              <w:rPr>
                <w:rFonts w:hint="eastAsia" w:ascii="仿宋" w:hAnsi="仿宋" w:eastAsia="仿宋" w:cs="仿宋"/>
                <w:color w:val="000000"/>
                <w:kern w:val="0"/>
                <w:sz w:val="24"/>
                <w:szCs w:val="24"/>
                <w:highlight w:val="none"/>
                <w:vertAlign w:val="baseline"/>
                <w:lang w:val="en-US" w:eastAsia="zh-CN" w:bidi="ar"/>
              </w:rPr>
            </w:pPr>
            <w:r>
              <w:rPr>
                <w:rFonts w:hint="eastAsia" w:ascii="仿宋" w:hAnsi="仿宋" w:eastAsia="仿宋" w:cs="仿宋"/>
                <w:color w:val="000000"/>
                <w:kern w:val="0"/>
                <w:sz w:val="24"/>
                <w:szCs w:val="24"/>
                <w:highlight w:val="none"/>
                <w:vertAlign w:val="baseline"/>
                <w:lang w:val="en-US" w:eastAsia="zh-CN" w:bidi="ar"/>
              </w:rPr>
              <w:t>相互关系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1315" w:type="dxa"/>
            <w:vAlign w:val="center"/>
          </w:tcPr>
          <w:p>
            <w:pPr>
              <w:keepNext w:val="0"/>
              <w:keepLines w:val="0"/>
              <w:widowControl/>
              <w:suppressLineNumbers w:val="0"/>
              <w:jc w:val="center"/>
              <w:rPr>
                <w:rFonts w:hint="eastAsia" w:ascii="仿宋" w:hAnsi="仿宋" w:eastAsia="仿宋" w:cs="仿宋"/>
                <w:color w:val="000000"/>
                <w:kern w:val="0"/>
                <w:sz w:val="24"/>
                <w:szCs w:val="24"/>
                <w:highlight w:val="none"/>
                <w:vertAlign w:val="baseline"/>
                <w:lang w:val="en-US" w:eastAsia="zh-CN" w:bidi="ar"/>
              </w:rPr>
            </w:pPr>
            <w:r>
              <w:rPr>
                <w:rFonts w:hint="eastAsia" w:ascii="仿宋" w:hAnsi="仿宋" w:eastAsia="仿宋" w:cs="仿宋"/>
                <w:color w:val="000000"/>
                <w:kern w:val="0"/>
                <w:sz w:val="24"/>
                <w:szCs w:val="24"/>
                <w:highlight w:val="none"/>
                <w:vertAlign w:val="baseline"/>
                <w:lang w:val="en-US" w:eastAsia="zh-CN" w:bidi="ar"/>
              </w:rPr>
              <w:t>1</w:t>
            </w:r>
          </w:p>
        </w:tc>
        <w:tc>
          <w:tcPr>
            <w:tcW w:w="3798" w:type="dxa"/>
          </w:tcPr>
          <w:p>
            <w:pPr>
              <w:keepNext w:val="0"/>
              <w:keepLines w:val="0"/>
              <w:widowControl/>
              <w:suppressLineNumbers w:val="0"/>
              <w:jc w:val="left"/>
              <w:rPr>
                <w:rFonts w:hint="eastAsia" w:ascii="仿宋" w:hAnsi="仿宋" w:eastAsia="仿宋" w:cs="仿宋"/>
                <w:color w:val="000000"/>
                <w:kern w:val="0"/>
                <w:sz w:val="24"/>
                <w:szCs w:val="24"/>
                <w:highlight w:val="none"/>
                <w:vertAlign w:val="baseline"/>
                <w:lang w:val="en-US" w:eastAsia="zh-CN" w:bidi="ar"/>
              </w:rPr>
            </w:pPr>
          </w:p>
        </w:tc>
        <w:tc>
          <w:tcPr>
            <w:tcW w:w="3406" w:type="dxa"/>
          </w:tcPr>
          <w:p>
            <w:pPr>
              <w:keepNext w:val="0"/>
              <w:keepLines w:val="0"/>
              <w:widowControl/>
              <w:suppressLineNumbers w:val="0"/>
              <w:jc w:val="left"/>
              <w:rPr>
                <w:rFonts w:hint="eastAsia" w:ascii="仿宋" w:hAnsi="仿宋" w:eastAsia="仿宋" w:cs="仿宋"/>
                <w:color w:val="000000"/>
                <w:kern w:val="0"/>
                <w:sz w:val="24"/>
                <w:szCs w:val="24"/>
                <w:highlight w:val="none"/>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1315" w:type="dxa"/>
            <w:vAlign w:val="center"/>
          </w:tcPr>
          <w:p>
            <w:pPr>
              <w:keepNext w:val="0"/>
              <w:keepLines w:val="0"/>
              <w:widowControl/>
              <w:suppressLineNumbers w:val="0"/>
              <w:jc w:val="center"/>
              <w:rPr>
                <w:rFonts w:hint="eastAsia" w:ascii="仿宋" w:hAnsi="仿宋" w:eastAsia="仿宋" w:cs="仿宋"/>
                <w:color w:val="000000"/>
                <w:kern w:val="0"/>
                <w:sz w:val="24"/>
                <w:szCs w:val="24"/>
                <w:highlight w:val="none"/>
                <w:vertAlign w:val="baseline"/>
                <w:lang w:val="en-US" w:eastAsia="zh-CN" w:bidi="ar"/>
              </w:rPr>
            </w:pPr>
            <w:r>
              <w:rPr>
                <w:rFonts w:hint="eastAsia" w:ascii="仿宋" w:hAnsi="仿宋" w:eastAsia="仿宋" w:cs="仿宋"/>
                <w:color w:val="000000"/>
                <w:kern w:val="0"/>
                <w:sz w:val="24"/>
                <w:szCs w:val="24"/>
                <w:highlight w:val="none"/>
                <w:vertAlign w:val="baseline"/>
                <w:lang w:val="en-US" w:eastAsia="zh-CN" w:bidi="ar"/>
              </w:rPr>
              <w:t>2</w:t>
            </w:r>
          </w:p>
        </w:tc>
        <w:tc>
          <w:tcPr>
            <w:tcW w:w="3798" w:type="dxa"/>
          </w:tcPr>
          <w:p>
            <w:pPr>
              <w:keepNext w:val="0"/>
              <w:keepLines w:val="0"/>
              <w:widowControl/>
              <w:suppressLineNumbers w:val="0"/>
              <w:jc w:val="left"/>
              <w:rPr>
                <w:rFonts w:hint="eastAsia" w:ascii="仿宋" w:hAnsi="仿宋" w:eastAsia="仿宋" w:cs="仿宋"/>
                <w:color w:val="000000"/>
                <w:kern w:val="0"/>
                <w:sz w:val="24"/>
                <w:szCs w:val="24"/>
                <w:highlight w:val="none"/>
                <w:vertAlign w:val="baseline"/>
                <w:lang w:val="en-US" w:eastAsia="zh-CN" w:bidi="ar"/>
              </w:rPr>
            </w:pPr>
          </w:p>
        </w:tc>
        <w:tc>
          <w:tcPr>
            <w:tcW w:w="3406" w:type="dxa"/>
          </w:tcPr>
          <w:p>
            <w:pPr>
              <w:keepNext w:val="0"/>
              <w:keepLines w:val="0"/>
              <w:widowControl/>
              <w:suppressLineNumbers w:val="0"/>
              <w:jc w:val="left"/>
              <w:rPr>
                <w:rFonts w:hint="eastAsia" w:ascii="仿宋" w:hAnsi="仿宋" w:eastAsia="仿宋" w:cs="仿宋"/>
                <w:color w:val="000000"/>
                <w:kern w:val="0"/>
                <w:sz w:val="24"/>
                <w:szCs w:val="24"/>
                <w:highlight w:val="none"/>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1315" w:type="dxa"/>
            <w:vAlign w:val="center"/>
          </w:tcPr>
          <w:p>
            <w:pPr>
              <w:keepNext w:val="0"/>
              <w:keepLines w:val="0"/>
              <w:widowControl/>
              <w:suppressLineNumbers w:val="0"/>
              <w:jc w:val="center"/>
              <w:rPr>
                <w:rFonts w:hint="eastAsia" w:ascii="仿宋" w:hAnsi="仿宋" w:eastAsia="仿宋" w:cs="仿宋"/>
                <w:color w:val="000000"/>
                <w:kern w:val="0"/>
                <w:sz w:val="24"/>
                <w:szCs w:val="24"/>
                <w:highlight w:val="none"/>
                <w:vertAlign w:val="baseline"/>
                <w:lang w:val="en-US" w:eastAsia="zh-CN" w:bidi="ar"/>
              </w:rPr>
            </w:pPr>
            <w:r>
              <w:rPr>
                <w:rFonts w:hint="eastAsia" w:ascii="仿宋" w:hAnsi="仿宋" w:eastAsia="仿宋" w:cs="仿宋"/>
                <w:color w:val="000000"/>
                <w:kern w:val="0"/>
                <w:sz w:val="24"/>
                <w:szCs w:val="24"/>
                <w:highlight w:val="none"/>
                <w:vertAlign w:val="baseline"/>
                <w:lang w:val="en-US" w:eastAsia="zh-CN" w:bidi="ar"/>
              </w:rPr>
              <w:t>...</w:t>
            </w:r>
          </w:p>
        </w:tc>
        <w:tc>
          <w:tcPr>
            <w:tcW w:w="3798" w:type="dxa"/>
          </w:tcPr>
          <w:p>
            <w:pPr>
              <w:keepNext w:val="0"/>
              <w:keepLines w:val="0"/>
              <w:widowControl/>
              <w:suppressLineNumbers w:val="0"/>
              <w:jc w:val="left"/>
              <w:rPr>
                <w:rFonts w:hint="eastAsia" w:ascii="仿宋" w:hAnsi="仿宋" w:eastAsia="仿宋" w:cs="仿宋"/>
                <w:color w:val="000000"/>
                <w:kern w:val="0"/>
                <w:sz w:val="24"/>
                <w:szCs w:val="24"/>
                <w:highlight w:val="none"/>
                <w:vertAlign w:val="baseline"/>
                <w:lang w:val="en-US" w:eastAsia="zh-CN" w:bidi="ar"/>
              </w:rPr>
            </w:pPr>
          </w:p>
        </w:tc>
        <w:tc>
          <w:tcPr>
            <w:tcW w:w="3406" w:type="dxa"/>
          </w:tcPr>
          <w:p>
            <w:pPr>
              <w:keepNext w:val="0"/>
              <w:keepLines w:val="0"/>
              <w:widowControl/>
              <w:suppressLineNumbers w:val="0"/>
              <w:jc w:val="left"/>
              <w:rPr>
                <w:rFonts w:hint="eastAsia" w:ascii="仿宋" w:hAnsi="仿宋" w:eastAsia="仿宋" w:cs="仿宋"/>
                <w:color w:val="000000"/>
                <w:kern w:val="0"/>
                <w:sz w:val="24"/>
                <w:szCs w:val="24"/>
                <w:highlight w:val="none"/>
                <w:vertAlign w:val="baseline"/>
                <w:lang w:val="en-US" w:eastAsia="zh-CN" w:bidi="ar"/>
              </w:rPr>
            </w:pPr>
          </w:p>
        </w:tc>
      </w:tr>
    </w:tbl>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 xml:space="preserve">上述声明真实有效，否则我方负全部责任。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 xml:space="preserve">投标人名称：  </w:t>
      </w:r>
      <w:r>
        <w:rPr>
          <w:rFonts w:hint="eastAsia" w:ascii="仿宋" w:hAnsi="仿宋" w:eastAsia="仿宋" w:cs="仿宋"/>
          <w:i w:val="0"/>
          <w:iCs w:val="0"/>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u w:val="single"/>
          <w:lang w:val="en-US" w:eastAsia="zh-CN" w:bidi="ar"/>
        </w:rPr>
        <w:t>（加盖公章）</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法定代表人或其授权代理人：</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u w:val="single"/>
          <w:lang w:val="en-US" w:eastAsia="zh-CN" w:bidi="ar"/>
        </w:rPr>
        <w:tab/>
      </w:r>
      <w:r>
        <w:rPr>
          <w:rFonts w:hint="eastAsia" w:ascii="仿宋" w:hAnsi="仿宋" w:eastAsia="仿宋" w:cs="仿宋"/>
          <w:color w:val="000000"/>
          <w:kern w:val="0"/>
          <w:sz w:val="24"/>
          <w:szCs w:val="24"/>
          <w:highlight w:val="none"/>
          <w:u w:val="single"/>
          <w:lang w:val="en-US" w:eastAsia="zh-CN" w:bidi="ar"/>
        </w:rPr>
        <w:t>（签字或签章）</w:t>
      </w:r>
      <w:r>
        <w:rPr>
          <w:rFonts w:hint="eastAsia" w:ascii="仿宋" w:hAnsi="仿宋" w:eastAsia="仿宋" w:cs="仿宋"/>
          <w:color w:val="000000"/>
          <w:kern w:val="0"/>
          <w:sz w:val="24"/>
          <w:szCs w:val="24"/>
          <w:highlight w:val="none"/>
          <w:lang w:val="en-US" w:eastAsia="zh-CN" w:bidi="ar"/>
        </w:rPr>
        <w:tab/>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日期：</w:t>
      </w:r>
      <w:r>
        <w:rPr>
          <w:rFonts w:hint="eastAsia" w:ascii="仿宋" w:hAnsi="仿宋" w:eastAsia="仿宋" w:cs="仿宋"/>
          <w:color w:val="000000"/>
          <w:kern w:val="0"/>
          <w:sz w:val="24"/>
          <w:szCs w:val="24"/>
          <w:highlight w:val="none"/>
          <w:u w:val="single"/>
          <w:lang w:val="en-US" w:eastAsia="zh-CN" w:bidi="ar"/>
        </w:rPr>
        <w:t xml:space="preserve">    年    月    日</w:t>
      </w:r>
    </w:p>
    <w:p>
      <w:pPr>
        <w:keepNext w:val="0"/>
        <w:keepLines w:val="0"/>
        <w:pageBreakBefore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highlight w:val="none"/>
          <w:u w:val="none"/>
          <w:lang w:bidi="ar"/>
        </w:rPr>
      </w:pPr>
    </w:p>
    <w:p>
      <w:pPr>
        <w:keepNext w:val="0"/>
        <w:keepLines w:val="0"/>
        <w:pageBreakBefore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说明：供应商承诺不实的，依据《政府采购法》第七十七条“提供虚假材料谋取中标、成交的”有关规定予以处理。</w:t>
      </w:r>
    </w:p>
    <w:p>
      <w:pPr>
        <w:rPr>
          <w:rFonts w:hint="eastAsia" w:ascii="仿宋" w:hAnsi="仿宋" w:eastAsia="仿宋" w:cs="仿宋"/>
          <w:color w:val="000000"/>
          <w:kern w:val="0"/>
          <w:sz w:val="24"/>
          <w:szCs w:val="24"/>
          <w:highlight w:val="none"/>
          <w:lang w:val="en-US" w:eastAsia="zh-CN" w:bidi="ar"/>
        </w:rPr>
      </w:pPr>
    </w:p>
    <w:p>
      <w:pPr>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br w:type="page"/>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outlineLvl w:val="1"/>
        <w:rPr>
          <w:rFonts w:hint="eastAsia" w:ascii="仿宋" w:hAnsi="仿宋" w:eastAsia="仿宋" w:cs="仿宋"/>
          <w:sz w:val="24"/>
          <w:szCs w:val="24"/>
          <w:highlight w:val="none"/>
        </w:rPr>
      </w:pPr>
      <w:bookmarkStart w:id="45" w:name="_Toc32152"/>
      <w:r>
        <w:rPr>
          <w:rFonts w:hint="eastAsia" w:ascii="仿宋" w:hAnsi="仿宋" w:eastAsia="仿宋" w:cs="仿宋"/>
          <w:color w:val="000000"/>
          <w:kern w:val="0"/>
          <w:sz w:val="24"/>
          <w:szCs w:val="24"/>
          <w:highlight w:val="none"/>
          <w:lang w:val="en-US" w:eastAsia="zh-CN" w:bidi="ar"/>
        </w:rPr>
        <w:t>2 落实政府采购政策需满足的资格要求（如有）</w:t>
      </w:r>
      <w:bookmarkEnd w:id="45"/>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2-1 中小企业声明函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说明：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（1）如本项目（包）不专门面向中小企业预留采购份额，资格证明文件部分无需提供《中小企业声明函》。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（2）如本项目（包）专门面向中小/小微企业采购，须提供《中小企业声明函》，申明函格式不得修改，否则不得享受相关中小企业扶持政策。投标人根据项目属性选择申明函格式。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3）如本项目（包）预留部分采购项目预算专门面向中小企业采购，要求供应商以联合体形式参加采购活动，且联合体中中小企业承担的部分达到一定比例的，须提供《联合协议》；要求获得采购合同的供应商将采购项目中的一定比例分包给一家或者多家中小企业的，须提供《拟分包情况说明及分包意向协议》。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（4）其他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1）中小企业参加政府采购活动，应当出具此格式文件。《中小企业声明函》由参加政府采购活动的投标人出具。联合体投标的，《中小企业声明函》由牵头人出具。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2）对于联合体中由中小企业承担的部分，或者分包给中小企业的部分，必须全部由中小企业制造、承建或者承接。供应商应当在声明函“项目名称”部分标明联合体中中小企业承担的具体内容或者中小企业的具体分包内容。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3）对于多标的的采购项目，投标人应充分、准确地了解所投产品制造企业信息。对相关情况了解不清楚的，不建议填报本声明函。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5）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w:t>
      </w:r>
    </w:p>
    <w:p>
      <w:pPr>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br w:type="page"/>
      </w:r>
    </w:p>
    <w:p>
      <w:pPr>
        <w:pStyle w:val="16"/>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firstLine="420"/>
        <w:jc w:val="center"/>
        <w:textAlignment w:val="auto"/>
        <w:rPr>
          <w:rFonts w:hint="eastAsia" w:ascii="仿宋" w:hAnsi="仿宋" w:eastAsia="仿宋" w:cs="仿宋"/>
          <w:i w:val="0"/>
          <w:iCs w:val="0"/>
          <w:caps w:val="0"/>
          <w:color w:val="000000"/>
          <w:spacing w:val="0"/>
          <w:sz w:val="32"/>
          <w:szCs w:val="32"/>
          <w:highlight w:val="none"/>
          <w:lang w:val="en-US" w:eastAsia="zh-CN"/>
        </w:rPr>
      </w:pPr>
      <w:r>
        <w:rPr>
          <w:rStyle w:val="22"/>
          <w:rFonts w:hint="eastAsia" w:ascii="仿宋" w:hAnsi="仿宋" w:eastAsia="仿宋" w:cs="仿宋"/>
          <w:i w:val="0"/>
          <w:iCs w:val="0"/>
          <w:caps w:val="0"/>
          <w:color w:val="000000"/>
          <w:spacing w:val="0"/>
          <w:sz w:val="32"/>
          <w:szCs w:val="32"/>
          <w:highlight w:val="none"/>
        </w:rPr>
        <w:t>中小企业声明函</w:t>
      </w:r>
      <w:r>
        <w:rPr>
          <w:rStyle w:val="22"/>
          <w:rFonts w:hint="eastAsia" w:ascii="仿宋" w:hAnsi="仿宋" w:eastAsia="仿宋" w:cs="仿宋"/>
          <w:i w:val="0"/>
          <w:iCs w:val="0"/>
          <w:caps w:val="0"/>
          <w:color w:val="000000"/>
          <w:spacing w:val="0"/>
          <w:sz w:val="32"/>
          <w:szCs w:val="32"/>
          <w:highlight w:val="none"/>
          <w:lang w:eastAsia="zh-CN"/>
        </w:rPr>
        <w:t>（</w:t>
      </w:r>
      <w:r>
        <w:rPr>
          <w:rStyle w:val="22"/>
          <w:rFonts w:hint="eastAsia" w:ascii="仿宋" w:hAnsi="仿宋" w:eastAsia="仿宋" w:cs="仿宋"/>
          <w:i w:val="0"/>
          <w:iCs w:val="0"/>
          <w:caps w:val="0"/>
          <w:color w:val="000000"/>
          <w:spacing w:val="0"/>
          <w:sz w:val="32"/>
          <w:szCs w:val="32"/>
          <w:highlight w:val="none"/>
        </w:rPr>
        <w:t>货物</w:t>
      </w:r>
      <w:r>
        <w:rPr>
          <w:rStyle w:val="22"/>
          <w:rFonts w:hint="eastAsia" w:ascii="仿宋" w:hAnsi="仿宋" w:eastAsia="仿宋" w:cs="仿宋"/>
          <w:i w:val="0"/>
          <w:iCs w:val="0"/>
          <w:caps w:val="0"/>
          <w:color w:val="000000"/>
          <w:spacing w:val="0"/>
          <w:sz w:val="32"/>
          <w:szCs w:val="32"/>
          <w:highlight w:val="none"/>
          <w:lang w:eastAsia="zh-CN"/>
        </w:rPr>
        <w:t>）</w:t>
      </w:r>
    </w:p>
    <w:p>
      <w:pPr>
        <w:pStyle w:val="16"/>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firstLine="420"/>
        <w:textAlignment w:val="auto"/>
        <w:rPr>
          <w:rFonts w:hint="eastAsia" w:ascii="仿宋" w:hAnsi="仿宋" w:eastAsia="仿宋" w:cs="仿宋"/>
          <w:i w:val="0"/>
          <w:iCs w:val="0"/>
          <w:caps w:val="0"/>
          <w:color w:val="000000"/>
          <w:spacing w:val="0"/>
          <w:sz w:val="27"/>
          <w:szCs w:val="27"/>
          <w:highlight w:val="none"/>
        </w:rPr>
      </w:pPr>
      <w:r>
        <w:rPr>
          <w:rFonts w:hint="eastAsia" w:ascii="仿宋" w:hAnsi="仿宋" w:eastAsia="仿宋" w:cs="仿宋"/>
          <w:i w:val="0"/>
          <w:iCs w:val="0"/>
          <w:caps w:val="0"/>
          <w:color w:val="000000"/>
          <w:spacing w:val="0"/>
          <w:sz w:val="27"/>
          <w:szCs w:val="27"/>
          <w:highlight w:val="none"/>
        </w:rPr>
        <w:t> </w:t>
      </w:r>
    </w:p>
    <w:p>
      <w:pPr>
        <w:pStyle w:val="16"/>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firstLine="720" w:firstLineChars="300"/>
        <w:textAlignment w:val="auto"/>
        <w:rPr>
          <w:rFonts w:hint="eastAsia" w:ascii="仿宋" w:hAnsi="仿宋" w:eastAsia="仿宋" w:cs="仿宋"/>
          <w:i w:val="0"/>
          <w:iCs w:val="0"/>
          <w:caps w:val="0"/>
          <w:color w:val="000000"/>
          <w:spacing w:val="0"/>
          <w:sz w:val="24"/>
          <w:szCs w:val="24"/>
          <w:highlight w:val="none"/>
        </w:rPr>
      </w:pPr>
      <w:r>
        <w:rPr>
          <w:rFonts w:hint="eastAsia" w:ascii="仿宋" w:hAnsi="仿宋" w:eastAsia="仿宋" w:cs="仿宋"/>
          <w:i w:val="0"/>
          <w:iCs w:val="0"/>
          <w:caps w:val="0"/>
          <w:color w:val="000000"/>
          <w:spacing w:val="0"/>
          <w:sz w:val="24"/>
          <w:szCs w:val="24"/>
          <w:highlight w:val="none"/>
        </w:rPr>
        <w:t>本公司（联合体）郑重声明，根据《政府采购促进中小企业发展管理办法》（财库〔2020〕[2020]46号）的规定，本公司（联合体）参加</w:t>
      </w:r>
      <w:r>
        <w:rPr>
          <w:rFonts w:hint="eastAsia" w:ascii="仿宋" w:hAnsi="仿宋" w:eastAsia="仿宋" w:cs="仿宋"/>
          <w:i/>
          <w:iCs/>
          <w:caps w:val="0"/>
          <w:color w:val="000000"/>
          <w:spacing w:val="0"/>
          <w:sz w:val="24"/>
          <w:szCs w:val="24"/>
          <w:highlight w:val="none"/>
          <w:u w:val="single"/>
        </w:rPr>
        <w:t>（单位名称）</w:t>
      </w:r>
      <w:r>
        <w:rPr>
          <w:rFonts w:hint="eastAsia" w:ascii="仿宋" w:hAnsi="仿宋" w:eastAsia="仿宋" w:cs="仿宋"/>
          <w:i w:val="0"/>
          <w:iCs w:val="0"/>
          <w:caps w:val="0"/>
          <w:color w:val="000000"/>
          <w:spacing w:val="0"/>
          <w:sz w:val="24"/>
          <w:szCs w:val="24"/>
          <w:highlight w:val="none"/>
        </w:rPr>
        <w:t>的</w:t>
      </w:r>
      <w:r>
        <w:rPr>
          <w:rFonts w:hint="eastAsia" w:ascii="仿宋" w:hAnsi="仿宋" w:eastAsia="仿宋" w:cs="仿宋"/>
          <w:i/>
          <w:iCs/>
          <w:caps w:val="0"/>
          <w:color w:val="000000"/>
          <w:spacing w:val="0"/>
          <w:sz w:val="24"/>
          <w:szCs w:val="24"/>
          <w:highlight w:val="none"/>
          <w:u w:val="single"/>
        </w:rPr>
        <w:t>（项目名称）</w:t>
      </w:r>
      <w:r>
        <w:rPr>
          <w:rFonts w:hint="eastAsia" w:ascii="仿宋" w:hAnsi="仿宋" w:eastAsia="仿宋" w:cs="仿宋"/>
          <w:i w:val="0"/>
          <w:iCs w:val="0"/>
          <w:caps w:val="0"/>
          <w:color w:val="000000"/>
          <w:spacing w:val="0"/>
          <w:sz w:val="24"/>
          <w:szCs w:val="24"/>
          <w:highlight w:val="none"/>
        </w:rPr>
        <w:t>采购活动，提供的货物全部由符合政策要求的中小企业制造。相关企业（含联合体中的中小企业、签订分包意向协议的中小企业）的具体情况如下：</w:t>
      </w:r>
    </w:p>
    <w:p>
      <w:pPr>
        <w:pStyle w:val="16"/>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firstLine="420"/>
        <w:textAlignment w:val="auto"/>
        <w:rPr>
          <w:rFonts w:hint="eastAsia" w:ascii="仿宋" w:hAnsi="仿宋" w:eastAsia="仿宋" w:cs="仿宋"/>
          <w:i w:val="0"/>
          <w:iCs w:val="0"/>
          <w:caps w:val="0"/>
          <w:color w:val="000000"/>
          <w:spacing w:val="0"/>
          <w:sz w:val="24"/>
          <w:szCs w:val="24"/>
          <w:highlight w:val="none"/>
        </w:rPr>
      </w:pPr>
      <w:r>
        <w:rPr>
          <w:rFonts w:hint="eastAsia" w:ascii="仿宋" w:hAnsi="仿宋" w:eastAsia="仿宋" w:cs="仿宋"/>
          <w:i w:val="0"/>
          <w:iCs w:val="0"/>
          <w:caps w:val="0"/>
          <w:color w:val="000000"/>
          <w:spacing w:val="0"/>
          <w:sz w:val="24"/>
          <w:szCs w:val="24"/>
          <w:highlight w:val="none"/>
        </w:rPr>
        <w:t>1.</w:t>
      </w:r>
      <w:r>
        <w:rPr>
          <w:rFonts w:hint="eastAsia" w:ascii="仿宋" w:hAnsi="仿宋" w:eastAsia="仿宋" w:cs="仿宋"/>
          <w:i/>
          <w:iCs/>
          <w:caps w:val="0"/>
          <w:color w:val="000000"/>
          <w:spacing w:val="0"/>
          <w:sz w:val="24"/>
          <w:szCs w:val="24"/>
          <w:highlight w:val="none"/>
          <w:u w:val="single"/>
        </w:rPr>
        <w:t>（标的名称）</w:t>
      </w:r>
      <w:r>
        <w:rPr>
          <w:rFonts w:hint="eastAsia" w:ascii="仿宋" w:hAnsi="仿宋" w:eastAsia="仿宋" w:cs="仿宋"/>
          <w:i w:val="0"/>
          <w:iCs w:val="0"/>
          <w:caps w:val="0"/>
          <w:color w:val="000000"/>
          <w:spacing w:val="0"/>
          <w:sz w:val="24"/>
          <w:szCs w:val="24"/>
          <w:highlight w:val="none"/>
        </w:rPr>
        <w:t>，属于</w:t>
      </w:r>
      <w:r>
        <w:rPr>
          <w:rFonts w:hint="eastAsia" w:ascii="仿宋" w:hAnsi="仿宋" w:eastAsia="仿宋" w:cs="仿宋"/>
          <w:i/>
          <w:iCs/>
          <w:caps w:val="0"/>
          <w:color w:val="000000"/>
          <w:spacing w:val="0"/>
          <w:sz w:val="24"/>
          <w:szCs w:val="24"/>
          <w:highlight w:val="none"/>
          <w:u w:val="single"/>
        </w:rPr>
        <w:t>（采购文件中明确的所属行业）</w:t>
      </w:r>
      <w:r>
        <w:rPr>
          <w:rFonts w:hint="eastAsia" w:ascii="仿宋" w:hAnsi="仿宋" w:eastAsia="仿宋" w:cs="仿宋"/>
          <w:i w:val="0"/>
          <w:iCs w:val="0"/>
          <w:caps w:val="0"/>
          <w:color w:val="000000"/>
          <w:spacing w:val="0"/>
          <w:sz w:val="24"/>
          <w:szCs w:val="24"/>
          <w:highlight w:val="none"/>
        </w:rPr>
        <w:t>；制造商为</w:t>
      </w:r>
      <w:r>
        <w:rPr>
          <w:rFonts w:hint="eastAsia" w:ascii="仿宋" w:hAnsi="仿宋" w:eastAsia="仿宋" w:cs="仿宋"/>
          <w:i/>
          <w:iCs/>
          <w:caps w:val="0"/>
          <w:color w:val="000000"/>
          <w:spacing w:val="0"/>
          <w:sz w:val="24"/>
          <w:szCs w:val="24"/>
          <w:highlight w:val="none"/>
          <w:u w:val="single"/>
        </w:rPr>
        <w:t>（企业名称）</w:t>
      </w:r>
      <w:r>
        <w:rPr>
          <w:rFonts w:hint="eastAsia" w:ascii="仿宋" w:hAnsi="仿宋" w:eastAsia="仿宋" w:cs="仿宋"/>
          <w:i w:val="0"/>
          <w:iCs w:val="0"/>
          <w:caps w:val="0"/>
          <w:color w:val="000000"/>
          <w:spacing w:val="0"/>
          <w:sz w:val="24"/>
          <w:szCs w:val="24"/>
          <w:highlight w:val="none"/>
        </w:rPr>
        <w:t>，从业人员</w:t>
      </w:r>
      <w:r>
        <w:rPr>
          <w:rFonts w:hint="eastAsia" w:ascii="仿宋" w:hAnsi="仿宋" w:eastAsia="仿宋" w:cs="仿宋"/>
          <w:i w:val="0"/>
          <w:iCs w:val="0"/>
          <w:caps w:val="0"/>
          <w:color w:val="000000"/>
          <w:spacing w:val="0"/>
          <w:sz w:val="24"/>
          <w:szCs w:val="24"/>
          <w:highlight w:val="none"/>
          <w:u w:val="single"/>
          <w:lang w:val="en-US" w:eastAsia="zh-CN"/>
        </w:rPr>
        <w:t xml:space="preserve">      </w:t>
      </w:r>
      <w:r>
        <w:rPr>
          <w:rFonts w:hint="eastAsia" w:ascii="仿宋" w:hAnsi="仿宋" w:eastAsia="仿宋" w:cs="仿宋"/>
          <w:i w:val="0"/>
          <w:iCs w:val="0"/>
          <w:caps w:val="0"/>
          <w:color w:val="000000"/>
          <w:spacing w:val="0"/>
          <w:sz w:val="24"/>
          <w:szCs w:val="24"/>
          <w:highlight w:val="none"/>
        </w:rPr>
        <w:t>人，营业收入为</w:t>
      </w:r>
      <w:r>
        <w:rPr>
          <w:rFonts w:hint="eastAsia" w:ascii="仿宋" w:hAnsi="仿宋" w:eastAsia="仿宋" w:cs="仿宋"/>
          <w:i w:val="0"/>
          <w:iCs w:val="0"/>
          <w:caps w:val="0"/>
          <w:color w:val="000000"/>
          <w:spacing w:val="0"/>
          <w:sz w:val="24"/>
          <w:szCs w:val="24"/>
          <w:highlight w:val="none"/>
          <w:u w:val="single"/>
          <w:lang w:val="en-US" w:eastAsia="zh-CN"/>
        </w:rPr>
        <w:t xml:space="preserve">       </w:t>
      </w:r>
      <w:r>
        <w:rPr>
          <w:rFonts w:hint="eastAsia" w:ascii="仿宋" w:hAnsi="仿宋" w:eastAsia="仿宋" w:cs="仿宋"/>
          <w:i w:val="0"/>
          <w:iCs w:val="0"/>
          <w:caps w:val="0"/>
          <w:color w:val="000000"/>
          <w:spacing w:val="0"/>
          <w:sz w:val="24"/>
          <w:szCs w:val="24"/>
          <w:highlight w:val="none"/>
        </w:rPr>
        <w:t> 万元，资产总额为</w:t>
      </w:r>
      <w:r>
        <w:rPr>
          <w:rFonts w:hint="eastAsia" w:ascii="仿宋" w:hAnsi="仿宋" w:eastAsia="仿宋" w:cs="仿宋"/>
          <w:i w:val="0"/>
          <w:iCs w:val="0"/>
          <w:caps w:val="0"/>
          <w:color w:val="000000"/>
          <w:spacing w:val="0"/>
          <w:sz w:val="24"/>
          <w:szCs w:val="24"/>
          <w:highlight w:val="none"/>
          <w:u w:val="single"/>
          <w:lang w:val="en-US" w:eastAsia="zh-CN"/>
        </w:rPr>
        <w:t xml:space="preserve">       </w:t>
      </w:r>
      <w:r>
        <w:rPr>
          <w:rFonts w:hint="eastAsia" w:ascii="仿宋" w:hAnsi="仿宋" w:eastAsia="仿宋" w:cs="仿宋"/>
          <w:i w:val="0"/>
          <w:iCs w:val="0"/>
          <w:caps w:val="0"/>
          <w:color w:val="000000"/>
          <w:spacing w:val="0"/>
          <w:sz w:val="24"/>
          <w:szCs w:val="24"/>
          <w:highlight w:val="none"/>
        </w:rPr>
        <w:t> 万元，属于</w:t>
      </w:r>
      <w:r>
        <w:rPr>
          <w:rFonts w:hint="eastAsia" w:ascii="仿宋" w:hAnsi="仿宋" w:eastAsia="仿宋" w:cs="仿宋"/>
          <w:i/>
          <w:iCs/>
          <w:caps w:val="0"/>
          <w:color w:val="000000"/>
          <w:spacing w:val="0"/>
          <w:sz w:val="24"/>
          <w:szCs w:val="24"/>
          <w:highlight w:val="none"/>
          <w:u w:val="single"/>
        </w:rPr>
        <w:t>（中型企业、小型企业、微型企业）</w:t>
      </w:r>
      <w:r>
        <w:rPr>
          <w:rFonts w:hint="eastAsia" w:ascii="仿宋" w:hAnsi="仿宋" w:eastAsia="仿宋" w:cs="仿宋"/>
          <w:i w:val="0"/>
          <w:iCs w:val="0"/>
          <w:caps w:val="0"/>
          <w:color w:val="000000"/>
          <w:spacing w:val="0"/>
          <w:sz w:val="24"/>
          <w:szCs w:val="24"/>
          <w:highlight w:val="none"/>
        </w:rPr>
        <w:t>；</w:t>
      </w:r>
    </w:p>
    <w:p>
      <w:pPr>
        <w:pStyle w:val="16"/>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firstLine="420"/>
        <w:textAlignment w:val="auto"/>
        <w:rPr>
          <w:rFonts w:hint="eastAsia" w:ascii="仿宋" w:hAnsi="仿宋" w:eastAsia="仿宋" w:cs="仿宋"/>
          <w:i w:val="0"/>
          <w:iCs w:val="0"/>
          <w:caps w:val="0"/>
          <w:color w:val="000000"/>
          <w:spacing w:val="0"/>
          <w:sz w:val="24"/>
          <w:szCs w:val="24"/>
          <w:highlight w:val="none"/>
        </w:rPr>
      </w:pPr>
      <w:r>
        <w:rPr>
          <w:rFonts w:hint="eastAsia" w:ascii="仿宋" w:hAnsi="仿宋" w:eastAsia="仿宋" w:cs="仿宋"/>
          <w:i w:val="0"/>
          <w:iCs w:val="0"/>
          <w:caps w:val="0"/>
          <w:color w:val="000000"/>
          <w:spacing w:val="0"/>
          <w:sz w:val="24"/>
          <w:szCs w:val="24"/>
          <w:highlight w:val="none"/>
        </w:rPr>
        <w:t>2.</w:t>
      </w:r>
      <w:r>
        <w:rPr>
          <w:rFonts w:hint="eastAsia" w:ascii="仿宋" w:hAnsi="仿宋" w:eastAsia="仿宋" w:cs="仿宋"/>
          <w:i/>
          <w:iCs/>
          <w:caps w:val="0"/>
          <w:color w:val="000000"/>
          <w:spacing w:val="0"/>
          <w:sz w:val="24"/>
          <w:szCs w:val="24"/>
          <w:highlight w:val="none"/>
          <w:u w:val="single"/>
        </w:rPr>
        <w:t>（标的名称）</w:t>
      </w:r>
      <w:r>
        <w:rPr>
          <w:rFonts w:hint="eastAsia" w:ascii="仿宋" w:hAnsi="仿宋" w:eastAsia="仿宋" w:cs="仿宋"/>
          <w:i w:val="0"/>
          <w:iCs w:val="0"/>
          <w:caps w:val="0"/>
          <w:color w:val="000000"/>
          <w:spacing w:val="0"/>
          <w:sz w:val="24"/>
          <w:szCs w:val="24"/>
          <w:highlight w:val="none"/>
        </w:rPr>
        <w:t>，属于</w:t>
      </w:r>
      <w:r>
        <w:rPr>
          <w:rFonts w:hint="eastAsia" w:ascii="仿宋" w:hAnsi="仿宋" w:eastAsia="仿宋" w:cs="仿宋"/>
          <w:i/>
          <w:iCs/>
          <w:caps w:val="0"/>
          <w:color w:val="000000"/>
          <w:spacing w:val="0"/>
          <w:sz w:val="24"/>
          <w:szCs w:val="24"/>
          <w:highlight w:val="none"/>
          <w:u w:val="single"/>
        </w:rPr>
        <w:t>（采购文件中明确的所属行业）</w:t>
      </w:r>
      <w:r>
        <w:rPr>
          <w:rFonts w:hint="eastAsia" w:ascii="仿宋" w:hAnsi="仿宋" w:eastAsia="仿宋" w:cs="仿宋"/>
          <w:i w:val="0"/>
          <w:iCs w:val="0"/>
          <w:caps w:val="0"/>
          <w:color w:val="000000"/>
          <w:spacing w:val="0"/>
          <w:sz w:val="24"/>
          <w:szCs w:val="24"/>
          <w:highlight w:val="none"/>
        </w:rPr>
        <w:t>；制造商为</w:t>
      </w:r>
      <w:r>
        <w:rPr>
          <w:rFonts w:hint="eastAsia" w:ascii="仿宋" w:hAnsi="仿宋" w:eastAsia="仿宋" w:cs="仿宋"/>
          <w:i/>
          <w:iCs/>
          <w:caps w:val="0"/>
          <w:color w:val="000000"/>
          <w:spacing w:val="0"/>
          <w:sz w:val="24"/>
          <w:szCs w:val="24"/>
          <w:highlight w:val="none"/>
          <w:u w:val="single"/>
        </w:rPr>
        <w:t>（企业名称）</w:t>
      </w:r>
      <w:r>
        <w:rPr>
          <w:rFonts w:hint="eastAsia" w:ascii="仿宋" w:hAnsi="仿宋" w:eastAsia="仿宋" w:cs="仿宋"/>
          <w:i w:val="0"/>
          <w:iCs w:val="0"/>
          <w:caps w:val="0"/>
          <w:color w:val="000000"/>
          <w:spacing w:val="0"/>
          <w:sz w:val="24"/>
          <w:szCs w:val="24"/>
          <w:highlight w:val="none"/>
        </w:rPr>
        <w:t>，从业人员</w:t>
      </w:r>
      <w:r>
        <w:rPr>
          <w:rFonts w:hint="eastAsia" w:ascii="仿宋" w:hAnsi="仿宋" w:eastAsia="仿宋" w:cs="仿宋"/>
          <w:i w:val="0"/>
          <w:iCs w:val="0"/>
          <w:caps w:val="0"/>
          <w:color w:val="000000"/>
          <w:spacing w:val="0"/>
          <w:sz w:val="24"/>
          <w:szCs w:val="24"/>
          <w:highlight w:val="none"/>
          <w:u w:val="single"/>
          <w:lang w:val="en-US" w:eastAsia="zh-CN"/>
        </w:rPr>
        <w:t xml:space="preserve">      </w:t>
      </w:r>
      <w:r>
        <w:rPr>
          <w:rFonts w:hint="eastAsia" w:ascii="仿宋" w:hAnsi="仿宋" w:eastAsia="仿宋" w:cs="仿宋"/>
          <w:i w:val="0"/>
          <w:iCs w:val="0"/>
          <w:caps w:val="0"/>
          <w:color w:val="000000"/>
          <w:spacing w:val="0"/>
          <w:sz w:val="24"/>
          <w:szCs w:val="24"/>
          <w:highlight w:val="none"/>
        </w:rPr>
        <w:t>人，营业收入为</w:t>
      </w:r>
      <w:r>
        <w:rPr>
          <w:rFonts w:hint="eastAsia" w:ascii="仿宋" w:hAnsi="仿宋" w:eastAsia="仿宋" w:cs="仿宋"/>
          <w:i w:val="0"/>
          <w:iCs w:val="0"/>
          <w:caps w:val="0"/>
          <w:color w:val="000000"/>
          <w:spacing w:val="0"/>
          <w:sz w:val="24"/>
          <w:szCs w:val="24"/>
          <w:highlight w:val="none"/>
          <w:u w:val="single"/>
          <w:lang w:val="en-US" w:eastAsia="zh-CN"/>
        </w:rPr>
        <w:t xml:space="preserve">       </w:t>
      </w:r>
      <w:r>
        <w:rPr>
          <w:rFonts w:hint="eastAsia" w:ascii="仿宋" w:hAnsi="仿宋" w:eastAsia="仿宋" w:cs="仿宋"/>
          <w:i w:val="0"/>
          <w:iCs w:val="0"/>
          <w:caps w:val="0"/>
          <w:color w:val="000000"/>
          <w:spacing w:val="0"/>
          <w:sz w:val="24"/>
          <w:szCs w:val="24"/>
          <w:highlight w:val="none"/>
        </w:rPr>
        <w:t> 万元，资产总额为</w:t>
      </w:r>
      <w:r>
        <w:rPr>
          <w:rFonts w:hint="eastAsia" w:ascii="仿宋" w:hAnsi="仿宋" w:eastAsia="仿宋" w:cs="仿宋"/>
          <w:i w:val="0"/>
          <w:iCs w:val="0"/>
          <w:caps w:val="0"/>
          <w:color w:val="000000"/>
          <w:spacing w:val="0"/>
          <w:sz w:val="24"/>
          <w:szCs w:val="24"/>
          <w:highlight w:val="none"/>
          <w:u w:val="single"/>
          <w:lang w:val="en-US" w:eastAsia="zh-CN"/>
        </w:rPr>
        <w:t xml:space="preserve">       </w:t>
      </w:r>
      <w:r>
        <w:rPr>
          <w:rFonts w:hint="eastAsia" w:ascii="仿宋" w:hAnsi="仿宋" w:eastAsia="仿宋" w:cs="仿宋"/>
          <w:i w:val="0"/>
          <w:iCs w:val="0"/>
          <w:caps w:val="0"/>
          <w:color w:val="000000"/>
          <w:spacing w:val="0"/>
          <w:sz w:val="24"/>
          <w:szCs w:val="24"/>
          <w:highlight w:val="none"/>
        </w:rPr>
        <w:t> 万元，属于</w:t>
      </w:r>
      <w:r>
        <w:rPr>
          <w:rFonts w:hint="eastAsia" w:ascii="仿宋" w:hAnsi="仿宋" w:eastAsia="仿宋" w:cs="仿宋"/>
          <w:i/>
          <w:iCs/>
          <w:caps w:val="0"/>
          <w:color w:val="000000"/>
          <w:spacing w:val="0"/>
          <w:sz w:val="24"/>
          <w:szCs w:val="24"/>
          <w:highlight w:val="none"/>
          <w:u w:val="single"/>
        </w:rPr>
        <w:t>（中型企业、小型企业、微型企业）</w:t>
      </w:r>
      <w:r>
        <w:rPr>
          <w:rFonts w:hint="eastAsia" w:ascii="仿宋" w:hAnsi="仿宋" w:eastAsia="仿宋" w:cs="仿宋"/>
          <w:i w:val="0"/>
          <w:iCs w:val="0"/>
          <w:caps w:val="0"/>
          <w:color w:val="000000"/>
          <w:spacing w:val="0"/>
          <w:sz w:val="24"/>
          <w:szCs w:val="24"/>
          <w:highlight w:val="none"/>
        </w:rPr>
        <w:t>；</w:t>
      </w:r>
    </w:p>
    <w:p>
      <w:pPr>
        <w:pStyle w:val="16"/>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firstLine="420"/>
        <w:textAlignment w:val="auto"/>
        <w:rPr>
          <w:rFonts w:hint="eastAsia" w:ascii="仿宋" w:hAnsi="仿宋" w:eastAsia="仿宋" w:cs="仿宋"/>
          <w:i w:val="0"/>
          <w:iCs w:val="0"/>
          <w:caps w:val="0"/>
          <w:color w:val="000000"/>
          <w:spacing w:val="0"/>
          <w:sz w:val="24"/>
          <w:szCs w:val="24"/>
          <w:highlight w:val="none"/>
        </w:rPr>
      </w:pPr>
      <w:r>
        <w:rPr>
          <w:rFonts w:hint="eastAsia" w:ascii="仿宋" w:hAnsi="仿宋" w:eastAsia="仿宋" w:cs="仿宋"/>
          <w:i w:val="0"/>
          <w:iCs w:val="0"/>
          <w:caps w:val="0"/>
          <w:color w:val="000000"/>
          <w:spacing w:val="0"/>
          <w:sz w:val="24"/>
          <w:szCs w:val="24"/>
          <w:highlight w:val="none"/>
        </w:rPr>
        <w:t>……</w:t>
      </w:r>
    </w:p>
    <w:p>
      <w:pPr>
        <w:pStyle w:val="16"/>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firstLine="420"/>
        <w:textAlignment w:val="auto"/>
        <w:rPr>
          <w:rFonts w:hint="eastAsia" w:ascii="仿宋" w:hAnsi="仿宋" w:eastAsia="仿宋" w:cs="仿宋"/>
          <w:i w:val="0"/>
          <w:iCs w:val="0"/>
          <w:caps w:val="0"/>
          <w:color w:val="000000"/>
          <w:spacing w:val="0"/>
          <w:sz w:val="24"/>
          <w:szCs w:val="24"/>
          <w:highlight w:val="none"/>
        </w:rPr>
      </w:pPr>
      <w:r>
        <w:rPr>
          <w:rFonts w:hint="eastAsia" w:ascii="仿宋" w:hAnsi="仿宋" w:eastAsia="仿宋" w:cs="仿宋"/>
          <w:i w:val="0"/>
          <w:iCs w:val="0"/>
          <w:caps w:val="0"/>
          <w:color w:val="000000"/>
          <w:spacing w:val="0"/>
          <w:sz w:val="24"/>
          <w:szCs w:val="24"/>
          <w:highlight w:val="none"/>
        </w:rPr>
        <w:t>以上企业，不属于大企业的分支机构，不存在控股股东为大企业的情形，也不存在与大企业的负责人为同一人的情形。</w:t>
      </w:r>
    </w:p>
    <w:p>
      <w:pPr>
        <w:pStyle w:val="16"/>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firstLine="420"/>
        <w:textAlignment w:val="auto"/>
        <w:rPr>
          <w:rFonts w:hint="eastAsia" w:ascii="仿宋" w:hAnsi="仿宋" w:eastAsia="仿宋" w:cs="仿宋"/>
          <w:i w:val="0"/>
          <w:iCs w:val="0"/>
          <w:caps w:val="0"/>
          <w:color w:val="000000"/>
          <w:spacing w:val="0"/>
          <w:sz w:val="24"/>
          <w:szCs w:val="24"/>
          <w:highlight w:val="none"/>
        </w:rPr>
      </w:pPr>
      <w:r>
        <w:rPr>
          <w:rFonts w:hint="eastAsia" w:ascii="仿宋" w:hAnsi="仿宋" w:eastAsia="仿宋" w:cs="仿宋"/>
          <w:i w:val="0"/>
          <w:iCs w:val="0"/>
          <w:caps w:val="0"/>
          <w:color w:val="000000"/>
          <w:spacing w:val="0"/>
          <w:sz w:val="24"/>
          <w:szCs w:val="24"/>
          <w:highlight w:val="none"/>
        </w:rPr>
        <w:t>本企业对上述声明内容的真实性负责。如有虚假，将依法承担相应责任。</w:t>
      </w:r>
    </w:p>
    <w:p>
      <w:pPr>
        <w:pStyle w:val="16"/>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firstLine="420"/>
        <w:textAlignment w:val="auto"/>
        <w:rPr>
          <w:rFonts w:hint="eastAsia" w:ascii="仿宋" w:hAnsi="仿宋" w:eastAsia="仿宋" w:cs="仿宋"/>
          <w:i w:val="0"/>
          <w:iCs w:val="0"/>
          <w:caps w:val="0"/>
          <w:color w:val="000000"/>
          <w:spacing w:val="0"/>
          <w:sz w:val="24"/>
          <w:szCs w:val="24"/>
          <w:highlight w:val="none"/>
        </w:rPr>
      </w:pPr>
      <w:r>
        <w:rPr>
          <w:rFonts w:hint="eastAsia" w:ascii="仿宋" w:hAnsi="仿宋" w:eastAsia="仿宋" w:cs="仿宋"/>
          <w:i w:val="0"/>
          <w:iCs w:val="0"/>
          <w:caps w:val="0"/>
          <w:color w:val="000000"/>
          <w:spacing w:val="0"/>
          <w:sz w:val="24"/>
          <w:szCs w:val="24"/>
          <w:highlight w:val="none"/>
        </w:rPr>
        <w:t> </w:t>
      </w:r>
    </w:p>
    <w:p>
      <w:pPr>
        <w:pStyle w:val="16"/>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firstLine="420"/>
        <w:jc w:val="center"/>
        <w:textAlignment w:val="auto"/>
        <w:rPr>
          <w:rFonts w:hint="eastAsia" w:ascii="仿宋" w:hAnsi="仿宋" w:eastAsia="仿宋" w:cs="仿宋"/>
          <w:i w:val="0"/>
          <w:iCs w:val="0"/>
          <w:caps w:val="0"/>
          <w:color w:val="000000"/>
          <w:spacing w:val="0"/>
          <w:sz w:val="24"/>
          <w:szCs w:val="24"/>
          <w:highlight w:val="none"/>
          <w:u w:val="single"/>
          <w:lang w:val="en-US" w:eastAsia="zh-CN"/>
        </w:rPr>
      </w:pPr>
      <w:r>
        <w:rPr>
          <w:rFonts w:hint="eastAsia" w:ascii="仿宋" w:hAnsi="仿宋" w:eastAsia="仿宋" w:cs="仿宋"/>
          <w:i w:val="0"/>
          <w:iCs w:val="0"/>
          <w:caps w:val="0"/>
          <w:color w:val="000000"/>
          <w:spacing w:val="0"/>
          <w:sz w:val="24"/>
          <w:szCs w:val="24"/>
          <w:highlight w:val="none"/>
          <w:lang w:val="en-US" w:eastAsia="zh-CN"/>
        </w:rPr>
        <w:t xml:space="preserve">           </w:t>
      </w:r>
      <w:r>
        <w:rPr>
          <w:rFonts w:hint="eastAsia" w:ascii="仿宋" w:hAnsi="仿宋" w:eastAsia="仿宋" w:cs="仿宋"/>
          <w:i w:val="0"/>
          <w:iCs w:val="0"/>
          <w:caps w:val="0"/>
          <w:color w:val="000000"/>
          <w:spacing w:val="0"/>
          <w:sz w:val="24"/>
          <w:szCs w:val="24"/>
          <w:highlight w:val="none"/>
        </w:rPr>
        <w:t>企业名称（盖章）：</w:t>
      </w:r>
      <w:r>
        <w:rPr>
          <w:rFonts w:hint="eastAsia" w:ascii="仿宋" w:hAnsi="仿宋" w:eastAsia="仿宋" w:cs="仿宋"/>
          <w:i w:val="0"/>
          <w:iCs w:val="0"/>
          <w:caps w:val="0"/>
          <w:color w:val="000000"/>
          <w:spacing w:val="0"/>
          <w:sz w:val="24"/>
          <w:szCs w:val="24"/>
          <w:highlight w:val="none"/>
          <w:u w:val="single"/>
          <w:lang w:val="en-US" w:eastAsia="zh-CN"/>
        </w:rPr>
        <w:t xml:space="preserve">          </w:t>
      </w:r>
    </w:p>
    <w:p>
      <w:pPr>
        <w:pStyle w:val="16"/>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firstLine="5520" w:firstLineChars="2300"/>
        <w:jc w:val="both"/>
        <w:textAlignment w:val="auto"/>
        <w:rPr>
          <w:rFonts w:hint="eastAsia" w:ascii="仿宋" w:hAnsi="仿宋" w:eastAsia="仿宋" w:cs="仿宋"/>
          <w:i w:val="0"/>
          <w:iCs w:val="0"/>
          <w:caps w:val="0"/>
          <w:color w:val="000000"/>
          <w:spacing w:val="0"/>
          <w:sz w:val="27"/>
          <w:szCs w:val="27"/>
          <w:highlight w:val="none"/>
          <w:u w:val="single"/>
          <w:lang w:val="en-US" w:eastAsia="zh-CN"/>
        </w:rPr>
      </w:pPr>
      <w:r>
        <w:rPr>
          <w:rFonts w:hint="eastAsia" w:ascii="仿宋" w:hAnsi="仿宋" w:eastAsia="仿宋" w:cs="仿宋"/>
          <w:i w:val="0"/>
          <w:iCs w:val="0"/>
          <w:caps w:val="0"/>
          <w:color w:val="000000"/>
          <w:spacing w:val="0"/>
          <w:sz w:val="24"/>
          <w:szCs w:val="24"/>
          <w:highlight w:val="none"/>
        </w:rPr>
        <w:t>日期：</w:t>
      </w:r>
      <w:r>
        <w:rPr>
          <w:rFonts w:hint="eastAsia" w:ascii="仿宋" w:hAnsi="仿宋" w:eastAsia="仿宋" w:cs="仿宋"/>
          <w:i w:val="0"/>
          <w:iCs w:val="0"/>
          <w:caps w:val="0"/>
          <w:color w:val="000000"/>
          <w:spacing w:val="0"/>
          <w:sz w:val="24"/>
          <w:szCs w:val="24"/>
          <w:highlight w:val="none"/>
          <w:u w:val="single"/>
          <w:lang w:val="en-US" w:eastAsia="zh-CN"/>
        </w:rPr>
        <w:t xml:space="preserve">         </w:t>
      </w:r>
    </w:p>
    <w:p>
      <w:pPr>
        <w:rPr>
          <w:rFonts w:hint="eastAsia" w:ascii="仿宋" w:hAnsi="仿宋" w:eastAsia="仿宋" w:cs="仿宋"/>
          <w:b w:val="0"/>
          <w:bCs w:val="0"/>
          <w:color w:val="000000"/>
          <w:kern w:val="0"/>
          <w:sz w:val="21"/>
          <w:szCs w:val="21"/>
          <w:highlight w:val="none"/>
          <w:lang w:val="en-US" w:eastAsia="zh-CN" w:bidi="ar"/>
        </w:rPr>
      </w:pPr>
    </w:p>
    <w:p>
      <w:pPr>
        <w:rPr>
          <w:rFonts w:hint="eastAsia" w:ascii="仿宋" w:hAnsi="仿宋" w:eastAsia="仿宋" w:cs="仿宋"/>
          <w:b w:val="0"/>
          <w:bCs w:val="0"/>
          <w:color w:val="000000"/>
          <w:kern w:val="0"/>
          <w:sz w:val="21"/>
          <w:szCs w:val="21"/>
          <w:highlight w:val="none"/>
          <w:lang w:val="en-US" w:eastAsia="zh-CN" w:bidi="ar"/>
        </w:rPr>
      </w:pPr>
    </w:p>
    <w:p>
      <w:pPr>
        <w:rPr>
          <w:rFonts w:hint="eastAsia" w:ascii="仿宋" w:hAnsi="仿宋" w:eastAsia="仿宋" w:cs="仿宋"/>
          <w:b w:val="0"/>
          <w:bCs w:val="0"/>
          <w:color w:val="000000"/>
          <w:kern w:val="0"/>
          <w:sz w:val="21"/>
          <w:szCs w:val="21"/>
          <w:highlight w:val="none"/>
          <w:lang w:val="en-US" w:eastAsia="zh-CN" w:bidi="ar"/>
        </w:rPr>
      </w:pPr>
    </w:p>
    <w:p>
      <w:pPr>
        <w:rPr>
          <w:rFonts w:hint="eastAsia" w:ascii="仿宋" w:hAnsi="仿宋" w:eastAsia="仿宋" w:cs="仿宋"/>
          <w:b w:val="0"/>
          <w:bCs w:val="0"/>
          <w:color w:val="000000"/>
          <w:kern w:val="0"/>
          <w:sz w:val="21"/>
          <w:szCs w:val="21"/>
          <w:highlight w:val="none"/>
          <w:lang w:val="en-US" w:eastAsia="zh-CN" w:bidi="ar"/>
        </w:rPr>
      </w:pPr>
    </w:p>
    <w:p>
      <w:pPr>
        <w:rPr>
          <w:rFonts w:hint="eastAsia" w:ascii="仿宋" w:hAnsi="仿宋" w:eastAsia="仿宋" w:cs="仿宋"/>
          <w:b w:val="0"/>
          <w:bCs w:val="0"/>
          <w:color w:val="000000"/>
          <w:kern w:val="0"/>
          <w:sz w:val="21"/>
          <w:szCs w:val="21"/>
          <w:highlight w:val="none"/>
          <w:lang w:val="en-US" w:eastAsia="zh-CN" w:bidi="ar"/>
        </w:rPr>
      </w:pPr>
    </w:p>
    <w:p>
      <w:pPr>
        <w:rPr>
          <w:rFonts w:hint="eastAsia" w:ascii="仿宋" w:hAnsi="仿宋" w:eastAsia="仿宋" w:cs="仿宋"/>
          <w:b w:val="0"/>
          <w:bCs w:val="0"/>
          <w:color w:val="000000"/>
          <w:kern w:val="0"/>
          <w:sz w:val="21"/>
          <w:szCs w:val="21"/>
          <w:highlight w:val="none"/>
          <w:lang w:val="en-US" w:eastAsia="zh-CN" w:bidi="ar"/>
        </w:rPr>
      </w:pPr>
    </w:p>
    <w:p>
      <w:pPr>
        <w:rPr>
          <w:rFonts w:hint="eastAsia" w:ascii="仿宋" w:hAnsi="仿宋" w:eastAsia="仿宋" w:cs="仿宋"/>
          <w:b w:val="0"/>
          <w:bCs w:val="0"/>
          <w:color w:val="000000"/>
          <w:kern w:val="0"/>
          <w:sz w:val="21"/>
          <w:szCs w:val="21"/>
          <w:highlight w:val="none"/>
          <w:lang w:val="en-US" w:eastAsia="zh-CN" w:bidi="ar"/>
        </w:rPr>
      </w:pPr>
    </w:p>
    <w:p>
      <w:pPr>
        <w:rPr>
          <w:rFonts w:hint="eastAsia" w:ascii="仿宋" w:hAnsi="仿宋" w:eastAsia="仿宋" w:cs="仿宋"/>
          <w:b w:val="0"/>
          <w:bCs w:val="0"/>
          <w:color w:val="000000"/>
          <w:kern w:val="0"/>
          <w:sz w:val="21"/>
          <w:szCs w:val="21"/>
          <w:highlight w:val="none"/>
          <w:lang w:val="en-US" w:eastAsia="zh-CN" w:bidi="ar"/>
        </w:rPr>
      </w:pPr>
      <w:r>
        <w:rPr>
          <w:rFonts w:hint="eastAsia" w:ascii="仿宋" w:hAnsi="仿宋" w:eastAsia="仿宋" w:cs="仿宋"/>
          <w:b w:val="0"/>
          <w:bCs w:val="0"/>
          <w:color w:val="000000"/>
          <w:kern w:val="0"/>
          <w:sz w:val="21"/>
          <w:szCs w:val="21"/>
          <w:highlight w:val="none"/>
          <w:lang w:val="en-US" w:eastAsia="zh-CN" w:bidi="ar"/>
        </w:rPr>
        <w:t>从业人员、营业收入、资产总额填报上一年度数据，无上一年度数据的新成立企业可不填报。</w:t>
      </w:r>
    </w:p>
    <w:p>
      <w:pPr>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br w:type="page"/>
      </w:r>
    </w:p>
    <w:p>
      <w:pPr>
        <w:keepNext w:val="0"/>
        <w:keepLines w:val="0"/>
        <w:widowControl/>
        <w:suppressLineNumbers w:val="0"/>
        <w:jc w:val="center"/>
        <w:rPr>
          <w:rFonts w:hint="eastAsia" w:ascii="仿宋" w:hAnsi="仿宋" w:eastAsia="仿宋" w:cs="仿宋"/>
          <w:b/>
          <w:bCs/>
          <w:color w:val="000000"/>
          <w:kern w:val="0"/>
          <w:sz w:val="32"/>
          <w:szCs w:val="32"/>
          <w:highlight w:val="none"/>
          <w:lang w:val="en-US" w:eastAsia="zh-CN" w:bidi="ar"/>
        </w:rPr>
      </w:pPr>
      <w:r>
        <w:rPr>
          <w:rFonts w:hint="eastAsia" w:ascii="仿宋" w:hAnsi="仿宋" w:eastAsia="仿宋" w:cs="仿宋"/>
          <w:b/>
          <w:bCs/>
          <w:color w:val="000000"/>
          <w:kern w:val="0"/>
          <w:sz w:val="32"/>
          <w:szCs w:val="32"/>
          <w:highlight w:val="none"/>
          <w:lang w:val="en-US" w:eastAsia="zh-CN" w:bidi="ar"/>
        </w:rPr>
        <w:t>残疾人福利性单位声明函格式</w:t>
      </w:r>
    </w:p>
    <w:p>
      <w:pPr>
        <w:keepNext w:val="0"/>
        <w:keepLines w:val="0"/>
        <w:widowControl/>
        <w:suppressLineNumbers w:val="0"/>
        <w:jc w:val="center"/>
        <w:rPr>
          <w:rFonts w:hint="eastAsia" w:ascii="仿宋" w:hAnsi="仿宋" w:eastAsia="仿宋" w:cs="仿宋"/>
          <w:b/>
          <w:bCs/>
          <w:color w:val="000000"/>
          <w:kern w:val="0"/>
          <w:sz w:val="32"/>
          <w:szCs w:val="32"/>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本单位郑重声明，根据《财政部民政部中国残疾人联合会关于促进残疾人就业政府采购政策的通知》（财库〔2017〕 141 号）的规定，本单位</w:t>
      </w:r>
      <w:r>
        <w:rPr>
          <w:rFonts w:hint="eastAsia" w:ascii="仿宋" w:hAnsi="仿宋" w:eastAsia="仿宋" w:cs="仿宋"/>
          <w:b/>
          <w:bCs/>
          <w:color w:val="000000"/>
          <w:kern w:val="0"/>
          <w:sz w:val="24"/>
          <w:szCs w:val="24"/>
          <w:highlight w:val="none"/>
          <w:lang w:val="en-US" w:eastAsia="zh-CN" w:bidi="ar"/>
        </w:rPr>
        <w:t>（请进行勾选）</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482"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□不属于符合条件的残疾人福利性单位。 </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482"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□属于符合条件的残疾人福利性单位，</w:t>
      </w:r>
      <w:r>
        <w:rPr>
          <w:rFonts w:hint="eastAsia" w:ascii="仿宋" w:hAnsi="仿宋" w:eastAsia="仿宋" w:cs="仿宋"/>
          <w:color w:val="000000"/>
          <w:kern w:val="0"/>
          <w:sz w:val="24"/>
          <w:szCs w:val="24"/>
          <w:highlight w:val="none"/>
          <w:lang w:val="en-US" w:eastAsia="zh-CN" w:bidi="ar"/>
        </w:rPr>
        <w:t>且本单位参加</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单位的</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项目采购活动提供本单位制造的货物（由本单位承担工程/提供服务），或者提供其他残疾人福利性单位制造的货物（不包括使用非残疾人福利性单位注册商标的货物）。 </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723" w:firstLineChars="3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本单位对上述声明的真实性负责。如有虚假，将依法承担相应责任。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             单位名称（盖章）：</w:t>
      </w: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                         日期：</w:t>
      </w:r>
    </w:p>
    <w:p>
      <w:pPr>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br w:type="page"/>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2-2 拟分包情况说明及分包意向协议 </w:t>
      </w: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color w:val="000000"/>
          <w:kern w:val="0"/>
          <w:sz w:val="32"/>
          <w:szCs w:val="32"/>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color w:val="000000"/>
          <w:kern w:val="0"/>
          <w:sz w:val="32"/>
          <w:szCs w:val="32"/>
          <w:highlight w:val="none"/>
          <w:lang w:val="en-US" w:eastAsia="zh-CN" w:bidi="ar"/>
        </w:rPr>
      </w:pPr>
      <w:r>
        <w:rPr>
          <w:rFonts w:hint="eastAsia" w:ascii="仿宋" w:hAnsi="仿宋" w:eastAsia="仿宋" w:cs="仿宋"/>
          <w:b/>
          <w:bCs/>
          <w:color w:val="000000"/>
          <w:kern w:val="0"/>
          <w:sz w:val="32"/>
          <w:szCs w:val="32"/>
          <w:highlight w:val="none"/>
          <w:lang w:val="en-US" w:eastAsia="zh-CN" w:bidi="ar"/>
        </w:rPr>
        <w:t>拟分包情况说明</w:t>
      </w: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color w:val="000000"/>
          <w:kern w:val="0"/>
          <w:sz w:val="32"/>
          <w:szCs w:val="32"/>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致：</w:t>
      </w:r>
      <w:r>
        <w:rPr>
          <w:rFonts w:hint="eastAsia" w:ascii="仿宋" w:hAnsi="仿宋" w:eastAsia="仿宋" w:cs="仿宋"/>
          <w:color w:val="000000"/>
          <w:kern w:val="0"/>
          <w:sz w:val="24"/>
          <w:szCs w:val="24"/>
          <w:highlight w:val="none"/>
          <w:u w:val="single"/>
          <w:lang w:val="en-US" w:eastAsia="zh-CN" w:bidi="ar"/>
        </w:rPr>
        <w:t>（采购人或采购代理机构）</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我单位参加贵单位组织采购的项目编号为</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的</w:t>
      </w:r>
      <w:r>
        <w:rPr>
          <w:rFonts w:hint="eastAsia" w:ascii="仿宋" w:hAnsi="仿宋" w:eastAsia="仿宋" w:cs="仿宋"/>
          <w:color w:val="000000"/>
          <w:kern w:val="0"/>
          <w:sz w:val="24"/>
          <w:szCs w:val="24"/>
          <w:highlight w:val="none"/>
          <w:u w:val="single"/>
          <w:lang w:val="en-US" w:eastAsia="zh-CN" w:bidi="ar"/>
        </w:rPr>
        <w:t xml:space="preserve"> （填写采购项目名称）  </w:t>
      </w:r>
      <w:r>
        <w:rPr>
          <w:rFonts w:hint="eastAsia" w:ascii="仿宋" w:hAnsi="仿宋" w:eastAsia="仿宋" w:cs="仿宋"/>
          <w:color w:val="000000"/>
          <w:kern w:val="0"/>
          <w:sz w:val="24"/>
          <w:szCs w:val="24"/>
          <w:highlight w:val="none"/>
          <w:lang w:val="en-US" w:eastAsia="zh-CN" w:bidi="ar"/>
        </w:rPr>
        <w:t>项目中</w:t>
      </w:r>
      <w:r>
        <w:rPr>
          <w:rFonts w:hint="eastAsia" w:ascii="仿宋" w:hAnsi="仿宋" w:eastAsia="仿宋" w:cs="仿宋"/>
          <w:color w:val="000000"/>
          <w:kern w:val="0"/>
          <w:sz w:val="24"/>
          <w:szCs w:val="24"/>
          <w:highlight w:val="none"/>
          <w:u w:val="single"/>
          <w:lang w:val="en-US" w:eastAsia="zh-CN" w:bidi="ar"/>
        </w:rPr>
        <w:t xml:space="preserve"> （填写包号） </w:t>
      </w:r>
      <w:r>
        <w:rPr>
          <w:rFonts w:hint="eastAsia" w:ascii="仿宋" w:hAnsi="仿宋" w:eastAsia="仿宋" w:cs="仿宋"/>
          <w:color w:val="000000"/>
          <w:kern w:val="0"/>
          <w:sz w:val="24"/>
          <w:szCs w:val="24"/>
          <w:highlight w:val="none"/>
          <w:lang w:val="en-US" w:eastAsia="zh-CN" w:bidi="ar"/>
        </w:rPr>
        <w:t xml:space="preserve">包的投标。拟签订分包合同的单位情况如下表所示，我单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位承诺一旦在该项目中获得采购合同将按下表所列情况进行分包，同时承诺分包承担主体不再次分包。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3"/>
        <w:gridCol w:w="1323"/>
        <w:gridCol w:w="1338"/>
        <w:gridCol w:w="1123"/>
        <w:gridCol w:w="1154"/>
        <w:gridCol w:w="1439"/>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val="0"/>
                <w:color w:val="000000"/>
                <w:kern w:val="0"/>
                <w:sz w:val="21"/>
                <w:szCs w:val="21"/>
                <w:highlight w:val="none"/>
                <w:vertAlign w:val="baseline"/>
                <w:lang w:val="en-US" w:eastAsia="zh-CN" w:bidi="ar"/>
              </w:rPr>
            </w:pPr>
            <w:r>
              <w:rPr>
                <w:rFonts w:hint="eastAsia" w:ascii="仿宋" w:hAnsi="仿宋" w:eastAsia="仿宋" w:cs="仿宋"/>
                <w:b w:val="0"/>
                <w:bCs w:val="0"/>
                <w:color w:val="000000"/>
                <w:kern w:val="0"/>
                <w:sz w:val="21"/>
                <w:szCs w:val="21"/>
                <w:highlight w:val="none"/>
                <w:vertAlign w:val="baseline"/>
                <w:lang w:val="en-US" w:eastAsia="zh-CN" w:bidi="ar"/>
              </w:rPr>
              <w:t>序号</w:t>
            </w:r>
          </w:p>
        </w:tc>
        <w:tc>
          <w:tcPr>
            <w:tcW w:w="1323"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val="0"/>
                <w:color w:val="000000"/>
                <w:kern w:val="0"/>
                <w:sz w:val="21"/>
                <w:szCs w:val="21"/>
                <w:highlight w:val="none"/>
                <w:vertAlign w:val="baseline"/>
                <w:lang w:val="en-US" w:eastAsia="zh-CN" w:bidi="ar"/>
              </w:rPr>
            </w:pPr>
            <w:r>
              <w:rPr>
                <w:rFonts w:hint="eastAsia" w:ascii="仿宋" w:hAnsi="仿宋" w:eastAsia="仿宋" w:cs="仿宋"/>
                <w:b w:val="0"/>
                <w:bCs w:val="0"/>
                <w:color w:val="000000"/>
                <w:kern w:val="0"/>
                <w:sz w:val="21"/>
                <w:szCs w:val="21"/>
                <w:highlight w:val="none"/>
                <w:vertAlign w:val="baseline"/>
                <w:lang w:val="en-US" w:eastAsia="zh-CN" w:bidi="ar"/>
              </w:rPr>
              <w:t>分包承担</w:t>
            </w:r>
          </w:p>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val="0"/>
                <w:color w:val="000000"/>
                <w:kern w:val="0"/>
                <w:sz w:val="21"/>
                <w:szCs w:val="21"/>
                <w:highlight w:val="none"/>
                <w:vertAlign w:val="baseline"/>
                <w:lang w:val="en-US" w:eastAsia="zh-CN" w:bidi="ar"/>
              </w:rPr>
            </w:pPr>
            <w:r>
              <w:rPr>
                <w:rFonts w:hint="eastAsia" w:ascii="仿宋" w:hAnsi="仿宋" w:eastAsia="仿宋" w:cs="仿宋"/>
                <w:b w:val="0"/>
                <w:bCs w:val="0"/>
                <w:color w:val="000000"/>
                <w:kern w:val="0"/>
                <w:sz w:val="21"/>
                <w:szCs w:val="21"/>
                <w:highlight w:val="none"/>
                <w:vertAlign w:val="baseline"/>
                <w:lang w:val="en-US" w:eastAsia="zh-CN" w:bidi="ar"/>
              </w:rPr>
              <w:t>主体名称</w:t>
            </w:r>
          </w:p>
        </w:tc>
        <w:tc>
          <w:tcPr>
            <w:tcW w:w="133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sz w:val="21"/>
                <w:szCs w:val="21"/>
                <w:highlight w:val="none"/>
              </w:rPr>
            </w:pPr>
            <w:r>
              <w:rPr>
                <w:rFonts w:hint="eastAsia" w:ascii="仿宋" w:hAnsi="仿宋" w:eastAsia="仿宋" w:cs="仿宋"/>
                <w:color w:val="000000"/>
                <w:kern w:val="0"/>
                <w:sz w:val="21"/>
                <w:szCs w:val="21"/>
                <w:highlight w:val="none"/>
                <w:lang w:val="en-US" w:eastAsia="zh-CN" w:bidi="ar"/>
              </w:rPr>
              <w:t>分包承担</w:t>
            </w:r>
          </w:p>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sz w:val="21"/>
                <w:szCs w:val="21"/>
                <w:highlight w:val="none"/>
              </w:rPr>
            </w:pPr>
            <w:r>
              <w:rPr>
                <w:rFonts w:hint="eastAsia" w:ascii="仿宋" w:hAnsi="仿宋" w:eastAsia="仿宋" w:cs="仿宋"/>
                <w:color w:val="000000"/>
                <w:kern w:val="0"/>
                <w:sz w:val="21"/>
                <w:szCs w:val="21"/>
                <w:highlight w:val="none"/>
                <w:lang w:val="en-US" w:eastAsia="zh-CN" w:bidi="ar"/>
              </w:rPr>
              <w:t>主体类型</w:t>
            </w:r>
          </w:p>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val="0"/>
                <w:color w:val="000000"/>
                <w:kern w:val="0"/>
                <w:sz w:val="21"/>
                <w:szCs w:val="21"/>
                <w:highlight w:val="none"/>
                <w:vertAlign w:val="baseline"/>
                <w:lang w:val="en-US" w:eastAsia="zh-CN" w:bidi="ar"/>
              </w:rPr>
            </w:pPr>
            <w:r>
              <w:rPr>
                <w:rFonts w:hint="eastAsia" w:ascii="仿宋" w:hAnsi="仿宋" w:eastAsia="仿宋" w:cs="仿宋"/>
                <w:color w:val="000000"/>
                <w:kern w:val="0"/>
                <w:sz w:val="21"/>
                <w:szCs w:val="21"/>
                <w:highlight w:val="none"/>
                <w:lang w:val="en-US" w:eastAsia="zh-CN" w:bidi="ar"/>
              </w:rPr>
              <w:t>（勾选）</w:t>
            </w:r>
          </w:p>
        </w:tc>
        <w:tc>
          <w:tcPr>
            <w:tcW w:w="112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val="0"/>
                <w:color w:val="000000"/>
                <w:kern w:val="0"/>
                <w:sz w:val="21"/>
                <w:szCs w:val="21"/>
                <w:highlight w:val="none"/>
                <w:vertAlign w:val="baseline"/>
                <w:lang w:val="en-US" w:eastAsia="zh-CN" w:bidi="ar"/>
              </w:rPr>
            </w:pPr>
            <w:r>
              <w:rPr>
                <w:rFonts w:hint="eastAsia" w:ascii="仿宋" w:hAnsi="仿宋" w:eastAsia="仿宋" w:cs="仿宋"/>
                <w:b w:val="0"/>
                <w:bCs w:val="0"/>
                <w:color w:val="000000"/>
                <w:kern w:val="0"/>
                <w:sz w:val="21"/>
                <w:szCs w:val="21"/>
                <w:highlight w:val="none"/>
                <w:vertAlign w:val="baseline"/>
                <w:lang w:val="en-US" w:eastAsia="zh-CN" w:bidi="ar"/>
              </w:rPr>
              <w:t>资质等级</w:t>
            </w:r>
          </w:p>
        </w:tc>
        <w:tc>
          <w:tcPr>
            <w:tcW w:w="1154"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sz w:val="21"/>
                <w:szCs w:val="21"/>
                <w:highlight w:val="none"/>
              </w:rPr>
            </w:pPr>
            <w:r>
              <w:rPr>
                <w:rFonts w:hint="eastAsia" w:ascii="仿宋" w:hAnsi="仿宋" w:eastAsia="仿宋" w:cs="仿宋"/>
                <w:color w:val="000000"/>
                <w:kern w:val="0"/>
                <w:sz w:val="21"/>
                <w:szCs w:val="21"/>
                <w:highlight w:val="none"/>
                <w:lang w:val="en-US" w:eastAsia="zh-CN" w:bidi="ar"/>
              </w:rPr>
              <w:t>拟分包</w:t>
            </w:r>
          </w:p>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val="0"/>
                <w:color w:val="000000"/>
                <w:kern w:val="0"/>
                <w:sz w:val="21"/>
                <w:szCs w:val="21"/>
                <w:highlight w:val="none"/>
                <w:vertAlign w:val="baseline"/>
                <w:lang w:val="en-US" w:eastAsia="zh-CN" w:bidi="ar"/>
              </w:rPr>
            </w:pPr>
            <w:r>
              <w:rPr>
                <w:rFonts w:hint="eastAsia" w:ascii="仿宋" w:hAnsi="仿宋" w:eastAsia="仿宋" w:cs="仿宋"/>
                <w:color w:val="000000"/>
                <w:kern w:val="0"/>
                <w:sz w:val="21"/>
                <w:szCs w:val="21"/>
                <w:highlight w:val="none"/>
                <w:lang w:val="en-US" w:eastAsia="zh-CN" w:bidi="ar"/>
              </w:rPr>
              <w:t>合同内容</w:t>
            </w:r>
          </w:p>
        </w:tc>
        <w:tc>
          <w:tcPr>
            <w:tcW w:w="1439"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sz w:val="21"/>
                <w:szCs w:val="21"/>
                <w:highlight w:val="none"/>
              </w:rPr>
            </w:pPr>
            <w:r>
              <w:rPr>
                <w:rFonts w:hint="eastAsia" w:ascii="仿宋" w:hAnsi="仿宋" w:eastAsia="仿宋" w:cs="仿宋"/>
                <w:color w:val="000000"/>
                <w:kern w:val="0"/>
                <w:sz w:val="21"/>
                <w:szCs w:val="21"/>
                <w:highlight w:val="none"/>
                <w:lang w:val="en-US" w:eastAsia="zh-CN" w:bidi="ar"/>
              </w:rPr>
              <w:t>拟分包</w:t>
            </w:r>
          </w:p>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sz w:val="21"/>
                <w:szCs w:val="21"/>
                <w:highlight w:val="none"/>
              </w:rPr>
            </w:pPr>
            <w:r>
              <w:rPr>
                <w:rFonts w:hint="eastAsia" w:ascii="仿宋" w:hAnsi="仿宋" w:eastAsia="仿宋" w:cs="仿宋"/>
                <w:color w:val="000000"/>
                <w:kern w:val="0"/>
                <w:sz w:val="21"/>
                <w:szCs w:val="21"/>
                <w:highlight w:val="none"/>
                <w:lang w:val="en-US" w:eastAsia="zh-CN" w:bidi="ar"/>
              </w:rPr>
              <w:t>合同金额</w:t>
            </w:r>
          </w:p>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val="0"/>
                <w:color w:val="000000"/>
                <w:kern w:val="0"/>
                <w:sz w:val="21"/>
                <w:szCs w:val="21"/>
                <w:highlight w:val="none"/>
                <w:vertAlign w:val="baseline"/>
                <w:lang w:val="en-US" w:eastAsia="zh-CN" w:bidi="ar"/>
              </w:rPr>
            </w:pPr>
            <w:r>
              <w:rPr>
                <w:rFonts w:hint="eastAsia" w:ascii="仿宋" w:hAnsi="仿宋" w:eastAsia="仿宋" w:cs="仿宋"/>
                <w:color w:val="000000"/>
                <w:kern w:val="0"/>
                <w:sz w:val="21"/>
                <w:szCs w:val="21"/>
                <w:highlight w:val="none"/>
                <w:lang w:val="en-US" w:eastAsia="zh-CN" w:bidi="ar"/>
              </w:rPr>
              <w:t>（人民币元）</w:t>
            </w:r>
          </w:p>
        </w:tc>
        <w:tc>
          <w:tcPr>
            <w:tcW w:w="1422"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val="0"/>
                <w:color w:val="000000"/>
                <w:kern w:val="0"/>
                <w:sz w:val="21"/>
                <w:szCs w:val="21"/>
                <w:highlight w:val="none"/>
                <w:vertAlign w:val="baseline"/>
                <w:lang w:val="en-US" w:eastAsia="zh-CN" w:bidi="ar"/>
              </w:rPr>
            </w:pPr>
            <w:r>
              <w:rPr>
                <w:rFonts w:hint="eastAsia" w:ascii="仿宋" w:hAnsi="仿宋" w:eastAsia="仿宋" w:cs="仿宋"/>
                <w:color w:val="000000"/>
                <w:kern w:val="0"/>
                <w:sz w:val="21"/>
                <w:szCs w:val="21"/>
                <w:highlight w:val="none"/>
                <w:lang w:val="en-US" w:eastAsia="zh-CN" w:bidi="ar"/>
              </w:rPr>
              <w:t>占该采购包</w:t>
            </w:r>
            <w:r>
              <w:rPr>
                <w:rFonts w:hint="eastAsia" w:ascii="仿宋" w:hAnsi="仿宋" w:eastAsia="仿宋" w:cs="仿宋"/>
                <w:b/>
                <w:bCs/>
                <w:color w:val="000000"/>
                <w:kern w:val="0"/>
                <w:sz w:val="21"/>
                <w:szCs w:val="21"/>
                <w:highlight w:val="none"/>
                <w:lang w:val="en-US" w:eastAsia="zh-CN" w:bidi="ar"/>
              </w:rPr>
              <w:t>预算金额的</w:t>
            </w:r>
            <w:r>
              <w:rPr>
                <w:rFonts w:hint="eastAsia" w:ascii="仿宋" w:hAnsi="仿宋" w:eastAsia="仿宋" w:cs="仿宋"/>
                <w:color w:val="000000"/>
                <w:kern w:val="0"/>
                <w:sz w:val="21"/>
                <w:szCs w:val="21"/>
                <w:highlight w:val="none"/>
                <w:lang w:val="en-US" w:eastAsia="zh-CN" w:bidi="ar"/>
              </w:rPr>
              <w:t>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r>
              <w:rPr>
                <w:rFonts w:hint="eastAsia" w:ascii="仿宋" w:hAnsi="仿宋" w:eastAsia="仿宋" w:cs="仿宋"/>
                <w:b w:val="0"/>
                <w:bCs w:val="0"/>
                <w:color w:val="000000"/>
                <w:kern w:val="0"/>
                <w:sz w:val="24"/>
                <w:szCs w:val="24"/>
                <w:highlight w:val="none"/>
                <w:vertAlign w:val="baseline"/>
                <w:lang w:val="en-US" w:eastAsia="zh-CN" w:bidi="ar"/>
              </w:rPr>
              <w:t>1</w:t>
            </w:r>
          </w:p>
        </w:tc>
        <w:tc>
          <w:tcPr>
            <w:tcW w:w="1323"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338" w:type="dxa"/>
            <w:vAlign w:val="center"/>
          </w:tcPr>
          <w:p>
            <w:pPr>
              <w:keepNext w:val="0"/>
              <w:keepLines w:val="0"/>
              <w:widowControl/>
              <w:suppressLineNumbers w:val="0"/>
              <w:jc w:val="center"/>
              <w:rPr>
                <w:rFonts w:hint="eastAsia" w:ascii="仿宋" w:hAnsi="仿宋" w:eastAsia="仿宋" w:cs="仿宋"/>
                <w:sz w:val="21"/>
                <w:szCs w:val="21"/>
                <w:highlight w:val="none"/>
              </w:rPr>
            </w:pPr>
            <w:r>
              <w:rPr>
                <w:rFonts w:hint="eastAsia" w:ascii="仿宋" w:hAnsi="仿宋" w:eastAsia="仿宋" w:cs="仿宋"/>
                <w:color w:val="000000"/>
                <w:kern w:val="0"/>
                <w:sz w:val="21"/>
                <w:szCs w:val="21"/>
                <w:highlight w:val="none"/>
                <w:lang w:val="en-US" w:eastAsia="zh-CN" w:bidi="ar"/>
              </w:rPr>
              <w:t>□中型企业</w:t>
            </w:r>
          </w:p>
          <w:p>
            <w:pPr>
              <w:keepNext w:val="0"/>
              <w:keepLines w:val="0"/>
              <w:widowControl/>
              <w:suppressLineNumbers w:val="0"/>
              <w:jc w:val="center"/>
              <w:rPr>
                <w:rFonts w:hint="eastAsia" w:ascii="仿宋" w:hAnsi="仿宋" w:eastAsia="仿宋" w:cs="仿宋"/>
                <w:b w:val="0"/>
                <w:bCs w:val="0"/>
                <w:color w:val="000000"/>
                <w:kern w:val="0"/>
                <w:sz w:val="21"/>
                <w:szCs w:val="21"/>
                <w:highlight w:val="none"/>
                <w:vertAlign w:val="baseline"/>
                <w:lang w:val="en-US" w:eastAsia="zh-CN" w:bidi="ar"/>
              </w:rPr>
            </w:pPr>
            <w:r>
              <w:rPr>
                <w:rFonts w:hint="eastAsia" w:ascii="仿宋" w:hAnsi="仿宋" w:eastAsia="仿宋" w:cs="仿宋"/>
                <w:color w:val="000000"/>
                <w:kern w:val="0"/>
                <w:sz w:val="21"/>
                <w:szCs w:val="21"/>
                <w:highlight w:val="none"/>
                <w:lang w:val="en-US" w:eastAsia="zh-CN" w:bidi="ar"/>
              </w:rPr>
              <w:t>□小微企业</w:t>
            </w:r>
          </w:p>
        </w:tc>
        <w:tc>
          <w:tcPr>
            <w:tcW w:w="1123"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154"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439"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422"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r>
              <w:rPr>
                <w:rFonts w:hint="eastAsia" w:ascii="仿宋" w:hAnsi="仿宋" w:eastAsia="仿宋" w:cs="仿宋"/>
                <w:b w:val="0"/>
                <w:bCs w:val="0"/>
                <w:color w:val="000000"/>
                <w:kern w:val="0"/>
                <w:sz w:val="24"/>
                <w:szCs w:val="24"/>
                <w:highlight w:val="none"/>
                <w:vertAlign w:val="baseline"/>
                <w:lang w:val="en-US" w:eastAsia="zh-CN" w:bidi="ar"/>
              </w:rPr>
              <w:t>2</w:t>
            </w:r>
          </w:p>
        </w:tc>
        <w:tc>
          <w:tcPr>
            <w:tcW w:w="1323"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338" w:type="dxa"/>
            <w:vAlign w:val="center"/>
          </w:tcPr>
          <w:p>
            <w:pPr>
              <w:keepNext w:val="0"/>
              <w:keepLines w:val="0"/>
              <w:widowControl/>
              <w:suppressLineNumbers w:val="0"/>
              <w:jc w:val="center"/>
              <w:rPr>
                <w:rFonts w:hint="eastAsia" w:ascii="仿宋" w:hAnsi="仿宋" w:eastAsia="仿宋" w:cs="仿宋"/>
                <w:sz w:val="21"/>
                <w:szCs w:val="21"/>
                <w:highlight w:val="none"/>
              </w:rPr>
            </w:pPr>
            <w:r>
              <w:rPr>
                <w:rFonts w:hint="eastAsia" w:ascii="仿宋" w:hAnsi="仿宋" w:eastAsia="仿宋" w:cs="仿宋"/>
                <w:color w:val="000000"/>
                <w:kern w:val="0"/>
                <w:sz w:val="21"/>
                <w:szCs w:val="21"/>
                <w:highlight w:val="none"/>
                <w:lang w:val="en-US" w:eastAsia="zh-CN" w:bidi="ar"/>
              </w:rPr>
              <w:t>□中型企业</w:t>
            </w:r>
          </w:p>
          <w:p>
            <w:pPr>
              <w:keepNext w:val="0"/>
              <w:keepLines w:val="0"/>
              <w:widowControl/>
              <w:suppressLineNumbers w:val="0"/>
              <w:jc w:val="center"/>
              <w:rPr>
                <w:rFonts w:hint="eastAsia" w:ascii="仿宋" w:hAnsi="仿宋" w:eastAsia="仿宋" w:cs="仿宋"/>
                <w:b w:val="0"/>
                <w:bCs w:val="0"/>
                <w:color w:val="000000"/>
                <w:kern w:val="0"/>
                <w:sz w:val="21"/>
                <w:szCs w:val="21"/>
                <w:highlight w:val="none"/>
                <w:vertAlign w:val="baseline"/>
                <w:lang w:val="en-US" w:eastAsia="zh-CN" w:bidi="ar"/>
              </w:rPr>
            </w:pPr>
            <w:r>
              <w:rPr>
                <w:rFonts w:hint="eastAsia" w:ascii="仿宋" w:hAnsi="仿宋" w:eastAsia="仿宋" w:cs="仿宋"/>
                <w:color w:val="000000"/>
                <w:kern w:val="0"/>
                <w:sz w:val="21"/>
                <w:szCs w:val="21"/>
                <w:highlight w:val="none"/>
                <w:lang w:val="en-US" w:eastAsia="zh-CN" w:bidi="ar"/>
              </w:rPr>
              <w:t>□小微企业</w:t>
            </w:r>
          </w:p>
        </w:tc>
        <w:tc>
          <w:tcPr>
            <w:tcW w:w="1123"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154"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439"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422"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r>
              <w:rPr>
                <w:rFonts w:hint="eastAsia" w:ascii="仿宋" w:hAnsi="仿宋" w:eastAsia="仿宋" w:cs="仿宋"/>
                <w:b w:val="0"/>
                <w:bCs w:val="0"/>
                <w:color w:val="000000"/>
                <w:kern w:val="0"/>
                <w:sz w:val="24"/>
                <w:szCs w:val="24"/>
                <w:highlight w:val="none"/>
                <w:vertAlign w:val="baseline"/>
                <w:lang w:val="en-US" w:eastAsia="zh-CN" w:bidi="ar"/>
              </w:rPr>
              <w:t>...</w:t>
            </w:r>
          </w:p>
        </w:tc>
        <w:tc>
          <w:tcPr>
            <w:tcW w:w="1323"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338"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123"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154"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439"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422"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1" w:type="dxa"/>
            <w:gridSpan w:val="5"/>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r>
              <w:rPr>
                <w:rFonts w:hint="eastAsia" w:ascii="仿宋" w:hAnsi="仿宋" w:eastAsia="仿宋" w:cs="仿宋"/>
                <w:b w:val="0"/>
                <w:bCs w:val="0"/>
                <w:color w:val="000000"/>
                <w:kern w:val="0"/>
                <w:sz w:val="24"/>
                <w:szCs w:val="24"/>
                <w:highlight w:val="none"/>
                <w:vertAlign w:val="baseline"/>
                <w:lang w:val="en-US" w:eastAsia="zh-CN" w:bidi="ar"/>
              </w:rPr>
              <w:t>合计</w:t>
            </w:r>
          </w:p>
        </w:tc>
        <w:tc>
          <w:tcPr>
            <w:tcW w:w="1439"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422"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r>
    </w:tbl>
    <w:p>
      <w:pPr>
        <w:keepNext w:val="0"/>
        <w:keepLines w:val="0"/>
        <w:pageBreakBefore w:val="0"/>
        <w:kinsoku/>
        <w:wordWrap/>
        <w:overflowPunct/>
        <w:topLinePunct w:val="0"/>
        <w:autoSpaceDE/>
        <w:autoSpaceDN/>
        <w:bidi w:val="0"/>
        <w:adjustRightInd/>
        <w:snapToGrid/>
        <w:spacing w:line="500" w:lineRule="exact"/>
        <w:textAlignment w:val="auto"/>
        <w:rPr>
          <w:rFonts w:hint="eastAsia" w:ascii="仿宋" w:hAnsi="仿宋" w:eastAsia="仿宋" w:cs="仿宋"/>
          <w:b w:val="0"/>
          <w:bCs w:val="0"/>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u w:val="single"/>
          <w:lang w:val="en-US"/>
        </w:rPr>
      </w:pPr>
      <w:r>
        <w:rPr>
          <w:rFonts w:hint="eastAsia" w:ascii="仿宋" w:hAnsi="仿宋" w:eastAsia="仿宋" w:cs="仿宋"/>
          <w:color w:val="000000"/>
          <w:kern w:val="0"/>
          <w:sz w:val="24"/>
          <w:szCs w:val="24"/>
          <w:highlight w:val="none"/>
          <w:lang w:val="en-US" w:eastAsia="zh-CN" w:bidi="ar"/>
        </w:rPr>
        <w:t>投标人名称（加盖公章）：</w:t>
      </w:r>
      <w:r>
        <w:rPr>
          <w:rFonts w:hint="eastAsia" w:ascii="仿宋" w:hAnsi="仿宋" w:eastAsia="仿宋" w:cs="仿宋"/>
          <w:color w:val="000000"/>
          <w:kern w:val="0"/>
          <w:sz w:val="24"/>
          <w:szCs w:val="24"/>
          <w:highlight w:val="none"/>
          <w:u w:val="singl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日期：</w:t>
      </w:r>
      <w:r>
        <w:rPr>
          <w:rFonts w:hint="eastAsia" w:ascii="仿宋" w:hAnsi="仿宋" w:eastAsia="仿宋" w:cs="仿宋"/>
          <w:color w:val="000000"/>
          <w:kern w:val="0"/>
          <w:sz w:val="24"/>
          <w:szCs w:val="24"/>
          <w:highlight w:val="none"/>
          <w:u w:val="single"/>
          <w:lang w:val="en-US" w:eastAsia="zh-CN" w:bidi="ar"/>
        </w:rPr>
        <w:t xml:space="preserve">      年     月    日</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说明： </w:t>
      </w:r>
    </w:p>
    <w:p>
      <w:pPr>
        <w:keepNext w:val="0"/>
        <w:keepLines w:val="0"/>
        <w:pageBreakBefore w:val="0"/>
        <w:widowControl/>
        <w:numPr>
          <w:ilvl w:val="0"/>
          <w:numId w:val="16"/>
        </w:numPr>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本表仅在投标人“为落实政府采购政策”而向中小企业分包时填写。</w:t>
      </w:r>
    </w:p>
    <w:p>
      <w:pPr>
        <w:keepNext w:val="0"/>
        <w:keepLines w:val="0"/>
        <w:pageBreakBefore w:val="0"/>
        <w:widowControl/>
        <w:numPr>
          <w:ilvl w:val="0"/>
          <w:numId w:val="16"/>
        </w:numPr>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如本招标文件《投标人须知资料表》载明本项目分包承担主体应具备的相应资质条件，则投标人须在本表中列明分包承担主体的资质等级，并后附资质证书复印件加盖投标人公章，否则</w:t>
      </w:r>
      <w:r>
        <w:rPr>
          <w:rFonts w:hint="eastAsia" w:ascii="仿宋" w:hAnsi="仿宋" w:eastAsia="仿宋" w:cs="仿宋"/>
          <w:b/>
          <w:bCs/>
          <w:color w:val="000000"/>
          <w:kern w:val="0"/>
          <w:sz w:val="24"/>
          <w:szCs w:val="24"/>
          <w:highlight w:val="none"/>
          <w:lang w:val="en-US" w:eastAsia="zh-CN" w:bidi="ar"/>
        </w:rPr>
        <w:t>投标无效</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（3）投标人与上述拟分包承担主体签署的《分包意向协议》后附。</w:t>
      </w:r>
    </w:p>
    <w:p>
      <w:pPr>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br w:type="page"/>
      </w:r>
    </w:p>
    <w:p>
      <w:pPr>
        <w:keepNext w:val="0"/>
        <w:keepLines w:val="0"/>
        <w:widowControl/>
        <w:suppressLineNumbers w:val="0"/>
        <w:jc w:val="left"/>
        <w:rPr>
          <w:rFonts w:hint="eastAsia" w:ascii="仿宋" w:hAnsi="仿宋" w:eastAsia="仿宋" w:cs="仿宋"/>
          <w:b w:val="0"/>
          <w:bCs w:val="0"/>
          <w:sz w:val="24"/>
          <w:szCs w:val="24"/>
          <w:highlight w:val="none"/>
        </w:rPr>
      </w:pPr>
      <w:r>
        <w:rPr>
          <w:rFonts w:hint="eastAsia" w:ascii="仿宋" w:hAnsi="仿宋" w:eastAsia="仿宋" w:cs="仿宋"/>
          <w:b w:val="0"/>
          <w:bCs w:val="0"/>
          <w:color w:val="000000"/>
          <w:kern w:val="0"/>
          <w:sz w:val="24"/>
          <w:szCs w:val="24"/>
          <w:highlight w:val="none"/>
          <w:lang w:val="en-US" w:eastAsia="zh-CN" w:bidi="ar"/>
        </w:rPr>
        <w:t xml:space="preserve">附：分包意向协议（参考格式） </w:t>
      </w:r>
    </w:p>
    <w:p>
      <w:pPr>
        <w:keepNext w:val="0"/>
        <w:keepLines w:val="0"/>
        <w:widowControl/>
        <w:suppressLineNumbers w:val="0"/>
        <w:jc w:val="left"/>
        <w:rPr>
          <w:rFonts w:hint="eastAsia" w:ascii="仿宋" w:hAnsi="仿宋" w:eastAsia="仿宋" w:cs="仿宋"/>
          <w:color w:val="000000"/>
          <w:kern w:val="0"/>
          <w:sz w:val="24"/>
          <w:szCs w:val="24"/>
          <w:highlight w:val="none"/>
          <w:lang w:val="en-US" w:eastAsia="zh-CN" w:bidi="ar"/>
        </w:rPr>
      </w:pPr>
    </w:p>
    <w:p>
      <w:pPr>
        <w:keepNext w:val="0"/>
        <w:keepLines w:val="0"/>
        <w:widowControl/>
        <w:suppressLineNumbers w:val="0"/>
        <w:jc w:val="left"/>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u w:val="single"/>
          <w:lang w:val="en-US" w:eastAsia="zh-CN" w:bidi="ar"/>
        </w:rPr>
      </w:pPr>
      <w:r>
        <w:rPr>
          <w:rFonts w:hint="eastAsia" w:ascii="仿宋" w:hAnsi="仿宋" w:eastAsia="仿宋" w:cs="仿宋"/>
          <w:color w:val="000000"/>
          <w:kern w:val="0"/>
          <w:sz w:val="24"/>
          <w:szCs w:val="24"/>
          <w:highlight w:val="none"/>
          <w:lang w:val="en-US" w:eastAsia="zh-CN" w:bidi="ar"/>
        </w:rPr>
        <w:t>甲方（投标人）：</w:t>
      </w:r>
      <w:r>
        <w:rPr>
          <w:rFonts w:hint="eastAsia" w:ascii="仿宋" w:hAnsi="仿宋" w:eastAsia="仿宋" w:cs="仿宋"/>
          <w:color w:val="000000"/>
          <w:kern w:val="0"/>
          <w:sz w:val="24"/>
          <w:szCs w:val="24"/>
          <w:highlight w:val="none"/>
          <w:u w:val="singl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乙方（拟分包单位）：</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甲方承诺，一旦在</w:t>
      </w:r>
      <w:r>
        <w:rPr>
          <w:rFonts w:hint="eastAsia" w:ascii="仿宋" w:hAnsi="仿宋" w:eastAsia="仿宋" w:cs="仿宋"/>
          <w:color w:val="000000"/>
          <w:kern w:val="0"/>
          <w:sz w:val="24"/>
          <w:szCs w:val="24"/>
          <w:highlight w:val="none"/>
          <w:u w:val="single"/>
          <w:lang w:val="en-US" w:eastAsia="zh-CN" w:bidi="ar"/>
        </w:rPr>
        <w:t xml:space="preserve">（采购项目名称）（项目编号/包号为：     </w:t>
      </w:r>
      <w:r>
        <w:rPr>
          <w:rFonts w:hint="eastAsia" w:ascii="仿宋" w:hAnsi="仿宋" w:eastAsia="仿宋" w:cs="仿宋"/>
          <w:color w:val="000000"/>
          <w:kern w:val="0"/>
          <w:sz w:val="24"/>
          <w:szCs w:val="24"/>
          <w:highlight w:val="none"/>
          <w:lang w:val="en-US" w:eastAsia="zh-CN" w:bidi="ar"/>
        </w:rPr>
        <w:t xml:space="preserve">）招标采购项目中获得采购合同，将按照下述约定将合同项下部分内容分包给乙方：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outlineLvl w:val="1"/>
        <w:rPr>
          <w:rFonts w:hint="eastAsia" w:ascii="仿宋" w:hAnsi="仿宋" w:eastAsia="仿宋" w:cs="仿宋"/>
          <w:sz w:val="24"/>
          <w:szCs w:val="24"/>
          <w:highlight w:val="none"/>
        </w:rPr>
      </w:pPr>
      <w:bookmarkStart w:id="46" w:name="_Toc22054"/>
      <w:r>
        <w:rPr>
          <w:rFonts w:hint="eastAsia" w:ascii="仿宋" w:hAnsi="仿宋" w:eastAsia="仿宋" w:cs="仿宋"/>
          <w:color w:val="000000"/>
          <w:kern w:val="0"/>
          <w:sz w:val="24"/>
          <w:szCs w:val="24"/>
          <w:highlight w:val="none"/>
          <w:lang w:val="en-US" w:eastAsia="zh-CN" w:bidi="ar"/>
        </w:rPr>
        <w:t>1.分包内容：</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w:t>
      </w:r>
      <w:bookmarkEnd w:id="46"/>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2.分包金额：</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，该金额占该采购包预算总金额的比例为</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乙方承诺将在上述情况下与甲方签订分包合同。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本协议自各方盖章之日起生效，如甲方未在该项目（采购包）中标，本协议自动终止。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甲方（盖章）：</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乙方（盖章）：</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日期： </w:t>
      </w:r>
      <w:r>
        <w:rPr>
          <w:rFonts w:hint="eastAsia" w:ascii="仿宋" w:hAnsi="仿宋" w:eastAsia="仿宋" w:cs="仿宋"/>
          <w:color w:val="000000"/>
          <w:kern w:val="0"/>
          <w:sz w:val="24"/>
          <w:szCs w:val="24"/>
          <w:highlight w:val="none"/>
          <w:u w:val="single"/>
          <w:lang w:val="en-US" w:eastAsia="zh-CN" w:bidi="ar"/>
        </w:rPr>
        <w:t xml:space="preserve">    年    月    日</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说明：投标人须与所有拟分包单位分别签订《分包意向协议》，每单位签订一份，并在投标文件中提交全部协议原件，否则</w:t>
      </w:r>
      <w:r>
        <w:rPr>
          <w:rFonts w:hint="eastAsia" w:ascii="仿宋" w:hAnsi="仿宋" w:eastAsia="仿宋" w:cs="仿宋"/>
          <w:b/>
          <w:bCs/>
          <w:color w:val="000000"/>
          <w:kern w:val="0"/>
          <w:sz w:val="24"/>
          <w:szCs w:val="24"/>
          <w:highlight w:val="none"/>
          <w:lang w:val="en-US" w:eastAsia="zh-CN" w:bidi="ar"/>
        </w:rPr>
        <w:t>投标无效</w:t>
      </w:r>
      <w:r>
        <w:rPr>
          <w:rFonts w:hint="eastAsia" w:ascii="仿宋" w:hAnsi="仿宋" w:eastAsia="仿宋" w:cs="仿宋"/>
          <w:color w:val="000000"/>
          <w:kern w:val="0"/>
          <w:sz w:val="24"/>
          <w:szCs w:val="24"/>
          <w:highlight w:val="none"/>
          <w:lang w:val="en-US" w:eastAsia="zh-CN" w:bidi="ar"/>
        </w:rPr>
        <w:t>。</w:t>
      </w:r>
    </w:p>
    <w:p>
      <w:pPr>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br w:type="page"/>
      </w:r>
    </w:p>
    <w:p>
      <w:pPr>
        <w:keepNext w:val="0"/>
        <w:keepLines w:val="0"/>
        <w:widowControl/>
        <w:suppressLineNumbers w:val="0"/>
        <w:jc w:val="left"/>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2-3 其它落实政府采购政策的资格要求（如有）</w:t>
      </w:r>
    </w:p>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000000"/>
          <w:kern w:val="0"/>
          <w:sz w:val="24"/>
          <w:szCs w:val="24"/>
          <w:highlight w:val="none"/>
          <w:lang w:val="en-US" w:eastAsia="zh-CN" w:bidi="ar"/>
        </w:rPr>
      </w:pPr>
    </w:p>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000000"/>
          <w:kern w:val="0"/>
          <w:sz w:val="24"/>
          <w:szCs w:val="24"/>
          <w:highlight w:val="none"/>
          <w:lang w:val="en-US" w:eastAsia="zh-CN" w:bidi="ar"/>
        </w:rPr>
      </w:pPr>
    </w:p>
    <w:p>
      <w:pPr>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br w:type="page"/>
      </w:r>
    </w:p>
    <w:p>
      <w:pPr>
        <w:keepNext w:val="0"/>
        <w:keepLines w:val="0"/>
        <w:widowControl/>
        <w:suppressLineNumbers w:val="0"/>
        <w:jc w:val="left"/>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3  本项目的特定资格要求（如有） </w:t>
      </w:r>
    </w:p>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000000"/>
          <w:kern w:val="0"/>
          <w:sz w:val="24"/>
          <w:szCs w:val="24"/>
          <w:highlight w:val="none"/>
          <w:lang w:val="en-US" w:eastAsia="zh-CN" w:bidi="ar"/>
        </w:rPr>
      </w:pPr>
    </w:p>
    <w:p>
      <w:pPr>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br w:type="page"/>
      </w:r>
    </w:p>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000000"/>
          <w:kern w:val="0"/>
          <w:sz w:val="24"/>
          <w:szCs w:val="24"/>
          <w:highlight w:val="none"/>
          <w:lang w:val="en-US" w:eastAsia="zh-CN" w:bidi="ar"/>
        </w:rPr>
      </w:pPr>
    </w:p>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000000"/>
          <w:kern w:val="0"/>
          <w:sz w:val="24"/>
          <w:szCs w:val="24"/>
          <w:highlight w:val="none"/>
          <w:lang w:val="en-US" w:eastAsia="zh-CN" w:bidi="ar"/>
        </w:rPr>
      </w:pPr>
    </w:p>
    <w:p>
      <w:pPr>
        <w:keepNext w:val="0"/>
        <w:keepLines w:val="0"/>
        <w:widowControl/>
        <w:suppressLineNumbers w:val="0"/>
        <w:jc w:val="left"/>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4  投标保证金凭证/交款单据电子件</w:t>
      </w:r>
    </w:p>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000000"/>
          <w:kern w:val="0"/>
          <w:sz w:val="24"/>
          <w:szCs w:val="24"/>
          <w:highlight w:val="none"/>
          <w:lang w:val="en-US" w:eastAsia="zh-CN" w:bidi="ar"/>
        </w:rPr>
      </w:pPr>
    </w:p>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000000"/>
          <w:kern w:val="0"/>
          <w:sz w:val="24"/>
          <w:szCs w:val="24"/>
          <w:highlight w:val="none"/>
          <w:lang w:val="en-US" w:eastAsia="zh-CN" w:bidi="ar"/>
        </w:rPr>
      </w:pPr>
    </w:p>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000000"/>
          <w:kern w:val="0"/>
          <w:sz w:val="24"/>
          <w:szCs w:val="24"/>
          <w:highlight w:val="none"/>
          <w:lang w:val="en-US" w:eastAsia="zh-CN" w:bidi="ar"/>
        </w:rPr>
      </w:pPr>
    </w:p>
    <w:p>
      <w:pPr>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br w:type="page"/>
      </w:r>
    </w:p>
    <w:p>
      <w:pPr>
        <w:keepNext w:val="0"/>
        <w:keepLines w:val="0"/>
        <w:widowControl/>
        <w:suppressLineNumbers w:val="0"/>
        <w:jc w:val="left"/>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 xml:space="preserve">5  投标书 </w:t>
      </w: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color w:val="000000"/>
          <w:kern w:val="0"/>
          <w:sz w:val="32"/>
          <w:szCs w:val="32"/>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32"/>
          <w:szCs w:val="32"/>
          <w:highlight w:val="none"/>
        </w:rPr>
      </w:pPr>
      <w:r>
        <w:rPr>
          <w:rFonts w:hint="eastAsia" w:ascii="仿宋" w:hAnsi="仿宋" w:eastAsia="仿宋" w:cs="仿宋"/>
          <w:b/>
          <w:bCs/>
          <w:color w:val="000000"/>
          <w:kern w:val="0"/>
          <w:sz w:val="32"/>
          <w:szCs w:val="32"/>
          <w:highlight w:val="none"/>
          <w:lang w:val="en-US" w:eastAsia="zh-CN" w:bidi="ar"/>
        </w:rPr>
        <w:t>投标书</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致：</w:t>
      </w:r>
      <w:r>
        <w:rPr>
          <w:rFonts w:hint="eastAsia" w:ascii="仿宋" w:hAnsi="仿宋" w:eastAsia="仿宋" w:cs="仿宋"/>
          <w:color w:val="000000"/>
          <w:kern w:val="0"/>
          <w:sz w:val="24"/>
          <w:szCs w:val="24"/>
          <w:highlight w:val="none"/>
          <w:u w:val="single"/>
          <w:lang w:val="en-US" w:eastAsia="zh-CN" w:bidi="ar"/>
        </w:rPr>
        <w:t>（采购人或采购代理机构）</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我方参加你方就</w:t>
      </w:r>
      <w:r>
        <w:rPr>
          <w:rFonts w:hint="eastAsia" w:ascii="仿宋" w:hAnsi="仿宋" w:eastAsia="仿宋" w:cs="仿宋"/>
          <w:color w:val="000000"/>
          <w:kern w:val="0"/>
          <w:sz w:val="24"/>
          <w:szCs w:val="24"/>
          <w:highlight w:val="none"/>
          <w:u w:val="single"/>
          <w:lang w:val="en-US" w:eastAsia="zh-CN" w:bidi="ar"/>
        </w:rPr>
        <w:t>（项目名称，项目编号/包号）</w:t>
      </w:r>
      <w:r>
        <w:rPr>
          <w:rFonts w:hint="eastAsia" w:ascii="仿宋" w:hAnsi="仿宋" w:eastAsia="仿宋" w:cs="仿宋"/>
          <w:color w:val="000000"/>
          <w:kern w:val="0"/>
          <w:sz w:val="24"/>
          <w:szCs w:val="24"/>
          <w:highlight w:val="none"/>
          <w:lang w:val="en-US" w:eastAsia="zh-CN" w:bidi="ar"/>
        </w:rPr>
        <w:t xml:space="preserve">组织的招标活动，并对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此项目进行投标。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outlineLvl w:val="1"/>
        <w:rPr>
          <w:rFonts w:hint="eastAsia" w:ascii="仿宋" w:hAnsi="仿宋" w:eastAsia="仿宋" w:cs="仿宋"/>
          <w:sz w:val="24"/>
          <w:szCs w:val="24"/>
          <w:highlight w:val="none"/>
        </w:rPr>
      </w:pPr>
      <w:bookmarkStart w:id="47" w:name="_Toc30504"/>
      <w:r>
        <w:rPr>
          <w:rFonts w:hint="eastAsia" w:ascii="仿宋" w:hAnsi="仿宋" w:eastAsia="仿宋" w:cs="仿宋"/>
          <w:color w:val="000000"/>
          <w:kern w:val="0"/>
          <w:sz w:val="24"/>
          <w:szCs w:val="24"/>
          <w:highlight w:val="none"/>
          <w:lang w:val="en-US" w:eastAsia="zh-CN" w:bidi="ar"/>
        </w:rPr>
        <w:t>1. 我方已详细审查全部招标文件，自愿参与投标并承诺如下：</w:t>
      </w:r>
      <w:bookmarkEnd w:id="47"/>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（1）本投标有效期为自提交投标文件的截止之日起</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个日历日。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（2）除合同条款及采购需求偏离表列出的偏离外，我方响应招标文件的全部要求。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（3）我方已提供的全部文件资料是真实、准确的，并对此承担一切法律后果。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（4）如我方中标，我方将在法律规定的期限内与你方签订合同，按照招标文件要求提交履约保证金，并在合同约定的期限内完成合同规定的全部义务。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outlineLvl w:val="1"/>
        <w:rPr>
          <w:rFonts w:hint="eastAsia" w:ascii="仿宋" w:hAnsi="仿宋" w:eastAsia="仿宋" w:cs="仿宋"/>
          <w:sz w:val="24"/>
          <w:szCs w:val="24"/>
          <w:highlight w:val="none"/>
        </w:rPr>
      </w:pPr>
      <w:bookmarkStart w:id="48" w:name="_Toc24785"/>
      <w:r>
        <w:rPr>
          <w:rFonts w:hint="eastAsia" w:ascii="仿宋" w:hAnsi="仿宋" w:eastAsia="仿宋" w:cs="仿宋"/>
          <w:color w:val="000000"/>
          <w:kern w:val="0"/>
          <w:sz w:val="24"/>
          <w:szCs w:val="24"/>
          <w:highlight w:val="none"/>
          <w:lang w:val="en-US" w:eastAsia="zh-CN" w:bidi="ar"/>
        </w:rPr>
        <w:t>2. 其他补充条款（如有）：</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w:t>
      </w:r>
      <w:bookmarkEnd w:id="48"/>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与本投标有关的一切正式往来信函请寄：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地址</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传真</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电话</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电子函件</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投标人名称（加盖公章） </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日期：</w:t>
      </w:r>
      <w:r>
        <w:rPr>
          <w:rFonts w:hint="eastAsia" w:ascii="仿宋" w:hAnsi="仿宋" w:eastAsia="仿宋" w:cs="仿宋"/>
          <w:color w:val="000000"/>
          <w:kern w:val="0"/>
          <w:sz w:val="24"/>
          <w:szCs w:val="24"/>
          <w:highlight w:val="none"/>
          <w:u w:val="single"/>
          <w:lang w:val="en-US" w:eastAsia="zh-CN" w:bidi="ar"/>
        </w:rPr>
        <w:t xml:space="preserve">     年     月    日</w:t>
      </w:r>
    </w:p>
    <w:p>
      <w:pPr>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br w:type="page"/>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outlineLvl w:val="1"/>
        <w:rPr>
          <w:rFonts w:hint="eastAsia" w:ascii="仿宋" w:hAnsi="仿宋" w:eastAsia="仿宋" w:cs="仿宋"/>
          <w:sz w:val="24"/>
          <w:szCs w:val="24"/>
          <w:highlight w:val="none"/>
        </w:rPr>
      </w:pPr>
      <w:bookmarkStart w:id="49" w:name="_Toc6076"/>
      <w:r>
        <w:rPr>
          <w:rFonts w:hint="eastAsia" w:ascii="仿宋" w:hAnsi="仿宋" w:eastAsia="仿宋" w:cs="仿宋"/>
          <w:color w:val="000000"/>
          <w:kern w:val="0"/>
          <w:sz w:val="24"/>
          <w:szCs w:val="24"/>
          <w:highlight w:val="none"/>
          <w:lang w:val="en-US" w:eastAsia="zh-CN" w:bidi="ar"/>
        </w:rPr>
        <w:t>6  授权委托书</w:t>
      </w:r>
      <w:bookmarkEnd w:id="49"/>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bCs/>
          <w:color w:val="000000"/>
          <w:kern w:val="0"/>
          <w:sz w:val="32"/>
          <w:szCs w:val="32"/>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color w:val="000000"/>
          <w:kern w:val="0"/>
          <w:sz w:val="32"/>
          <w:szCs w:val="32"/>
          <w:highlight w:val="none"/>
          <w:lang w:val="en-US" w:eastAsia="zh-CN" w:bidi="ar"/>
        </w:rPr>
      </w:pPr>
      <w:r>
        <w:rPr>
          <w:rFonts w:hint="eastAsia" w:ascii="仿宋" w:hAnsi="仿宋" w:eastAsia="仿宋" w:cs="仿宋"/>
          <w:b/>
          <w:bCs/>
          <w:color w:val="000000"/>
          <w:kern w:val="0"/>
          <w:sz w:val="32"/>
          <w:szCs w:val="32"/>
          <w:highlight w:val="none"/>
          <w:lang w:val="en-US" w:eastAsia="zh-CN" w:bidi="ar"/>
        </w:rPr>
        <w:t>授权委托书</w:t>
      </w: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color w:val="000000"/>
          <w:kern w:val="0"/>
          <w:sz w:val="32"/>
          <w:szCs w:val="32"/>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本人</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（姓名）系</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（投标人名称）的法定代表人（单位负责人），现委托</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（姓名）为我方代理人。代理人根据授权，以我方名义签署、澄清确认、递交、撤回、修改</w:t>
      </w:r>
      <w:r>
        <w:rPr>
          <w:rFonts w:hint="eastAsia" w:ascii="仿宋" w:hAnsi="仿宋" w:eastAsia="仿宋" w:cs="仿宋"/>
          <w:color w:val="000000"/>
          <w:kern w:val="0"/>
          <w:sz w:val="24"/>
          <w:szCs w:val="24"/>
          <w:highlight w:val="none"/>
          <w:u w:val="single"/>
          <w:lang w:val="en-US" w:eastAsia="zh-CN" w:bidi="ar"/>
        </w:rPr>
        <w:t xml:space="preserve">           （项目名称）</w:t>
      </w:r>
      <w:r>
        <w:rPr>
          <w:rFonts w:hint="eastAsia" w:ascii="仿宋" w:hAnsi="仿宋" w:eastAsia="仿宋" w:cs="仿宋"/>
          <w:color w:val="000000"/>
          <w:kern w:val="0"/>
          <w:sz w:val="24"/>
          <w:szCs w:val="24"/>
          <w:highlight w:val="none"/>
          <w:lang w:val="en-US" w:eastAsia="zh-CN" w:bidi="ar"/>
        </w:rPr>
        <w:t xml:space="preserve">投标文件和处理有关事宜，其法律后果由我方承担。 </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委托期限：自本授权委托书签署之日起至响应有效期届满之日止。 </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代理人无转委托权。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投标人名称（加盖公章）：</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法定代表人（单位负责人）（签字、签章或印鉴）：</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委托代理人（签字/签章）：</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日期：</w:t>
      </w:r>
      <w:r>
        <w:rPr>
          <w:rFonts w:hint="eastAsia" w:ascii="仿宋" w:hAnsi="仿宋" w:eastAsia="仿宋" w:cs="仿宋"/>
          <w:color w:val="000000"/>
          <w:kern w:val="0"/>
          <w:sz w:val="24"/>
          <w:szCs w:val="24"/>
          <w:highlight w:val="none"/>
          <w:u w:val="single"/>
          <w:lang w:val="en-US" w:eastAsia="zh-CN" w:bidi="ar"/>
        </w:rPr>
        <w:t xml:space="preserve">   年    月    日</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法定代表人（单位负责人）有效期内的身份证</w:t>
      </w:r>
      <w:r>
        <w:rPr>
          <w:rFonts w:hint="eastAsia" w:ascii="仿宋" w:hAnsi="仿宋" w:eastAsia="仿宋" w:cs="仿宋"/>
          <w:b/>
          <w:bCs/>
          <w:color w:val="000000"/>
          <w:kern w:val="0"/>
          <w:sz w:val="24"/>
          <w:szCs w:val="24"/>
          <w:highlight w:val="none"/>
          <w:lang w:val="en-US" w:eastAsia="zh-CN" w:bidi="ar"/>
        </w:rPr>
        <w:t>正反面</w:t>
      </w:r>
      <w:r>
        <w:rPr>
          <w:rFonts w:hint="eastAsia" w:ascii="仿宋" w:hAnsi="仿宋" w:eastAsia="仿宋" w:cs="仿宋"/>
          <w:color w:val="000000"/>
          <w:kern w:val="0"/>
          <w:sz w:val="24"/>
          <w:szCs w:val="24"/>
          <w:highlight w:val="none"/>
          <w:lang w:val="en-US" w:eastAsia="zh-CN" w:bidi="ar"/>
        </w:rPr>
        <w:t xml:space="preserve">复印件：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07" w:hRule="atLeast"/>
        </w:trPr>
        <w:tc>
          <w:tcPr>
            <w:tcW w:w="4261" w:type="dxa"/>
          </w:tcPr>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vertAlign w:val="baseline"/>
                <w:lang w:val="en-US" w:eastAsia="zh-CN" w:bidi="ar"/>
              </w:rPr>
            </w:pPr>
          </w:p>
        </w:tc>
        <w:tc>
          <w:tcPr>
            <w:tcW w:w="4261" w:type="dxa"/>
          </w:tcPr>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vertAlign w:val="baseline"/>
                <w:lang w:val="en-US" w:eastAsia="zh-CN" w:bidi="ar"/>
              </w:rPr>
            </w:pPr>
          </w:p>
        </w:tc>
      </w:tr>
    </w:tbl>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委托代理人有效期内的身份证</w:t>
      </w:r>
      <w:r>
        <w:rPr>
          <w:rFonts w:hint="eastAsia" w:ascii="仿宋" w:hAnsi="仿宋" w:eastAsia="仿宋" w:cs="仿宋"/>
          <w:b/>
          <w:bCs/>
          <w:color w:val="000000"/>
          <w:kern w:val="0"/>
          <w:sz w:val="24"/>
          <w:szCs w:val="24"/>
          <w:highlight w:val="none"/>
          <w:lang w:val="en-US" w:eastAsia="zh-CN" w:bidi="ar"/>
        </w:rPr>
        <w:t>正反面</w:t>
      </w:r>
      <w:r>
        <w:rPr>
          <w:rFonts w:hint="eastAsia" w:ascii="仿宋" w:hAnsi="仿宋" w:eastAsia="仿宋" w:cs="仿宋"/>
          <w:color w:val="000000"/>
          <w:kern w:val="0"/>
          <w:sz w:val="24"/>
          <w:szCs w:val="24"/>
          <w:highlight w:val="none"/>
          <w:lang w:val="en-US" w:eastAsia="zh-CN" w:bidi="ar"/>
        </w:rPr>
        <w:t xml:space="preserve">复印件：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3" w:hRule="atLeast"/>
        </w:trPr>
        <w:tc>
          <w:tcPr>
            <w:tcW w:w="4261" w:type="dxa"/>
          </w:tcPr>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vertAlign w:val="baseline"/>
                <w:lang w:val="en-US" w:eastAsia="zh-CN" w:bidi="ar"/>
              </w:rPr>
            </w:pPr>
          </w:p>
        </w:tc>
        <w:tc>
          <w:tcPr>
            <w:tcW w:w="4261" w:type="dxa"/>
          </w:tcPr>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vertAlign w:val="baseline"/>
                <w:lang w:val="en-US" w:eastAsia="zh-CN" w:bidi="ar"/>
              </w:rPr>
            </w:pPr>
          </w:p>
        </w:tc>
      </w:tr>
    </w:tbl>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说明：1.若供应商为事业单位或其他组织或分支机构（仅当招标文件注明允许分支机构投标的），则法定代表人（单位负责人）处的签署人可为单位负责人。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2.若投标文件中签字之处均为法定代表人（单位负责人）本人签署，则可不提供本《授权委托书》，但须提供《法定代表人（单位负责人）身份证明》。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outlineLvl w:val="1"/>
        <w:rPr>
          <w:rFonts w:hint="eastAsia" w:ascii="仿宋" w:hAnsi="仿宋" w:eastAsia="仿宋" w:cs="仿宋"/>
          <w:sz w:val="24"/>
          <w:szCs w:val="24"/>
          <w:highlight w:val="none"/>
        </w:rPr>
      </w:pPr>
      <w:bookmarkStart w:id="50" w:name="_Toc18807"/>
      <w:r>
        <w:rPr>
          <w:rFonts w:hint="eastAsia" w:ascii="仿宋" w:hAnsi="仿宋" w:eastAsia="仿宋" w:cs="仿宋"/>
          <w:color w:val="000000"/>
          <w:kern w:val="0"/>
          <w:sz w:val="24"/>
          <w:szCs w:val="24"/>
          <w:highlight w:val="none"/>
          <w:lang w:val="en-US" w:eastAsia="zh-CN" w:bidi="ar"/>
        </w:rPr>
        <w:t>3.供应商为自然人的情形，可不提供本《授权委托书》。</w:t>
      </w:r>
      <w:bookmarkEnd w:id="50"/>
    </w:p>
    <w:p>
      <w:pPr>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br w:type="page"/>
      </w: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32"/>
          <w:szCs w:val="32"/>
          <w:highlight w:val="none"/>
        </w:rPr>
      </w:pPr>
      <w:r>
        <w:rPr>
          <w:rFonts w:hint="eastAsia" w:ascii="仿宋" w:hAnsi="仿宋" w:eastAsia="仿宋" w:cs="仿宋"/>
          <w:b/>
          <w:bCs/>
          <w:color w:val="000000"/>
          <w:kern w:val="0"/>
          <w:sz w:val="32"/>
          <w:szCs w:val="32"/>
          <w:highlight w:val="none"/>
          <w:lang w:val="en-US" w:eastAsia="zh-CN" w:bidi="ar"/>
        </w:rPr>
        <w:t>附：法定代表人（单位负责人）身份证明</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致：</w:t>
      </w:r>
      <w:r>
        <w:rPr>
          <w:rFonts w:hint="eastAsia" w:ascii="仿宋" w:hAnsi="仿宋" w:eastAsia="仿宋" w:cs="仿宋"/>
          <w:color w:val="000000"/>
          <w:kern w:val="0"/>
          <w:sz w:val="24"/>
          <w:szCs w:val="24"/>
          <w:highlight w:val="none"/>
          <w:u w:val="single"/>
          <w:lang w:val="en-US" w:eastAsia="zh-CN" w:bidi="ar"/>
        </w:rPr>
        <w:t xml:space="preserve">（采购人或采购代理机构） </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兹证明， </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color w:val="000000"/>
          <w:kern w:val="0"/>
          <w:sz w:val="24"/>
          <w:szCs w:val="24"/>
          <w:highlight w:val="none"/>
          <w:u w:val="single"/>
          <w:lang w:val="en-US" w:eastAsia="zh-CN" w:bidi="ar"/>
        </w:rPr>
      </w:pPr>
      <w:r>
        <w:rPr>
          <w:rFonts w:hint="eastAsia" w:ascii="仿宋" w:hAnsi="仿宋" w:eastAsia="仿宋" w:cs="仿宋"/>
          <w:color w:val="000000"/>
          <w:kern w:val="0"/>
          <w:sz w:val="24"/>
          <w:szCs w:val="24"/>
          <w:highlight w:val="none"/>
          <w:lang w:val="en-US" w:eastAsia="zh-CN" w:bidi="ar"/>
        </w:rPr>
        <w:t>姓名：</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性别：</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年龄：</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职务：</w:t>
      </w:r>
      <w:r>
        <w:rPr>
          <w:rFonts w:hint="eastAsia" w:ascii="仿宋" w:hAnsi="仿宋" w:eastAsia="仿宋" w:cs="仿宋"/>
          <w:color w:val="000000"/>
          <w:kern w:val="0"/>
          <w:sz w:val="24"/>
          <w:szCs w:val="24"/>
          <w:highlight w:val="none"/>
          <w:u w:val="singl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系</w:t>
      </w:r>
      <w:r>
        <w:rPr>
          <w:rFonts w:hint="eastAsia" w:ascii="仿宋" w:hAnsi="仿宋" w:eastAsia="仿宋" w:cs="仿宋"/>
          <w:color w:val="000000"/>
          <w:kern w:val="0"/>
          <w:sz w:val="24"/>
          <w:szCs w:val="24"/>
          <w:highlight w:val="none"/>
          <w:u w:val="single"/>
          <w:lang w:val="en-US" w:eastAsia="zh-CN" w:bidi="ar"/>
        </w:rPr>
        <w:t xml:space="preserve">       （投标人名称）</w:t>
      </w:r>
      <w:r>
        <w:rPr>
          <w:rFonts w:hint="eastAsia" w:ascii="仿宋" w:hAnsi="仿宋" w:eastAsia="仿宋" w:cs="仿宋"/>
          <w:color w:val="000000"/>
          <w:kern w:val="0"/>
          <w:sz w:val="24"/>
          <w:szCs w:val="24"/>
          <w:highlight w:val="none"/>
          <w:lang w:val="en-US" w:eastAsia="zh-CN" w:bidi="ar"/>
        </w:rPr>
        <w:t xml:space="preserve">的法定代表人（单位负责人）。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附：法定代表人（单位负责人）有效期内的身份证</w:t>
      </w:r>
      <w:r>
        <w:rPr>
          <w:rFonts w:hint="eastAsia" w:ascii="仿宋" w:hAnsi="仿宋" w:eastAsia="仿宋" w:cs="仿宋"/>
          <w:b/>
          <w:bCs/>
          <w:color w:val="000000"/>
          <w:kern w:val="0"/>
          <w:sz w:val="24"/>
          <w:szCs w:val="24"/>
          <w:highlight w:val="none"/>
          <w:lang w:val="en-US" w:eastAsia="zh-CN" w:bidi="ar"/>
        </w:rPr>
        <w:t>正反面</w:t>
      </w:r>
      <w:r>
        <w:rPr>
          <w:rFonts w:hint="eastAsia" w:ascii="仿宋" w:hAnsi="仿宋" w:eastAsia="仿宋" w:cs="仿宋"/>
          <w:color w:val="000000"/>
          <w:kern w:val="0"/>
          <w:sz w:val="24"/>
          <w:szCs w:val="24"/>
          <w:highlight w:val="none"/>
          <w:lang w:val="en-US" w:eastAsia="zh-CN" w:bidi="ar"/>
        </w:rPr>
        <w:t xml:space="preserve">复印件。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6" w:hRule="atLeast"/>
        </w:trPr>
        <w:tc>
          <w:tcPr>
            <w:tcW w:w="4261" w:type="dxa"/>
          </w:tcPr>
          <w:p>
            <w:pPr>
              <w:keepNext w:val="0"/>
              <w:keepLines w:val="0"/>
              <w:pageBreakBefore w:val="0"/>
              <w:kinsoku/>
              <w:wordWrap/>
              <w:overflowPunct/>
              <w:topLinePunct w:val="0"/>
              <w:autoSpaceDE/>
              <w:autoSpaceDN/>
              <w:bidi w:val="0"/>
              <w:adjustRightInd/>
              <w:snapToGrid/>
              <w:spacing w:line="500" w:lineRule="exact"/>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4261" w:type="dxa"/>
          </w:tcPr>
          <w:p>
            <w:pPr>
              <w:keepNext w:val="0"/>
              <w:keepLines w:val="0"/>
              <w:pageBreakBefore w:val="0"/>
              <w:kinsoku/>
              <w:wordWrap/>
              <w:overflowPunct/>
              <w:topLinePunct w:val="0"/>
              <w:autoSpaceDE/>
              <w:autoSpaceDN/>
              <w:bidi w:val="0"/>
              <w:adjustRightInd/>
              <w:snapToGrid/>
              <w:spacing w:line="500" w:lineRule="exact"/>
              <w:textAlignment w:val="auto"/>
              <w:rPr>
                <w:rFonts w:hint="eastAsia" w:ascii="仿宋" w:hAnsi="仿宋" w:eastAsia="仿宋" w:cs="仿宋"/>
                <w:b w:val="0"/>
                <w:bCs w:val="0"/>
                <w:color w:val="000000"/>
                <w:kern w:val="0"/>
                <w:sz w:val="24"/>
                <w:szCs w:val="24"/>
                <w:highlight w:val="none"/>
                <w:vertAlign w:val="baseline"/>
                <w:lang w:val="en-US" w:eastAsia="zh-CN" w:bidi="ar"/>
              </w:rPr>
            </w:pPr>
          </w:p>
        </w:tc>
      </w:tr>
    </w:tbl>
    <w:p>
      <w:pPr>
        <w:keepNext w:val="0"/>
        <w:keepLines w:val="0"/>
        <w:pageBreakBefore w:val="0"/>
        <w:kinsoku/>
        <w:wordWrap/>
        <w:overflowPunct/>
        <w:topLinePunct w:val="0"/>
        <w:autoSpaceDE/>
        <w:autoSpaceDN/>
        <w:bidi w:val="0"/>
        <w:adjustRightInd/>
        <w:snapToGrid/>
        <w:spacing w:line="500" w:lineRule="exact"/>
        <w:textAlignment w:val="auto"/>
        <w:rPr>
          <w:rFonts w:hint="eastAsia" w:ascii="仿宋" w:hAnsi="仿宋" w:eastAsia="仿宋" w:cs="仿宋"/>
          <w:b w:val="0"/>
          <w:bCs w:val="0"/>
          <w:color w:val="000000"/>
          <w:kern w:val="0"/>
          <w:sz w:val="24"/>
          <w:szCs w:val="24"/>
          <w:highlight w:val="none"/>
          <w:lang w:val="en-US" w:eastAsia="zh-CN" w:bidi="ar"/>
        </w:rPr>
      </w:pPr>
    </w:p>
    <w:p>
      <w:pPr>
        <w:keepNext w:val="0"/>
        <w:keepLines w:val="0"/>
        <w:pageBreakBefore w:val="0"/>
        <w:kinsoku/>
        <w:wordWrap/>
        <w:overflowPunct/>
        <w:topLinePunct w:val="0"/>
        <w:autoSpaceDE/>
        <w:autoSpaceDN/>
        <w:bidi w:val="0"/>
        <w:adjustRightInd/>
        <w:snapToGrid/>
        <w:spacing w:line="500" w:lineRule="exact"/>
        <w:textAlignment w:val="auto"/>
        <w:rPr>
          <w:rFonts w:hint="eastAsia" w:ascii="仿宋" w:hAnsi="仿宋" w:eastAsia="仿宋" w:cs="仿宋"/>
          <w:b w:val="0"/>
          <w:bCs w:val="0"/>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投标人名称（加盖公章）：</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法定代表人（单位负责人）（签字、签章或印鉴）：</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日期：</w:t>
      </w:r>
      <w:r>
        <w:rPr>
          <w:rFonts w:hint="eastAsia" w:ascii="仿宋" w:hAnsi="仿宋" w:eastAsia="仿宋" w:cs="仿宋"/>
          <w:color w:val="000000"/>
          <w:kern w:val="0"/>
          <w:sz w:val="24"/>
          <w:szCs w:val="24"/>
          <w:highlight w:val="none"/>
          <w:u w:val="single"/>
          <w:lang w:val="en-US" w:eastAsia="zh-CN" w:bidi="ar"/>
        </w:rPr>
        <w:t xml:space="preserve">    年    月    日</w:t>
      </w:r>
    </w:p>
    <w:p>
      <w:pPr>
        <w:keepNext w:val="0"/>
        <w:keepLines w:val="0"/>
        <w:pageBreakBefore w:val="0"/>
        <w:kinsoku/>
        <w:wordWrap/>
        <w:overflowPunct/>
        <w:topLinePunct w:val="0"/>
        <w:autoSpaceDE/>
        <w:autoSpaceDN/>
        <w:bidi w:val="0"/>
        <w:adjustRightInd/>
        <w:snapToGrid/>
        <w:spacing w:line="500" w:lineRule="exact"/>
        <w:textAlignment w:val="auto"/>
        <w:rPr>
          <w:rFonts w:hint="eastAsia" w:ascii="仿宋" w:hAnsi="仿宋" w:eastAsia="仿宋" w:cs="仿宋"/>
          <w:b w:val="0"/>
          <w:bCs w:val="0"/>
          <w:color w:val="000000"/>
          <w:kern w:val="0"/>
          <w:sz w:val="24"/>
          <w:szCs w:val="24"/>
          <w:highlight w:val="none"/>
          <w:lang w:val="en-US" w:eastAsia="zh-CN" w:bidi="ar"/>
        </w:rPr>
      </w:pPr>
    </w:p>
    <w:p>
      <w:pPr>
        <w:rPr>
          <w:rFonts w:hint="eastAsia" w:ascii="仿宋" w:hAnsi="仿宋" w:eastAsia="仿宋" w:cs="仿宋"/>
          <w:highlight w:val="none"/>
          <w:lang w:val="en-US" w:eastAsia="zh-CN"/>
        </w:rPr>
      </w:pPr>
      <w:r>
        <w:rPr>
          <w:rFonts w:hint="eastAsia" w:ascii="仿宋" w:hAnsi="仿宋" w:eastAsia="仿宋" w:cs="仿宋"/>
          <w:highlight w:val="none"/>
          <w:lang w:val="en-US" w:eastAsia="zh-CN"/>
        </w:rPr>
        <w:br w:type="page"/>
      </w:r>
    </w:p>
    <w:p>
      <w:pPr>
        <w:outlineLvl w:val="1"/>
        <w:rPr>
          <w:rFonts w:hint="eastAsia" w:ascii="仿宋" w:hAnsi="仿宋" w:eastAsia="仿宋" w:cs="仿宋"/>
          <w:sz w:val="24"/>
          <w:szCs w:val="24"/>
          <w:highlight w:val="none"/>
          <w:lang w:val="en-US" w:eastAsia="zh-CN"/>
        </w:rPr>
      </w:pPr>
      <w:bookmarkStart w:id="51" w:name="_Toc23107"/>
      <w:r>
        <w:rPr>
          <w:rFonts w:hint="eastAsia" w:ascii="仿宋" w:hAnsi="仿宋" w:eastAsia="仿宋" w:cs="仿宋"/>
          <w:sz w:val="24"/>
          <w:szCs w:val="24"/>
          <w:highlight w:val="none"/>
          <w:lang w:val="en-US" w:eastAsia="zh-CN"/>
        </w:rPr>
        <w:t>7  开标一览表</w:t>
      </w:r>
      <w:bookmarkEnd w:id="51"/>
    </w:p>
    <w:p>
      <w:pPr>
        <w:rPr>
          <w:rFonts w:hint="eastAsia" w:ascii="仿宋" w:hAnsi="仿宋" w:eastAsia="仿宋" w:cs="仿宋"/>
          <w:highlight w:val="none"/>
          <w:lang w:val="en-US" w:eastAsia="zh-CN"/>
        </w:rPr>
      </w:pPr>
    </w:p>
    <w:p>
      <w:pPr>
        <w:jc w:val="center"/>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开标一览表</w:t>
      </w:r>
    </w:p>
    <w:p>
      <w:pPr>
        <w:rPr>
          <w:rFonts w:hint="eastAsia" w:ascii="仿宋" w:hAnsi="仿宋" w:eastAsia="仿宋" w:cs="仿宋"/>
          <w:highlight w:val="none"/>
          <w:lang w:val="en-US" w:eastAsia="zh-CN"/>
        </w:rPr>
      </w:pPr>
    </w:p>
    <w:p>
      <w:pPr>
        <w:rPr>
          <w:rFonts w:hint="eastAsia" w:ascii="仿宋" w:hAnsi="仿宋" w:eastAsia="仿宋" w:cs="仿宋"/>
          <w:highlight w:val="none"/>
          <w:lang w:val="en-US" w:eastAsia="zh-CN"/>
        </w:rPr>
      </w:pPr>
      <w:r>
        <w:rPr>
          <w:rFonts w:hint="eastAsia" w:ascii="仿宋" w:hAnsi="仿宋" w:eastAsia="仿宋" w:cs="仿宋"/>
          <w:highlight w:val="none"/>
          <w:lang w:val="en-US" w:eastAsia="zh-CN"/>
        </w:rPr>
        <w:t>项目名称：</w:t>
      </w:r>
    </w:p>
    <w:p>
      <w:pPr>
        <w:rPr>
          <w:rFonts w:hint="eastAsia" w:ascii="仿宋" w:hAnsi="仿宋" w:eastAsia="仿宋" w:cs="仿宋"/>
          <w:highlight w:val="none"/>
          <w:lang w:val="en-US" w:eastAsia="zh-CN"/>
        </w:rPr>
      </w:pPr>
      <w:r>
        <w:rPr>
          <w:rFonts w:hint="eastAsia" w:ascii="仿宋" w:hAnsi="仿宋" w:eastAsia="仿宋" w:cs="仿宋"/>
          <w:highlight w:val="none"/>
          <w:lang w:val="en-US" w:eastAsia="zh-CN"/>
        </w:rPr>
        <w:t>项目编号：</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lang w:val="en-US" w:eastAsia="zh-CN"/>
        </w:rPr>
        <w:t xml:space="preserve">           </w:t>
      </w:r>
    </w:p>
    <w:tbl>
      <w:tblPr>
        <w:tblStyle w:val="19"/>
        <w:tblW w:w="9075" w:type="dxa"/>
        <w:jc w:val="center"/>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Layout w:type="fixed"/>
        <w:tblCellMar>
          <w:top w:w="0" w:type="dxa"/>
          <w:left w:w="0" w:type="dxa"/>
          <w:bottom w:w="0" w:type="dxa"/>
          <w:right w:w="0" w:type="dxa"/>
        </w:tblCellMar>
      </w:tblPr>
      <w:tblGrid>
        <w:gridCol w:w="2149"/>
        <w:gridCol w:w="1561"/>
        <w:gridCol w:w="2269"/>
        <w:gridCol w:w="1703"/>
        <w:gridCol w:w="1393"/>
      </w:tblGrid>
      <w:tr>
        <w:tblPrEx>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CellMar>
            <w:top w:w="0" w:type="dxa"/>
            <w:left w:w="0" w:type="dxa"/>
            <w:bottom w:w="0" w:type="dxa"/>
            <w:right w:w="0" w:type="dxa"/>
          </w:tblCellMar>
        </w:tblPrEx>
        <w:trPr>
          <w:trHeight w:val="543" w:hRule="atLeast"/>
          <w:jc w:val="center"/>
        </w:trPr>
        <w:tc>
          <w:tcPr>
            <w:tcW w:w="2149" w:type="dxa"/>
            <w:tcBorders>
              <w:bottom w:val="single" w:color="000000" w:sz="6" w:space="0"/>
              <w:right w:val="single" w:color="000000" w:sz="6" w:space="0"/>
            </w:tcBorders>
            <w:vAlign w:val="center"/>
          </w:tcPr>
          <w:p>
            <w:pPr>
              <w:pStyle w:val="26"/>
              <w:keepNext w:val="0"/>
              <w:keepLines w:val="0"/>
              <w:pageBreakBefore w:val="0"/>
              <w:widowControl w:val="0"/>
              <w:kinsoku/>
              <w:wordWrap/>
              <w:overflowPunct/>
              <w:topLinePunct w:val="0"/>
              <w:autoSpaceDE w:val="0"/>
              <w:autoSpaceDN w:val="0"/>
              <w:bidi w:val="0"/>
              <w:adjustRightInd w:val="0"/>
              <w:snapToGrid w:val="0"/>
              <w:spacing w:before="0" w:line="240" w:lineRule="auto"/>
              <w:jc w:val="center"/>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品目名称</w:t>
            </w:r>
          </w:p>
        </w:tc>
        <w:tc>
          <w:tcPr>
            <w:tcW w:w="1561" w:type="dxa"/>
            <w:tcBorders>
              <w:left w:val="single" w:color="000000" w:sz="6" w:space="0"/>
              <w:bottom w:val="single" w:color="000000" w:sz="6" w:space="0"/>
              <w:right w:val="single" w:color="000000" w:sz="6" w:space="0"/>
            </w:tcBorders>
            <w:vAlign w:val="center"/>
          </w:tcPr>
          <w:p>
            <w:pPr>
              <w:pStyle w:val="26"/>
              <w:keepNext w:val="0"/>
              <w:keepLines w:val="0"/>
              <w:pageBreakBefore w:val="0"/>
              <w:widowControl w:val="0"/>
              <w:kinsoku/>
              <w:wordWrap/>
              <w:overflowPunct/>
              <w:topLinePunct w:val="0"/>
              <w:autoSpaceDE w:val="0"/>
              <w:autoSpaceDN w:val="0"/>
              <w:bidi w:val="0"/>
              <w:adjustRightInd w:val="0"/>
              <w:snapToGrid w:val="0"/>
              <w:spacing w:before="0" w:line="240" w:lineRule="auto"/>
              <w:jc w:val="center"/>
              <w:textAlignment w:val="auto"/>
              <w:rPr>
                <w:rFonts w:hint="eastAsia" w:ascii="仿宋" w:hAnsi="仿宋" w:eastAsia="仿宋" w:cs="仿宋"/>
                <w:sz w:val="21"/>
                <w:szCs w:val="21"/>
                <w:highlight w:val="none"/>
                <w:lang w:val="en-US"/>
              </w:rPr>
            </w:pPr>
            <w:r>
              <w:rPr>
                <w:rFonts w:hint="eastAsia" w:ascii="仿宋" w:hAnsi="仿宋" w:eastAsia="仿宋" w:cs="仿宋"/>
                <w:sz w:val="21"/>
                <w:szCs w:val="21"/>
                <w:highlight w:val="none"/>
                <w:lang w:val="en-US" w:eastAsia="zh-CN"/>
              </w:rPr>
              <w:t>投标报价</w:t>
            </w:r>
          </w:p>
        </w:tc>
        <w:tc>
          <w:tcPr>
            <w:tcW w:w="2269" w:type="dxa"/>
            <w:tcBorders>
              <w:left w:val="single" w:color="000000" w:sz="6" w:space="0"/>
              <w:bottom w:val="single" w:color="000000" w:sz="6" w:space="0"/>
              <w:right w:val="single" w:color="000000" w:sz="6" w:space="0"/>
            </w:tcBorders>
            <w:vAlign w:val="center"/>
          </w:tcPr>
          <w:p>
            <w:pPr>
              <w:pStyle w:val="26"/>
              <w:keepNext w:val="0"/>
              <w:keepLines w:val="0"/>
              <w:pageBreakBefore w:val="0"/>
              <w:widowControl w:val="0"/>
              <w:kinsoku/>
              <w:wordWrap/>
              <w:overflowPunct/>
              <w:topLinePunct w:val="0"/>
              <w:autoSpaceDE w:val="0"/>
              <w:autoSpaceDN w:val="0"/>
              <w:bidi w:val="0"/>
              <w:adjustRightInd w:val="0"/>
              <w:snapToGrid w:val="0"/>
              <w:spacing w:before="0" w:line="240" w:lineRule="auto"/>
              <w:jc w:val="center"/>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付款方式</w:t>
            </w:r>
          </w:p>
        </w:tc>
        <w:tc>
          <w:tcPr>
            <w:tcW w:w="1703" w:type="dxa"/>
            <w:tcBorders>
              <w:left w:val="single" w:color="000000" w:sz="6" w:space="0"/>
              <w:bottom w:val="single" w:color="000000" w:sz="6" w:space="0"/>
              <w:right w:val="single" w:color="000000" w:sz="6" w:space="0"/>
            </w:tcBorders>
            <w:vAlign w:val="center"/>
          </w:tcPr>
          <w:p>
            <w:pPr>
              <w:pStyle w:val="26"/>
              <w:keepNext w:val="0"/>
              <w:keepLines w:val="0"/>
              <w:pageBreakBefore w:val="0"/>
              <w:widowControl w:val="0"/>
              <w:kinsoku/>
              <w:wordWrap/>
              <w:overflowPunct/>
              <w:topLinePunct w:val="0"/>
              <w:autoSpaceDE w:val="0"/>
              <w:autoSpaceDN w:val="0"/>
              <w:bidi w:val="0"/>
              <w:adjustRightInd w:val="0"/>
              <w:snapToGrid w:val="0"/>
              <w:spacing w:before="0" w:line="240" w:lineRule="auto"/>
              <w:jc w:val="center"/>
              <w:textAlignment w:val="auto"/>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lang w:val="en-US" w:eastAsia="zh-CN"/>
              </w:rPr>
              <w:t>合同履约期限</w:t>
            </w:r>
          </w:p>
        </w:tc>
        <w:tc>
          <w:tcPr>
            <w:tcW w:w="1393" w:type="dxa"/>
            <w:tcBorders>
              <w:left w:val="single" w:color="000000" w:sz="6" w:space="0"/>
              <w:bottom w:val="single" w:color="000000" w:sz="6" w:space="0"/>
            </w:tcBorders>
            <w:vAlign w:val="center"/>
          </w:tcPr>
          <w:p>
            <w:pPr>
              <w:pStyle w:val="26"/>
              <w:keepNext w:val="0"/>
              <w:keepLines w:val="0"/>
              <w:pageBreakBefore w:val="0"/>
              <w:widowControl w:val="0"/>
              <w:kinsoku/>
              <w:wordWrap/>
              <w:overflowPunct/>
              <w:topLinePunct w:val="0"/>
              <w:autoSpaceDE w:val="0"/>
              <w:autoSpaceDN w:val="0"/>
              <w:bidi w:val="0"/>
              <w:adjustRightInd w:val="0"/>
              <w:snapToGrid w:val="0"/>
              <w:spacing w:before="0" w:line="240" w:lineRule="auto"/>
              <w:jc w:val="center"/>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交货地点</w:t>
            </w:r>
          </w:p>
        </w:tc>
      </w:tr>
      <w:tr>
        <w:tblPrEx>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CellMar>
            <w:top w:w="0" w:type="dxa"/>
            <w:left w:w="0" w:type="dxa"/>
            <w:bottom w:w="0" w:type="dxa"/>
            <w:right w:w="0" w:type="dxa"/>
          </w:tblCellMar>
        </w:tblPrEx>
        <w:trPr>
          <w:trHeight w:val="680" w:hRule="atLeast"/>
          <w:jc w:val="center"/>
        </w:trPr>
        <w:tc>
          <w:tcPr>
            <w:tcW w:w="2149" w:type="dxa"/>
            <w:tcBorders>
              <w:top w:val="single" w:color="000000" w:sz="6" w:space="0"/>
              <w:bottom w:val="single" w:color="000000" w:sz="6" w:space="0"/>
              <w:right w:val="single" w:color="000000" w:sz="6" w:space="0"/>
            </w:tcBorders>
            <w:vAlign w:val="center"/>
          </w:tcPr>
          <w:p>
            <w:pPr>
              <w:widowControl/>
              <w:jc w:val="center"/>
              <w:rPr>
                <w:rFonts w:hint="eastAsia" w:ascii="仿宋" w:hAnsi="仿宋" w:eastAsia="仿宋" w:cs="仿宋"/>
                <w:kern w:val="0"/>
                <w:sz w:val="22"/>
                <w:szCs w:val="22"/>
                <w:highlight w:val="none"/>
                <w:lang w:val="en-US" w:eastAsia="zh-CN"/>
              </w:rPr>
            </w:pPr>
            <w:r>
              <w:rPr>
                <w:rFonts w:hint="eastAsia" w:ascii="仿宋" w:hAnsi="仿宋" w:eastAsia="仿宋" w:cs="仿宋"/>
                <w:kern w:val="0"/>
                <w:sz w:val="22"/>
                <w:szCs w:val="22"/>
                <w:highlight w:val="none"/>
                <w:lang w:val="en-US" w:eastAsia="zh-CN"/>
              </w:rPr>
              <w:t>鸡蛋</w:t>
            </w:r>
          </w:p>
        </w:tc>
        <w:tc>
          <w:tcPr>
            <w:tcW w:w="1561" w:type="dxa"/>
            <w:tcBorders>
              <w:top w:val="single" w:color="000000" w:sz="6" w:space="0"/>
              <w:left w:val="single" w:color="000000" w:sz="6" w:space="0"/>
              <w:bottom w:val="single" w:color="000000" w:sz="6" w:space="0"/>
              <w:right w:val="single" w:color="000000" w:sz="6" w:space="0"/>
            </w:tcBorders>
            <w:vAlign w:val="center"/>
          </w:tcPr>
          <w:p>
            <w:pPr>
              <w:pStyle w:val="26"/>
              <w:jc w:val="both"/>
              <w:rPr>
                <w:rFonts w:hint="eastAsia" w:ascii="仿宋" w:hAnsi="仿宋" w:eastAsia="仿宋" w:cs="仿宋"/>
                <w:sz w:val="21"/>
                <w:szCs w:val="21"/>
                <w:highlight w:val="none"/>
                <w:lang w:val="en-US" w:eastAsia="zh-CN"/>
              </w:rPr>
            </w:pPr>
            <w:r>
              <w:rPr>
                <w:rFonts w:hint="eastAsia" w:ascii="仿宋" w:hAnsi="仿宋" w:eastAsia="仿宋" w:cs="仿宋"/>
                <w:spacing w:val="-3"/>
                <w:sz w:val="21"/>
                <w:szCs w:val="21"/>
                <w:highlight w:val="none"/>
                <w:lang w:val="en-US" w:eastAsia="zh-CN"/>
              </w:rPr>
              <w:t>下浮率：</w:t>
            </w:r>
            <w:r>
              <w:rPr>
                <w:rFonts w:hint="eastAsia" w:ascii="仿宋" w:hAnsi="仿宋" w:eastAsia="仿宋" w:cs="仿宋"/>
                <w:spacing w:val="-3"/>
                <w:sz w:val="21"/>
                <w:szCs w:val="21"/>
                <w:highlight w:val="none"/>
                <w:u w:val="single"/>
                <w:lang w:val="en-US" w:eastAsia="zh-CN"/>
              </w:rPr>
              <w:t xml:space="preserve">   </w:t>
            </w:r>
            <w:r>
              <w:rPr>
                <w:rFonts w:hint="eastAsia" w:ascii="仿宋" w:hAnsi="仿宋" w:eastAsia="仿宋" w:cs="仿宋"/>
                <w:spacing w:val="-3"/>
                <w:sz w:val="21"/>
                <w:szCs w:val="21"/>
                <w:highlight w:val="none"/>
                <w:lang w:val="en-US" w:eastAsia="zh-CN"/>
              </w:rPr>
              <w:t xml:space="preserve"> %</w:t>
            </w:r>
          </w:p>
        </w:tc>
        <w:tc>
          <w:tcPr>
            <w:tcW w:w="2269" w:type="dxa"/>
            <w:tcBorders>
              <w:top w:val="single" w:color="000000" w:sz="6" w:space="0"/>
              <w:left w:val="single" w:color="000000" w:sz="6" w:space="0"/>
              <w:bottom w:val="single" w:color="000000" w:sz="6" w:space="0"/>
              <w:right w:val="single" w:color="000000" w:sz="6" w:space="0"/>
            </w:tcBorders>
            <w:vAlign w:val="center"/>
          </w:tcPr>
          <w:p>
            <w:pPr>
              <w:pStyle w:val="26"/>
              <w:spacing w:before="5"/>
              <w:ind w:left="8"/>
              <w:jc w:val="both"/>
              <w:rPr>
                <w:rFonts w:hint="eastAsia" w:ascii="仿宋" w:hAnsi="仿宋" w:eastAsia="仿宋" w:cs="仿宋"/>
                <w:sz w:val="21"/>
                <w:szCs w:val="21"/>
                <w:highlight w:val="none"/>
              </w:rPr>
            </w:pPr>
          </w:p>
        </w:tc>
        <w:tc>
          <w:tcPr>
            <w:tcW w:w="1703" w:type="dxa"/>
            <w:tcBorders>
              <w:top w:val="single" w:color="000000" w:sz="6" w:space="0"/>
              <w:left w:val="single" w:color="000000" w:sz="6" w:space="0"/>
              <w:bottom w:val="single" w:color="000000" w:sz="6" w:space="0"/>
              <w:right w:val="single" w:color="000000" w:sz="6" w:space="0"/>
            </w:tcBorders>
            <w:vAlign w:val="center"/>
          </w:tcPr>
          <w:p>
            <w:pPr>
              <w:pStyle w:val="26"/>
              <w:spacing w:before="5"/>
              <w:ind w:left="620" w:right="608"/>
              <w:jc w:val="both"/>
              <w:rPr>
                <w:rFonts w:hint="eastAsia" w:ascii="仿宋" w:hAnsi="仿宋" w:eastAsia="仿宋" w:cs="仿宋"/>
                <w:sz w:val="21"/>
                <w:szCs w:val="21"/>
                <w:highlight w:val="none"/>
              </w:rPr>
            </w:pPr>
          </w:p>
        </w:tc>
        <w:tc>
          <w:tcPr>
            <w:tcW w:w="1393" w:type="dxa"/>
            <w:tcBorders>
              <w:top w:val="single" w:color="000000" w:sz="6" w:space="0"/>
              <w:left w:val="single" w:color="000000" w:sz="6" w:space="0"/>
              <w:bottom w:val="single" w:color="000000" w:sz="6" w:space="0"/>
            </w:tcBorders>
            <w:vAlign w:val="center"/>
          </w:tcPr>
          <w:p>
            <w:pPr>
              <w:pStyle w:val="26"/>
              <w:jc w:val="both"/>
              <w:rPr>
                <w:rFonts w:hint="eastAsia" w:ascii="仿宋" w:hAnsi="仿宋" w:eastAsia="仿宋" w:cs="仿宋"/>
                <w:sz w:val="21"/>
                <w:szCs w:val="21"/>
                <w:highlight w:val="none"/>
              </w:rPr>
            </w:pPr>
          </w:p>
        </w:tc>
      </w:tr>
      <w:tr>
        <w:tblPrEx>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CellMar>
            <w:top w:w="0" w:type="dxa"/>
            <w:left w:w="0" w:type="dxa"/>
            <w:bottom w:w="0" w:type="dxa"/>
            <w:right w:w="0" w:type="dxa"/>
          </w:tblCellMar>
        </w:tblPrEx>
        <w:trPr>
          <w:trHeight w:val="680" w:hRule="atLeast"/>
          <w:jc w:val="center"/>
        </w:trPr>
        <w:tc>
          <w:tcPr>
            <w:tcW w:w="2149" w:type="dxa"/>
            <w:tcBorders>
              <w:top w:val="single" w:color="000000" w:sz="6" w:space="0"/>
              <w:bottom w:val="single" w:color="000000" w:sz="6" w:space="0"/>
              <w:right w:val="single" w:color="000000" w:sz="6" w:space="0"/>
            </w:tcBorders>
            <w:vAlign w:val="center"/>
          </w:tcPr>
          <w:p>
            <w:pPr>
              <w:widowControl/>
              <w:jc w:val="center"/>
              <w:rPr>
                <w:rFonts w:hint="eastAsia" w:ascii="仿宋" w:hAnsi="仿宋" w:eastAsia="仿宋" w:cs="仿宋"/>
                <w:sz w:val="21"/>
                <w:szCs w:val="21"/>
                <w:highlight w:val="none"/>
                <w:lang w:val="en-US" w:eastAsia="zh-CN"/>
              </w:rPr>
            </w:pPr>
            <w:r>
              <w:rPr>
                <w:rFonts w:hint="eastAsia" w:ascii="仿宋" w:hAnsi="仿宋" w:eastAsia="仿宋" w:cs="仿宋"/>
                <w:kern w:val="0"/>
                <w:sz w:val="22"/>
                <w:szCs w:val="22"/>
                <w:highlight w:val="none"/>
                <w:lang w:val="en-US" w:eastAsia="zh-CN"/>
              </w:rPr>
              <w:t>鹌鹑蛋（熟）</w:t>
            </w:r>
          </w:p>
        </w:tc>
        <w:tc>
          <w:tcPr>
            <w:tcW w:w="1561" w:type="dxa"/>
            <w:tcBorders>
              <w:top w:val="single" w:color="000000" w:sz="6" w:space="0"/>
              <w:left w:val="single" w:color="000000" w:sz="6" w:space="0"/>
              <w:bottom w:val="single" w:color="000000" w:sz="6" w:space="0"/>
              <w:right w:val="single" w:color="000000" w:sz="6" w:space="0"/>
            </w:tcBorders>
            <w:vAlign w:val="center"/>
          </w:tcPr>
          <w:p>
            <w:pPr>
              <w:pStyle w:val="26"/>
              <w:jc w:val="both"/>
              <w:rPr>
                <w:rFonts w:hint="eastAsia" w:ascii="仿宋" w:hAnsi="仿宋" w:eastAsia="仿宋" w:cs="仿宋"/>
                <w:spacing w:val="-3"/>
                <w:sz w:val="21"/>
                <w:szCs w:val="21"/>
                <w:highlight w:val="none"/>
                <w:lang w:val="en-US" w:eastAsia="zh-CN"/>
              </w:rPr>
            </w:pPr>
            <w:r>
              <w:rPr>
                <w:rFonts w:hint="eastAsia" w:ascii="仿宋" w:hAnsi="仿宋" w:eastAsia="仿宋" w:cs="仿宋"/>
                <w:spacing w:val="-3"/>
                <w:sz w:val="21"/>
                <w:szCs w:val="21"/>
                <w:highlight w:val="none"/>
                <w:lang w:val="en-US" w:eastAsia="zh-CN"/>
              </w:rPr>
              <w:t xml:space="preserve">         元</w:t>
            </w:r>
          </w:p>
        </w:tc>
        <w:tc>
          <w:tcPr>
            <w:tcW w:w="2269" w:type="dxa"/>
            <w:tcBorders>
              <w:top w:val="single" w:color="000000" w:sz="6" w:space="0"/>
              <w:left w:val="single" w:color="000000" w:sz="6" w:space="0"/>
              <w:bottom w:val="single" w:color="000000" w:sz="6" w:space="0"/>
              <w:right w:val="single" w:color="000000" w:sz="6" w:space="0"/>
            </w:tcBorders>
            <w:vAlign w:val="center"/>
          </w:tcPr>
          <w:p>
            <w:pPr>
              <w:pStyle w:val="26"/>
              <w:spacing w:before="5"/>
              <w:ind w:left="8"/>
              <w:jc w:val="both"/>
              <w:rPr>
                <w:rFonts w:hint="eastAsia" w:ascii="仿宋" w:hAnsi="仿宋" w:eastAsia="仿宋" w:cs="仿宋"/>
                <w:sz w:val="21"/>
                <w:szCs w:val="21"/>
                <w:highlight w:val="none"/>
              </w:rPr>
            </w:pPr>
          </w:p>
        </w:tc>
        <w:tc>
          <w:tcPr>
            <w:tcW w:w="1703" w:type="dxa"/>
            <w:tcBorders>
              <w:top w:val="single" w:color="000000" w:sz="6" w:space="0"/>
              <w:left w:val="single" w:color="000000" w:sz="6" w:space="0"/>
              <w:bottom w:val="single" w:color="000000" w:sz="6" w:space="0"/>
              <w:right w:val="single" w:color="000000" w:sz="6" w:space="0"/>
            </w:tcBorders>
            <w:vAlign w:val="center"/>
          </w:tcPr>
          <w:p>
            <w:pPr>
              <w:pStyle w:val="26"/>
              <w:spacing w:before="5"/>
              <w:ind w:left="620" w:right="608"/>
              <w:jc w:val="both"/>
              <w:rPr>
                <w:rFonts w:hint="eastAsia" w:ascii="仿宋" w:hAnsi="仿宋" w:eastAsia="仿宋" w:cs="仿宋"/>
                <w:sz w:val="21"/>
                <w:szCs w:val="21"/>
                <w:highlight w:val="none"/>
              </w:rPr>
            </w:pPr>
          </w:p>
        </w:tc>
        <w:tc>
          <w:tcPr>
            <w:tcW w:w="1393" w:type="dxa"/>
            <w:tcBorders>
              <w:top w:val="single" w:color="000000" w:sz="6" w:space="0"/>
              <w:left w:val="single" w:color="000000" w:sz="6" w:space="0"/>
              <w:bottom w:val="single" w:color="000000" w:sz="6" w:space="0"/>
            </w:tcBorders>
            <w:vAlign w:val="center"/>
          </w:tcPr>
          <w:p>
            <w:pPr>
              <w:pStyle w:val="26"/>
              <w:jc w:val="both"/>
              <w:rPr>
                <w:rFonts w:hint="eastAsia" w:ascii="仿宋" w:hAnsi="仿宋" w:eastAsia="仿宋" w:cs="仿宋"/>
                <w:sz w:val="21"/>
                <w:szCs w:val="21"/>
                <w:highlight w:val="none"/>
              </w:rPr>
            </w:pPr>
          </w:p>
        </w:tc>
      </w:tr>
      <w:tr>
        <w:tblPrEx>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CellMar>
            <w:top w:w="0" w:type="dxa"/>
            <w:left w:w="0" w:type="dxa"/>
            <w:bottom w:w="0" w:type="dxa"/>
            <w:right w:w="0" w:type="dxa"/>
          </w:tblCellMar>
        </w:tblPrEx>
        <w:trPr>
          <w:trHeight w:val="680" w:hRule="atLeast"/>
          <w:jc w:val="center"/>
        </w:trPr>
        <w:tc>
          <w:tcPr>
            <w:tcW w:w="2149" w:type="dxa"/>
            <w:tcBorders>
              <w:top w:val="single" w:color="000000" w:sz="6" w:space="0"/>
              <w:bottom w:val="single" w:color="000000" w:sz="6" w:space="0"/>
              <w:right w:val="single" w:color="000000" w:sz="6" w:space="0"/>
            </w:tcBorders>
            <w:vAlign w:val="center"/>
          </w:tcPr>
          <w:p>
            <w:pPr>
              <w:widowControl/>
              <w:jc w:val="center"/>
              <w:rPr>
                <w:rFonts w:hint="eastAsia" w:ascii="仿宋" w:hAnsi="仿宋" w:eastAsia="仿宋" w:cs="仿宋"/>
                <w:sz w:val="21"/>
                <w:szCs w:val="21"/>
                <w:highlight w:val="none"/>
                <w:lang w:val="en-US" w:eastAsia="zh-CN"/>
              </w:rPr>
            </w:pPr>
          </w:p>
        </w:tc>
        <w:tc>
          <w:tcPr>
            <w:tcW w:w="1561" w:type="dxa"/>
            <w:tcBorders>
              <w:top w:val="single" w:color="000000" w:sz="6" w:space="0"/>
              <w:left w:val="single" w:color="000000" w:sz="6" w:space="0"/>
              <w:bottom w:val="single" w:color="000000" w:sz="6" w:space="0"/>
              <w:right w:val="single" w:color="000000" w:sz="6" w:space="0"/>
            </w:tcBorders>
            <w:vAlign w:val="center"/>
          </w:tcPr>
          <w:p>
            <w:pPr>
              <w:pStyle w:val="26"/>
              <w:jc w:val="both"/>
              <w:rPr>
                <w:rFonts w:hint="eastAsia" w:ascii="仿宋" w:hAnsi="仿宋" w:eastAsia="仿宋" w:cs="仿宋"/>
                <w:spacing w:val="-3"/>
                <w:sz w:val="21"/>
                <w:szCs w:val="21"/>
                <w:highlight w:val="none"/>
                <w:lang w:val="en-US" w:eastAsia="zh-CN"/>
              </w:rPr>
            </w:pPr>
          </w:p>
        </w:tc>
        <w:tc>
          <w:tcPr>
            <w:tcW w:w="2269" w:type="dxa"/>
            <w:tcBorders>
              <w:top w:val="single" w:color="000000" w:sz="6" w:space="0"/>
              <w:left w:val="single" w:color="000000" w:sz="6" w:space="0"/>
              <w:bottom w:val="single" w:color="000000" w:sz="6" w:space="0"/>
              <w:right w:val="single" w:color="000000" w:sz="6" w:space="0"/>
            </w:tcBorders>
            <w:vAlign w:val="center"/>
          </w:tcPr>
          <w:p>
            <w:pPr>
              <w:pStyle w:val="26"/>
              <w:spacing w:before="5"/>
              <w:ind w:left="8"/>
              <w:jc w:val="both"/>
              <w:rPr>
                <w:rFonts w:hint="eastAsia" w:ascii="仿宋" w:hAnsi="仿宋" w:eastAsia="仿宋" w:cs="仿宋"/>
                <w:sz w:val="21"/>
                <w:szCs w:val="21"/>
                <w:highlight w:val="none"/>
              </w:rPr>
            </w:pPr>
          </w:p>
        </w:tc>
        <w:tc>
          <w:tcPr>
            <w:tcW w:w="1703" w:type="dxa"/>
            <w:tcBorders>
              <w:top w:val="single" w:color="000000" w:sz="6" w:space="0"/>
              <w:left w:val="single" w:color="000000" w:sz="6" w:space="0"/>
              <w:bottom w:val="single" w:color="000000" w:sz="6" w:space="0"/>
              <w:right w:val="single" w:color="000000" w:sz="6" w:space="0"/>
            </w:tcBorders>
            <w:vAlign w:val="center"/>
          </w:tcPr>
          <w:p>
            <w:pPr>
              <w:pStyle w:val="26"/>
              <w:spacing w:before="5"/>
              <w:ind w:left="620" w:right="608"/>
              <w:jc w:val="both"/>
              <w:rPr>
                <w:rFonts w:hint="eastAsia" w:ascii="仿宋" w:hAnsi="仿宋" w:eastAsia="仿宋" w:cs="仿宋"/>
                <w:sz w:val="21"/>
                <w:szCs w:val="21"/>
                <w:highlight w:val="none"/>
              </w:rPr>
            </w:pPr>
          </w:p>
        </w:tc>
        <w:tc>
          <w:tcPr>
            <w:tcW w:w="1393" w:type="dxa"/>
            <w:tcBorders>
              <w:top w:val="single" w:color="000000" w:sz="6" w:space="0"/>
              <w:left w:val="single" w:color="000000" w:sz="6" w:space="0"/>
              <w:bottom w:val="single" w:color="000000" w:sz="6" w:space="0"/>
            </w:tcBorders>
            <w:vAlign w:val="center"/>
          </w:tcPr>
          <w:p>
            <w:pPr>
              <w:pStyle w:val="26"/>
              <w:jc w:val="both"/>
              <w:rPr>
                <w:rFonts w:hint="eastAsia" w:ascii="仿宋" w:hAnsi="仿宋" w:eastAsia="仿宋" w:cs="仿宋"/>
                <w:sz w:val="21"/>
                <w:szCs w:val="21"/>
                <w:highlight w:val="none"/>
              </w:rPr>
            </w:pPr>
          </w:p>
        </w:tc>
      </w:tr>
      <w:tr>
        <w:tblPrEx>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CellMar>
            <w:top w:w="0" w:type="dxa"/>
            <w:left w:w="0" w:type="dxa"/>
            <w:bottom w:w="0" w:type="dxa"/>
            <w:right w:w="0" w:type="dxa"/>
          </w:tblCellMar>
        </w:tblPrEx>
        <w:trPr>
          <w:trHeight w:val="680" w:hRule="atLeast"/>
          <w:jc w:val="center"/>
        </w:trPr>
        <w:tc>
          <w:tcPr>
            <w:tcW w:w="2149" w:type="dxa"/>
            <w:tcBorders>
              <w:top w:val="single" w:color="000000" w:sz="6" w:space="0"/>
              <w:bottom w:val="single" w:color="000000" w:sz="6" w:space="0"/>
              <w:right w:val="single" w:color="000000" w:sz="6" w:space="0"/>
            </w:tcBorders>
            <w:vAlign w:val="center"/>
          </w:tcPr>
          <w:p>
            <w:pPr>
              <w:widowControl/>
              <w:jc w:val="center"/>
              <w:rPr>
                <w:rFonts w:hint="eastAsia" w:ascii="仿宋" w:hAnsi="仿宋" w:eastAsia="仿宋" w:cs="仿宋"/>
                <w:sz w:val="21"/>
                <w:szCs w:val="21"/>
                <w:highlight w:val="none"/>
                <w:lang w:val="en-US" w:eastAsia="zh-CN"/>
              </w:rPr>
            </w:pPr>
          </w:p>
        </w:tc>
        <w:tc>
          <w:tcPr>
            <w:tcW w:w="1561" w:type="dxa"/>
            <w:tcBorders>
              <w:top w:val="single" w:color="000000" w:sz="6" w:space="0"/>
              <w:left w:val="single" w:color="000000" w:sz="6" w:space="0"/>
              <w:bottom w:val="single" w:color="000000" w:sz="6" w:space="0"/>
              <w:right w:val="single" w:color="000000" w:sz="6" w:space="0"/>
            </w:tcBorders>
            <w:vAlign w:val="center"/>
          </w:tcPr>
          <w:p>
            <w:pPr>
              <w:pStyle w:val="26"/>
              <w:jc w:val="both"/>
              <w:rPr>
                <w:rFonts w:hint="eastAsia" w:ascii="仿宋" w:hAnsi="仿宋" w:eastAsia="仿宋" w:cs="仿宋"/>
                <w:spacing w:val="-3"/>
                <w:sz w:val="21"/>
                <w:szCs w:val="21"/>
                <w:highlight w:val="none"/>
                <w:lang w:val="en-US" w:eastAsia="zh-CN"/>
              </w:rPr>
            </w:pPr>
          </w:p>
        </w:tc>
        <w:tc>
          <w:tcPr>
            <w:tcW w:w="2269" w:type="dxa"/>
            <w:tcBorders>
              <w:top w:val="single" w:color="000000" w:sz="6" w:space="0"/>
              <w:left w:val="single" w:color="000000" w:sz="6" w:space="0"/>
              <w:bottom w:val="single" w:color="000000" w:sz="6" w:space="0"/>
              <w:right w:val="single" w:color="000000" w:sz="6" w:space="0"/>
            </w:tcBorders>
            <w:vAlign w:val="center"/>
          </w:tcPr>
          <w:p>
            <w:pPr>
              <w:pStyle w:val="26"/>
              <w:spacing w:before="5"/>
              <w:ind w:left="8"/>
              <w:jc w:val="both"/>
              <w:rPr>
                <w:rFonts w:hint="eastAsia" w:ascii="仿宋" w:hAnsi="仿宋" w:eastAsia="仿宋" w:cs="仿宋"/>
                <w:sz w:val="21"/>
                <w:szCs w:val="21"/>
                <w:highlight w:val="none"/>
              </w:rPr>
            </w:pPr>
          </w:p>
        </w:tc>
        <w:tc>
          <w:tcPr>
            <w:tcW w:w="1703" w:type="dxa"/>
            <w:tcBorders>
              <w:top w:val="single" w:color="000000" w:sz="6" w:space="0"/>
              <w:left w:val="single" w:color="000000" w:sz="6" w:space="0"/>
              <w:bottom w:val="single" w:color="000000" w:sz="6" w:space="0"/>
              <w:right w:val="single" w:color="000000" w:sz="6" w:space="0"/>
            </w:tcBorders>
            <w:vAlign w:val="center"/>
          </w:tcPr>
          <w:p>
            <w:pPr>
              <w:pStyle w:val="26"/>
              <w:spacing w:before="5"/>
              <w:ind w:left="620" w:right="608"/>
              <w:jc w:val="both"/>
              <w:rPr>
                <w:rFonts w:hint="eastAsia" w:ascii="仿宋" w:hAnsi="仿宋" w:eastAsia="仿宋" w:cs="仿宋"/>
                <w:sz w:val="21"/>
                <w:szCs w:val="21"/>
                <w:highlight w:val="none"/>
              </w:rPr>
            </w:pPr>
          </w:p>
        </w:tc>
        <w:tc>
          <w:tcPr>
            <w:tcW w:w="1393" w:type="dxa"/>
            <w:tcBorders>
              <w:top w:val="single" w:color="000000" w:sz="6" w:space="0"/>
              <w:left w:val="single" w:color="000000" w:sz="6" w:space="0"/>
              <w:bottom w:val="single" w:color="000000" w:sz="6" w:space="0"/>
            </w:tcBorders>
            <w:vAlign w:val="center"/>
          </w:tcPr>
          <w:p>
            <w:pPr>
              <w:pStyle w:val="26"/>
              <w:jc w:val="both"/>
              <w:rPr>
                <w:rFonts w:hint="eastAsia" w:ascii="仿宋" w:hAnsi="仿宋" w:eastAsia="仿宋" w:cs="仿宋"/>
                <w:sz w:val="21"/>
                <w:szCs w:val="21"/>
                <w:highlight w:val="none"/>
              </w:rPr>
            </w:pPr>
          </w:p>
        </w:tc>
      </w:tr>
      <w:tr>
        <w:tblPrEx>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CellMar>
            <w:top w:w="0" w:type="dxa"/>
            <w:left w:w="0" w:type="dxa"/>
            <w:bottom w:w="0" w:type="dxa"/>
            <w:right w:w="0" w:type="dxa"/>
          </w:tblCellMar>
        </w:tblPrEx>
        <w:trPr>
          <w:trHeight w:val="680" w:hRule="atLeast"/>
          <w:jc w:val="center"/>
        </w:trPr>
        <w:tc>
          <w:tcPr>
            <w:tcW w:w="2149" w:type="dxa"/>
            <w:tcBorders>
              <w:top w:val="single" w:color="000000" w:sz="6" w:space="0"/>
              <w:bottom w:val="single" w:color="000000" w:sz="6" w:space="0"/>
              <w:right w:val="single" w:color="000000" w:sz="6" w:space="0"/>
            </w:tcBorders>
            <w:vAlign w:val="center"/>
          </w:tcPr>
          <w:p>
            <w:pPr>
              <w:pStyle w:val="26"/>
              <w:spacing w:before="99" w:line="244" w:lineRule="auto"/>
              <w:ind w:left="92" w:right="130"/>
              <w:jc w:val="both"/>
              <w:rPr>
                <w:rFonts w:hint="eastAsia" w:ascii="仿宋" w:hAnsi="仿宋" w:eastAsia="仿宋" w:cs="仿宋"/>
                <w:sz w:val="21"/>
                <w:szCs w:val="21"/>
                <w:highlight w:val="none"/>
                <w:lang w:val="en-US" w:eastAsia="zh-CN"/>
              </w:rPr>
            </w:pPr>
          </w:p>
        </w:tc>
        <w:tc>
          <w:tcPr>
            <w:tcW w:w="1561" w:type="dxa"/>
            <w:tcBorders>
              <w:top w:val="single" w:color="000000" w:sz="6" w:space="0"/>
              <w:left w:val="single" w:color="000000" w:sz="6" w:space="0"/>
              <w:bottom w:val="single" w:color="000000" w:sz="6" w:space="0"/>
              <w:right w:val="single" w:color="000000" w:sz="6" w:space="0"/>
            </w:tcBorders>
            <w:vAlign w:val="center"/>
          </w:tcPr>
          <w:p>
            <w:pPr>
              <w:pStyle w:val="26"/>
              <w:jc w:val="both"/>
              <w:rPr>
                <w:rFonts w:hint="eastAsia" w:ascii="仿宋" w:hAnsi="仿宋" w:eastAsia="仿宋" w:cs="仿宋"/>
                <w:spacing w:val="-3"/>
                <w:sz w:val="21"/>
                <w:szCs w:val="21"/>
                <w:highlight w:val="none"/>
                <w:lang w:val="en-US" w:eastAsia="zh-CN"/>
              </w:rPr>
            </w:pPr>
          </w:p>
        </w:tc>
        <w:tc>
          <w:tcPr>
            <w:tcW w:w="2269" w:type="dxa"/>
            <w:tcBorders>
              <w:top w:val="single" w:color="000000" w:sz="6" w:space="0"/>
              <w:left w:val="single" w:color="000000" w:sz="6" w:space="0"/>
              <w:bottom w:val="single" w:color="000000" w:sz="6" w:space="0"/>
              <w:right w:val="single" w:color="000000" w:sz="6" w:space="0"/>
            </w:tcBorders>
            <w:vAlign w:val="center"/>
          </w:tcPr>
          <w:p>
            <w:pPr>
              <w:pStyle w:val="26"/>
              <w:spacing w:before="5"/>
              <w:ind w:left="8"/>
              <w:jc w:val="both"/>
              <w:rPr>
                <w:rFonts w:hint="eastAsia" w:ascii="仿宋" w:hAnsi="仿宋" w:eastAsia="仿宋" w:cs="仿宋"/>
                <w:sz w:val="21"/>
                <w:szCs w:val="21"/>
                <w:highlight w:val="none"/>
              </w:rPr>
            </w:pPr>
          </w:p>
        </w:tc>
        <w:tc>
          <w:tcPr>
            <w:tcW w:w="1703" w:type="dxa"/>
            <w:tcBorders>
              <w:top w:val="single" w:color="000000" w:sz="6" w:space="0"/>
              <w:left w:val="single" w:color="000000" w:sz="6" w:space="0"/>
              <w:bottom w:val="single" w:color="000000" w:sz="6" w:space="0"/>
              <w:right w:val="single" w:color="000000" w:sz="6" w:space="0"/>
            </w:tcBorders>
            <w:vAlign w:val="center"/>
          </w:tcPr>
          <w:p>
            <w:pPr>
              <w:pStyle w:val="26"/>
              <w:spacing w:before="5"/>
              <w:ind w:left="620" w:right="608"/>
              <w:jc w:val="both"/>
              <w:rPr>
                <w:rFonts w:hint="eastAsia" w:ascii="仿宋" w:hAnsi="仿宋" w:eastAsia="仿宋" w:cs="仿宋"/>
                <w:sz w:val="21"/>
                <w:szCs w:val="21"/>
                <w:highlight w:val="none"/>
              </w:rPr>
            </w:pPr>
          </w:p>
        </w:tc>
        <w:tc>
          <w:tcPr>
            <w:tcW w:w="1393" w:type="dxa"/>
            <w:tcBorders>
              <w:top w:val="single" w:color="000000" w:sz="6" w:space="0"/>
              <w:left w:val="single" w:color="000000" w:sz="6" w:space="0"/>
              <w:bottom w:val="single" w:color="000000" w:sz="6" w:space="0"/>
            </w:tcBorders>
            <w:vAlign w:val="center"/>
          </w:tcPr>
          <w:p>
            <w:pPr>
              <w:pStyle w:val="26"/>
              <w:jc w:val="both"/>
              <w:rPr>
                <w:rFonts w:hint="eastAsia" w:ascii="仿宋" w:hAnsi="仿宋" w:eastAsia="仿宋" w:cs="仿宋"/>
                <w:sz w:val="21"/>
                <w:szCs w:val="21"/>
                <w:highlight w:val="none"/>
              </w:rPr>
            </w:pPr>
          </w:p>
        </w:tc>
      </w:tr>
      <w:tr>
        <w:tblPrEx>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CellMar>
            <w:top w:w="0" w:type="dxa"/>
            <w:left w:w="0" w:type="dxa"/>
            <w:bottom w:w="0" w:type="dxa"/>
            <w:right w:w="0" w:type="dxa"/>
          </w:tblCellMar>
        </w:tblPrEx>
        <w:trPr>
          <w:trHeight w:val="680" w:hRule="atLeast"/>
          <w:jc w:val="center"/>
        </w:trPr>
        <w:tc>
          <w:tcPr>
            <w:tcW w:w="2149" w:type="dxa"/>
            <w:tcBorders>
              <w:top w:val="single" w:color="000000" w:sz="6" w:space="0"/>
              <w:bottom w:val="single" w:color="000000" w:sz="6" w:space="0"/>
              <w:right w:val="single" w:color="000000" w:sz="6" w:space="0"/>
            </w:tcBorders>
            <w:vAlign w:val="center"/>
          </w:tcPr>
          <w:p>
            <w:pPr>
              <w:pStyle w:val="26"/>
              <w:spacing w:before="99" w:line="244" w:lineRule="auto"/>
              <w:ind w:left="92" w:right="130"/>
              <w:jc w:val="both"/>
              <w:rPr>
                <w:rFonts w:hint="eastAsia" w:ascii="仿宋" w:hAnsi="仿宋" w:eastAsia="仿宋" w:cs="仿宋"/>
                <w:sz w:val="21"/>
                <w:szCs w:val="21"/>
                <w:highlight w:val="none"/>
                <w:lang w:val="en-US" w:eastAsia="zh-CN"/>
              </w:rPr>
            </w:pPr>
          </w:p>
        </w:tc>
        <w:tc>
          <w:tcPr>
            <w:tcW w:w="1561" w:type="dxa"/>
            <w:tcBorders>
              <w:top w:val="single" w:color="000000" w:sz="6" w:space="0"/>
              <w:left w:val="single" w:color="000000" w:sz="6" w:space="0"/>
              <w:bottom w:val="single" w:color="000000" w:sz="6" w:space="0"/>
              <w:right w:val="single" w:color="000000" w:sz="6" w:space="0"/>
            </w:tcBorders>
            <w:vAlign w:val="center"/>
          </w:tcPr>
          <w:p>
            <w:pPr>
              <w:pStyle w:val="26"/>
              <w:jc w:val="both"/>
              <w:rPr>
                <w:rFonts w:hint="eastAsia" w:ascii="仿宋" w:hAnsi="仿宋" w:eastAsia="仿宋" w:cs="仿宋"/>
                <w:spacing w:val="-3"/>
                <w:sz w:val="21"/>
                <w:szCs w:val="21"/>
                <w:highlight w:val="none"/>
                <w:lang w:val="en-US" w:eastAsia="zh-CN"/>
              </w:rPr>
            </w:pPr>
          </w:p>
        </w:tc>
        <w:tc>
          <w:tcPr>
            <w:tcW w:w="2269" w:type="dxa"/>
            <w:tcBorders>
              <w:top w:val="single" w:color="000000" w:sz="6" w:space="0"/>
              <w:left w:val="single" w:color="000000" w:sz="6" w:space="0"/>
              <w:bottom w:val="single" w:color="000000" w:sz="6" w:space="0"/>
              <w:right w:val="single" w:color="000000" w:sz="6" w:space="0"/>
            </w:tcBorders>
            <w:vAlign w:val="center"/>
          </w:tcPr>
          <w:p>
            <w:pPr>
              <w:pStyle w:val="26"/>
              <w:spacing w:before="5"/>
              <w:ind w:left="8"/>
              <w:jc w:val="both"/>
              <w:rPr>
                <w:rFonts w:hint="eastAsia" w:ascii="仿宋" w:hAnsi="仿宋" w:eastAsia="仿宋" w:cs="仿宋"/>
                <w:sz w:val="21"/>
                <w:szCs w:val="21"/>
                <w:highlight w:val="none"/>
              </w:rPr>
            </w:pPr>
          </w:p>
        </w:tc>
        <w:tc>
          <w:tcPr>
            <w:tcW w:w="1703" w:type="dxa"/>
            <w:tcBorders>
              <w:top w:val="single" w:color="000000" w:sz="6" w:space="0"/>
              <w:left w:val="single" w:color="000000" w:sz="6" w:space="0"/>
              <w:bottom w:val="single" w:color="000000" w:sz="6" w:space="0"/>
              <w:right w:val="single" w:color="000000" w:sz="6" w:space="0"/>
            </w:tcBorders>
            <w:vAlign w:val="center"/>
          </w:tcPr>
          <w:p>
            <w:pPr>
              <w:pStyle w:val="26"/>
              <w:spacing w:before="5"/>
              <w:ind w:left="620" w:right="608"/>
              <w:jc w:val="both"/>
              <w:rPr>
                <w:rFonts w:hint="eastAsia" w:ascii="仿宋" w:hAnsi="仿宋" w:eastAsia="仿宋" w:cs="仿宋"/>
                <w:sz w:val="21"/>
                <w:szCs w:val="21"/>
                <w:highlight w:val="none"/>
              </w:rPr>
            </w:pPr>
          </w:p>
        </w:tc>
        <w:tc>
          <w:tcPr>
            <w:tcW w:w="1393" w:type="dxa"/>
            <w:tcBorders>
              <w:top w:val="single" w:color="000000" w:sz="6" w:space="0"/>
              <w:left w:val="single" w:color="000000" w:sz="6" w:space="0"/>
              <w:bottom w:val="single" w:color="000000" w:sz="6" w:space="0"/>
            </w:tcBorders>
            <w:vAlign w:val="center"/>
          </w:tcPr>
          <w:p>
            <w:pPr>
              <w:pStyle w:val="26"/>
              <w:jc w:val="both"/>
              <w:rPr>
                <w:rFonts w:hint="eastAsia" w:ascii="仿宋" w:hAnsi="仿宋" w:eastAsia="仿宋" w:cs="仿宋"/>
                <w:sz w:val="21"/>
                <w:szCs w:val="21"/>
                <w:highlight w:val="none"/>
              </w:rPr>
            </w:pPr>
          </w:p>
        </w:tc>
      </w:tr>
      <w:tr>
        <w:tblPrEx>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CellMar>
            <w:top w:w="0" w:type="dxa"/>
            <w:left w:w="0" w:type="dxa"/>
            <w:bottom w:w="0" w:type="dxa"/>
            <w:right w:w="0" w:type="dxa"/>
          </w:tblCellMar>
        </w:tblPrEx>
        <w:trPr>
          <w:trHeight w:val="553" w:hRule="atLeast"/>
          <w:jc w:val="center"/>
        </w:trPr>
        <w:tc>
          <w:tcPr>
            <w:tcW w:w="2149" w:type="dxa"/>
            <w:tcBorders>
              <w:top w:val="single" w:color="000000" w:sz="6" w:space="0"/>
              <w:right w:val="single" w:color="000000" w:sz="6" w:space="0"/>
            </w:tcBorders>
          </w:tcPr>
          <w:p>
            <w:pPr>
              <w:pStyle w:val="26"/>
              <w:spacing w:before="142"/>
              <w:ind w:left="92"/>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备注：</w:t>
            </w:r>
          </w:p>
        </w:tc>
        <w:tc>
          <w:tcPr>
            <w:tcW w:w="6926" w:type="dxa"/>
            <w:gridSpan w:val="4"/>
            <w:tcBorders>
              <w:top w:val="single" w:color="000000" w:sz="6" w:space="0"/>
              <w:left w:val="single" w:color="000000" w:sz="6" w:space="0"/>
            </w:tcBorders>
          </w:tcPr>
          <w:p>
            <w:pPr>
              <w:pStyle w:val="26"/>
              <w:tabs>
                <w:tab w:val="left" w:pos="1837"/>
                <w:tab w:val="left" w:pos="2313"/>
                <w:tab w:val="left" w:pos="4040"/>
              </w:tabs>
              <w:spacing w:before="142"/>
              <w:ind w:left="107"/>
              <w:rPr>
                <w:rFonts w:hint="eastAsia" w:ascii="仿宋" w:hAnsi="仿宋" w:eastAsia="仿宋" w:cs="仿宋"/>
                <w:sz w:val="21"/>
                <w:szCs w:val="21"/>
                <w:highlight w:val="none"/>
              </w:rPr>
            </w:pPr>
          </w:p>
        </w:tc>
      </w:tr>
    </w:tbl>
    <w:p>
      <w:pPr>
        <w:pStyle w:val="17"/>
        <w:rPr>
          <w:rFonts w:hint="eastAsia" w:ascii="仿宋" w:hAnsi="仿宋" w:eastAsia="仿宋" w:cs="仿宋"/>
          <w:highlight w:val="none"/>
          <w:lang w:val="en-US" w:eastAsia="zh-CN"/>
        </w:rPr>
      </w:pPr>
    </w:p>
    <w:p>
      <w:pPr>
        <w:pStyle w:val="17"/>
        <w:rPr>
          <w:rFonts w:hint="eastAsia" w:ascii="仿宋" w:hAnsi="仿宋" w:eastAsia="仿宋" w:cs="仿宋"/>
          <w:highlight w:val="none"/>
          <w:lang w:val="en-US" w:eastAsia="zh-CN"/>
        </w:rPr>
      </w:pPr>
      <w:r>
        <w:rPr>
          <w:rFonts w:hint="eastAsia" w:ascii="仿宋" w:hAnsi="仿宋" w:eastAsia="仿宋" w:cs="仿宋"/>
          <w:highlight w:val="none"/>
          <w:lang w:val="en-US" w:eastAsia="zh-CN"/>
        </w:rPr>
        <w:t>注：1.此表中，每包的投标报价应和《投标分项报价表》中的总价相一致。</w:t>
      </w:r>
    </w:p>
    <w:p>
      <w:pPr>
        <w:pStyle w:val="17"/>
        <w:outlineLvl w:val="1"/>
        <w:rPr>
          <w:rFonts w:hint="eastAsia" w:ascii="仿宋" w:hAnsi="仿宋" w:eastAsia="仿宋" w:cs="仿宋"/>
          <w:highlight w:val="none"/>
          <w:lang w:val="en-US" w:eastAsia="zh-CN"/>
        </w:rPr>
      </w:pPr>
      <w:bookmarkStart w:id="52" w:name="_Toc31128"/>
      <w:r>
        <w:rPr>
          <w:rFonts w:hint="eastAsia" w:ascii="仿宋" w:hAnsi="仿宋" w:eastAsia="仿宋" w:cs="仿宋"/>
          <w:highlight w:val="none"/>
          <w:lang w:val="en-US" w:eastAsia="zh-CN"/>
        </w:rPr>
        <w:t>2.本表必须按包分别填写。</w:t>
      </w:r>
      <w:bookmarkEnd w:id="52"/>
    </w:p>
    <w:p>
      <w:pPr>
        <w:pStyle w:val="17"/>
        <w:rPr>
          <w:rFonts w:hint="eastAsia" w:ascii="仿宋" w:hAnsi="仿宋" w:eastAsia="仿宋" w:cs="仿宋"/>
          <w:highlight w:val="none"/>
          <w:lang w:val="en-US" w:eastAsia="zh-CN"/>
        </w:rPr>
      </w:pPr>
    </w:p>
    <w:p>
      <w:pPr>
        <w:pStyle w:val="17"/>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投标人名称（加盖公章）：</w:t>
      </w:r>
      <w:r>
        <w:rPr>
          <w:rFonts w:hint="eastAsia" w:ascii="仿宋" w:hAnsi="仿宋" w:eastAsia="仿宋" w:cs="仿宋"/>
          <w:sz w:val="24"/>
          <w:szCs w:val="24"/>
          <w:highlight w:val="none"/>
          <w:u w:val="single"/>
          <w:lang w:val="en-US" w:eastAsia="zh-CN"/>
        </w:rPr>
        <w:t xml:space="preserve">             </w:t>
      </w:r>
    </w:p>
    <w:p>
      <w:pPr>
        <w:pStyle w:val="17"/>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日期：</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日</w:t>
      </w:r>
    </w:p>
    <w:p>
      <w:pPr>
        <w:pStyle w:val="14"/>
        <w:rPr>
          <w:rFonts w:hint="eastAsia" w:ascii="仿宋" w:hAnsi="仿宋" w:eastAsia="仿宋" w:cs="仿宋"/>
          <w:highlight w:val="none"/>
          <w:lang w:val="en-US" w:eastAsia="zh-CN"/>
        </w:rPr>
      </w:pPr>
    </w:p>
    <w:p>
      <w:pPr>
        <w:rPr>
          <w:rFonts w:hint="eastAsia" w:ascii="仿宋" w:hAnsi="仿宋" w:eastAsia="仿宋" w:cs="仿宋"/>
          <w:highlight w:val="none"/>
          <w:lang w:val="en-US" w:eastAsia="zh-CN"/>
        </w:rPr>
      </w:pPr>
      <w:r>
        <w:rPr>
          <w:rFonts w:hint="eastAsia" w:ascii="仿宋" w:hAnsi="仿宋" w:eastAsia="仿宋" w:cs="仿宋"/>
          <w:highlight w:val="none"/>
          <w:lang w:val="en-US" w:eastAsia="zh-CN"/>
        </w:rPr>
        <w:br w:type="page"/>
      </w:r>
    </w:p>
    <w:p>
      <w:pPr>
        <w:pStyle w:val="18"/>
        <w:ind w:left="0" w:leftChars="0" w:firstLine="0" w:firstLineChars="0"/>
        <w:outlineLvl w:val="1"/>
        <w:rPr>
          <w:rFonts w:hint="eastAsia" w:ascii="仿宋" w:hAnsi="仿宋" w:eastAsia="仿宋" w:cs="仿宋"/>
          <w:sz w:val="24"/>
          <w:szCs w:val="24"/>
          <w:highlight w:val="none"/>
          <w:lang w:val="en-US" w:eastAsia="zh-CN"/>
        </w:rPr>
      </w:pPr>
      <w:bookmarkStart w:id="53" w:name="_Toc7007"/>
      <w:r>
        <w:rPr>
          <w:rFonts w:hint="eastAsia" w:ascii="仿宋" w:hAnsi="仿宋" w:eastAsia="仿宋" w:cs="仿宋"/>
          <w:sz w:val="24"/>
          <w:szCs w:val="24"/>
          <w:highlight w:val="none"/>
          <w:lang w:val="en-US" w:eastAsia="zh-CN"/>
        </w:rPr>
        <w:t>7  投标分项报价表</w:t>
      </w:r>
      <w:bookmarkEnd w:id="53"/>
    </w:p>
    <w:p>
      <w:pPr>
        <w:pStyle w:val="18"/>
        <w:ind w:left="0" w:leftChars="0" w:firstLine="0" w:firstLineChars="0"/>
        <w:jc w:val="center"/>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投标分项报价表</w:t>
      </w:r>
    </w:p>
    <w:p>
      <w:pPr>
        <w:pStyle w:val="18"/>
        <w:ind w:left="0" w:leftChars="0" w:firstLine="0" w:firstLineChars="0"/>
        <w:jc w:val="center"/>
        <w:rPr>
          <w:rFonts w:hint="eastAsia" w:ascii="仿宋" w:hAnsi="仿宋" w:eastAsia="仿宋" w:cs="仿宋"/>
          <w:highlight w:val="none"/>
          <w:lang w:val="en-US" w:eastAsia="zh-CN"/>
        </w:rPr>
      </w:pPr>
    </w:p>
    <w:p>
      <w:pPr>
        <w:pStyle w:val="18"/>
        <w:ind w:left="0" w:leftChars="0" w:firstLine="0" w:firstLineChars="0"/>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项目编号/包号：</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lang w:val="en-US" w:eastAsia="zh-CN"/>
        </w:rPr>
        <w:t xml:space="preserve"> 项目名称：</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lang w:val="en-US" w:eastAsia="zh-CN"/>
        </w:rPr>
        <w:t xml:space="preserve">      报价单位：人民币元</w:t>
      </w:r>
    </w:p>
    <w:tbl>
      <w:tblPr>
        <w:tblStyle w:val="20"/>
        <w:tblW w:w="86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3"/>
        <w:gridCol w:w="1312"/>
        <w:gridCol w:w="1838"/>
        <w:gridCol w:w="1706"/>
        <w:gridCol w:w="1577"/>
        <w:gridCol w:w="15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9" w:hRule="atLeast"/>
        </w:trPr>
        <w:tc>
          <w:tcPr>
            <w:tcW w:w="673" w:type="dxa"/>
            <w:vAlign w:val="center"/>
          </w:tcPr>
          <w:p>
            <w:pPr>
              <w:pStyle w:val="17"/>
              <w:ind w:left="0" w:leftChars="0" w:firstLine="0" w:firstLine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序号</w:t>
            </w:r>
          </w:p>
        </w:tc>
        <w:tc>
          <w:tcPr>
            <w:tcW w:w="1312" w:type="dxa"/>
            <w:vAlign w:val="center"/>
          </w:tcPr>
          <w:p>
            <w:pPr>
              <w:pStyle w:val="17"/>
              <w:ind w:left="0" w:leftChars="0" w:firstLine="0" w:firstLine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分项名称</w:t>
            </w:r>
          </w:p>
        </w:tc>
        <w:tc>
          <w:tcPr>
            <w:tcW w:w="1838" w:type="dxa"/>
            <w:vAlign w:val="center"/>
          </w:tcPr>
          <w:p>
            <w:pPr>
              <w:pStyle w:val="17"/>
              <w:ind w:left="0" w:leftChars="0" w:firstLine="0" w:firstLine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品牌/型号</w:t>
            </w:r>
          </w:p>
        </w:tc>
        <w:tc>
          <w:tcPr>
            <w:tcW w:w="1706" w:type="dxa"/>
            <w:vAlign w:val="center"/>
          </w:tcPr>
          <w:p>
            <w:pPr>
              <w:pStyle w:val="17"/>
              <w:ind w:left="0" w:leftChars="0" w:firstLine="0" w:firstLine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产地</w:t>
            </w:r>
          </w:p>
        </w:tc>
        <w:tc>
          <w:tcPr>
            <w:tcW w:w="1577" w:type="dxa"/>
            <w:vAlign w:val="center"/>
          </w:tcPr>
          <w:p>
            <w:pPr>
              <w:pStyle w:val="17"/>
              <w:ind w:left="0" w:leftChars="0" w:firstLine="0" w:firstLine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单价（元）</w:t>
            </w:r>
          </w:p>
        </w:tc>
        <w:tc>
          <w:tcPr>
            <w:tcW w:w="1592" w:type="dxa"/>
            <w:vAlign w:val="center"/>
          </w:tcPr>
          <w:p>
            <w:pPr>
              <w:pStyle w:val="17"/>
              <w:ind w:left="0" w:leftChars="0" w:firstLine="0" w:firstLine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备注/说明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673" w:type="dxa"/>
            <w:vAlign w:val="center"/>
          </w:tcPr>
          <w:p>
            <w:pPr>
              <w:pStyle w:val="17"/>
              <w:jc w:val="center"/>
              <w:rPr>
                <w:rFonts w:hint="eastAsia" w:ascii="仿宋" w:hAnsi="仿宋" w:eastAsia="仿宋" w:cs="仿宋"/>
                <w:sz w:val="21"/>
                <w:szCs w:val="21"/>
                <w:highlight w:val="none"/>
                <w:vertAlign w:val="baseline"/>
                <w:lang w:val="en-US" w:eastAsia="zh-CN"/>
              </w:rPr>
            </w:pPr>
          </w:p>
        </w:tc>
        <w:tc>
          <w:tcPr>
            <w:tcW w:w="1312" w:type="dxa"/>
            <w:vAlign w:val="center"/>
          </w:tcPr>
          <w:p>
            <w:pPr>
              <w:pStyle w:val="17"/>
              <w:jc w:val="center"/>
              <w:rPr>
                <w:rFonts w:hint="eastAsia" w:ascii="仿宋" w:hAnsi="仿宋" w:eastAsia="仿宋" w:cs="仿宋"/>
                <w:sz w:val="21"/>
                <w:szCs w:val="21"/>
                <w:highlight w:val="none"/>
                <w:vertAlign w:val="baseline"/>
                <w:lang w:val="en-US" w:eastAsia="zh-CN"/>
              </w:rPr>
            </w:pPr>
          </w:p>
        </w:tc>
        <w:tc>
          <w:tcPr>
            <w:tcW w:w="1838" w:type="dxa"/>
            <w:vAlign w:val="center"/>
          </w:tcPr>
          <w:p>
            <w:pPr>
              <w:pStyle w:val="17"/>
              <w:jc w:val="center"/>
              <w:rPr>
                <w:rFonts w:hint="eastAsia" w:ascii="仿宋" w:hAnsi="仿宋" w:eastAsia="仿宋" w:cs="仿宋"/>
                <w:sz w:val="21"/>
                <w:szCs w:val="21"/>
                <w:highlight w:val="none"/>
                <w:vertAlign w:val="baseline"/>
                <w:lang w:val="en-US" w:eastAsia="zh-CN"/>
              </w:rPr>
            </w:pPr>
          </w:p>
        </w:tc>
        <w:tc>
          <w:tcPr>
            <w:tcW w:w="1706" w:type="dxa"/>
            <w:vAlign w:val="center"/>
          </w:tcPr>
          <w:p>
            <w:pPr>
              <w:pStyle w:val="17"/>
              <w:jc w:val="center"/>
              <w:rPr>
                <w:rFonts w:hint="eastAsia" w:ascii="仿宋" w:hAnsi="仿宋" w:eastAsia="仿宋" w:cs="仿宋"/>
                <w:sz w:val="21"/>
                <w:szCs w:val="21"/>
                <w:highlight w:val="none"/>
                <w:vertAlign w:val="baseline"/>
                <w:lang w:val="en-US" w:eastAsia="zh-CN"/>
              </w:rPr>
            </w:pPr>
          </w:p>
        </w:tc>
        <w:tc>
          <w:tcPr>
            <w:tcW w:w="1577" w:type="dxa"/>
            <w:vAlign w:val="center"/>
          </w:tcPr>
          <w:p>
            <w:pPr>
              <w:pStyle w:val="17"/>
              <w:jc w:val="center"/>
              <w:rPr>
                <w:rFonts w:hint="eastAsia" w:ascii="仿宋" w:hAnsi="仿宋" w:eastAsia="仿宋" w:cs="仿宋"/>
                <w:sz w:val="21"/>
                <w:szCs w:val="21"/>
                <w:highlight w:val="none"/>
                <w:vertAlign w:val="baseline"/>
                <w:lang w:val="en-US" w:eastAsia="zh-CN"/>
              </w:rPr>
            </w:pPr>
          </w:p>
        </w:tc>
        <w:tc>
          <w:tcPr>
            <w:tcW w:w="1592" w:type="dxa"/>
            <w:vAlign w:val="center"/>
          </w:tcPr>
          <w:p>
            <w:pPr>
              <w:pStyle w:val="17"/>
              <w:jc w:val="center"/>
              <w:rPr>
                <w:rFonts w:hint="eastAsia" w:ascii="仿宋" w:hAnsi="仿宋" w:eastAsia="仿宋" w:cs="仿宋"/>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673" w:type="dxa"/>
            <w:vAlign w:val="center"/>
          </w:tcPr>
          <w:p>
            <w:pPr>
              <w:pStyle w:val="17"/>
              <w:jc w:val="center"/>
              <w:rPr>
                <w:rFonts w:hint="eastAsia" w:ascii="仿宋" w:hAnsi="仿宋" w:eastAsia="仿宋" w:cs="仿宋"/>
                <w:sz w:val="21"/>
                <w:szCs w:val="21"/>
                <w:highlight w:val="none"/>
                <w:vertAlign w:val="baseline"/>
                <w:lang w:val="en-US" w:eastAsia="zh-CN"/>
              </w:rPr>
            </w:pPr>
          </w:p>
        </w:tc>
        <w:tc>
          <w:tcPr>
            <w:tcW w:w="1312" w:type="dxa"/>
            <w:vAlign w:val="center"/>
          </w:tcPr>
          <w:p>
            <w:pPr>
              <w:pStyle w:val="17"/>
              <w:jc w:val="center"/>
              <w:rPr>
                <w:rFonts w:hint="eastAsia" w:ascii="仿宋" w:hAnsi="仿宋" w:eastAsia="仿宋" w:cs="仿宋"/>
                <w:sz w:val="21"/>
                <w:szCs w:val="21"/>
                <w:highlight w:val="none"/>
                <w:vertAlign w:val="baseline"/>
                <w:lang w:val="en-US" w:eastAsia="zh-CN"/>
              </w:rPr>
            </w:pPr>
          </w:p>
        </w:tc>
        <w:tc>
          <w:tcPr>
            <w:tcW w:w="1838" w:type="dxa"/>
            <w:vAlign w:val="center"/>
          </w:tcPr>
          <w:p>
            <w:pPr>
              <w:pStyle w:val="17"/>
              <w:jc w:val="center"/>
              <w:rPr>
                <w:rFonts w:hint="eastAsia" w:ascii="仿宋" w:hAnsi="仿宋" w:eastAsia="仿宋" w:cs="仿宋"/>
                <w:sz w:val="21"/>
                <w:szCs w:val="21"/>
                <w:highlight w:val="none"/>
                <w:vertAlign w:val="baseline"/>
                <w:lang w:val="en-US" w:eastAsia="zh-CN"/>
              </w:rPr>
            </w:pPr>
          </w:p>
        </w:tc>
        <w:tc>
          <w:tcPr>
            <w:tcW w:w="1706" w:type="dxa"/>
            <w:vAlign w:val="center"/>
          </w:tcPr>
          <w:p>
            <w:pPr>
              <w:pStyle w:val="17"/>
              <w:jc w:val="center"/>
              <w:rPr>
                <w:rFonts w:hint="eastAsia" w:ascii="仿宋" w:hAnsi="仿宋" w:eastAsia="仿宋" w:cs="仿宋"/>
                <w:sz w:val="21"/>
                <w:szCs w:val="21"/>
                <w:highlight w:val="none"/>
                <w:vertAlign w:val="baseline"/>
                <w:lang w:val="en-US" w:eastAsia="zh-CN"/>
              </w:rPr>
            </w:pPr>
          </w:p>
        </w:tc>
        <w:tc>
          <w:tcPr>
            <w:tcW w:w="1577" w:type="dxa"/>
            <w:vAlign w:val="center"/>
          </w:tcPr>
          <w:p>
            <w:pPr>
              <w:pStyle w:val="17"/>
              <w:jc w:val="center"/>
              <w:rPr>
                <w:rFonts w:hint="eastAsia" w:ascii="仿宋" w:hAnsi="仿宋" w:eastAsia="仿宋" w:cs="仿宋"/>
                <w:sz w:val="21"/>
                <w:szCs w:val="21"/>
                <w:highlight w:val="none"/>
                <w:vertAlign w:val="baseline"/>
                <w:lang w:val="en-US" w:eastAsia="zh-CN"/>
              </w:rPr>
            </w:pPr>
          </w:p>
        </w:tc>
        <w:tc>
          <w:tcPr>
            <w:tcW w:w="1592" w:type="dxa"/>
            <w:vAlign w:val="center"/>
          </w:tcPr>
          <w:p>
            <w:pPr>
              <w:pStyle w:val="17"/>
              <w:jc w:val="center"/>
              <w:rPr>
                <w:rFonts w:hint="eastAsia" w:ascii="仿宋" w:hAnsi="仿宋" w:eastAsia="仿宋" w:cs="仿宋"/>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673" w:type="dxa"/>
            <w:vAlign w:val="center"/>
          </w:tcPr>
          <w:p>
            <w:pPr>
              <w:pStyle w:val="17"/>
              <w:jc w:val="center"/>
              <w:rPr>
                <w:rFonts w:hint="eastAsia" w:ascii="仿宋" w:hAnsi="仿宋" w:eastAsia="仿宋" w:cs="仿宋"/>
                <w:sz w:val="21"/>
                <w:szCs w:val="21"/>
                <w:highlight w:val="none"/>
                <w:vertAlign w:val="baseline"/>
                <w:lang w:val="en-US" w:eastAsia="zh-CN"/>
              </w:rPr>
            </w:pPr>
          </w:p>
        </w:tc>
        <w:tc>
          <w:tcPr>
            <w:tcW w:w="1312" w:type="dxa"/>
            <w:vAlign w:val="center"/>
          </w:tcPr>
          <w:p>
            <w:pPr>
              <w:pStyle w:val="17"/>
              <w:jc w:val="center"/>
              <w:rPr>
                <w:rFonts w:hint="eastAsia" w:ascii="仿宋" w:hAnsi="仿宋" w:eastAsia="仿宋" w:cs="仿宋"/>
                <w:sz w:val="21"/>
                <w:szCs w:val="21"/>
                <w:highlight w:val="none"/>
                <w:vertAlign w:val="baseline"/>
                <w:lang w:val="en-US" w:eastAsia="zh-CN"/>
              </w:rPr>
            </w:pPr>
          </w:p>
        </w:tc>
        <w:tc>
          <w:tcPr>
            <w:tcW w:w="1838" w:type="dxa"/>
            <w:vAlign w:val="center"/>
          </w:tcPr>
          <w:p>
            <w:pPr>
              <w:pStyle w:val="17"/>
              <w:jc w:val="center"/>
              <w:rPr>
                <w:rFonts w:hint="eastAsia" w:ascii="仿宋" w:hAnsi="仿宋" w:eastAsia="仿宋" w:cs="仿宋"/>
                <w:sz w:val="21"/>
                <w:szCs w:val="21"/>
                <w:highlight w:val="none"/>
                <w:vertAlign w:val="baseline"/>
                <w:lang w:val="en-US" w:eastAsia="zh-CN"/>
              </w:rPr>
            </w:pPr>
          </w:p>
        </w:tc>
        <w:tc>
          <w:tcPr>
            <w:tcW w:w="1706" w:type="dxa"/>
            <w:vAlign w:val="center"/>
          </w:tcPr>
          <w:p>
            <w:pPr>
              <w:pStyle w:val="17"/>
              <w:jc w:val="center"/>
              <w:rPr>
                <w:rFonts w:hint="eastAsia" w:ascii="仿宋" w:hAnsi="仿宋" w:eastAsia="仿宋" w:cs="仿宋"/>
                <w:sz w:val="21"/>
                <w:szCs w:val="21"/>
                <w:highlight w:val="none"/>
                <w:vertAlign w:val="baseline"/>
                <w:lang w:val="en-US" w:eastAsia="zh-CN"/>
              </w:rPr>
            </w:pPr>
          </w:p>
        </w:tc>
        <w:tc>
          <w:tcPr>
            <w:tcW w:w="1577" w:type="dxa"/>
            <w:vAlign w:val="center"/>
          </w:tcPr>
          <w:p>
            <w:pPr>
              <w:pStyle w:val="17"/>
              <w:jc w:val="center"/>
              <w:rPr>
                <w:rFonts w:hint="eastAsia" w:ascii="仿宋" w:hAnsi="仿宋" w:eastAsia="仿宋" w:cs="仿宋"/>
                <w:sz w:val="21"/>
                <w:szCs w:val="21"/>
                <w:highlight w:val="none"/>
                <w:vertAlign w:val="baseline"/>
                <w:lang w:val="en-US" w:eastAsia="zh-CN"/>
              </w:rPr>
            </w:pPr>
          </w:p>
        </w:tc>
        <w:tc>
          <w:tcPr>
            <w:tcW w:w="1592" w:type="dxa"/>
            <w:vAlign w:val="center"/>
          </w:tcPr>
          <w:p>
            <w:pPr>
              <w:pStyle w:val="17"/>
              <w:jc w:val="center"/>
              <w:rPr>
                <w:rFonts w:hint="eastAsia" w:ascii="仿宋" w:hAnsi="仿宋" w:eastAsia="仿宋" w:cs="仿宋"/>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673" w:type="dxa"/>
            <w:vAlign w:val="center"/>
          </w:tcPr>
          <w:p>
            <w:pPr>
              <w:pStyle w:val="17"/>
              <w:jc w:val="center"/>
              <w:rPr>
                <w:rFonts w:hint="eastAsia" w:ascii="仿宋" w:hAnsi="仿宋" w:eastAsia="仿宋" w:cs="仿宋"/>
                <w:sz w:val="21"/>
                <w:szCs w:val="21"/>
                <w:highlight w:val="none"/>
                <w:vertAlign w:val="baseline"/>
                <w:lang w:val="en-US" w:eastAsia="zh-CN"/>
              </w:rPr>
            </w:pPr>
          </w:p>
        </w:tc>
        <w:tc>
          <w:tcPr>
            <w:tcW w:w="1312" w:type="dxa"/>
            <w:vAlign w:val="center"/>
          </w:tcPr>
          <w:p>
            <w:pPr>
              <w:pStyle w:val="17"/>
              <w:jc w:val="center"/>
              <w:rPr>
                <w:rFonts w:hint="eastAsia" w:ascii="仿宋" w:hAnsi="仿宋" w:eastAsia="仿宋" w:cs="仿宋"/>
                <w:sz w:val="21"/>
                <w:szCs w:val="21"/>
                <w:highlight w:val="none"/>
                <w:vertAlign w:val="baseline"/>
                <w:lang w:val="en-US" w:eastAsia="zh-CN"/>
              </w:rPr>
            </w:pPr>
          </w:p>
        </w:tc>
        <w:tc>
          <w:tcPr>
            <w:tcW w:w="1838" w:type="dxa"/>
            <w:vAlign w:val="center"/>
          </w:tcPr>
          <w:p>
            <w:pPr>
              <w:pStyle w:val="17"/>
              <w:jc w:val="center"/>
              <w:rPr>
                <w:rFonts w:hint="eastAsia" w:ascii="仿宋" w:hAnsi="仿宋" w:eastAsia="仿宋" w:cs="仿宋"/>
                <w:sz w:val="21"/>
                <w:szCs w:val="21"/>
                <w:highlight w:val="none"/>
                <w:vertAlign w:val="baseline"/>
                <w:lang w:val="en-US" w:eastAsia="zh-CN"/>
              </w:rPr>
            </w:pPr>
          </w:p>
        </w:tc>
        <w:tc>
          <w:tcPr>
            <w:tcW w:w="1706" w:type="dxa"/>
            <w:vAlign w:val="center"/>
          </w:tcPr>
          <w:p>
            <w:pPr>
              <w:pStyle w:val="17"/>
              <w:jc w:val="center"/>
              <w:rPr>
                <w:rFonts w:hint="eastAsia" w:ascii="仿宋" w:hAnsi="仿宋" w:eastAsia="仿宋" w:cs="仿宋"/>
                <w:sz w:val="21"/>
                <w:szCs w:val="21"/>
                <w:highlight w:val="none"/>
                <w:vertAlign w:val="baseline"/>
                <w:lang w:val="en-US" w:eastAsia="zh-CN"/>
              </w:rPr>
            </w:pPr>
          </w:p>
        </w:tc>
        <w:tc>
          <w:tcPr>
            <w:tcW w:w="1577" w:type="dxa"/>
            <w:vAlign w:val="center"/>
          </w:tcPr>
          <w:p>
            <w:pPr>
              <w:pStyle w:val="17"/>
              <w:jc w:val="center"/>
              <w:rPr>
                <w:rFonts w:hint="eastAsia" w:ascii="仿宋" w:hAnsi="仿宋" w:eastAsia="仿宋" w:cs="仿宋"/>
                <w:sz w:val="21"/>
                <w:szCs w:val="21"/>
                <w:highlight w:val="none"/>
                <w:vertAlign w:val="baseline"/>
                <w:lang w:val="en-US" w:eastAsia="zh-CN"/>
              </w:rPr>
            </w:pPr>
          </w:p>
        </w:tc>
        <w:tc>
          <w:tcPr>
            <w:tcW w:w="1592" w:type="dxa"/>
            <w:vAlign w:val="center"/>
          </w:tcPr>
          <w:p>
            <w:pPr>
              <w:pStyle w:val="17"/>
              <w:jc w:val="center"/>
              <w:rPr>
                <w:rFonts w:hint="eastAsia" w:ascii="仿宋" w:hAnsi="仿宋" w:eastAsia="仿宋" w:cs="仿宋"/>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106" w:type="dxa"/>
            <w:gridSpan w:val="5"/>
            <w:vAlign w:val="center"/>
          </w:tcPr>
          <w:p>
            <w:pPr>
              <w:pStyle w:val="17"/>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总价（元）</w:t>
            </w:r>
          </w:p>
        </w:tc>
        <w:tc>
          <w:tcPr>
            <w:tcW w:w="1592" w:type="dxa"/>
            <w:vAlign w:val="center"/>
          </w:tcPr>
          <w:p>
            <w:pPr>
              <w:pStyle w:val="17"/>
              <w:jc w:val="center"/>
              <w:rPr>
                <w:rFonts w:hint="eastAsia" w:ascii="仿宋" w:hAnsi="仿宋" w:eastAsia="仿宋" w:cs="仿宋"/>
                <w:sz w:val="21"/>
                <w:szCs w:val="21"/>
                <w:highlight w:val="none"/>
                <w:vertAlign w:val="baseline"/>
                <w:lang w:val="en-US" w:eastAsia="zh-CN"/>
              </w:rPr>
            </w:pPr>
          </w:p>
        </w:tc>
      </w:tr>
    </w:tbl>
    <w:p>
      <w:pPr>
        <w:pStyle w:val="17"/>
        <w:ind w:left="0" w:leftChars="0" w:firstLine="0" w:firstLineChars="0"/>
        <w:rPr>
          <w:rFonts w:hint="eastAsia" w:ascii="仿宋" w:hAnsi="仿宋" w:eastAsia="仿宋" w:cs="仿宋"/>
          <w:highlight w:val="none"/>
          <w:lang w:val="en-US" w:eastAsia="zh-CN"/>
        </w:rPr>
      </w:pPr>
    </w:p>
    <w:p>
      <w:pPr>
        <w:pStyle w:val="14"/>
        <w:rPr>
          <w:rFonts w:hint="eastAsia" w:ascii="仿宋" w:hAnsi="仿宋" w:eastAsia="仿宋" w:cs="仿宋"/>
          <w:highlight w:val="none"/>
          <w:lang w:val="en-US" w:eastAsia="zh-CN"/>
        </w:rPr>
      </w:pPr>
    </w:p>
    <w:p>
      <w:pPr>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注：1.本表应按包分别填写。</w:t>
      </w:r>
    </w:p>
    <w:p>
      <w:pPr>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2.如果不提供分项报价将视为没有实质性响应招标文件。</w:t>
      </w:r>
    </w:p>
    <w:p>
      <w:pPr>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3.上述各项的详细规格（如有），可另页描述。</w:t>
      </w:r>
    </w:p>
    <w:p>
      <w:pPr>
        <w:spacing w:line="360" w:lineRule="auto"/>
        <w:rPr>
          <w:rFonts w:hint="eastAsia" w:ascii="仿宋" w:hAnsi="仿宋" w:eastAsia="仿宋" w:cs="仿宋"/>
          <w:sz w:val="24"/>
          <w:szCs w:val="24"/>
          <w:highlight w:val="none"/>
          <w:lang w:val="en-US" w:eastAsia="zh-CN"/>
        </w:rPr>
      </w:pPr>
    </w:p>
    <w:p>
      <w:pPr>
        <w:spacing w:line="360" w:lineRule="auto"/>
        <w:rPr>
          <w:rFonts w:hint="eastAsia" w:ascii="仿宋" w:hAnsi="仿宋" w:eastAsia="仿宋" w:cs="仿宋"/>
          <w:sz w:val="24"/>
          <w:szCs w:val="24"/>
          <w:highlight w:val="none"/>
          <w:lang w:val="en-US" w:eastAsia="zh-CN"/>
        </w:rPr>
      </w:pPr>
    </w:p>
    <w:p>
      <w:pPr>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投标人名称（加盖公章）：____________</w:t>
      </w:r>
    </w:p>
    <w:p>
      <w:pPr>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日期：_____年______月______日</w:t>
      </w:r>
    </w:p>
    <w:p>
      <w:pPr>
        <w:pStyle w:val="18"/>
        <w:rPr>
          <w:rFonts w:hint="eastAsia" w:ascii="仿宋" w:hAnsi="仿宋" w:eastAsia="仿宋" w:cs="仿宋"/>
          <w:sz w:val="24"/>
          <w:szCs w:val="24"/>
          <w:highlight w:val="none"/>
          <w:lang w:val="en-US" w:eastAsia="zh-CN"/>
        </w:rPr>
      </w:pPr>
    </w:p>
    <w:p>
      <w:pPr>
        <w:rPr>
          <w:rFonts w:hint="eastAsia" w:ascii="仿宋" w:hAnsi="仿宋" w:eastAsia="仿宋" w:cs="仿宋"/>
          <w:highlight w:val="none"/>
          <w:lang w:val="en-US" w:eastAsia="zh-CN"/>
        </w:rPr>
      </w:pPr>
      <w:r>
        <w:rPr>
          <w:rFonts w:hint="eastAsia" w:ascii="仿宋" w:hAnsi="仿宋" w:eastAsia="仿宋" w:cs="仿宋"/>
          <w:highlight w:val="none"/>
          <w:lang w:val="en-US" w:eastAsia="zh-CN"/>
        </w:rPr>
        <w:br w:type="page"/>
      </w:r>
    </w:p>
    <w:p>
      <w:pPr>
        <w:pStyle w:val="14"/>
        <w:ind w:left="0" w:leftChars="0" w:firstLine="0" w:firstLineChars="0"/>
        <w:jc w:val="left"/>
        <w:outlineLvl w:val="1"/>
        <w:rPr>
          <w:rFonts w:hint="eastAsia" w:ascii="仿宋" w:hAnsi="仿宋" w:eastAsia="仿宋" w:cs="仿宋"/>
          <w:sz w:val="24"/>
          <w:szCs w:val="24"/>
          <w:highlight w:val="none"/>
          <w:lang w:val="en-US" w:eastAsia="zh-CN"/>
        </w:rPr>
      </w:pPr>
      <w:bookmarkStart w:id="54" w:name="_Toc6119"/>
      <w:r>
        <w:rPr>
          <w:rFonts w:hint="eastAsia" w:ascii="仿宋" w:hAnsi="仿宋" w:eastAsia="仿宋" w:cs="仿宋"/>
          <w:sz w:val="24"/>
          <w:szCs w:val="24"/>
          <w:highlight w:val="none"/>
          <w:lang w:val="en-US" w:eastAsia="zh-CN"/>
        </w:rPr>
        <w:t>8  商务条款偏离表</w:t>
      </w:r>
      <w:bookmarkEnd w:id="54"/>
    </w:p>
    <w:p>
      <w:pPr>
        <w:pStyle w:val="14"/>
        <w:ind w:left="0" w:leftChars="0" w:firstLine="0" w:firstLineChars="0"/>
        <w:jc w:val="center"/>
        <w:rPr>
          <w:rFonts w:hint="eastAsia" w:ascii="仿宋" w:hAnsi="仿宋" w:eastAsia="仿宋" w:cs="仿宋"/>
          <w:sz w:val="32"/>
          <w:szCs w:val="32"/>
          <w:highlight w:val="none"/>
          <w:lang w:val="en-US" w:eastAsia="zh-CN"/>
        </w:rPr>
      </w:pPr>
    </w:p>
    <w:p>
      <w:pPr>
        <w:pStyle w:val="14"/>
        <w:ind w:left="0" w:leftChars="0" w:firstLine="0" w:firstLineChars="0"/>
        <w:jc w:val="center"/>
        <w:rPr>
          <w:rFonts w:hint="eastAsia" w:ascii="仿宋" w:hAnsi="仿宋" w:eastAsia="仿宋" w:cs="仿宋"/>
          <w:b/>
          <w:bCs/>
          <w:i w:val="0"/>
          <w:iCs w:val="0"/>
          <w:sz w:val="32"/>
          <w:szCs w:val="32"/>
          <w:highlight w:val="none"/>
          <w:lang w:val="en-US" w:eastAsia="zh-CN"/>
        </w:rPr>
      </w:pPr>
      <w:r>
        <w:rPr>
          <w:rFonts w:hint="eastAsia" w:ascii="仿宋" w:hAnsi="仿宋" w:eastAsia="仿宋" w:cs="仿宋"/>
          <w:b/>
          <w:bCs/>
          <w:i w:val="0"/>
          <w:iCs w:val="0"/>
          <w:sz w:val="32"/>
          <w:szCs w:val="32"/>
          <w:highlight w:val="none"/>
          <w:lang w:val="en-US" w:eastAsia="zh-CN"/>
        </w:rPr>
        <w:t>商务条款偏离表</w:t>
      </w:r>
    </w:p>
    <w:p>
      <w:pPr>
        <w:rPr>
          <w:rFonts w:hint="eastAsia" w:ascii="仿宋" w:hAnsi="仿宋" w:eastAsia="仿宋" w:cs="仿宋"/>
          <w:highlight w:val="none"/>
          <w:lang w:val="en-US" w:eastAsia="zh-CN"/>
        </w:rPr>
      </w:pPr>
    </w:p>
    <w:p>
      <w:pPr>
        <w:pStyle w:val="14"/>
        <w:ind w:left="0" w:leftChars="0" w:firstLine="0" w:firstLineChars="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项目编号/包号：</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lang w:val="en-US" w:eastAsia="zh-CN"/>
        </w:rPr>
        <w:t xml:space="preserve">            项目名称：</w:t>
      </w:r>
      <w:r>
        <w:rPr>
          <w:rFonts w:hint="eastAsia" w:ascii="仿宋" w:hAnsi="仿宋" w:eastAsia="仿宋" w:cs="仿宋"/>
          <w:highlight w:val="none"/>
          <w:u w:val="single"/>
          <w:lang w:val="en-US" w:eastAsia="zh-CN"/>
        </w:rPr>
        <w:t xml:space="preserve">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4"/>
        <w:gridCol w:w="1421"/>
        <w:gridCol w:w="1901"/>
        <w:gridCol w:w="1753"/>
        <w:gridCol w:w="1561"/>
        <w:gridCol w:w="1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78" w:hRule="atLeast"/>
        </w:trPr>
        <w:tc>
          <w:tcPr>
            <w:tcW w:w="8522" w:type="dxa"/>
            <w:gridSpan w:val="6"/>
          </w:tcPr>
          <w:p>
            <w:pPr>
              <w:spacing w:line="360" w:lineRule="auto"/>
              <w:rPr>
                <w:rFonts w:hint="eastAsia" w:ascii="仿宋" w:hAnsi="仿宋" w:eastAsia="仿宋" w:cs="仿宋"/>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对本项目商务条款的偏离情况（请进行勾选）：</w:t>
            </w:r>
          </w:p>
          <w:p>
            <w:pPr>
              <w:spacing w:line="360" w:lineRule="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w:t>
            </w:r>
            <w:r>
              <w:rPr>
                <w:rFonts w:hint="eastAsia" w:ascii="仿宋" w:hAnsi="仿宋" w:eastAsia="仿宋" w:cs="仿宋"/>
                <w:b/>
                <w:bCs/>
                <w:sz w:val="24"/>
                <w:szCs w:val="24"/>
                <w:highlight w:val="none"/>
                <w:vertAlign w:val="baseline"/>
                <w:lang w:val="en-US" w:eastAsia="zh-CN"/>
              </w:rPr>
              <w:t>无偏离</w:t>
            </w:r>
            <w:r>
              <w:rPr>
                <w:rFonts w:hint="eastAsia" w:ascii="仿宋" w:hAnsi="仿宋" w:eastAsia="仿宋" w:cs="仿宋"/>
                <w:sz w:val="24"/>
                <w:szCs w:val="24"/>
                <w:highlight w:val="none"/>
                <w:vertAlign w:val="baseline"/>
                <w:lang w:val="en-US" w:eastAsia="zh-CN"/>
              </w:rPr>
              <w:t>（如无偏离，仅勾选无偏离即可）</w:t>
            </w:r>
          </w:p>
          <w:p>
            <w:pPr>
              <w:spacing w:line="360" w:lineRule="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w:t>
            </w:r>
            <w:r>
              <w:rPr>
                <w:rFonts w:hint="eastAsia" w:ascii="仿宋" w:hAnsi="仿宋" w:eastAsia="仿宋" w:cs="仿宋"/>
                <w:b/>
                <w:bCs/>
                <w:sz w:val="24"/>
                <w:szCs w:val="24"/>
                <w:highlight w:val="none"/>
                <w:vertAlign w:val="baseline"/>
                <w:lang w:val="en-US" w:eastAsia="zh-CN"/>
              </w:rPr>
              <w:t>有偏离</w:t>
            </w:r>
            <w:r>
              <w:rPr>
                <w:rFonts w:hint="eastAsia" w:ascii="仿宋" w:hAnsi="仿宋" w:eastAsia="仿宋" w:cs="仿宋"/>
                <w:sz w:val="24"/>
                <w:szCs w:val="24"/>
                <w:highlight w:val="none"/>
                <w:vertAlign w:val="baseline"/>
                <w:lang w:val="en-US" w:eastAsia="zh-CN"/>
              </w:rPr>
              <w:t>（如有偏离，则应在本表中对偏离项逐一列明）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Align w:val="center"/>
          </w:tcPr>
          <w:p>
            <w:pPr>
              <w:jc w:val="center"/>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序号</w:t>
            </w:r>
          </w:p>
        </w:tc>
        <w:tc>
          <w:tcPr>
            <w:tcW w:w="1421" w:type="dxa"/>
            <w:vAlign w:val="center"/>
          </w:tcPr>
          <w:p>
            <w:pPr>
              <w:jc w:val="center"/>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招标文件</w:t>
            </w:r>
          </w:p>
          <w:p>
            <w:pPr>
              <w:jc w:val="center"/>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条目号</w:t>
            </w:r>
          </w:p>
          <w:p>
            <w:pPr>
              <w:jc w:val="center"/>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（页码）</w:t>
            </w:r>
          </w:p>
        </w:tc>
        <w:tc>
          <w:tcPr>
            <w:tcW w:w="1901" w:type="dxa"/>
            <w:vAlign w:val="center"/>
          </w:tcPr>
          <w:p>
            <w:pPr>
              <w:jc w:val="center"/>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招标文件要求</w:t>
            </w:r>
          </w:p>
        </w:tc>
        <w:tc>
          <w:tcPr>
            <w:tcW w:w="1753" w:type="dxa"/>
            <w:vAlign w:val="center"/>
          </w:tcPr>
          <w:p>
            <w:pPr>
              <w:jc w:val="center"/>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投标文件内容</w:t>
            </w:r>
          </w:p>
        </w:tc>
        <w:tc>
          <w:tcPr>
            <w:tcW w:w="1561" w:type="dxa"/>
            <w:vAlign w:val="center"/>
          </w:tcPr>
          <w:p>
            <w:pPr>
              <w:jc w:val="center"/>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偏离情况</w:t>
            </w:r>
          </w:p>
        </w:tc>
        <w:tc>
          <w:tcPr>
            <w:tcW w:w="1052" w:type="dxa"/>
            <w:vAlign w:val="center"/>
          </w:tcPr>
          <w:p>
            <w:pPr>
              <w:jc w:val="center"/>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834" w:type="dxa"/>
          </w:tcPr>
          <w:p>
            <w:pPr>
              <w:rPr>
                <w:rFonts w:hint="eastAsia" w:ascii="仿宋" w:hAnsi="仿宋" w:eastAsia="仿宋" w:cs="仿宋"/>
                <w:sz w:val="24"/>
                <w:szCs w:val="24"/>
                <w:highlight w:val="none"/>
                <w:vertAlign w:val="baseline"/>
                <w:lang w:val="en-US" w:eastAsia="zh-CN"/>
              </w:rPr>
            </w:pPr>
          </w:p>
        </w:tc>
        <w:tc>
          <w:tcPr>
            <w:tcW w:w="1421" w:type="dxa"/>
          </w:tcPr>
          <w:p>
            <w:pPr>
              <w:rPr>
                <w:rFonts w:hint="eastAsia" w:ascii="仿宋" w:hAnsi="仿宋" w:eastAsia="仿宋" w:cs="仿宋"/>
                <w:sz w:val="24"/>
                <w:szCs w:val="24"/>
                <w:highlight w:val="none"/>
                <w:vertAlign w:val="baseline"/>
                <w:lang w:val="en-US" w:eastAsia="zh-CN"/>
              </w:rPr>
            </w:pPr>
          </w:p>
        </w:tc>
        <w:tc>
          <w:tcPr>
            <w:tcW w:w="1901" w:type="dxa"/>
          </w:tcPr>
          <w:p>
            <w:pPr>
              <w:rPr>
                <w:rFonts w:hint="eastAsia" w:ascii="仿宋" w:hAnsi="仿宋" w:eastAsia="仿宋" w:cs="仿宋"/>
                <w:sz w:val="24"/>
                <w:szCs w:val="24"/>
                <w:highlight w:val="none"/>
                <w:vertAlign w:val="baseline"/>
                <w:lang w:val="en-US" w:eastAsia="zh-CN"/>
              </w:rPr>
            </w:pPr>
          </w:p>
        </w:tc>
        <w:tc>
          <w:tcPr>
            <w:tcW w:w="1753" w:type="dxa"/>
          </w:tcPr>
          <w:p>
            <w:pPr>
              <w:rPr>
                <w:rFonts w:hint="eastAsia" w:ascii="仿宋" w:hAnsi="仿宋" w:eastAsia="仿宋" w:cs="仿宋"/>
                <w:sz w:val="24"/>
                <w:szCs w:val="24"/>
                <w:highlight w:val="none"/>
                <w:vertAlign w:val="baseline"/>
                <w:lang w:val="en-US" w:eastAsia="zh-CN"/>
              </w:rPr>
            </w:pPr>
          </w:p>
        </w:tc>
        <w:tc>
          <w:tcPr>
            <w:tcW w:w="1561" w:type="dxa"/>
          </w:tcPr>
          <w:p>
            <w:pPr>
              <w:rPr>
                <w:rFonts w:hint="eastAsia" w:ascii="仿宋" w:hAnsi="仿宋" w:eastAsia="仿宋" w:cs="仿宋"/>
                <w:sz w:val="24"/>
                <w:szCs w:val="24"/>
                <w:highlight w:val="none"/>
                <w:vertAlign w:val="baseline"/>
                <w:lang w:val="en-US" w:eastAsia="zh-CN"/>
              </w:rPr>
            </w:pPr>
          </w:p>
        </w:tc>
        <w:tc>
          <w:tcPr>
            <w:tcW w:w="1052" w:type="dxa"/>
          </w:tcPr>
          <w:p>
            <w:pPr>
              <w:rPr>
                <w:rFonts w:hint="eastAsia" w:ascii="仿宋" w:hAnsi="仿宋" w:eastAsia="仿宋" w:cs="仿宋"/>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834" w:type="dxa"/>
          </w:tcPr>
          <w:p>
            <w:pPr>
              <w:rPr>
                <w:rFonts w:hint="eastAsia" w:ascii="仿宋" w:hAnsi="仿宋" w:eastAsia="仿宋" w:cs="仿宋"/>
                <w:sz w:val="24"/>
                <w:szCs w:val="24"/>
                <w:highlight w:val="none"/>
                <w:vertAlign w:val="baseline"/>
                <w:lang w:val="en-US" w:eastAsia="zh-CN"/>
              </w:rPr>
            </w:pPr>
          </w:p>
        </w:tc>
        <w:tc>
          <w:tcPr>
            <w:tcW w:w="1421" w:type="dxa"/>
          </w:tcPr>
          <w:p>
            <w:pPr>
              <w:rPr>
                <w:rFonts w:hint="eastAsia" w:ascii="仿宋" w:hAnsi="仿宋" w:eastAsia="仿宋" w:cs="仿宋"/>
                <w:sz w:val="24"/>
                <w:szCs w:val="24"/>
                <w:highlight w:val="none"/>
                <w:vertAlign w:val="baseline"/>
                <w:lang w:val="en-US" w:eastAsia="zh-CN"/>
              </w:rPr>
            </w:pPr>
          </w:p>
        </w:tc>
        <w:tc>
          <w:tcPr>
            <w:tcW w:w="1901" w:type="dxa"/>
          </w:tcPr>
          <w:p>
            <w:pPr>
              <w:rPr>
                <w:rFonts w:hint="eastAsia" w:ascii="仿宋" w:hAnsi="仿宋" w:eastAsia="仿宋" w:cs="仿宋"/>
                <w:sz w:val="24"/>
                <w:szCs w:val="24"/>
                <w:highlight w:val="none"/>
                <w:vertAlign w:val="baseline"/>
                <w:lang w:val="en-US" w:eastAsia="zh-CN"/>
              </w:rPr>
            </w:pPr>
          </w:p>
        </w:tc>
        <w:tc>
          <w:tcPr>
            <w:tcW w:w="1753" w:type="dxa"/>
          </w:tcPr>
          <w:p>
            <w:pPr>
              <w:rPr>
                <w:rFonts w:hint="eastAsia" w:ascii="仿宋" w:hAnsi="仿宋" w:eastAsia="仿宋" w:cs="仿宋"/>
                <w:sz w:val="24"/>
                <w:szCs w:val="24"/>
                <w:highlight w:val="none"/>
                <w:vertAlign w:val="baseline"/>
                <w:lang w:val="en-US" w:eastAsia="zh-CN"/>
              </w:rPr>
            </w:pPr>
          </w:p>
        </w:tc>
        <w:tc>
          <w:tcPr>
            <w:tcW w:w="1561" w:type="dxa"/>
          </w:tcPr>
          <w:p>
            <w:pPr>
              <w:rPr>
                <w:rFonts w:hint="eastAsia" w:ascii="仿宋" w:hAnsi="仿宋" w:eastAsia="仿宋" w:cs="仿宋"/>
                <w:sz w:val="24"/>
                <w:szCs w:val="24"/>
                <w:highlight w:val="none"/>
                <w:vertAlign w:val="baseline"/>
                <w:lang w:val="en-US" w:eastAsia="zh-CN"/>
              </w:rPr>
            </w:pPr>
          </w:p>
        </w:tc>
        <w:tc>
          <w:tcPr>
            <w:tcW w:w="1052" w:type="dxa"/>
          </w:tcPr>
          <w:p>
            <w:pPr>
              <w:rPr>
                <w:rFonts w:hint="eastAsia" w:ascii="仿宋" w:hAnsi="仿宋" w:eastAsia="仿宋" w:cs="仿宋"/>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834" w:type="dxa"/>
          </w:tcPr>
          <w:p>
            <w:pPr>
              <w:rPr>
                <w:rFonts w:hint="eastAsia" w:ascii="仿宋" w:hAnsi="仿宋" w:eastAsia="仿宋" w:cs="仿宋"/>
                <w:sz w:val="24"/>
                <w:szCs w:val="24"/>
                <w:highlight w:val="none"/>
                <w:vertAlign w:val="baseline"/>
                <w:lang w:val="en-US" w:eastAsia="zh-CN"/>
              </w:rPr>
            </w:pPr>
          </w:p>
        </w:tc>
        <w:tc>
          <w:tcPr>
            <w:tcW w:w="1421" w:type="dxa"/>
          </w:tcPr>
          <w:p>
            <w:pPr>
              <w:rPr>
                <w:rFonts w:hint="eastAsia" w:ascii="仿宋" w:hAnsi="仿宋" w:eastAsia="仿宋" w:cs="仿宋"/>
                <w:sz w:val="24"/>
                <w:szCs w:val="24"/>
                <w:highlight w:val="none"/>
                <w:vertAlign w:val="baseline"/>
                <w:lang w:val="en-US" w:eastAsia="zh-CN"/>
              </w:rPr>
            </w:pPr>
          </w:p>
        </w:tc>
        <w:tc>
          <w:tcPr>
            <w:tcW w:w="1901" w:type="dxa"/>
          </w:tcPr>
          <w:p>
            <w:pPr>
              <w:rPr>
                <w:rFonts w:hint="eastAsia" w:ascii="仿宋" w:hAnsi="仿宋" w:eastAsia="仿宋" w:cs="仿宋"/>
                <w:sz w:val="24"/>
                <w:szCs w:val="24"/>
                <w:highlight w:val="none"/>
                <w:vertAlign w:val="baseline"/>
                <w:lang w:val="en-US" w:eastAsia="zh-CN"/>
              </w:rPr>
            </w:pPr>
          </w:p>
        </w:tc>
        <w:tc>
          <w:tcPr>
            <w:tcW w:w="1753" w:type="dxa"/>
          </w:tcPr>
          <w:p>
            <w:pPr>
              <w:rPr>
                <w:rFonts w:hint="eastAsia" w:ascii="仿宋" w:hAnsi="仿宋" w:eastAsia="仿宋" w:cs="仿宋"/>
                <w:sz w:val="24"/>
                <w:szCs w:val="24"/>
                <w:highlight w:val="none"/>
                <w:vertAlign w:val="baseline"/>
                <w:lang w:val="en-US" w:eastAsia="zh-CN"/>
              </w:rPr>
            </w:pPr>
          </w:p>
        </w:tc>
        <w:tc>
          <w:tcPr>
            <w:tcW w:w="1561" w:type="dxa"/>
          </w:tcPr>
          <w:p>
            <w:pPr>
              <w:rPr>
                <w:rFonts w:hint="eastAsia" w:ascii="仿宋" w:hAnsi="仿宋" w:eastAsia="仿宋" w:cs="仿宋"/>
                <w:sz w:val="24"/>
                <w:szCs w:val="24"/>
                <w:highlight w:val="none"/>
                <w:vertAlign w:val="baseline"/>
                <w:lang w:val="en-US" w:eastAsia="zh-CN"/>
              </w:rPr>
            </w:pPr>
          </w:p>
        </w:tc>
        <w:tc>
          <w:tcPr>
            <w:tcW w:w="1052" w:type="dxa"/>
          </w:tcPr>
          <w:p>
            <w:pPr>
              <w:rPr>
                <w:rFonts w:hint="eastAsia" w:ascii="仿宋" w:hAnsi="仿宋" w:eastAsia="仿宋" w:cs="仿宋"/>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834" w:type="dxa"/>
          </w:tcPr>
          <w:p>
            <w:pPr>
              <w:rPr>
                <w:rFonts w:hint="eastAsia" w:ascii="仿宋" w:hAnsi="仿宋" w:eastAsia="仿宋" w:cs="仿宋"/>
                <w:sz w:val="24"/>
                <w:szCs w:val="24"/>
                <w:highlight w:val="none"/>
                <w:vertAlign w:val="baseline"/>
                <w:lang w:val="en-US" w:eastAsia="zh-CN"/>
              </w:rPr>
            </w:pPr>
          </w:p>
        </w:tc>
        <w:tc>
          <w:tcPr>
            <w:tcW w:w="1421" w:type="dxa"/>
          </w:tcPr>
          <w:p>
            <w:pPr>
              <w:rPr>
                <w:rFonts w:hint="eastAsia" w:ascii="仿宋" w:hAnsi="仿宋" w:eastAsia="仿宋" w:cs="仿宋"/>
                <w:sz w:val="24"/>
                <w:szCs w:val="24"/>
                <w:highlight w:val="none"/>
                <w:vertAlign w:val="baseline"/>
                <w:lang w:val="en-US" w:eastAsia="zh-CN"/>
              </w:rPr>
            </w:pPr>
          </w:p>
        </w:tc>
        <w:tc>
          <w:tcPr>
            <w:tcW w:w="1901" w:type="dxa"/>
          </w:tcPr>
          <w:p>
            <w:pPr>
              <w:rPr>
                <w:rFonts w:hint="eastAsia" w:ascii="仿宋" w:hAnsi="仿宋" w:eastAsia="仿宋" w:cs="仿宋"/>
                <w:sz w:val="24"/>
                <w:szCs w:val="24"/>
                <w:highlight w:val="none"/>
                <w:vertAlign w:val="baseline"/>
                <w:lang w:val="en-US" w:eastAsia="zh-CN"/>
              </w:rPr>
            </w:pPr>
          </w:p>
        </w:tc>
        <w:tc>
          <w:tcPr>
            <w:tcW w:w="1753" w:type="dxa"/>
          </w:tcPr>
          <w:p>
            <w:pPr>
              <w:rPr>
                <w:rFonts w:hint="eastAsia" w:ascii="仿宋" w:hAnsi="仿宋" w:eastAsia="仿宋" w:cs="仿宋"/>
                <w:sz w:val="24"/>
                <w:szCs w:val="24"/>
                <w:highlight w:val="none"/>
                <w:vertAlign w:val="baseline"/>
                <w:lang w:val="en-US" w:eastAsia="zh-CN"/>
              </w:rPr>
            </w:pPr>
          </w:p>
        </w:tc>
        <w:tc>
          <w:tcPr>
            <w:tcW w:w="1561" w:type="dxa"/>
          </w:tcPr>
          <w:p>
            <w:pPr>
              <w:rPr>
                <w:rFonts w:hint="eastAsia" w:ascii="仿宋" w:hAnsi="仿宋" w:eastAsia="仿宋" w:cs="仿宋"/>
                <w:sz w:val="24"/>
                <w:szCs w:val="24"/>
                <w:highlight w:val="none"/>
                <w:vertAlign w:val="baseline"/>
                <w:lang w:val="en-US" w:eastAsia="zh-CN"/>
              </w:rPr>
            </w:pPr>
          </w:p>
        </w:tc>
        <w:tc>
          <w:tcPr>
            <w:tcW w:w="1052" w:type="dxa"/>
          </w:tcPr>
          <w:p>
            <w:pPr>
              <w:rPr>
                <w:rFonts w:hint="eastAsia" w:ascii="仿宋" w:hAnsi="仿宋" w:eastAsia="仿宋" w:cs="仿宋"/>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834" w:type="dxa"/>
          </w:tcPr>
          <w:p>
            <w:pPr>
              <w:rPr>
                <w:rFonts w:hint="eastAsia" w:ascii="仿宋" w:hAnsi="仿宋" w:eastAsia="仿宋" w:cs="仿宋"/>
                <w:sz w:val="24"/>
                <w:szCs w:val="24"/>
                <w:highlight w:val="none"/>
                <w:vertAlign w:val="baseline"/>
                <w:lang w:val="en-US" w:eastAsia="zh-CN"/>
              </w:rPr>
            </w:pPr>
          </w:p>
        </w:tc>
        <w:tc>
          <w:tcPr>
            <w:tcW w:w="1421" w:type="dxa"/>
          </w:tcPr>
          <w:p>
            <w:pPr>
              <w:rPr>
                <w:rFonts w:hint="eastAsia" w:ascii="仿宋" w:hAnsi="仿宋" w:eastAsia="仿宋" w:cs="仿宋"/>
                <w:sz w:val="24"/>
                <w:szCs w:val="24"/>
                <w:highlight w:val="none"/>
                <w:vertAlign w:val="baseline"/>
                <w:lang w:val="en-US" w:eastAsia="zh-CN"/>
              </w:rPr>
            </w:pPr>
          </w:p>
        </w:tc>
        <w:tc>
          <w:tcPr>
            <w:tcW w:w="1901" w:type="dxa"/>
          </w:tcPr>
          <w:p>
            <w:pPr>
              <w:rPr>
                <w:rFonts w:hint="eastAsia" w:ascii="仿宋" w:hAnsi="仿宋" w:eastAsia="仿宋" w:cs="仿宋"/>
                <w:sz w:val="24"/>
                <w:szCs w:val="24"/>
                <w:highlight w:val="none"/>
                <w:vertAlign w:val="baseline"/>
                <w:lang w:val="en-US" w:eastAsia="zh-CN"/>
              </w:rPr>
            </w:pPr>
          </w:p>
        </w:tc>
        <w:tc>
          <w:tcPr>
            <w:tcW w:w="1753" w:type="dxa"/>
          </w:tcPr>
          <w:p>
            <w:pPr>
              <w:rPr>
                <w:rFonts w:hint="eastAsia" w:ascii="仿宋" w:hAnsi="仿宋" w:eastAsia="仿宋" w:cs="仿宋"/>
                <w:sz w:val="24"/>
                <w:szCs w:val="24"/>
                <w:highlight w:val="none"/>
                <w:vertAlign w:val="baseline"/>
                <w:lang w:val="en-US" w:eastAsia="zh-CN"/>
              </w:rPr>
            </w:pPr>
          </w:p>
        </w:tc>
        <w:tc>
          <w:tcPr>
            <w:tcW w:w="1561" w:type="dxa"/>
          </w:tcPr>
          <w:p>
            <w:pPr>
              <w:rPr>
                <w:rFonts w:hint="eastAsia" w:ascii="仿宋" w:hAnsi="仿宋" w:eastAsia="仿宋" w:cs="仿宋"/>
                <w:sz w:val="24"/>
                <w:szCs w:val="24"/>
                <w:highlight w:val="none"/>
                <w:vertAlign w:val="baseline"/>
                <w:lang w:val="en-US" w:eastAsia="zh-CN"/>
              </w:rPr>
            </w:pPr>
          </w:p>
        </w:tc>
        <w:tc>
          <w:tcPr>
            <w:tcW w:w="1052" w:type="dxa"/>
          </w:tcPr>
          <w:p>
            <w:pPr>
              <w:rPr>
                <w:rFonts w:hint="eastAsia" w:ascii="仿宋" w:hAnsi="仿宋" w:eastAsia="仿宋" w:cs="仿宋"/>
                <w:sz w:val="24"/>
                <w:szCs w:val="24"/>
                <w:highlight w:val="none"/>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注：</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 对商务条款中的所有要求，除本表所列明的所有偏离外，均视作供应商已对之理解和响应。</w:t>
      </w:r>
    </w:p>
    <w:p>
      <w:pPr>
        <w:keepNext w:val="0"/>
        <w:keepLines w:val="0"/>
        <w:pageBreakBefore w:val="0"/>
        <w:widowControl w:val="0"/>
        <w:kinsoku/>
        <w:wordWrap/>
        <w:overflowPunct/>
        <w:topLinePunct w:val="0"/>
        <w:autoSpaceDE/>
        <w:autoSpaceDN/>
        <w:bidi w:val="0"/>
        <w:adjustRightInd/>
        <w:snapToGrid/>
        <w:spacing w:line="500" w:lineRule="exact"/>
        <w:textAlignment w:val="auto"/>
        <w:outlineLvl w:val="1"/>
        <w:rPr>
          <w:rFonts w:hint="eastAsia" w:ascii="仿宋" w:hAnsi="仿宋" w:eastAsia="仿宋" w:cs="仿宋"/>
          <w:sz w:val="24"/>
          <w:szCs w:val="24"/>
          <w:highlight w:val="none"/>
          <w:lang w:val="en-US" w:eastAsia="zh-CN"/>
        </w:rPr>
      </w:pPr>
      <w:bookmarkStart w:id="55" w:name="_Toc6441"/>
      <w:r>
        <w:rPr>
          <w:rFonts w:hint="eastAsia" w:ascii="仿宋" w:hAnsi="仿宋" w:eastAsia="仿宋" w:cs="仿宋"/>
          <w:sz w:val="24"/>
          <w:szCs w:val="24"/>
          <w:highlight w:val="none"/>
          <w:lang w:val="en-US" w:eastAsia="zh-CN"/>
        </w:rPr>
        <w:t>2. “偏离情况”列应据实填写“正偏离”或“负偏离”。</w:t>
      </w:r>
      <w:bookmarkEnd w:id="55"/>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投标人名称（加盖公章）：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日期：    年   月   日</w:t>
      </w:r>
    </w:p>
    <w:p>
      <w:pPr>
        <w:pStyle w:val="18"/>
        <w:rPr>
          <w:rFonts w:hint="eastAsia" w:ascii="仿宋" w:hAnsi="仿宋" w:eastAsia="仿宋" w:cs="仿宋"/>
          <w:sz w:val="24"/>
          <w:szCs w:val="24"/>
          <w:highlight w:val="none"/>
          <w:lang w:val="en-US" w:eastAsia="zh-CN"/>
        </w:rPr>
      </w:pPr>
    </w:p>
    <w:p>
      <w:pPr>
        <w:rPr>
          <w:rFonts w:hint="eastAsia" w:ascii="仿宋" w:hAnsi="仿宋" w:eastAsia="仿宋" w:cs="仿宋"/>
          <w:highlight w:val="none"/>
          <w:lang w:val="en-US" w:eastAsia="zh-CN"/>
        </w:rPr>
      </w:pPr>
      <w:r>
        <w:rPr>
          <w:rFonts w:hint="eastAsia" w:ascii="仿宋" w:hAnsi="仿宋" w:eastAsia="仿宋" w:cs="仿宋"/>
          <w:highlight w:val="none"/>
          <w:lang w:val="en-US" w:eastAsia="zh-CN"/>
        </w:rPr>
        <w:br w:type="page"/>
      </w:r>
    </w:p>
    <w:p>
      <w:pPr>
        <w:pStyle w:val="14"/>
        <w:ind w:left="0" w:leftChars="0" w:firstLine="0" w:firstLineChars="0"/>
        <w:outlineLvl w:val="1"/>
        <w:rPr>
          <w:rFonts w:hint="eastAsia" w:ascii="仿宋" w:hAnsi="仿宋" w:eastAsia="仿宋" w:cs="仿宋"/>
          <w:sz w:val="24"/>
          <w:szCs w:val="24"/>
          <w:highlight w:val="none"/>
          <w:lang w:val="en-US" w:eastAsia="zh-CN"/>
        </w:rPr>
      </w:pPr>
      <w:bookmarkStart w:id="56" w:name="_Toc7042"/>
      <w:r>
        <w:rPr>
          <w:rFonts w:hint="eastAsia" w:ascii="仿宋" w:hAnsi="仿宋" w:eastAsia="仿宋" w:cs="仿宋"/>
          <w:sz w:val="24"/>
          <w:szCs w:val="24"/>
          <w:highlight w:val="none"/>
          <w:lang w:val="en-US" w:eastAsia="zh-CN"/>
        </w:rPr>
        <w:t>9  技术要求偏离表</w:t>
      </w:r>
      <w:bookmarkEnd w:id="56"/>
    </w:p>
    <w:p>
      <w:pPr>
        <w:pStyle w:val="14"/>
        <w:ind w:left="0" w:leftChars="0" w:firstLine="0" w:firstLineChars="0"/>
        <w:rPr>
          <w:rFonts w:hint="eastAsia" w:ascii="仿宋" w:hAnsi="仿宋" w:eastAsia="仿宋" w:cs="仿宋"/>
          <w:sz w:val="24"/>
          <w:szCs w:val="24"/>
          <w:highlight w:val="none"/>
          <w:lang w:val="en-US" w:eastAsia="zh-CN"/>
        </w:rPr>
      </w:pPr>
    </w:p>
    <w:p>
      <w:pPr>
        <w:pStyle w:val="14"/>
        <w:ind w:left="0" w:leftChars="0" w:firstLine="0" w:firstLineChars="0"/>
        <w:jc w:val="center"/>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技术要求偏离表</w:t>
      </w:r>
    </w:p>
    <w:p>
      <w:pPr>
        <w:pStyle w:val="14"/>
        <w:ind w:left="0" w:leftChars="0" w:firstLine="0" w:firstLineChars="0"/>
        <w:rPr>
          <w:rFonts w:hint="eastAsia" w:ascii="仿宋" w:hAnsi="仿宋" w:eastAsia="仿宋" w:cs="仿宋"/>
          <w:sz w:val="24"/>
          <w:szCs w:val="24"/>
          <w:highlight w:val="none"/>
          <w:lang w:val="en-US" w:eastAsia="zh-CN"/>
        </w:rPr>
      </w:pPr>
    </w:p>
    <w:p>
      <w:pPr>
        <w:pStyle w:val="14"/>
        <w:ind w:left="0" w:leftChars="0" w:firstLine="0" w:firstLineChars="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 xml:space="preserve">项目编号/包号：                 项目名称：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1"/>
        <w:gridCol w:w="1422"/>
        <w:gridCol w:w="1805"/>
        <w:gridCol w:w="1672"/>
        <w:gridCol w:w="1421"/>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序号</w:t>
            </w:r>
          </w:p>
        </w:tc>
        <w:tc>
          <w:tcPr>
            <w:tcW w:w="1422"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招标文件条</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目号(页码)</w:t>
            </w:r>
          </w:p>
        </w:tc>
        <w:tc>
          <w:tcPr>
            <w:tcW w:w="1805"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招标文件要求</w:t>
            </w:r>
          </w:p>
        </w:tc>
        <w:tc>
          <w:tcPr>
            <w:tcW w:w="1672"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投标响应内容</w:t>
            </w:r>
          </w:p>
        </w:tc>
        <w:tc>
          <w:tcPr>
            <w:tcW w:w="1421"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偏离情况</w:t>
            </w:r>
          </w:p>
        </w:tc>
        <w:tc>
          <w:tcPr>
            <w:tcW w:w="1421"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422"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805"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672"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422"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805"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672"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422"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805"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672"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422"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805"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672"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422"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805"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672"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422"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805"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672"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422"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805"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672"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注：</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 对招标文件中的所有商务、技术要求，除本表所列明的所有偏离情况外，均视作供应商已对之理解和响应。此表中若无任何文字说明，内容为空白，投标无效。</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2.“偏离情况”列应据实填写“正偏离”、“负偏离”或“无偏离”。</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投标人名称（加盖公章）： ____________</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日期：_____年______月______日</w:t>
      </w:r>
    </w:p>
    <w:p>
      <w:pPr>
        <w:rPr>
          <w:rFonts w:hint="eastAsia" w:ascii="仿宋" w:hAnsi="仿宋" w:eastAsia="仿宋" w:cs="仿宋"/>
          <w:highlight w:val="none"/>
          <w:lang w:val="en-US" w:eastAsia="zh-CN"/>
        </w:rPr>
      </w:pPr>
      <w:r>
        <w:rPr>
          <w:rFonts w:hint="eastAsia" w:ascii="仿宋" w:hAnsi="仿宋" w:eastAsia="仿宋" w:cs="仿宋"/>
          <w:highlight w:val="none"/>
          <w:lang w:val="en-US" w:eastAsia="zh-CN"/>
        </w:rPr>
        <w:br w:type="page"/>
      </w:r>
    </w:p>
    <w:p>
      <w:pPr>
        <w:pStyle w:val="17"/>
        <w:ind w:left="0" w:leftChars="0" w:firstLine="0" w:firstLineChars="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10   招标文件要求提供或投标人认为应附的其他材料</w:t>
      </w:r>
    </w:p>
    <w:p>
      <w:pPr>
        <w:pStyle w:val="14"/>
        <w:rPr>
          <w:rFonts w:hint="eastAsia" w:ascii="仿宋" w:hAnsi="仿宋" w:eastAsia="仿宋" w:cs="仿宋"/>
          <w:highlight w:val="none"/>
          <w:lang w:val="en-US" w:eastAsia="zh-CN"/>
        </w:rPr>
      </w:pPr>
    </w:p>
    <w:p>
      <w:pPr>
        <w:rPr>
          <w:rFonts w:hint="eastAsia" w:ascii="仿宋" w:hAnsi="仿宋" w:eastAsia="仿宋" w:cs="仿宋"/>
          <w:highlight w:val="none"/>
          <w:lang w:val="en-US" w:eastAsia="zh-CN"/>
        </w:rPr>
      </w:pPr>
      <w:r>
        <w:rPr>
          <w:rFonts w:hint="eastAsia" w:ascii="仿宋" w:hAnsi="仿宋" w:eastAsia="仿宋" w:cs="仿宋"/>
          <w:highlight w:val="none"/>
          <w:lang w:val="en-US" w:eastAsia="zh-CN"/>
        </w:rPr>
        <w:br w:type="page"/>
      </w:r>
    </w:p>
    <w:p>
      <w:pPr>
        <w:keepNext/>
        <w:keepLines/>
        <w:widowControl w:val="0"/>
        <w:spacing w:before="0" w:after="260" w:line="240" w:lineRule="atLeast"/>
        <w:jc w:val="both"/>
        <w:outlineLvl w:val="1"/>
        <w:rPr>
          <w:rFonts w:hint="eastAsia" w:ascii="仿宋" w:hAnsi="仿宋" w:eastAsia="仿宋" w:cs="仿宋"/>
          <w:b w:val="0"/>
          <w:bCs/>
          <w:kern w:val="2"/>
          <w:sz w:val="24"/>
          <w:szCs w:val="32"/>
          <w:highlight w:val="none"/>
          <w:lang w:val="en-US" w:eastAsia="zh-CN" w:bidi="ar-SA"/>
        </w:rPr>
      </w:pPr>
      <w:bookmarkStart w:id="57" w:name="_Toc520356224"/>
      <w:bookmarkStart w:id="58" w:name="_Ref467988543"/>
      <w:bookmarkStart w:id="59" w:name="_Toc216582819"/>
      <w:bookmarkStart w:id="60" w:name="_Toc480942355"/>
      <w:bookmarkStart w:id="61" w:name="_Toc15963"/>
      <w:bookmarkStart w:id="62" w:name="_Toc9592"/>
      <w:bookmarkStart w:id="63" w:name="_Toc507399535"/>
      <w:bookmarkStart w:id="64" w:name="_Toc21320"/>
      <w:bookmarkStart w:id="65" w:name="_Toc4183"/>
      <w:bookmarkStart w:id="66" w:name="_Toc20238"/>
      <w:bookmarkStart w:id="67" w:name="_Toc17143"/>
      <w:bookmarkStart w:id="68" w:name="_Toc522"/>
      <w:bookmarkStart w:id="69" w:name="_Toc8281"/>
      <w:bookmarkStart w:id="70" w:name="_Toc3420"/>
      <w:r>
        <w:rPr>
          <w:rFonts w:hint="eastAsia" w:ascii="仿宋" w:hAnsi="仿宋" w:eastAsia="仿宋" w:cs="仿宋"/>
          <w:b/>
          <w:bCs/>
          <w:kern w:val="2"/>
          <w:sz w:val="24"/>
          <w:szCs w:val="32"/>
          <w:highlight w:val="none"/>
          <w:lang w:val="en-US" w:eastAsia="zh-CN" w:bidi="ar-SA"/>
        </w:rPr>
        <w:t xml:space="preserve">11   </w:t>
      </w:r>
      <w:bookmarkEnd w:id="57"/>
      <w:bookmarkEnd w:id="58"/>
      <w:bookmarkEnd w:id="59"/>
      <w:bookmarkEnd w:id="60"/>
      <w:bookmarkStart w:id="71" w:name="_Hlt520273973"/>
      <w:bookmarkEnd w:id="71"/>
      <w:bookmarkStart w:id="72" w:name="_Hlt520343392"/>
      <w:bookmarkEnd w:id="72"/>
      <w:bookmarkStart w:id="73" w:name="_Hlt520274065"/>
      <w:bookmarkEnd w:id="73"/>
      <w:bookmarkStart w:id="74" w:name="_Hlt520350957"/>
      <w:bookmarkEnd w:id="74"/>
      <w:bookmarkStart w:id="75" w:name="_Hlt520274911"/>
      <w:bookmarkEnd w:id="75"/>
      <w:bookmarkStart w:id="76" w:name="_Hlt520273711"/>
      <w:bookmarkEnd w:id="76"/>
      <w:bookmarkStart w:id="77" w:name="_Hlt520350918"/>
      <w:bookmarkEnd w:id="77"/>
      <w:bookmarkStart w:id="78" w:name="_Hlt520271212"/>
      <w:bookmarkEnd w:id="78"/>
      <w:bookmarkStart w:id="79" w:name="_Hlt520343000"/>
      <w:bookmarkEnd w:id="79"/>
      <w:bookmarkStart w:id="80" w:name="_Hlt520274393"/>
      <w:bookmarkEnd w:id="80"/>
      <w:bookmarkStart w:id="81" w:name="_Hlt520274407"/>
      <w:bookmarkEnd w:id="81"/>
      <w:bookmarkStart w:id="82" w:name="_Toc216513801"/>
      <w:bookmarkStart w:id="83" w:name="_Toc216582821"/>
      <w:r>
        <w:rPr>
          <w:rFonts w:hint="eastAsia" w:ascii="仿宋" w:hAnsi="仿宋" w:eastAsia="仿宋" w:cs="仿宋"/>
          <w:b/>
          <w:bCs/>
          <w:kern w:val="2"/>
          <w:sz w:val="24"/>
          <w:szCs w:val="32"/>
          <w:highlight w:val="none"/>
          <w:lang w:val="en-US" w:eastAsia="zh-CN" w:bidi="ar-SA"/>
        </w:rPr>
        <w:t>中标服务费承诺书</w:t>
      </w:r>
      <w:bookmarkEnd w:id="61"/>
      <w:bookmarkEnd w:id="62"/>
      <w:bookmarkEnd w:id="63"/>
      <w:bookmarkEnd w:id="64"/>
      <w:bookmarkEnd w:id="65"/>
      <w:bookmarkEnd w:id="66"/>
      <w:bookmarkEnd w:id="67"/>
      <w:bookmarkEnd w:id="68"/>
    </w:p>
    <w:p>
      <w:pPr>
        <w:spacing w:line="240" w:lineRule="atLeast"/>
        <w:ind w:left="1080" w:leftChars="257" w:hanging="540"/>
        <w:rPr>
          <w:rFonts w:hint="eastAsia" w:ascii="仿宋" w:hAnsi="仿宋" w:eastAsia="仿宋" w:cs="仿宋"/>
          <w:b/>
          <w:sz w:val="24"/>
          <w:highlight w:val="none"/>
        </w:rPr>
      </w:pPr>
    </w:p>
    <w:p>
      <w:pPr>
        <w:spacing w:line="240" w:lineRule="atLeast"/>
        <w:ind w:left="1080" w:leftChars="257" w:hanging="540"/>
        <w:jc w:val="center"/>
        <w:rPr>
          <w:rFonts w:hint="eastAsia" w:ascii="仿宋" w:hAnsi="仿宋" w:eastAsia="仿宋" w:cs="仿宋"/>
          <w:b/>
          <w:bCs/>
          <w:sz w:val="24"/>
          <w:highlight w:val="none"/>
        </w:rPr>
      </w:pPr>
      <w:r>
        <w:rPr>
          <w:rFonts w:hint="eastAsia" w:ascii="仿宋" w:hAnsi="仿宋" w:eastAsia="仿宋" w:cs="仿宋"/>
          <w:b/>
          <w:bCs/>
          <w:sz w:val="24"/>
          <w:highlight w:val="none"/>
        </w:rPr>
        <w:t>中标服务费承诺书</w:t>
      </w:r>
    </w:p>
    <w:p>
      <w:pPr>
        <w:spacing w:line="440" w:lineRule="exact"/>
        <w:ind w:left="1080" w:hanging="1080"/>
        <w:rPr>
          <w:rFonts w:hint="eastAsia" w:ascii="仿宋" w:hAnsi="仿宋" w:eastAsia="仿宋" w:cs="仿宋"/>
          <w:sz w:val="24"/>
          <w:highlight w:val="none"/>
        </w:rPr>
      </w:pPr>
    </w:p>
    <w:p>
      <w:pPr>
        <w:spacing w:line="440" w:lineRule="exact"/>
        <w:ind w:left="1080" w:hanging="1080"/>
        <w:rPr>
          <w:rFonts w:hint="eastAsia" w:ascii="仿宋" w:hAnsi="仿宋" w:eastAsia="仿宋" w:cs="仿宋"/>
          <w:sz w:val="24"/>
          <w:highlight w:val="none"/>
          <w:u w:val="single"/>
          <w:lang w:val="en-US" w:eastAsia="zh-CN"/>
        </w:rPr>
      </w:pPr>
      <w:r>
        <w:rPr>
          <w:rFonts w:hint="eastAsia" w:ascii="仿宋" w:hAnsi="仿宋" w:eastAsia="仿宋" w:cs="仿宋"/>
          <w:sz w:val="24"/>
          <w:highlight w:val="none"/>
        </w:rPr>
        <w:t>致：</w:t>
      </w:r>
      <w:r>
        <w:rPr>
          <w:rFonts w:hint="eastAsia" w:ascii="仿宋" w:hAnsi="仿宋" w:eastAsia="仿宋" w:cs="仿宋"/>
          <w:sz w:val="24"/>
          <w:highlight w:val="none"/>
          <w:lang w:val="en-US" w:eastAsia="zh-CN"/>
        </w:rPr>
        <w:t>新疆世纪星工程咨询有限公司</w:t>
      </w:r>
    </w:p>
    <w:p>
      <w:pPr>
        <w:spacing w:line="440" w:lineRule="exact"/>
        <w:ind w:left="1080" w:leftChars="257" w:hanging="540"/>
        <w:rPr>
          <w:rFonts w:hint="eastAsia" w:ascii="仿宋" w:hAnsi="仿宋" w:eastAsia="仿宋" w:cs="仿宋"/>
          <w:sz w:val="24"/>
          <w:highlight w:val="none"/>
        </w:rPr>
      </w:pPr>
    </w:p>
    <w:p>
      <w:pPr>
        <w:spacing w:line="440" w:lineRule="exact"/>
        <w:rPr>
          <w:rFonts w:hint="eastAsia" w:ascii="仿宋" w:hAnsi="仿宋" w:eastAsia="仿宋" w:cs="仿宋"/>
          <w:sz w:val="24"/>
          <w:highlight w:val="none"/>
        </w:rPr>
      </w:pPr>
      <w:r>
        <w:rPr>
          <w:rFonts w:hint="eastAsia" w:ascii="仿宋" w:hAnsi="仿宋" w:eastAsia="仿宋" w:cs="仿宋"/>
          <w:sz w:val="24"/>
          <w:highlight w:val="none"/>
        </w:rPr>
        <w:tab/>
      </w:r>
      <w:r>
        <w:rPr>
          <w:rFonts w:hint="eastAsia" w:ascii="仿宋" w:hAnsi="仿宋" w:eastAsia="仿宋" w:cs="仿宋"/>
          <w:sz w:val="24"/>
          <w:highlight w:val="none"/>
        </w:rPr>
        <w:t xml:space="preserve"> 我们在贵公司组织的</w:t>
      </w:r>
      <w:r>
        <w:rPr>
          <w:rFonts w:hint="eastAsia" w:ascii="仿宋" w:hAnsi="仿宋" w:eastAsia="仿宋" w:cs="仿宋"/>
          <w:sz w:val="24"/>
          <w:highlight w:val="none"/>
          <w:u w:val="single"/>
        </w:rPr>
        <w:tab/>
      </w:r>
      <w:r>
        <w:rPr>
          <w:rFonts w:hint="eastAsia" w:ascii="仿宋" w:hAnsi="仿宋" w:eastAsia="仿宋" w:cs="仿宋"/>
          <w:sz w:val="24"/>
          <w:highlight w:val="none"/>
          <w:u w:val="single"/>
          <w:lang w:eastAsia="zh-CN"/>
        </w:rPr>
        <w:t>（</w:t>
      </w:r>
      <w:r>
        <w:rPr>
          <w:rFonts w:hint="eastAsia" w:ascii="仿宋" w:hAnsi="仿宋" w:eastAsia="仿宋" w:cs="仿宋"/>
          <w:sz w:val="24"/>
          <w:highlight w:val="none"/>
          <w:u w:val="single"/>
          <w:lang w:val="en-US" w:eastAsia="zh-CN"/>
        </w:rPr>
        <w:t>项目名称、项目编号</w:t>
      </w:r>
      <w:r>
        <w:rPr>
          <w:rFonts w:hint="eastAsia" w:ascii="仿宋" w:hAnsi="仿宋" w:eastAsia="仿宋" w:cs="仿宋"/>
          <w:sz w:val="24"/>
          <w:highlight w:val="none"/>
          <w:u w:val="single"/>
          <w:lang w:eastAsia="zh-CN"/>
        </w:rPr>
        <w:t>）</w:t>
      </w:r>
      <w:r>
        <w:rPr>
          <w:rFonts w:hint="eastAsia" w:ascii="仿宋" w:hAnsi="仿宋" w:eastAsia="仿宋" w:cs="仿宋"/>
          <w:sz w:val="24"/>
          <w:highlight w:val="none"/>
          <w:u w:val="single"/>
        </w:rPr>
        <w:tab/>
      </w:r>
      <w:r>
        <w:rPr>
          <w:rFonts w:hint="eastAsia" w:ascii="仿宋" w:hAnsi="仿宋" w:eastAsia="仿宋" w:cs="仿宋"/>
          <w:sz w:val="24"/>
          <w:highlight w:val="none"/>
        </w:rPr>
        <w:t>项目招标中若获得中标资格，我们保证在领取中标通知书的同时按招标文件的规定，以支票、电汇等形式，向贵公司一次性支付应由我们交纳的中标服务费用。</w:t>
      </w:r>
    </w:p>
    <w:p>
      <w:pPr>
        <w:spacing w:line="440" w:lineRule="exact"/>
        <w:ind w:left="1080" w:leftChars="257" w:hanging="540"/>
        <w:rPr>
          <w:rFonts w:hint="eastAsia" w:ascii="仿宋" w:hAnsi="仿宋" w:eastAsia="仿宋" w:cs="仿宋"/>
          <w:sz w:val="24"/>
          <w:highlight w:val="none"/>
        </w:rPr>
      </w:pPr>
      <w:r>
        <w:rPr>
          <w:rFonts w:hint="eastAsia" w:ascii="仿宋" w:hAnsi="仿宋" w:eastAsia="仿宋" w:cs="仿宋"/>
          <w:sz w:val="24"/>
          <w:highlight w:val="none"/>
        </w:rPr>
        <w:t>特此承诺！</w:t>
      </w:r>
    </w:p>
    <w:p>
      <w:pPr>
        <w:spacing w:line="440" w:lineRule="exact"/>
        <w:ind w:left="1080" w:leftChars="257" w:hanging="540"/>
        <w:rPr>
          <w:rFonts w:hint="eastAsia" w:ascii="仿宋" w:hAnsi="仿宋" w:eastAsia="仿宋" w:cs="仿宋"/>
          <w:sz w:val="24"/>
          <w:highlight w:val="none"/>
        </w:rPr>
      </w:pPr>
    </w:p>
    <w:p>
      <w:pPr>
        <w:spacing w:line="440" w:lineRule="exact"/>
        <w:ind w:left="1080" w:leftChars="257" w:hanging="540"/>
        <w:rPr>
          <w:rFonts w:hint="eastAsia" w:ascii="仿宋" w:hAnsi="仿宋" w:eastAsia="仿宋" w:cs="仿宋"/>
          <w:sz w:val="24"/>
          <w:highlight w:val="none"/>
        </w:rPr>
      </w:pPr>
    </w:p>
    <w:p>
      <w:pPr>
        <w:spacing w:line="440" w:lineRule="exact"/>
        <w:ind w:left="1080" w:leftChars="257" w:hanging="540"/>
        <w:rPr>
          <w:rFonts w:hint="eastAsia" w:ascii="仿宋" w:hAnsi="仿宋" w:eastAsia="仿宋" w:cs="仿宋"/>
          <w:sz w:val="24"/>
          <w:highlight w:val="none"/>
        </w:rPr>
      </w:pPr>
    </w:p>
    <w:p>
      <w:pPr>
        <w:spacing w:line="440" w:lineRule="exact"/>
        <w:ind w:left="1080" w:leftChars="257" w:hanging="540"/>
        <w:rPr>
          <w:rFonts w:hint="eastAsia" w:ascii="仿宋" w:hAnsi="仿宋" w:eastAsia="仿宋" w:cs="仿宋"/>
          <w:sz w:val="24"/>
          <w:highlight w:val="none"/>
        </w:rPr>
      </w:pPr>
    </w:p>
    <w:p>
      <w:pPr>
        <w:spacing w:line="440" w:lineRule="exact"/>
        <w:ind w:left="1080" w:hanging="1080"/>
        <w:rPr>
          <w:rFonts w:hint="eastAsia" w:ascii="仿宋" w:hAnsi="仿宋" w:eastAsia="仿宋" w:cs="仿宋"/>
          <w:sz w:val="24"/>
          <w:highlight w:val="none"/>
        </w:rPr>
      </w:pPr>
    </w:p>
    <w:p>
      <w:pPr>
        <w:spacing w:line="440" w:lineRule="exact"/>
        <w:ind w:left="1413" w:leftChars="273" w:hanging="840" w:hangingChars="350"/>
        <w:rPr>
          <w:rFonts w:hint="eastAsia" w:ascii="仿宋" w:hAnsi="仿宋" w:eastAsia="仿宋" w:cs="仿宋"/>
          <w:sz w:val="24"/>
          <w:highlight w:val="none"/>
        </w:rPr>
      </w:pPr>
      <w:r>
        <w:rPr>
          <w:rFonts w:hint="eastAsia" w:ascii="仿宋" w:hAnsi="仿宋" w:eastAsia="仿宋" w:cs="仿宋"/>
          <w:sz w:val="24"/>
          <w:highlight w:val="none"/>
        </w:rPr>
        <w:t>承诺方法定名称：</w:t>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p>
    <w:p>
      <w:pPr>
        <w:spacing w:line="440" w:lineRule="exact"/>
        <w:ind w:left="1620" w:leftChars="257" w:hanging="1080"/>
        <w:rPr>
          <w:rFonts w:hint="eastAsia" w:ascii="仿宋" w:hAnsi="仿宋" w:eastAsia="仿宋" w:cs="仿宋"/>
          <w:sz w:val="24"/>
          <w:highlight w:val="none"/>
        </w:rPr>
      </w:pPr>
      <w:r>
        <w:rPr>
          <w:rFonts w:hint="eastAsia" w:ascii="仿宋" w:hAnsi="仿宋" w:eastAsia="仿宋" w:cs="仿宋"/>
          <w:sz w:val="24"/>
          <w:highlight w:val="none"/>
        </w:rPr>
        <w:t>地址：</w:t>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p>
    <w:p>
      <w:pPr>
        <w:spacing w:line="440" w:lineRule="exact"/>
        <w:ind w:left="1620" w:leftChars="257" w:hanging="1080"/>
        <w:rPr>
          <w:rFonts w:hint="eastAsia" w:ascii="仿宋" w:hAnsi="仿宋" w:eastAsia="仿宋" w:cs="仿宋"/>
          <w:sz w:val="24"/>
          <w:highlight w:val="none"/>
        </w:rPr>
      </w:pPr>
      <w:r>
        <w:rPr>
          <w:rFonts w:hint="eastAsia" w:ascii="仿宋" w:hAnsi="仿宋" w:eastAsia="仿宋" w:cs="仿宋"/>
          <w:sz w:val="24"/>
          <w:highlight w:val="none"/>
        </w:rPr>
        <w:t>电话：</w:t>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rPr>
        <w:tab/>
      </w:r>
      <w:r>
        <w:rPr>
          <w:rFonts w:hint="eastAsia" w:ascii="仿宋" w:hAnsi="仿宋" w:eastAsia="仿宋" w:cs="仿宋"/>
          <w:sz w:val="24"/>
          <w:highlight w:val="none"/>
        </w:rPr>
        <w:tab/>
      </w:r>
      <w:r>
        <w:rPr>
          <w:rFonts w:hint="eastAsia" w:ascii="仿宋" w:hAnsi="仿宋" w:eastAsia="仿宋" w:cs="仿宋"/>
          <w:sz w:val="24"/>
          <w:highlight w:val="none"/>
        </w:rPr>
        <w:t>传真：</w:t>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p>
    <w:p>
      <w:pPr>
        <w:spacing w:line="440" w:lineRule="exact"/>
        <w:ind w:left="1620" w:leftChars="257" w:hanging="1080"/>
        <w:rPr>
          <w:rFonts w:hint="eastAsia" w:ascii="仿宋" w:hAnsi="仿宋" w:eastAsia="仿宋" w:cs="仿宋"/>
          <w:sz w:val="24"/>
          <w:highlight w:val="none"/>
        </w:rPr>
      </w:pPr>
      <w:r>
        <w:rPr>
          <w:rFonts w:hint="eastAsia" w:ascii="仿宋" w:hAnsi="仿宋" w:eastAsia="仿宋" w:cs="仿宋"/>
          <w:sz w:val="24"/>
          <w:highlight w:val="none"/>
        </w:rPr>
        <w:t>电传：</w:t>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rPr>
        <w:tab/>
      </w:r>
      <w:r>
        <w:rPr>
          <w:rFonts w:hint="eastAsia" w:ascii="仿宋" w:hAnsi="仿宋" w:eastAsia="仿宋" w:cs="仿宋"/>
          <w:sz w:val="24"/>
          <w:highlight w:val="none"/>
        </w:rPr>
        <w:tab/>
      </w:r>
      <w:r>
        <w:rPr>
          <w:rFonts w:hint="eastAsia" w:ascii="仿宋" w:hAnsi="仿宋" w:eastAsia="仿宋" w:cs="仿宋"/>
          <w:sz w:val="24"/>
          <w:highlight w:val="none"/>
        </w:rPr>
        <w:t>邮编：</w:t>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p>
    <w:p>
      <w:pPr>
        <w:spacing w:line="440" w:lineRule="exact"/>
        <w:ind w:left="1620" w:leftChars="257" w:hanging="1080"/>
        <w:rPr>
          <w:rFonts w:hint="eastAsia" w:ascii="仿宋" w:hAnsi="仿宋" w:eastAsia="仿宋" w:cs="仿宋"/>
          <w:sz w:val="24"/>
          <w:highlight w:val="none"/>
        </w:rPr>
      </w:pPr>
      <w:r>
        <w:rPr>
          <w:rFonts w:hint="eastAsia" w:ascii="仿宋" w:hAnsi="仿宋" w:eastAsia="仿宋" w:cs="仿宋"/>
          <w:sz w:val="24"/>
          <w:highlight w:val="none"/>
        </w:rPr>
        <w:t>承诺方授权代表签字：</w:t>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（承诺方盖章）</w:t>
      </w:r>
    </w:p>
    <w:p>
      <w:pPr>
        <w:spacing w:line="440" w:lineRule="exact"/>
        <w:ind w:left="1620" w:leftChars="257" w:hanging="1080"/>
        <w:rPr>
          <w:rFonts w:hint="eastAsia" w:ascii="仿宋" w:hAnsi="仿宋" w:eastAsia="仿宋" w:cs="仿宋"/>
          <w:sz w:val="24"/>
          <w:highlight w:val="none"/>
          <w:u w:val="single"/>
        </w:rPr>
      </w:pPr>
      <w:r>
        <w:rPr>
          <w:rFonts w:hint="eastAsia" w:ascii="仿宋" w:hAnsi="仿宋" w:eastAsia="仿宋" w:cs="仿宋"/>
          <w:sz w:val="24"/>
          <w:highlight w:val="none"/>
        </w:rPr>
        <w:t>承诺日期：</w:t>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 xml:space="preserve">                      </w:t>
      </w:r>
      <w:bookmarkEnd w:id="82"/>
      <w:bookmarkEnd w:id="83"/>
    </w:p>
    <w:p>
      <w:pPr>
        <w:rPr>
          <w:rFonts w:hint="eastAsia" w:ascii="仿宋" w:hAnsi="仿宋" w:eastAsia="仿宋" w:cs="仿宋"/>
          <w:b w:val="0"/>
          <w:bCs w:val="0"/>
          <w:kern w:val="2"/>
          <w:sz w:val="24"/>
          <w:szCs w:val="24"/>
          <w:highlight w:val="none"/>
          <w:lang w:val="en-US" w:eastAsia="zh-CN" w:bidi="zh-CN"/>
        </w:rPr>
      </w:pPr>
      <w:r>
        <w:rPr>
          <w:rFonts w:hint="eastAsia" w:ascii="仿宋" w:hAnsi="仿宋" w:eastAsia="仿宋" w:cs="仿宋"/>
          <w:b w:val="0"/>
          <w:bCs w:val="0"/>
          <w:kern w:val="2"/>
          <w:sz w:val="24"/>
          <w:szCs w:val="24"/>
          <w:highlight w:val="none"/>
          <w:lang w:val="en-US" w:eastAsia="zh-CN" w:bidi="zh-CN"/>
        </w:rPr>
        <w:br w:type="page"/>
      </w:r>
    </w:p>
    <w:p>
      <w:pPr>
        <w:widowControl w:val="0"/>
        <w:spacing w:before="1"/>
        <w:jc w:val="both"/>
        <w:outlineLvl w:val="1"/>
        <w:rPr>
          <w:rFonts w:hint="eastAsia" w:ascii="仿宋" w:hAnsi="仿宋" w:eastAsia="仿宋" w:cs="仿宋"/>
          <w:b w:val="0"/>
          <w:bCs w:val="0"/>
          <w:kern w:val="2"/>
          <w:sz w:val="24"/>
          <w:szCs w:val="24"/>
          <w:highlight w:val="none"/>
          <w:lang w:val="zh-CN" w:eastAsia="zh-CN" w:bidi="zh-CN"/>
        </w:rPr>
      </w:pPr>
      <w:bookmarkStart w:id="84" w:name="_Toc24678"/>
      <w:bookmarkStart w:id="85" w:name="_Toc8649"/>
      <w:bookmarkStart w:id="86" w:name="_Toc20782"/>
      <w:bookmarkStart w:id="87" w:name="_Toc15106"/>
      <w:bookmarkStart w:id="88" w:name="_Toc17899"/>
      <w:r>
        <w:rPr>
          <w:rFonts w:hint="eastAsia" w:ascii="仿宋" w:hAnsi="仿宋" w:eastAsia="仿宋" w:cs="仿宋"/>
          <w:b w:val="0"/>
          <w:bCs w:val="0"/>
          <w:kern w:val="2"/>
          <w:sz w:val="24"/>
          <w:szCs w:val="24"/>
          <w:highlight w:val="none"/>
          <w:lang w:val="en-US" w:eastAsia="zh-CN" w:bidi="zh-CN"/>
        </w:rPr>
        <w:t xml:space="preserve">12   </w:t>
      </w:r>
      <w:r>
        <w:rPr>
          <w:rFonts w:hint="eastAsia" w:ascii="仿宋" w:hAnsi="仿宋" w:eastAsia="仿宋" w:cs="仿宋"/>
          <w:b w:val="0"/>
          <w:bCs w:val="0"/>
          <w:kern w:val="2"/>
          <w:sz w:val="24"/>
          <w:szCs w:val="24"/>
          <w:highlight w:val="none"/>
          <w:lang w:val="zh-CN" w:eastAsia="zh-CN" w:bidi="zh-CN"/>
        </w:rPr>
        <w:t>保证金信息表</w:t>
      </w:r>
      <w:bookmarkEnd w:id="69"/>
      <w:bookmarkEnd w:id="70"/>
      <w:r>
        <w:rPr>
          <w:rFonts w:hint="eastAsia" w:ascii="仿宋" w:hAnsi="仿宋" w:eastAsia="仿宋" w:cs="仿宋"/>
          <w:b w:val="0"/>
          <w:bCs w:val="0"/>
          <w:kern w:val="2"/>
          <w:sz w:val="24"/>
          <w:szCs w:val="24"/>
          <w:highlight w:val="none"/>
          <w:lang w:val="zh-CN" w:eastAsia="zh-CN" w:bidi="zh-CN"/>
        </w:rPr>
        <w:t>（</w:t>
      </w:r>
      <w:r>
        <w:rPr>
          <w:rFonts w:hint="eastAsia" w:ascii="仿宋" w:hAnsi="仿宋" w:eastAsia="仿宋" w:cs="仿宋"/>
          <w:b w:val="0"/>
          <w:bCs w:val="0"/>
          <w:kern w:val="2"/>
          <w:sz w:val="24"/>
          <w:szCs w:val="24"/>
          <w:highlight w:val="none"/>
          <w:lang w:val="en-US" w:eastAsia="zh-CN" w:bidi="zh-CN"/>
        </w:rPr>
        <w:t>保函方式提交的无需提供</w:t>
      </w:r>
      <w:r>
        <w:rPr>
          <w:rFonts w:hint="eastAsia" w:ascii="仿宋" w:hAnsi="仿宋" w:eastAsia="仿宋" w:cs="仿宋"/>
          <w:b w:val="0"/>
          <w:bCs w:val="0"/>
          <w:kern w:val="2"/>
          <w:sz w:val="24"/>
          <w:szCs w:val="24"/>
          <w:highlight w:val="none"/>
          <w:lang w:val="zh-CN" w:eastAsia="zh-CN" w:bidi="zh-CN"/>
        </w:rPr>
        <w:t>）</w:t>
      </w:r>
      <w:bookmarkEnd w:id="84"/>
      <w:bookmarkEnd w:id="85"/>
      <w:bookmarkEnd w:id="86"/>
      <w:bookmarkEnd w:id="87"/>
      <w:bookmarkEnd w:id="88"/>
    </w:p>
    <w:p>
      <w:pPr>
        <w:pStyle w:val="2"/>
        <w:spacing w:line="440" w:lineRule="exact"/>
        <w:jc w:val="center"/>
        <w:outlineLvl w:val="9"/>
        <w:rPr>
          <w:rFonts w:hint="eastAsia" w:ascii="仿宋" w:hAnsi="仿宋" w:eastAsia="仿宋" w:cs="仿宋"/>
          <w:b/>
          <w:sz w:val="32"/>
          <w:szCs w:val="32"/>
          <w:highlight w:val="none"/>
        </w:rPr>
      </w:pPr>
    </w:p>
    <w:p>
      <w:pPr>
        <w:pStyle w:val="2"/>
        <w:spacing w:line="440" w:lineRule="exact"/>
        <w:jc w:val="center"/>
        <w:outlineLvl w:val="0"/>
        <w:rPr>
          <w:rFonts w:hint="eastAsia" w:ascii="仿宋" w:hAnsi="仿宋" w:eastAsia="仿宋" w:cs="仿宋"/>
          <w:b/>
          <w:sz w:val="32"/>
          <w:szCs w:val="32"/>
          <w:highlight w:val="none"/>
        </w:rPr>
      </w:pPr>
      <w:bookmarkStart w:id="89" w:name="_Toc27316"/>
      <w:bookmarkStart w:id="90" w:name="_Toc31463"/>
      <w:bookmarkStart w:id="91" w:name="_Toc28181"/>
      <w:bookmarkStart w:id="92" w:name="_Toc14307"/>
      <w:bookmarkStart w:id="93" w:name="_Toc16938"/>
      <w:bookmarkStart w:id="94" w:name="_Toc25967"/>
      <w:bookmarkStart w:id="95" w:name="_Toc4940"/>
      <w:r>
        <w:rPr>
          <w:rFonts w:hint="eastAsia" w:ascii="仿宋" w:hAnsi="仿宋" w:eastAsia="仿宋" w:cs="仿宋"/>
          <w:b/>
          <w:sz w:val="24"/>
          <w:szCs w:val="24"/>
          <w:highlight w:val="none"/>
        </w:rPr>
        <w:t>退还保证金申请函</w:t>
      </w:r>
      <w:bookmarkEnd w:id="89"/>
      <w:bookmarkEnd w:id="90"/>
      <w:bookmarkEnd w:id="91"/>
      <w:bookmarkEnd w:id="92"/>
      <w:bookmarkEnd w:id="93"/>
      <w:bookmarkEnd w:id="94"/>
      <w:bookmarkEnd w:id="95"/>
    </w:p>
    <w:p>
      <w:pPr>
        <w:spacing w:line="360" w:lineRule="auto"/>
        <w:rPr>
          <w:rFonts w:hint="eastAsia" w:ascii="仿宋" w:hAnsi="仿宋" w:eastAsia="仿宋" w:cs="仿宋"/>
          <w:color w:val="000000"/>
          <w:sz w:val="21"/>
          <w:szCs w:val="21"/>
          <w:highlight w:val="none"/>
          <w:u w:val="single"/>
          <w:lang w:eastAsia="zh-CN"/>
        </w:rPr>
      </w:pPr>
      <w:r>
        <w:rPr>
          <w:rFonts w:hint="eastAsia" w:ascii="仿宋" w:hAnsi="仿宋" w:eastAsia="仿宋" w:cs="仿宋"/>
          <w:color w:val="000000"/>
          <w:sz w:val="21"/>
          <w:szCs w:val="21"/>
          <w:highlight w:val="none"/>
        </w:rPr>
        <w:t>致：</w:t>
      </w:r>
      <w:r>
        <w:rPr>
          <w:rFonts w:hint="eastAsia" w:ascii="仿宋" w:hAnsi="仿宋" w:eastAsia="仿宋" w:cs="仿宋"/>
          <w:color w:val="000000"/>
          <w:sz w:val="21"/>
          <w:szCs w:val="21"/>
          <w:highlight w:val="none"/>
          <w:u w:val="single"/>
          <w:lang w:eastAsia="zh-CN"/>
        </w:rPr>
        <w:t>新疆世纪星工程咨询有限公司</w:t>
      </w:r>
    </w:p>
    <w:p>
      <w:pPr>
        <w:spacing w:line="360" w:lineRule="auto"/>
        <w:ind w:firstLine="420" w:firstLineChars="200"/>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u w:val="single"/>
        </w:rPr>
        <w:t>（</w:t>
      </w:r>
      <w:r>
        <w:rPr>
          <w:rFonts w:hint="eastAsia" w:ascii="仿宋" w:hAnsi="仿宋" w:eastAsia="仿宋" w:cs="仿宋"/>
          <w:color w:val="000000"/>
          <w:sz w:val="21"/>
          <w:szCs w:val="21"/>
          <w:highlight w:val="none"/>
          <w:u w:val="single"/>
          <w:lang w:val="en-US" w:eastAsia="zh-CN"/>
        </w:rPr>
        <w:t>投标人</w:t>
      </w:r>
      <w:r>
        <w:rPr>
          <w:rFonts w:hint="eastAsia" w:ascii="仿宋" w:hAnsi="仿宋" w:eastAsia="仿宋" w:cs="仿宋"/>
          <w:color w:val="000000"/>
          <w:sz w:val="21"/>
          <w:szCs w:val="21"/>
          <w:highlight w:val="none"/>
          <w:u w:val="single"/>
        </w:rPr>
        <w:t xml:space="preserve">全称) </w:t>
      </w:r>
      <w:r>
        <w:rPr>
          <w:rFonts w:hint="eastAsia" w:ascii="仿宋" w:hAnsi="仿宋" w:eastAsia="仿宋" w:cs="仿宋"/>
          <w:color w:val="000000"/>
          <w:sz w:val="21"/>
          <w:szCs w:val="21"/>
          <w:highlight w:val="none"/>
        </w:rPr>
        <w:t>参加贵方组织的，</w:t>
      </w:r>
      <w:r>
        <w:rPr>
          <w:rFonts w:hint="eastAsia" w:ascii="仿宋" w:hAnsi="仿宋" w:eastAsia="仿宋" w:cs="仿宋"/>
          <w:b w:val="0"/>
          <w:bCs w:val="0"/>
          <w:sz w:val="21"/>
          <w:szCs w:val="21"/>
          <w:highlight w:val="none"/>
          <w:u w:val="single"/>
          <w:lang w:val="en-US" w:eastAsia="zh-CN"/>
        </w:rPr>
        <w:t>（项目名称）（项目编号）</w:t>
      </w:r>
      <w:r>
        <w:rPr>
          <w:rFonts w:hint="eastAsia" w:ascii="仿宋" w:hAnsi="仿宋" w:eastAsia="仿宋" w:cs="仿宋"/>
          <w:color w:val="000000"/>
          <w:sz w:val="21"/>
          <w:szCs w:val="21"/>
          <w:highlight w:val="none"/>
        </w:rPr>
        <w:t>的</w:t>
      </w:r>
      <w:r>
        <w:rPr>
          <w:rFonts w:hint="eastAsia" w:ascii="仿宋" w:hAnsi="仿宋" w:eastAsia="仿宋" w:cs="仿宋"/>
          <w:color w:val="000000"/>
          <w:sz w:val="21"/>
          <w:szCs w:val="21"/>
          <w:highlight w:val="none"/>
          <w:lang w:val="en-US" w:eastAsia="zh-CN"/>
        </w:rPr>
        <w:t>招标</w:t>
      </w:r>
      <w:r>
        <w:rPr>
          <w:rFonts w:hint="eastAsia" w:ascii="仿宋" w:hAnsi="仿宋" w:eastAsia="仿宋" w:cs="仿宋"/>
          <w:color w:val="000000"/>
          <w:sz w:val="21"/>
          <w:szCs w:val="21"/>
          <w:highlight w:val="none"/>
        </w:rPr>
        <w:t>采购活动。按</w:t>
      </w:r>
      <w:r>
        <w:rPr>
          <w:rFonts w:hint="eastAsia" w:ascii="仿宋" w:hAnsi="仿宋" w:eastAsia="仿宋" w:cs="仿宋"/>
          <w:color w:val="000000"/>
          <w:sz w:val="21"/>
          <w:szCs w:val="21"/>
          <w:highlight w:val="none"/>
          <w:lang w:val="en-US" w:eastAsia="zh-CN"/>
        </w:rPr>
        <w:t>招标</w:t>
      </w:r>
      <w:r>
        <w:rPr>
          <w:rFonts w:hint="eastAsia" w:ascii="仿宋" w:hAnsi="仿宋" w:eastAsia="仿宋" w:cs="仿宋"/>
          <w:color w:val="000000"/>
          <w:sz w:val="21"/>
          <w:szCs w:val="21"/>
          <w:highlight w:val="none"/>
        </w:rPr>
        <w:t>文件的规定，已通过</w:t>
      </w:r>
      <w:r>
        <w:rPr>
          <w:rFonts w:hint="eastAsia" w:ascii="仿宋" w:hAnsi="仿宋" w:eastAsia="仿宋" w:cs="仿宋"/>
          <w:color w:val="000000"/>
          <w:sz w:val="21"/>
          <w:szCs w:val="21"/>
          <w:highlight w:val="none"/>
          <w:u w:val="single"/>
        </w:rPr>
        <w:t>银行转帐/银行汇款</w:t>
      </w:r>
      <w:r>
        <w:rPr>
          <w:rFonts w:hint="eastAsia" w:ascii="仿宋" w:hAnsi="仿宋" w:eastAsia="仿宋" w:cs="仿宋"/>
          <w:color w:val="000000"/>
          <w:sz w:val="21"/>
          <w:szCs w:val="21"/>
          <w:highlight w:val="none"/>
        </w:rPr>
        <w:t>形式缴纳人民币</w:t>
      </w:r>
      <w:r>
        <w:rPr>
          <w:rFonts w:hint="eastAsia" w:ascii="仿宋" w:hAnsi="仿宋" w:eastAsia="仿宋" w:cs="仿宋"/>
          <w:color w:val="000000"/>
          <w:sz w:val="21"/>
          <w:szCs w:val="21"/>
          <w:highlight w:val="none"/>
          <w:u w:val="single"/>
        </w:rPr>
        <w:t xml:space="preserve">（大写）  　　  </w:t>
      </w:r>
      <w:r>
        <w:rPr>
          <w:rFonts w:hint="eastAsia" w:ascii="仿宋" w:hAnsi="仿宋" w:eastAsia="仿宋" w:cs="仿宋"/>
          <w:color w:val="000000"/>
          <w:sz w:val="21"/>
          <w:szCs w:val="21"/>
          <w:highlight w:val="none"/>
        </w:rPr>
        <w:t>元的保证金。</w:t>
      </w:r>
    </w:p>
    <w:p>
      <w:pPr>
        <w:autoSpaceDE w:val="0"/>
        <w:autoSpaceDN w:val="0"/>
        <w:spacing w:line="360" w:lineRule="auto"/>
        <w:ind w:firstLine="420" w:firstLineChars="200"/>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退还保证金时请按以下内容划入我方帐户。若因内容不全、错误、字迹潦草模糊导致该项目保证金未能及时退还或退还过程中发生错误，我方将承担全部责任和损失。</w:t>
      </w:r>
    </w:p>
    <w:p>
      <w:pPr>
        <w:spacing w:line="360" w:lineRule="auto"/>
        <w:ind w:firstLine="420" w:firstLineChars="200"/>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lang w:val="en-US" w:eastAsia="zh-CN"/>
        </w:rPr>
        <w:t>投标人</w:t>
      </w:r>
      <w:r>
        <w:rPr>
          <w:rFonts w:hint="eastAsia" w:ascii="仿宋" w:hAnsi="仿宋" w:eastAsia="仿宋" w:cs="仿宋"/>
          <w:color w:val="000000"/>
          <w:sz w:val="21"/>
          <w:szCs w:val="21"/>
          <w:highlight w:val="none"/>
        </w:rPr>
        <w:t>名称：</w:t>
      </w:r>
      <w:r>
        <w:rPr>
          <w:rFonts w:hint="eastAsia" w:ascii="仿宋" w:hAnsi="仿宋" w:eastAsia="仿宋" w:cs="仿宋"/>
          <w:i/>
          <w:iCs/>
          <w:color w:val="000000"/>
          <w:sz w:val="21"/>
          <w:szCs w:val="21"/>
          <w:highlight w:val="none"/>
          <w:u w:val="single"/>
        </w:rPr>
        <w:t xml:space="preserve">                                 </w:t>
      </w:r>
      <w:r>
        <w:rPr>
          <w:rFonts w:hint="eastAsia" w:ascii="仿宋" w:hAnsi="仿宋" w:eastAsia="仿宋" w:cs="仿宋"/>
          <w:color w:val="000000"/>
          <w:sz w:val="21"/>
          <w:szCs w:val="21"/>
          <w:highlight w:val="none"/>
        </w:rPr>
        <w:t xml:space="preserve"> </w:t>
      </w:r>
    </w:p>
    <w:p>
      <w:pPr>
        <w:spacing w:line="360" w:lineRule="auto"/>
        <w:ind w:firstLine="420" w:firstLineChars="200"/>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lang w:val="en-US" w:eastAsia="zh-CN"/>
        </w:rPr>
        <w:t>投标人</w:t>
      </w:r>
      <w:r>
        <w:rPr>
          <w:rFonts w:hint="eastAsia" w:ascii="仿宋" w:hAnsi="仿宋" w:eastAsia="仿宋" w:cs="仿宋"/>
          <w:color w:val="000000"/>
          <w:sz w:val="21"/>
          <w:szCs w:val="21"/>
          <w:highlight w:val="none"/>
        </w:rPr>
        <w:t>开户银行：</w:t>
      </w:r>
      <w:r>
        <w:rPr>
          <w:rFonts w:hint="eastAsia" w:ascii="仿宋" w:hAnsi="仿宋" w:eastAsia="仿宋" w:cs="仿宋"/>
          <w:color w:val="000000"/>
          <w:sz w:val="21"/>
          <w:szCs w:val="21"/>
          <w:highlight w:val="none"/>
          <w:u w:val="single"/>
        </w:rPr>
        <w:t xml:space="preserve">                             </w:t>
      </w:r>
    </w:p>
    <w:p>
      <w:pPr>
        <w:spacing w:line="360" w:lineRule="auto"/>
        <w:ind w:firstLine="420" w:firstLineChars="200"/>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lang w:val="en-US" w:eastAsia="zh-CN"/>
        </w:rPr>
        <w:t>投标人</w:t>
      </w:r>
      <w:r>
        <w:rPr>
          <w:rFonts w:hint="eastAsia" w:ascii="仿宋" w:hAnsi="仿宋" w:eastAsia="仿宋" w:cs="仿宋"/>
          <w:color w:val="000000"/>
          <w:sz w:val="21"/>
          <w:szCs w:val="21"/>
          <w:highlight w:val="none"/>
        </w:rPr>
        <w:t>开户银行行号：</w:t>
      </w:r>
      <w:r>
        <w:rPr>
          <w:rFonts w:hint="eastAsia" w:ascii="仿宋" w:hAnsi="仿宋" w:eastAsia="仿宋" w:cs="仿宋"/>
          <w:color w:val="000000"/>
          <w:sz w:val="21"/>
          <w:szCs w:val="21"/>
          <w:highlight w:val="none"/>
          <w:u w:val="single"/>
        </w:rPr>
        <w:t xml:space="preserve">                         </w:t>
      </w:r>
    </w:p>
    <w:p>
      <w:pPr>
        <w:spacing w:line="360" w:lineRule="auto"/>
        <w:ind w:firstLine="420" w:firstLineChars="200"/>
        <w:rPr>
          <w:rFonts w:hint="eastAsia" w:ascii="仿宋" w:hAnsi="仿宋" w:eastAsia="仿宋" w:cs="仿宋"/>
          <w:color w:val="000000"/>
          <w:sz w:val="21"/>
          <w:szCs w:val="21"/>
          <w:highlight w:val="none"/>
          <w:u w:val="single"/>
        </w:rPr>
      </w:pPr>
      <w:r>
        <w:rPr>
          <w:rFonts w:hint="eastAsia" w:ascii="仿宋" w:hAnsi="仿宋" w:eastAsia="仿宋" w:cs="仿宋"/>
          <w:color w:val="000000"/>
          <w:sz w:val="21"/>
          <w:szCs w:val="21"/>
          <w:highlight w:val="none"/>
          <w:lang w:val="en-US" w:eastAsia="zh-CN"/>
        </w:rPr>
        <w:t>投标人</w:t>
      </w:r>
      <w:r>
        <w:rPr>
          <w:rFonts w:hint="eastAsia" w:ascii="仿宋" w:hAnsi="仿宋" w:eastAsia="仿宋" w:cs="仿宋"/>
          <w:color w:val="000000"/>
          <w:sz w:val="21"/>
          <w:szCs w:val="21"/>
          <w:highlight w:val="none"/>
        </w:rPr>
        <w:t>银行帐号：</w:t>
      </w:r>
      <w:r>
        <w:rPr>
          <w:rFonts w:hint="eastAsia" w:ascii="仿宋" w:hAnsi="仿宋" w:eastAsia="仿宋" w:cs="仿宋"/>
          <w:color w:val="000000"/>
          <w:sz w:val="21"/>
          <w:szCs w:val="21"/>
          <w:highlight w:val="none"/>
          <w:u w:val="single"/>
        </w:rPr>
        <w:t xml:space="preserve">                             </w:t>
      </w:r>
    </w:p>
    <w:p>
      <w:pPr>
        <w:adjustRightInd w:val="0"/>
        <w:snapToGrid w:val="0"/>
        <w:spacing w:line="360" w:lineRule="auto"/>
        <w:rPr>
          <w:rFonts w:hint="eastAsia" w:ascii="仿宋" w:hAnsi="仿宋" w:eastAsia="仿宋" w:cs="仿宋"/>
          <w:color w:val="000000"/>
          <w:sz w:val="21"/>
          <w:szCs w:val="21"/>
          <w:highlight w:val="none"/>
        </w:rPr>
      </w:pPr>
    </w:p>
    <w:p>
      <w:pPr>
        <w:adjustRightInd w:val="0"/>
        <w:snapToGrid w:val="0"/>
        <w:spacing w:line="360" w:lineRule="auto"/>
        <w:rPr>
          <w:rFonts w:hint="eastAsia" w:ascii="仿宋" w:hAnsi="仿宋" w:eastAsia="仿宋" w:cs="仿宋"/>
          <w:color w:val="000000"/>
          <w:sz w:val="21"/>
          <w:szCs w:val="21"/>
          <w:highlight w:val="none"/>
          <w:u w:val="single"/>
        </w:rPr>
      </w:pPr>
      <w:r>
        <w:rPr>
          <w:rFonts w:hint="eastAsia" w:ascii="仿宋" w:hAnsi="仿宋" w:eastAsia="仿宋" w:cs="仿宋"/>
          <w:color w:val="000000"/>
          <w:sz w:val="21"/>
          <w:szCs w:val="21"/>
          <w:highlight w:val="none"/>
          <w:lang w:val="en-US" w:eastAsia="zh-CN"/>
        </w:rPr>
        <w:t>投标人</w:t>
      </w:r>
      <w:r>
        <w:rPr>
          <w:rFonts w:hint="eastAsia" w:ascii="仿宋" w:hAnsi="仿宋" w:eastAsia="仿宋" w:cs="仿宋"/>
          <w:color w:val="000000"/>
          <w:sz w:val="21"/>
          <w:szCs w:val="21"/>
          <w:highlight w:val="none"/>
        </w:rPr>
        <w:t>法定代表人（或法定代表人授权代表）签字：</w:t>
      </w:r>
    </w:p>
    <w:p>
      <w:pPr>
        <w:adjustRightInd w:val="0"/>
        <w:snapToGrid w:val="0"/>
        <w:spacing w:line="360" w:lineRule="auto"/>
        <w:rPr>
          <w:rFonts w:hint="eastAsia" w:ascii="仿宋" w:hAnsi="仿宋" w:eastAsia="仿宋" w:cs="仿宋"/>
          <w:color w:val="000000"/>
          <w:sz w:val="21"/>
          <w:szCs w:val="21"/>
          <w:highlight w:val="none"/>
          <w:u w:val="single"/>
        </w:rPr>
      </w:pPr>
      <w:r>
        <w:rPr>
          <w:rFonts w:hint="eastAsia" w:ascii="仿宋" w:hAnsi="仿宋" w:eastAsia="仿宋" w:cs="仿宋"/>
          <w:color w:val="000000"/>
          <w:sz w:val="21"/>
          <w:szCs w:val="21"/>
          <w:highlight w:val="none"/>
          <w:lang w:val="en-US" w:eastAsia="zh-CN"/>
        </w:rPr>
        <w:t>投标人</w:t>
      </w:r>
      <w:r>
        <w:rPr>
          <w:rFonts w:hint="eastAsia" w:ascii="仿宋" w:hAnsi="仿宋" w:eastAsia="仿宋" w:cs="仿宋"/>
          <w:color w:val="000000"/>
          <w:sz w:val="21"/>
          <w:szCs w:val="21"/>
          <w:highlight w:val="none"/>
        </w:rPr>
        <w:t>名称（加盖公章）：</w:t>
      </w:r>
    </w:p>
    <w:p>
      <w:pPr>
        <w:adjustRightInd w:val="0"/>
        <w:snapToGrid w:val="0"/>
        <w:spacing w:line="360" w:lineRule="auto"/>
        <w:rPr>
          <w:rFonts w:hint="eastAsia" w:ascii="仿宋" w:hAnsi="仿宋" w:eastAsia="仿宋" w:cs="仿宋"/>
          <w:color w:val="000000"/>
          <w:sz w:val="21"/>
          <w:szCs w:val="21"/>
          <w:highlight w:val="none"/>
          <w:u w:val="single"/>
        </w:rPr>
      </w:pPr>
      <w:r>
        <w:rPr>
          <w:rFonts w:hint="eastAsia" w:ascii="仿宋" w:hAnsi="仿宋" w:eastAsia="仿宋" w:cs="仿宋"/>
          <w:color w:val="000000"/>
          <w:sz w:val="21"/>
          <w:szCs w:val="21"/>
          <w:highlight w:val="none"/>
        </w:rPr>
        <w:t>日期：   年   月   日</w:t>
      </w:r>
    </w:p>
    <w:p>
      <w:pPr>
        <w:pStyle w:val="2"/>
        <w:spacing w:line="440" w:lineRule="exact"/>
        <w:jc w:val="both"/>
        <w:rPr>
          <w:rFonts w:hint="eastAsia" w:ascii="仿宋" w:hAnsi="仿宋" w:eastAsia="仿宋" w:cs="仿宋"/>
          <w:bCs/>
          <w:sz w:val="21"/>
          <w:szCs w:val="21"/>
          <w:highlight w:val="none"/>
        </w:rPr>
      </w:pPr>
    </w:p>
    <w:p>
      <w:pPr>
        <w:pStyle w:val="2"/>
        <w:spacing w:line="440" w:lineRule="exact"/>
        <w:jc w:val="both"/>
        <w:rPr>
          <w:rFonts w:hint="eastAsia" w:ascii="仿宋" w:hAnsi="仿宋" w:eastAsia="仿宋" w:cs="仿宋"/>
          <w:b/>
          <w:sz w:val="21"/>
          <w:szCs w:val="21"/>
          <w:highlight w:val="none"/>
        </w:rPr>
      </w:pPr>
      <w:r>
        <w:rPr>
          <w:rFonts w:hint="eastAsia" w:ascii="仿宋" w:hAnsi="仿宋" w:eastAsia="仿宋" w:cs="仿宋"/>
          <w:b/>
          <w:sz w:val="21"/>
          <w:szCs w:val="21"/>
          <w:highlight w:val="none"/>
        </w:rPr>
        <w:t>注：为方便代理机构后续退款事宜，请</w:t>
      </w:r>
      <w:r>
        <w:rPr>
          <w:rFonts w:hint="eastAsia" w:ascii="仿宋" w:hAnsi="仿宋" w:eastAsia="仿宋" w:cs="仿宋"/>
          <w:b/>
          <w:sz w:val="21"/>
          <w:szCs w:val="21"/>
          <w:highlight w:val="none"/>
          <w:lang w:val="en-US" w:eastAsia="zh-CN"/>
        </w:rPr>
        <w:t>投标人</w:t>
      </w:r>
      <w:r>
        <w:rPr>
          <w:rFonts w:hint="eastAsia" w:ascii="仿宋" w:hAnsi="仿宋" w:eastAsia="仿宋" w:cs="仿宋"/>
          <w:b/>
          <w:sz w:val="21"/>
          <w:szCs w:val="21"/>
          <w:highlight w:val="none"/>
        </w:rPr>
        <w:t>认真填写此函信息，并后附转帐或汇款的银行凭证复印件。</w:t>
      </w:r>
    </w:p>
    <w:tbl>
      <w:tblPr>
        <w:tblStyle w:val="19"/>
        <w:tblW w:w="92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2" w:hRule="atLeast"/>
        </w:trPr>
        <w:tc>
          <w:tcPr>
            <w:tcW w:w="9220" w:type="dxa"/>
            <w:vAlign w:val="center"/>
          </w:tcPr>
          <w:p>
            <w:pPr>
              <w:jc w:val="center"/>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（粘贴转帐或汇款的银行凭证复印件）</w:t>
            </w:r>
          </w:p>
        </w:tc>
      </w:tr>
    </w:tbl>
    <w:p>
      <w:pPr>
        <w:pStyle w:val="9"/>
        <w:keepNext w:val="0"/>
        <w:keepLines w:val="0"/>
        <w:pageBreakBefore w:val="0"/>
        <w:widowControl w:val="0"/>
        <w:tabs>
          <w:tab w:val="left" w:pos="1560"/>
          <w:tab w:val="left" w:pos="2040"/>
        </w:tabs>
        <w:kinsoku/>
        <w:wordWrap/>
        <w:overflowPunct/>
        <w:topLinePunct w:val="0"/>
        <w:autoSpaceDE w:val="0"/>
        <w:autoSpaceDN w:val="0"/>
        <w:bidi w:val="0"/>
        <w:adjustRightInd w:val="0"/>
        <w:snapToGrid w:val="0"/>
        <w:spacing w:before="0" w:line="360" w:lineRule="auto"/>
        <w:textAlignment w:val="auto"/>
        <w:rPr>
          <w:rFonts w:hint="eastAsia" w:ascii="仿宋" w:hAnsi="仿宋" w:eastAsia="仿宋" w:cs="仿宋"/>
          <w:sz w:val="21"/>
          <w:szCs w:val="21"/>
          <w:highlight w:val="none"/>
        </w:rPr>
      </w:pPr>
    </w:p>
    <w:p>
      <w:pPr>
        <w:rPr>
          <w:rFonts w:hint="eastAsia" w:ascii="仿宋" w:hAnsi="仿宋" w:eastAsia="仿宋" w:cs="仿宋"/>
          <w:sz w:val="21"/>
          <w:szCs w:val="21"/>
          <w:highlight w:val="none"/>
        </w:rPr>
      </w:pPr>
      <w:r>
        <w:rPr>
          <w:rFonts w:hint="eastAsia" w:ascii="仿宋" w:hAnsi="仿宋" w:eastAsia="仿宋" w:cs="仿宋"/>
          <w:sz w:val="21"/>
          <w:szCs w:val="21"/>
          <w:highlight w:val="none"/>
        </w:rPr>
        <w:br w:type="page"/>
      </w:r>
    </w:p>
    <w:p>
      <w:pPr>
        <w:widowControl w:val="0"/>
        <w:tabs>
          <w:tab w:val="left" w:pos="1325"/>
        </w:tabs>
        <w:spacing w:before="90"/>
        <w:jc w:val="both"/>
        <w:outlineLvl w:val="1"/>
        <w:rPr>
          <w:rFonts w:hint="eastAsia" w:ascii="仿宋" w:hAnsi="仿宋" w:eastAsia="仿宋" w:cs="仿宋"/>
          <w:b w:val="0"/>
          <w:bCs w:val="0"/>
          <w:kern w:val="2"/>
          <w:sz w:val="24"/>
          <w:szCs w:val="24"/>
          <w:highlight w:val="none"/>
          <w:lang w:val="zh-CN" w:eastAsia="zh-CN" w:bidi="zh-CN"/>
        </w:rPr>
      </w:pPr>
      <w:bookmarkStart w:id="96" w:name="_Toc17857"/>
      <w:bookmarkStart w:id="97" w:name="_Toc28409"/>
      <w:bookmarkStart w:id="98" w:name="_Toc8576"/>
      <w:bookmarkStart w:id="99" w:name="_Toc19434"/>
      <w:bookmarkStart w:id="100" w:name="_Toc21100"/>
      <w:bookmarkStart w:id="101" w:name="_Toc2994"/>
      <w:bookmarkStart w:id="102" w:name="_Toc8651"/>
      <w:r>
        <w:rPr>
          <w:rFonts w:hint="eastAsia" w:ascii="仿宋" w:hAnsi="仿宋" w:eastAsia="仿宋" w:cs="仿宋"/>
          <w:b w:val="0"/>
          <w:bCs w:val="0"/>
          <w:kern w:val="2"/>
          <w:sz w:val="24"/>
          <w:szCs w:val="24"/>
          <w:highlight w:val="none"/>
          <w:lang w:val="en-US" w:eastAsia="zh-CN" w:bidi="zh-CN"/>
        </w:rPr>
        <w:t>13   开票信息</w:t>
      </w:r>
      <w:r>
        <w:rPr>
          <w:rFonts w:hint="eastAsia" w:ascii="仿宋" w:hAnsi="仿宋" w:eastAsia="仿宋" w:cs="仿宋"/>
          <w:b w:val="0"/>
          <w:bCs w:val="0"/>
          <w:kern w:val="2"/>
          <w:sz w:val="24"/>
          <w:szCs w:val="24"/>
          <w:highlight w:val="none"/>
          <w:lang w:val="zh-CN" w:eastAsia="zh-CN" w:bidi="zh-CN"/>
        </w:rPr>
        <w:t>（统一格式）</w:t>
      </w:r>
      <w:bookmarkEnd w:id="96"/>
      <w:bookmarkEnd w:id="97"/>
      <w:bookmarkEnd w:id="98"/>
      <w:bookmarkEnd w:id="99"/>
      <w:bookmarkEnd w:id="100"/>
      <w:bookmarkEnd w:id="101"/>
      <w:bookmarkEnd w:id="102"/>
    </w:p>
    <w:p>
      <w:pPr>
        <w:pStyle w:val="2"/>
        <w:spacing w:line="440" w:lineRule="exact"/>
        <w:ind w:firstLine="480" w:firstLineChars="200"/>
        <w:jc w:val="both"/>
        <w:rPr>
          <w:rFonts w:hint="eastAsia" w:ascii="仿宋" w:hAnsi="仿宋" w:eastAsia="仿宋" w:cs="仿宋"/>
          <w:bCs/>
          <w:sz w:val="24"/>
          <w:highlight w:val="none"/>
        </w:rPr>
      </w:pPr>
    </w:p>
    <w:p>
      <w:pPr>
        <w:pStyle w:val="2"/>
        <w:spacing w:line="440" w:lineRule="exact"/>
        <w:jc w:val="both"/>
        <w:rPr>
          <w:rFonts w:hint="eastAsia" w:ascii="仿宋" w:hAnsi="仿宋" w:eastAsia="仿宋" w:cs="仿宋"/>
          <w:bCs/>
          <w:sz w:val="21"/>
          <w:szCs w:val="21"/>
          <w:highlight w:val="none"/>
        </w:rPr>
      </w:pPr>
      <w:r>
        <w:rPr>
          <w:rFonts w:hint="eastAsia" w:ascii="仿宋" w:hAnsi="仿宋" w:eastAsia="仿宋" w:cs="仿宋"/>
          <w:bCs/>
          <w:sz w:val="21"/>
          <w:szCs w:val="21"/>
          <w:highlight w:val="none"/>
          <w:lang w:eastAsia="zh-CN"/>
        </w:rPr>
        <w:t>新疆世纪星工程咨询有限公司</w:t>
      </w:r>
      <w:r>
        <w:rPr>
          <w:rFonts w:hint="eastAsia" w:ascii="仿宋" w:hAnsi="仿宋" w:eastAsia="仿宋" w:cs="仿宋"/>
          <w:bCs/>
          <w:sz w:val="21"/>
          <w:szCs w:val="21"/>
          <w:highlight w:val="none"/>
        </w:rPr>
        <w:t>：</w:t>
      </w:r>
    </w:p>
    <w:p>
      <w:pPr>
        <w:pStyle w:val="2"/>
        <w:spacing w:line="440" w:lineRule="exact"/>
        <w:ind w:firstLine="420" w:firstLineChars="200"/>
        <w:jc w:val="both"/>
        <w:rPr>
          <w:rFonts w:hint="eastAsia" w:ascii="仿宋" w:hAnsi="仿宋" w:eastAsia="仿宋" w:cs="仿宋"/>
          <w:sz w:val="21"/>
          <w:szCs w:val="21"/>
          <w:highlight w:val="none"/>
        </w:rPr>
      </w:pPr>
      <w:r>
        <w:rPr>
          <w:rFonts w:hint="eastAsia" w:ascii="仿宋" w:hAnsi="仿宋" w:eastAsia="仿宋" w:cs="仿宋"/>
          <w:bCs/>
          <w:sz w:val="21"/>
          <w:szCs w:val="21"/>
          <w:highlight w:val="none"/>
        </w:rPr>
        <w:t xml:space="preserve">    </w:t>
      </w:r>
      <w:r>
        <w:rPr>
          <w:rFonts w:hint="eastAsia" w:ascii="仿宋" w:hAnsi="仿宋" w:eastAsia="仿宋" w:cs="仿宋"/>
          <w:sz w:val="21"/>
          <w:szCs w:val="21"/>
          <w:highlight w:val="none"/>
        </w:rPr>
        <w:t>本</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u w:val="single"/>
          <w:lang w:eastAsia="zh-CN"/>
        </w:rPr>
        <w:t>投标人</w:t>
      </w:r>
      <w:r>
        <w:rPr>
          <w:rFonts w:hint="eastAsia" w:ascii="仿宋" w:hAnsi="仿宋" w:eastAsia="仿宋" w:cs="仿宋"/>
          <w:sz w:val="21"/>
          <w:szCs w:val="21"/>
          <w:highlight w:val="none"/>
          <w:u w:val="single"/>
        </w:rPr>
        <w:t xml:space="preserve">名称）   </w:t>
      </w:r>
      <w:r>
        <w:rPr>
          <w:rFonts w:hint="eastAsia" w:ascii="仿宋" w:hAnsi="仿宋" w:eastAsia="仿宋" w:cs="仿宋"/>
          <w:sz w:val="21"/>
          <w:szCs w:val="21"/>
          <w:highlight w:val="none"/>
        </w:rPr>
        <w:t>公司在参加在贵司进行的</w:t>
      </w:r>
      <w:r>
        <w:rPr>
          <w:rFonts w:hint="eastAsia" w:ascii="仿宋" w:hAnsi="仿宋" w:eastAsia="仿宋" w:cs="仿宋"/>
          <w:sz w:val="21"/>
          <w:szCs w:val="21"/>
          <w:highlight w:val="none"/>
          <w:u w:val="single"/>
        </w:rPr>
        <w:t xml:space="preserve">  </w:t>
      </w:r>
      <w:r>
        <w:rPr>
          <w:rFonts w:hint="eastAsia" w:ascii="仿宋" w:hAnsi="仿宋" w:eastAsia="仿宋" w:cs="仿宋"/>
          <w:b w:val="0"/>
          <w:bCs w:val="0"/>
          <w:sz w:val="21"/>
          <w:szCs w:val="21"/>
          <w:highlight w:val="none"/>
          <w:u w:val="single"/>
          <w:lang w:val="en-US" w:eastAsia="zh-CN"/>
        </w:rPr>
        <w:t>（项目名称）（项目编号）</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rPr>
        <w:t xml:space="preserve">招标，我司缴纳标书费和代理服务费后开具发票的事宜，我司声明如下： </w:t>
      </w:r>
    </w:p>
    <w:p>
      <w:pPr>
        <w:pStyle w:val="2"/>
        <w:spacing w:line="440" w:lineRule="exact"/>
        <w:ind w:firstLine="420" w:firstLineChars="200"/>
        <w:jc w:val="both"/>
        <w:rPr>
          <w:rFonts w:hint="eastAsia" w:ascii="仿宋" w:hAnsi="仿宋" w:eastAsia="仿宋" w:cs="仿宋"/>
          <w:sz w:val="21"/>
          <w:szCs w:val="21"/>
          <w:highlight w:val="none"/>
        </w:rPr>
      </w:pPr>
    </w:p>
    <w:tbl>
      <w:tblPr>
        <w:tblStyle w:val="20"/>
        <w:tblW w:w="9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0"/>
        <w:gridCol w:w="3576"/>
        <w:gridCol w:w="1791"/>
        <w:gridCol w:w="2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962" w:type="dxa"/>
            <w:gridSpan w:val="4"/>
            <w:vAlign w:val="center"/>
          </w:tcPr>
          <w:p>
            <w:pPr>
              <w:pStyle w:val="2"/>
              <w:spacing w:line="440" w:lineRule="exact"/>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增值税发票开票信息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490" w:type="dxa"/>
            <w:vAlign w:val="center"/>
          </w:tcPr>
          <w:p>
            <w:pPr>
              <w:pStyle w:val="2"/>
              <w:spacing w:line="440" w:lineRule="exact"/>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增值税发票开票种类</w:t>
            </w:r>
          </w:p>
        </w:tc>
        <w:tc>
          <w:tcPr>
            <w:tcW w:w="7472" w:type="dxa"/>
            <w:gridSpan w:val="3"/>
            <w:vAlign w:val="center"/>
          </w:tcPr>
          <w:p>
            <w:pPr>
              <w:pStyle w:val="2"/>
              <w:spacing w:line="440" w:lineRule="exact"/>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（请在此处注明增值税专用发票或增值税普通发票）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center"/>
          </w:tcPr>
          <w:p>
            <w:pPr>
              <w:pStyle w:val="2"/>
              <w:spacing w:line="440" w:lineRule="exact"/>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单位名称</w:t>
            </w:r>
          </w:p>
        </w:tc>
        <w:tc>
          <w:tcPr>
            <w:tcW w:w="7472" w:type="dxa"/>
            <w:gridSpan w:val="3"/>
            <w:vAlign w:val="center"/>
          </w:tcPr>
          <w:p>
            <w:pPr>
              <w:pStyle w:val="2"/>
              <w:spacing w:line="440" w:lineRule="exact"/>
              <w:jc w:val="center"/>
              <w:rPr>
                <w:rFonts w:hint="eastAsia" w:ascii="仿宋" w:hAnsi="仿宋" w:eastAsia="仿宋" w:cs="仿宋"/>
                <w:bCs/>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center"/>
          </w:tcPr>
          <w:p>
            <w:pPr>
              <w:pStyle w:val="2"/>
              <w:spacing w:line="440" w:lineRule="exact"/>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单位地址</w:t>
            </w:r>
          </w:p>
        </w:tc>
        <w:tc>
          <w:tcPr>
            <w:tcW w:w="7472" w:type="dxa"/>
            <w:gridSpan w:val="3"/>
            <w:vAlign w:val="center"/>
          </w:tcPr>
          <w:p>
            <w:pPr>
              <w:pStyle w:val="2"/>
              <w:spacing w:line="440" w:lineRule="exact"/>
              <w:jc w:val="center"/>
              <w:rPr>
                <w:rFonts w:hint="eastAsia" w:ascii="仿宋" w:hAnsi="仿宋" w:eastAsia="仿宋" w:cs="仿宋"/>
                <w:bCs/>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center"/>
          </w:tcPr>
          <w:p>
            <w:pPr>
              <w:pStyle w:val="2"/>
              <w:spacing w:line="440" w:lineRule="exact"/>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纳税人识别号</w:t>
            </w:r>
          </w:p>
        </w:tc>
        <w:tc>
          <w:tcPr>
            <w:tcW w:w="3576" w:type="dxa"/>
            <w:vAlign w:val="center"/>
          </w:tcPr>
          <w:p>
            <w:pPr>
              <w:pStyle w:val="2"/>
              <w:spacing w:line="440" w:lineRule="exact"/>
              <w:jc w:val="center"/>
              <w:rPr>
                <w:rFonts w:hint="eastAsia" w:ascii="仿宋" w:hAnsi="仿宋" w:eastAsia="仿宋" w:cs="仿宋"/>
                <w:bCs/>
                <w:sz w:val="21"/>
                <w:szCs w:val="21"/>
                <w:highlight w:val="none"/>
              </w:rPr>
            </w:pPr>
          </w:p>
        </w:tc>
        <w:tc>
          <w:tcPr>
            <w:tcW w:w="1791" w:type="dxa"/>
            <w:vAlign w:val="center"/>
          </w:tcPr>
          <w:p>
            <w:pPr>
              <w:pStyle w:val="2"/>
              <w:spacing w:line="440" w:lineRule="exact"/>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固定电话</w:t>
            </w:r>
          </w:p>
        </w:tc>
        <w:tc>
          <w:tcPr>
            <w:tcW w:w="2105" w:type="dxa"/>
            <w:vAlign w:val="center"/>
          </w:tcPr>
          <w:p>
            <w:pPr>
              <w:pStyle w:val="2"/>
              <w:spacing w:line="440" w:lineRule="exact"/>
              <w:jc w:val="center"/>
              <w:rPr>
                <w:rFonts w:hint="eastAsia" w:ascii="仿宋" w:hAnsi="仿宋" w:eastAsia="仿宋" w:cs="仿宋"/>
                <w:bCs/>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center"/>
          </w:tcPr>
          <w:p>
            <w:pPr>
              <w:pStyle w:val="2"/>
              <w:spacing w:line="440" w:lineRule="exact"/>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开户银行名称</w:t>
            </w:r>
          </w:p>
        </w:tc>
        <w:tc>
          <w:tcPr>
            <w:tcW w:w="3576" w:type="dxa"/>
            <w:vAlign w:val="center"/>
          </w:tcPr>
          <w:p>
            <w:pPr>
              <w:pStyle w:val="2"/>
              <w:spacing w:line="440" w:lineRule="exact"/>
              <w:jc w:val="center"/>
              <w:rPr>
                <w:rFonts w:hint="eastAsia" w:ascii="仿宋" w:hAnsi="仿宋" w:eastAsia="仿宋" w:cs="仿宋"/>
                <w:bCs/>
                <w:sz w:val="21"/>
                <w:szCs w:val="21"/>
                <w:highlight w:val="none"/>
              </w:rPr>
            </w:pPr>
          </w:p>
        </w:tc>
        <w:tc>
          <w:tcPr>
            <w:tcW w:w="1791" w:type="dxa"/>
            <w:vAlign w:val="center"/>
          </w:tcPr>
          <w:p>
            <w:pPr>
              <w:pStyle w:val="2"/>
              <w:spacing w:line="440" w:lineRule="exact"/>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联系人姓名</w:t>
            </w:r>
          </w:p>
        </w:tc>
        <w:tc>
          <w:tcPr>
            <w:tcW w:w="2105" w:type="dxa"/>
            <w:vAlign w:val="center"/>
          </w:tcPr>
          <w:p>
            <w:pPr>
              <w:pStyle w:val="2"/>
              <w:spacing w:line="440" w:lineRule="exact"/>
              <w:jc w:val="center"/>
              <w:rPr>
                <w:rFonts w:hint="eastAsia" w:ascii="仿宋" w:hAnsi="仿宋" w:eastAsia="仿宋" w:cs="仿宋"/>
                <w:bCs/>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center"/>
          </w:tcPr>
          <w:p>
            <w:pPr>
              <w:pStyle w:val="2"/>
              <w:spacing w:line="440" w:lineRule="exact"/>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开户银行账号</w:t>
            </w:r>
          </w:p>
        </w:tc>
        <w:tc>
          <w:tcPr>
            <w:tcW w:w="3576" w:type="dxa"/>
            <w:vAlign w:val="center"/>
          </w:tcPr>
          <w:p>
            <w:pPr>
              <w:pStyle w:val="2"/>
              <w:spacing w:line="440" w:lineRule="exact"/>
              <w:jc w:val="center"/>
              <w:rPr>
                <w:rFonts w:hint="eastAsia" w:ascii="仿宋" w:hAnsi="仿宋" w:eastAsia="仿宋" w:cs="仿宋"/>
                <w:bCs/>
                <w:sz w:val="21"/>
                <w:szCs w:val="21"/>
                <w:highlight w:val="none"/>
              </w:rPr>
            </w:pPr>
          </w:p>
        </w:tc>
        <w:tc>
          <w:tcPr>
            <w:tcW w:w="1791" w:type="dxa"/>
            <w:vAlign w:val="center"/>
          </w:tcPr>
          <w:p>
            <w:pPr>
              <w:pStyle w:val="2"/>
              <w:spacing w:line="440" w:lineRule="exact"/>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联系人电话</w:t>
            </w:r>
          </w:p>
        </w:tc>
        <w:tc>
          <w:tcPr>
            <w:tcW w:w="2105" w:type="dxa"/>
            <w:vAlign w:val="center"/>
          </w:tcPr>
          <w:p>
            <w:pPr>
              <w:pStyle w:val="2"/>
              <w:spacing w:line="440" w:lineRule="exact"/>
              <w:jc w:val="center"/>
              <w:rPr>
                <w:rFonts w:hint="eastAsia" w:ascii="仿宋" w:hAnsi="仿宋" w:eastAsia="仿宋" w:cs="仿宋"/>
                <w:bCs/>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center"/>
          </w:tcPr>
          <w:p>
            <w:pPr>
              <w:pStyle w:val="2"/>
              <w:spacing w:line="440" w:lineRule="exact"/>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电子发票收件</w:t>
            </w:r>
          </w:p>
          <w:p>
            <w:pPr>
              <w:pStyle w:val="2"/>
              <w:spacing w:line="440" w:lineRule="exact"/>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电子邮箱</w:t>
            </w:r>
          </w:p>
        </w:tc>
        <w:tc>
          <w:tcPr>
            <w:tcW w:w="7472" w:type="dxa"/>
            <w:gridSpan w:val="3"/>
            <w:vAlign w:val="center"/>
          </w:tcPr>
          <w:p>
            <w:pPr>
              <w:pStyle w:val="2"/>
              <w:spacing w:line="440" w:lineRule="exact"/>
              <w:rPr>
                <w:rFonts w:hint="eastAsia" w:ascii="仿宋" w:hAnsi="仿宋" w:eastAsia="仿宋" w:cs="仿宋"/>
                <w:bCs/>
                <w:sz w:val="21"/>
                <w:szCs w:val="21"/>
                <w:highlight w:val="none"/>
              </w:rPr>
            </w:pPr>
            <w:r>
              <w:rPr>
                <w:rFonts w:hint="eastAsia" w:ascii="仿宋" w:hAnsi="仿宋" w:eastAsia="仿宋" w:cs="仿宋"/>
                <w:bCs/>
                <w:sz w:val="21"/>
                <w:szCs w:val="21"/>
                <w:highlight w:val="none"/>
              </w:rPr>
              <w:t>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jc w:val="center"/>
        </w:trPr>
        <w:tc>
          <w:tcPr>
            <w:tcW w:w="2490" w:type="dxa"/>
            <w:vAlign w:val="center"/>
          </w:tcPr>
          <w:p>
            <w:pPr>
              <w:pStyle w:val="2"/>
              <w:spacing w:line="440" w:lineRule="exact"/>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发票邮寄地址：</w:t>
            </w:r>
          </w:p>
        </w:tc>
        <w:tc>
          <w:tcPr>
            <w:tcW w:w="7472" w:type="dxa"/>
            <w:gridSpan w:val="3"/>
            <w:vAlign w:val="center"/>
          </w:tcPr>
          <w:p>
            <w:pPr>
              <w:pStyle w:val="2"/>
              <w:spacing w:line="440" w:lineRule="exact"/>
              <w:jc w:val="both"/>
              <w:rPr>
                <w:rFonts w:hint="eastAsia" w:ascii="仿宋" w:hAnsi="仿宋" w:eastAsia="仿宋" w:cs="仿宋"/>
                <w:bCs/>
                <w:sz w:val="21"/>
                <w:szCs w:val="21"/>
                <w:highlight w:val="none"/>
              </w:rPr>
            </w:pPr>
            <w:r>
              <w:rPr>
                <w:rFonts w:hint="eastAsia" w:ascii="仿宋" w:hAnsi="仿宋" w:eastAsia="仿宋" w:cs="仿宋"/>
                <w:bCs/>
                <w:sz w:val="21"/>
                <w:szCs w:val="21"/>
                <w:highlight w:val="none"/>
              </w:rPr>
              <w:t>地址：</w:t>
            </w:r>
          </w:p>
          <w:p>
            <w:pPr>
              <w:pStyle w:val="2"/>
              <w:spacing w:line="440" w:lineRule="exact"/>
              <w:jc w:val="both"/>
              <w:rPr>
                <w:rFonts w:hint="eastAsia" w:ascii="仿宋" w:hAnsi="仿宋" w:eastAsia="仿宋" w:cs="仿宋"/>
                <w:bCs/>
                <w:sz w:val="21"/>
                <w:szCs w:val="21"/>
                <w:highlight w:val="none"/>
              </w:rPr>
            </w:pPr>
            <w:r>
              <w:rPr>
                <w:rFonts w:hint="eastAsia" w:ascii="仿宋" w:hAnsi="仿宋" w:eastAsia="仿宋" w:cs="仿宋"/>
                <w:bCs/>
                <w:sz w:val="21"/>
                <w:szCs w:val="21"/>
                <w:highlight w:val="none"/>
              </w:rPr>
              <w:t>收件人：                电话：</w:t>
            </w:r>
          </w:p>
        </w:tc>
      </w:tr>
    </w:tbl>
    <w:p>
      <w:pPr>
        <w:pStyle w:val="2"/>
        <w:spacing w:line="440" w:lineRule="exact"/>
        <w:jc w:val="both"/>
        <w:rPr>
          <w:rFonts w:hint="eastAsia" w:ascii="仿宋" w:hAnsi="仿宋" w:eastAsia="仿宋" w:cs="仿宋"/>
          <w:bCs/>
          <w:sz w:val="21"/>
          <w:szCs w:val="21"/>
          <w:highlight w:val="none"/>
        </w:rPr>
      </w:pPr>
      <w:r>
        <w:rPr>
          <w:rFonts w:hint="eastAsia" w:ascii="仿宋" w:hAnsi="仿宋" w:eastAsia="仿宋" w:cs="仿宋"/>
          <w:bCs/>
          <w:sz w:val="21"/>
          <w:szCs w:val="21"/>
          <w:highlight w:val="none"/>
        </w:rPr>
        <w:t xml:space="preserve">    我公司提供的上述开票信息准确无误，如果因我公司提供上述信息错误，导致发票无效的，将由我公司承担相应后果。</w:t>
      </w:r>
    </w:p>
    <w:p>
      <w:pPr>
        <w:pStyle w:val="2"/>
        <w:spacing w:line="440" w:lineRule="exact"/>
        <w:jc w:val="both"/>
        <w:rPr>
          <w:rFonts w:hint="eastAsia" w:ascii="仿宋" w:hAnsi="仿宋" w:eastAsia="仿宋" w:cs="仿宋"/>
          <w:bCs/>
          <w:sz w:val="21"/>
          <w:szCs w:val="21"/>
          <w:highlight w:val="none"/>
        </w:rPr>
      </w:pPr>
    </w:p>
    <w:p>
      <w:pPr>
        <w:pStyle w:val="2"/>
        <w:spacing w:line="440" w:lineRule="exact"/>
        <w:ind w:firstLine="420" w:firstLineChars="200"/>
        <w:jc w:val="both"/>
        <w:rPr>
          <w:rFonts w:hint="eastAsia" w:ascii="仿宋" w:hAnsi="仿宋" w:eastAsia="仿宋" w:cs="仿宋"/>
          <w:bCs/>
          <w:sz w:val="21"/>
          <w:szCs w:val="21"/>
          <w:highlight w:val="none"/>
        </w:rPr>
      </w:pPr>
      <w:r>
        <w:rPr>
          <w:rFonts w:hint="eastAsia" w:ascii="仿宋" w:hAnsi="仿宋" w:eastAsia="仿宋" w:cs="仿宋"/>
          <w:bCs/>
          <w:sz w:val="21"/>
          <w:szCs w:val="21"/>
          <w:highlight w:val="none"/>
        </w:rPr>
        <w:t>注：</w:t>
      </w:r>
      <w:r>
        <w:rPr>
          <w:rFonts w:hint="eastAsia" w:ascii="仿宋" w:hAnsi="仿宋" w:eastAsia="仿宋" w:cs="仿宋"/>
          <w:bCs/>
          <w:sz w:val="21"/>
          <w:szCs w:val="21"/>
          <w:highlight w:val="none"/>
          <w:lang w:eastAsia="zh-CN"/>
        </w:rPr>
        <w:t>投标人</w:t>
      </w:r>
      <w:r>
        <w:rPr>
          <w:rFonts w:hint="eastAsia" w:ascii="仿宋" w:hAnsi="仿宋" w:eastAsia="仿宋" w:cs="仿宋"/>
          <w:bCs/>
          <w:sz w:val="21"/>
          <w:szCs w:val="21"/>
          <w:highlight w:val="none"/>
        </w:rPr>
        <w:t>需要采购代理机构开具增值税发票的，请在上表中填写相关信息，</w:t>
      </w:r>
      <w:r>
        <w:rPr>
          <w:rFonts w:hint="eastAsia" w:ascii="仿宋" w:hAnsi="仿宋" w:eastAsia="仿宋" w:cs="仿宋"/>
          <w:b/>
          <w:sz w:val="21"/>
          <w:szCs w:val="21"/>
          <w:highlight w:val="none"/>
        </w:rPr>
        <w:t>如</w:t>
      </w:r>
      <w:r>
        <w:rPr>
          <w:rFonts w:hint="eastAsia" w:ascii="仿宋" w:hAnsi="仿宋" w:eastAsia="仿宋" w:cs="仿宋"/>
          <w:b/>
          <w:sz w:val="21"/>
          <w:szCs w:val="21"/>
          <w:highlight w:val="none"/>
          <w:lang w:eastAsia="zh-CN"/>
        </w:rPr>
        <w:t>投标人</w:t>
      </w:r>
      <w:r>
        <w:rPr>
          <w:rFonts w:hint="eastAsia" w:ascii="仿宋" w:hAnsi="仿宋" w:eastAsia="仿宋" w:cs="仿宋"/>
          <w:b/>
          <w:sz w:val="21"/>
          <w:szCs w:val="21"/>
          <w:highlight w:val="none"/>
        </w:rPr>
        <w:t>需要开具增值税专用发票的须附</w:t>
      </w:r>
      <w:r>
        <w:rPr>
          <w:rFonts w:hint="eastAsia" w:ascii="仿宋" w:hAnsi="仿宋" w:eastAsia="仿宋" w:cs="仿宋"/>
          <w:b/>
          <w:sz w:val="21"/>
          <w:szCs w:val="21"/>
          <w:highlight w:val="none"/>
          <w:lang w:eastAsia="zh-CN"/>
        </w:rPr>
        <w:t>投标人</w:t>
      </w:r>
      <w:r>
        <w:rPr>
          <w:rFonts w:hint="eastAsia" w:ascii="仿宋" w:hAnsi="仿宋" w:eastAsia="仿宋" w:cs="仿宋"/>
          <w:b/>
          <w:sz w:val="21"/>
          <w:szCs w:val="21"/>
          <w:highlight w:val="none"/>
        </w:rPr>
        <w:t>开户许可证、一般纳税人认定文件的清晰复印件加盖公章，以及开票信息（见上表）。</w:t>
      </w:r>
      <w:r>
        <w:rPr>
          <w:rFonts w:hint="eastAsia" w:ascii="仿宋" w:hAnsi="仿宋" w:eastAsia="仿宋" w:cs="仿宋"/>
          <w:bCs/>
          <w:sz w:val="21"/>
          <w:szCs w:val="21"/>
          <w:highlight w:val="none"/>
        </w:rPr>
        <w:t>如</w:t>
      </w:r>
      <w:r>
        <w:rPr>
          <w:rFonts w:hint="eastAsia" w:ascii="仿宋" w:hAnsi="仿宋" w:eastAsia="仿宋" w:cs="仿宋"/>
          <w:bCs/>
          <w:sz w:val="21"/>
          <w:szCs w:val="21"/>
          <w:highlight w:val="none"/>
          <w:lang w:eastAsia="zh-CN"/>
        </w:rPr>
        <w:t>投标人</w:t>
      </w:r>
      <w:r>
        <w:rPr>
          <w:rFonts w:hint="eastAsia" w:ascii="仿宋" w:hAnsi="仿宋" w:eastAsia="仿宋" w:cs="仿宋"/>
          <w:bCs/>
          <w:sz w:val="21"/>
          <w:szCs w:val="21"/>
          <w:highlight w:val="none"/>
        </w:rPr>
        <w:t>在开票信息中未注明开具</w:t>
      </w:r>
      <w:r>
        <w:rPr>
          <w:rFonts w:hint="eastAsia" w:ascii="仿宋" w:hAnsi="仿宋" w:eastAsia="仿宋" w:cs="仿宋"/>
          <w:b/>
          <w:sz w:val="21"/>
          <w:szCs w:val="21"/>
          <w:highlight w:val="none"/>
        </w:rPr>
        <w:t>增值税专用发票</w:t>
      </w:r>
      <w:r>
        <w:rPr>
          <w:rFonts w:hint="eastAsia" w:ascii="仿宋" w:hAnsi="仿宋" w:eastAsia="仿宋" w:cs="仿宋"/>
          <w:bCs/>
          <w:sz w:val="21"/>
          <w:szCs w:val="21"/>
          <w:highlight w:val="none"/>
        </w:rPr>
        <w:t>且未提供上述材料，代理机构将默认开具增值税普通发票。</w:t>
      </w:r>
    </w:p>
    <w:p>
      <w:pPr>
        <w:pStyle w:val="2"/>
        <w:spacing w:line="440" w:lineRule="exact"/>
        <w:jc w:val="both"/>
        <w:rPr>
          <w:rFonts w:hint="eastAsia" w:ascii="仿宋" w:hAnsi="仿宋" w:eastAsia="仿宋" w:cs="仿宋"/>
          <w:bCs/>
          <w:sz w:val="21"/>
          <w:szCs w:val="21"/>
          <w:highlight w:val="none"/>
        </w:rPr>
      </w:pPr>
    </w:p>
    <w:p>
      <w:pPr>
        <w:adjustRightInd w:val="0"/>
        <w:snapToGrid w:val="0"/>
        <w:spacing w:line="440" w:lineRule="exact"/>
        <w:rPr>
          <w:rFonts w:hint="eastAsia" w:ascii="仿宋" w:hAnsi="仿宋" w:eastAsia="仿宋" w:cs="仿宋"/>
          <w:color w:val="000000"/>
          <w:sz w:val="21"/>
          <w:szCs w:val="21"/>
          <w:highlight w:val="none"/>
          <w:u w:val="single"/>
        </w:rPr>
      </w:pPr>
      <w:r>
        <w:rPr>
          <w:rFonts w:hint="eastAsia" w:ascii="仿宋" w:hAnsi="仿宋" w:eastAsia="仿宋" w:cs="仿宋"/>
          <w:color w:val="000000"/>
          <w:sz w:val="21"/>
          <w:szCs w:val="21"/>
          <w:highlight w:val="none"/>
          <w:lang w:val="en-US" w:eastAsia="zh-CN"/>
        </w:rPr>
        <w:t>投标人</w:t>
      </w:r>
      <w:r>
        <w:rPr>
          <w:rFonts w:hint="eastAsia" w:ascii="仿宋" w:hAnsi="仿宋" w:eastAsia="仿宋" w:cs="仿宋"/>
          <w:color w:val="000000"/>
          <w:sz w:val="21"/>
          <w:szCs w:val="21"/>
          <w:highlight w:val="none"/>
        </w:rPr>
        <w:t>法定代表人（或法定代表人授权代表）签字：</w:t>
      </w:r>
    </w:p>
    <w:p>
      <w:pPr>
        <w:adjustRightInd w:val="0"/>
        <w:snapToGrid w:val="0"/>
        <w:spacing w:line="440" w:lineRule="exact"/>
        <w:rPr>
          <w:rFonts w:hint="eastAsia" w:ascii="仿宋" w:hAnsi="仿宋" w:eastAsia="仿宋" w:cs="仿宋"/>
          <w:color w:val="000000"/>
          <w:sz w:val="21"/>
          <w:szCs w:val="21"/>
          <w:highlight w:val="none"/>
          <w:u w:val="single"/>
        </w:rPr>
      </w:pPr>
      <w:r>
        <w:rPr>
          <w:rFonts w:hint="eastAsia" w:ascii="仿宋" w:hAnsi="仿宋" w:eastAsia="仿宋" w:cs="仿宋"/>
          <w:color w:val="000000"/>
          <w:sz w:val="21"/>
          <w:szCs w:val="21"/>
          <w:highlight w:val="none"/>
          <w:lang w:val="en-US" w:eastAsia="zh-CN"/>
        </w:rPr>
        <w:t>投标人</w:t>
      </w:r>
      <w:r>
        <w:rPr>
          <w:rFonts w:hint="eastAsia" w:ascii="仿宋" w:hAnsi="仿宋" w:eastAsia="仿宋" w:cs="仿宋"/>
          <w:color w:val="000000"/>
          <w:sz w:val="21"/>
          <w:szCs w:val="21"/>
          <w:highlight w:val="none"/>
        </w:rPr>
        <w:t>名称（加盖公章）：</w:t>
      </w:r>
    </w:p>
    <w:p>
      <w:pPr>
        <w:pStyle w:val="2"/>
        <w:spacing w:line="440" w:lineRule="exact"/>
        <w:jc w:val="both"/>
        <w:rPr>
          <w:rFonts w:hint="eastAsia" w:ascii="仿宋" w:hAnsi="仿宋" w:eastAsia="仿宋" w:cs="仿宋"/>
          <w:b/>
          <w:bCs/>
          <w:color w:val="000000"/>
          <w:sz w:val="21"/>
          <w:szCs w:val="21"/>
          <w:highlight w:val="none"/>
          <w:lang w:bidi="ar"/>
        </w:rPr>
      </w:pPr>
      <w:r>
        <w:rPr>
          <w:rFonts w:hint="eastAsia" w:ascii="仿宋" w:hAnsi="仿宋" w:eastAsia="仿宋" w:cs="仿宋"/>
          <w:color w:val="000000"/>
          <w:sz w:val="21"/>
          <w:szCs w:val="21"/>
          <w:highlight w:val="none"/>
        </w:rPr>
        <w:t>日期：   年   月   日</w:t>
      </w:r>
    </w:p>
    <w:p>
      <w:pPr>
        <w:keepNext w:val="0"/>
        <w:keepLines w:val="0"/>
        <w:pageBreakBefore w:val="0"/>
        <w:kinsoku/>
        <w:wordWrap/>
        <w:overflowPunct/>
        <w:topLinePunct w:val="0"/>
        <w:autoSpaceDE/>
        <w:autoSpaceDN/>
        <w:bidi w:val="0"/>
        <w:adjustRightInd/>
        <w:snapToGrid/>
        <w:spacing w:line="500" w:lineRule="exact"/>
        <w:textAlignment w:val="auto"/>
        <w:rPr>
          <w:rFonts w:hint="eastAsia" w:ascii="仿宋" w:hAnsi="仿宋" w:eastAsia="仿宋" w:cs="仿宋"/>
          <w:b w:val="0"/>
          <w:bCs w:val="0"/>
          <w:color w:val="000000"/>
          <w:kern w:val="0"/>
          <w:sz w:val="24"/>
          <w:szCs w:val="24"/>
          <w:highlight w:val="none"/>
          <w:lang w:val="en-US" w:eastAsia="zh-CN" w:bidi="ar"/>
        </w:rPr>
      </w:pPr>
    </w:p>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1" w:fontKey="{8DF1E27A-0AD9-4862-8638-3C131E6E0A52}"/>
  </w:font>
  <w:font w:name="楷体">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embedRegular r:id="rId2" w:fontKey="{77FDA92E-50FB-4894-917D-576E82663A88}"/>
  </w:font>
  <w:font w:name="仿宋_GB2312">
    <w:panose1 w:val="02010609030101010101"/>
    <w:charset w:val="86"/>
    <w:family w:val="auto"/>
    <w:pitch w:val="default"/>
    <w:sig w:usb0="00000001" w:usb1="080E0000" w:usb2="00000000" w:usb3="00000000" w:csb0="00040000" w:csb1="00000000"/>
    <w:embedRegular r:id="rId3" w:fontKey="{C8BE2235-91C0-4961-A69E-0ED1585A0BDD}"/>
  </w:font>
  <w:font w:name="Microsoft JhengHei UI">
    <w:panose1 w:val="020B0604030504040204"/>
    <w:charset w:val="88"/>
    <w:family w:val="auto"/>
    <w:pitch w:val="default"/>
    <w:sig w:usb0="000002A7" w:usb1="28CF4400" w:usb2="00000016" w:usb3="00000000" w:csb0="00100009" w:csb1="00000000"/>
    <w:embedRegular r:id="rId4" w:fontKey="{0950393F-74A6-4E9A-82F2-6F457A82900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ind w:firstLine="840" w:firstLineChars="300"/>
      <w:rPr>
        <w:rFonts w:hint="eastAsia"/>
      </w:rPr>
    </w:pPr>
    <w:r>
      <w:rPr>
        <w:rFonts w:hint="eastAsia" w:ascii="仿宋_GB2312" w:hAnsi="仿宋_GB2312" w:eastAsia="仿宋_GB2312" w:cs="仿宋_GB2312"/>
        <w:sz w:val="28"/>
        <w:szCs w:val="28"/>
        <w:lang w:eastAsia="zh-CN"/>
      </w:rPr>
      <w:drawing>
        <wp:anchor distT="0" distB="0" distL="114300" distR="114300" simplePos="0" relativeHeight="251659264" behindDoc="1" locked="0" layoutInCell="1" allowOverlap="1">
          <wp:simplePos x="0" y="0"/>
          <wp:positionH relativeFrom="column">
            <wp:posOffset>54610</wp:posOffset>
          </wp:positionH>
          <wp:positionV relativeFrom="paragraph">
            <wp:posOffset>-11430</wp:posOffset>
          </wp:positionV>
          <wp:extent cx="427355" cy="413385"/>
          <wp:effectExtent l="0" t="0" r="10795" b="5715"/>
          <wp:wrapTight wrapText="bothSides">
            <wp:wrapPolygon>
              <wp:start x="0" y="0"/>
              <wp:lineTo x="0" y="20903"/>
              <wp:lineTo x="20894" y="20903"/>
              <wp:lineTo x="20894" y="0"/>
              <wp:lineTo x="0" y="0"/>
            </wp:wrapPolygon>
          </wp:wrapTight>
          <wp:docPr id="1" name="图片 1" descr="1680841359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80841359666"/>
                  <pic:cNvPicPr>
                    <a:picLocks noChangeAspect="1"/>
                  </pic:cNvPicPr>
                </pic:nvPicPr>
                <pic:blipFill>
                  <a:blip r:embed="rId1"/>
                  <a:stretch>
                    <a:fillRect/>
                  </a:stretch>
                </pic:blipFill>
                <pic:spPr>
                  <a:xfrm>
                    <a:off x="0" y="0"/>
                    <a:ext cx="427355" cy="413385"/>
                  </a:xfrm>
                  <a:prstGeom prst="rect">
                    <a:avLst/>
                  </a:prstGeom>
                </pic:spPr>
              </pic:pic>
            </a:graphicData>
          </a:graphic>
        </wp:anchor>
      </w:drawing>
    </w:r>
    <w:r>
      <w:rPr>
        <w:rFonts w:hint="eastAsia" w:ascii="仿宋_GB2312" w:hAnsi="仿宋_GB2312" w:eastAsia="仿宋_GB2312" w:cs="仿宋_GB2312"/>
        <w:sz w:val="28"/>
        <w:szCs w:val="28"/>
      </w:rPr>
      <w:t xml:space="preserve">新疆世纪星工程咨询有限公司  </w:t>
    </w:r>
    <w:r>
      <w:rPr>
        <w:rFonts w:hint="eastAsia" w:ascii="仿宋_GB2312" w:hAnsi="仿宋_GB2312" w:eastAsia="仿宋_GB2312" w:cs="仿宋_GB2312"/>
        <w:sz w:val="21"/>
        <w:szCs w:val="21"/>
      </w:rPr>
      <w:t>新疆乌鲁木齐市黄山街德港大厦20层</w:t>
    </w:r>
  </w:p>
  <w:p>
    <w:pPr>
      <w:pStyle w:val="13"/>
      <w:pBdr>
        <w:bottom w:val="single" w:color="auto" w:sz="4" w:space="1"/>
      </w:pBdr>
      <w:ind w:firstLine="1040" w:firstLineChars="800"/>
    </w:pPr>
    <w:r>
      <w:rPr>
        <w:rFonts w:hint="eastAsia" w:ascii="Microsoft JhengHei UI" w:hAnsi="Microsoft JhengHei UI" w:eastAsia="Microsoft JhengHei UI" w:cs="Microsoft JhengHei UI"/>
        <w:sz w:val="13"/>
        <w:szCs w:val="20"/>
      </w:rPr>
      <w:t>Xinjiang Century Star Engineering Consulting Co., Ltd.</w:t>
    </w:r>
    <w:r>
      <w:rPr>
        <w:rFonts w:hint="eastAsia"/>
      </w:rPr>
      <w:t xml:space="preserve">     TEL：0991-3678303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A0D1B5"/>
    <w:multiLevelType w:val="singleLevel"/>
    <w:tmpl w:val="82A0D1B5"/>
    <w:lvl w:ilvl="0" w:tentative="0">
      <w:start w:val="1"/>
      <w:numFmt w:val="decimal"/>
      <w:suff w:val="nothing"/>
      <w:lvlText w:val="（%1）"/>
      <w:lvlJc w:val="left"/>
    </w:lvl>
  </w:abstractNum>
  <w:abstractNum w:abstractNumId="1">
    <w:nsid w:val="84C3F883"/>
    <w:multiLevelType w:val="multilevel"/>
    <w:tmpl w:val="84C3F883"/>
    <w:lvl w:ilvl="0" w:tentative="0">
      <w:start w:val="2"/>
      <w:numFmt w:val="decimal"/>
      <w:suff w:val="space"/>
      <w:lvlText w:val="%1."/>
      <w:lvlJc w:val="left"/>
      <w:rPr>
        <w:rFonts w:hint="default"/>
        <w:b/>
        <w:bCs/>
      </w:rPr>
    </w:lvl>
    <w:lvl w:ilvl="1" w:tentative="0">
      <w:start w:val="1"/>
      <w:numFmt w:val="decimal"/>
      <w:suff w:val="space"/>
      <w:lvlText w:val="%1.%2"/>
      <w:lvlJc w:val="left"/>
      <w:pPr>
        <w:ind w:left="0" w:leftChars="0" w:firstLine="0" w:firstLineChars="0"/>
      </w:pPr>
      <w:rPr>
        <w:rFonts w:hint="default"/>
        <w:b w:val="0"/>
        <w:bCs w:val="0"/>
      </w:rPr>
    </w:lvl>
    <w:lvl w:ilvl="2" w:tentative="0">
      <w:start w:val="1"/>
      <w:numFmt w:val="decimal"/>
      <w:suff w:val="space"/>
      <w:lvlText w:val="%1.%2.%3"/>
      <w:lvlJc w:val="left"/>
      <w:pPr>
        <w:ind w:left="0" w:leftChars="0" w:firstLine="0" w:firstLineChars="0"/>
      </w:pPr>
      <w:rPr>
        <w:rFonts w:hint="default"/>
        <w:b w:val="0"/>
        <w:bCs w:val="0"/>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2">
    <w:nsid w:val="9A0F5DC4"/>
    <w:multiLevelType w:val="multilevel"/>
    <w:tmpl w:val="9A0F5DC4"/>
    <w:lvl w:ilvl="0" w:tentative="0">
      <w:start w:val="1"/>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3">
    <w:nsid w:val="B0E8ECBD"/>
    <w:multiLevelType w:val="singleLevel"/>
    <w:tmpl w:val="B0E8ECBD"/>
    <w:lvl w:ilvl="0" w:tentative="0">
      <w:start w:val="1"/>
      <w:numFmt w:val="decimal"/>
      <w:suff w:val="nothing"/>
      <w:lvlText w:val="%1、"/>
      <w:lvlJc w:val="left"/>
    </w:lvl>
  </w:abstractNum>
  <w:abstractNum w:abstractNumId="4">
    <w:nsid w:val="C4A1AF0A"/>
    <w:multiLevelType w:val="singleLevel"/>
    <w:tmpl w:val="C4A1AF0A"/>
    <w:lvl w:ilvl="0" w:tentative="0">
      <w:start w:val="4"/>
      <w:numFmt w:val="chineseCounting"/>
      <w:suff w:val="nothing"/>
      <w:lvlText w:val="%1、"/>
      <w:lvlJc w:val="left"/>
      <w:rPr>
        <w:rFonts w:hint="eastAsia"/>
      </w:rPr>
    </w:lvl>
  </w:abstractNum>
  <w:abstractNum w:abstractNumId="5">
    <w:nsid w:val="CB60E306"/>
    <w:multiLevelType w:val="singleLevel"/>
    <w:tmpl w:val="CB60E306"/>
    <w:lvl w:ilvl="0" w:tentative="0">
      <w:start w:val="1"/>
      <w:numFmt w:val="decimal"/>
      <w:suff w:val="nothing"/>
      <w:lvlText w:val="（%1）"/>
      <w:lvlJc w:val="left"/>
    </w:lvl>
  </w:abstractNum>
  <w:abstractNum w:abstractNumId="6">
    <w:nsid w:val="05FE2DA7"/>
    <w:multiLevelType w:val="singleLevel"/>
    <w:tmpl w:val="05FE2DA7"/>
    <w:lvl w:ilvl="0" w:tentative="0">
      <w:start w:val="1"/>
      <w:numFmt w:val="chineseCounting"/>
      <w:suff w:val="space"/>
      <w:lvlText w:val="第%1章"/>
      <w:lvlJc w:val="left"/>
      <w:rPr>
        <w:rFonts w:hint="eastAsia"/>
      </w:rPr>
    </w:lvl>
  </w:abstractNum>
  <w:abstractNum w:abstractNumId="7">
    <w:nsid w:val="068BF1D4"/>
    <w:multiLevelType w:val="multilevel"/>
    <w:tmpl w:val="068BF1D4"/>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8">
    <w:nsid w:val="09E5A242"/>
    <w:multiLevelType w:val="singleLevel"/>
    <w:tmpl w:val="09E5A242"/>
    <w:lvl w:ilvl="0" w:tentative="0">
      <w:start w:val="2"/>
      <w:numFmt w:val="chineseCounting"/>
      <w:suff w:val="nothing"/>
      <w:lvlText w:val="%1、"/>
      <w:lvlJc w:val="left"/>
      <w:rPr>
        <w:rFonts w:hint="eastAsia"/>
      </w:rPr>
    </w:lvl>
  </w:abstractNum>
  <w:abstractNum w:abstractNumId="9">
    <w:nsid w:val="0A565840"/>
    <w:multiLevelType w:val="singleLevel"/>
    <w:tmpl w:val="0A565840"/>
    <w:lvl w:ilvl="0" w:tentative="0">
      <w:start w:val="1"/>
      <w:numFmt w:val="decimal"/>
      <w:suff w:val="nothing"/>
      <w:lvlText w:val="%1、"/>
      <w:lvlJc w:val="left"/>
    </w:lvl>
  </w:abstractNum>
  <w:abstractNum w:abstractNumId="10">
    <w:nsid w:val="2AC7103C"/>
    <w:multiLevelType w:val="multilevel"/>
    <w:tmpl w:val="2AC7103C"/>
    <w:lvl w:ilvl="0" w:tentative="0">
      <w:start w:val="1"/>
      <w:numFmt w:val="chineseCounting"/>
      <w:suff w:val="nothing"/>
      <w:lvlText w:val="（%1）"/>
      <w:lvlJc w:val="left"/>
      <w:pPr>
        <w:ind w:left="0" w:firstLine="0"/>
      </w:pPr>
      <w:rPr>
        <w:rFonts w:hint="eastAsia" w:ascii="宋体" w:hAnsi="宋体" w:eastAsia="宋体" w:cs="宋体"/>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11">
    <w:nsid w:val="3BC6F39C"/>
    <w:multiLevelType w:val="singleLevel"/>
    <w:tmpl w:val="3BC6F39C"/>
    <w:lvl w:ilvl="0" w:tentative="0">
      <w:start w:val="1"/>
      <w:numFmt w:val="decimal"/>
      <w:suff w:val="space"/>
      <w:lvlText w:val="%1."/>
      <w:lvlJc w:val="left"/>
    </w:lvl>
  </w:abstractNum>
  <w:abstractNum w:abstractNumId="12">
    <w:nsid w:val="63862E25"/>
    <w:multiLevelType w:val="singleLevel"/>
    <w:tmpl w:val="63862E25"/>
    <w:lvl w:ilvl="0" w:tentative="0">
      <w:start w:val="1"/>
      <w:numFmt w:val="decimal"/>
      <w:suff w:val="space"/>
      <w:lvlText w:val="（%1）"/>
      <w:lvlJc w:val="left"/>
    </w:lvl>
  </w:abstractNum>
  <w:abstractNum w:abstractNumId="13">
    <w:nsid w:val="6D6AA095"/>
    <w:multiLevelType w:val="multilevel"/>
    <w:tmpl w:val="6D6AA095"/>
    <w:lvl w:ilvl="0" w:tentative="0">
      <w:start w:val="1"/>
      <w:numFmt w:val="decimal"/>
      <w:suff w:val="space"/>
      <w:lvlText w:val="%1."/>
      <w:lvlJc w:val="left"/>
    </w:lvl>
    <w:lvl w:ilvl="1" w:tentative="0">
      <w:start w:val="1"/>
      <w:numFmt w:val="decimal"/>
      <w:suff w:val="space"/>
      <w:lvlText w:val="%1.%2"/>
      <w:lvlJc w:val="left"/>
      <w:pPr>
        <w:ind w:left="0" w:leftChars="0" w:firstLine="0" w:firstLineChars="0"/>
      </w:pPr>
      <w:rPr>
        <w:rFonts w:hint="default"/>
        <w:b w:val="0"/>
        <w:bCs w:val="0"/>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4">
    <w:nsid w:val="7354C3BC"/>
    <w:multiLevelType w:val="multilevel"/>
    <w:tmpl w:val="7354C3BC"/>
    <w:lvl w:ilvl="0" w:tentative="0">
      <w:start w:val="1"/>
      <w:numFmt w:val="decimal"/>
      <w:suff w:val="space"/>
      <w:lvlText w:val="%1"/>
      <w:lvlJc w:val="left"/>
      <w:pPr>
        <w:ind w:left="0" w:leftChars="0" w:firstLine="0" w:firstLineChars="0"/>
      </w:pPr>
      <w:rPr>
        <w:rFonts w:hint="eastAsia"/>
      </w:rPr>
    </w:lvl>
    <w:lvl w:ilvl="1" w:tentative="0">
      <w:start w:val="1"/>
      <w:numFmt w:val="decimalFullWidth"/>
      <w:suff w:val="space"/>
      <w:lvlText w:val="%1.%2"/>
      <w:lvlJc w:val="left"/>
      <w:pPr>
        <w:tabs>
          <w:tab w:val="left" w:pos="0"/>
        </w:tabs>
        <w:ind w:left="0" w:leftChars="0" w:firstLine="0" w:firstLineChars="0"/>
      </w:pPr>
      <w:rPr>
        <w:rFonts w:hint="eastAsia" w:ascii="宋体" w:hAnsi="宋体" w:eastAsia="宋体" w:cs="宋体"/>
      </w:rPr>
    </w:lvl>
    <w:lvl w:ilvl="2" w:tentative="0">
      <w:start w:val="1"/>
      <w:numFmt w:val="decimal"/>
      <w:suff w:val="space"/>
      <w:lvlText w:val="%1.%2.%3"/>
      <w:lvlJc w:val="left"/>
      <w:pPr>
        <w:ind w:left="0" w:leftChars="0" w:firstLine="0" w:firstLineChars="0"/>
      </w:pPr>
      <w:rPr>
        <w:rFonts w:hint="eastAsia"/>
      </w:rPr>
    </w:lvl>
    <w:lvl w:ilvl="3" w:tentative="0">
      <w:start w:val="1"/>
      <w:numFmt w:val="decimal"/>
      <w:suff w:val="space"/>
      <w:lvlText w:val="%1.%2.%3.%4"/>
      <w:lvlJc w:val="left"/>
      <w:pPr>
        <w:ind w:left="0" w:leftChars="0" w:firstLine="0" w:firstLineChars="0"/>
      </w:pPr>
      <w:rPr>
        <w:rFonts w:hint="eastAsia"/>
      </w:rPr>
    </w:lvl>
    <w:lvl w:ilvl="4" w:tentative="0">
      <w:start w:val="1"/>
      <w:numFmt w:val="decimal"/>
      <w:suff w:val="space"/>
      <w:lvlText w:val="%1.%2.%3.%4.%5"/>
      <w:lvlJc w:val="left"/>
      <w:pPr>
        <w:ind w:left="0" w:leftChars="0" w:firstLine="0" w:firstLineChars="0"/>
      </w:pPr>
      <w:rPr>
        <w:rFonts w:hint="eastAsia"/>
      </w:rPr>
    </w:lvl>
    <w:lvl w:ilvl="5" w:tentative="0">
      <w:start w:val="1"/>
      <w:numFmt w:val="decimal"/>
      <w:suff w:val="space"/>
      <w:lvlText w:val="%1.%2.%3.%4.%5.%6"/>
      <w:lvlJc w:val="left"/>
      <w:pPr>
        <w:ind w:left="0" w:leftChars="0" w:firstLine="0" w:firstLineChars="0"/>
      </w:pPr>
      <w:rPr>
        <w:rFonts w:hint="eastAsia"/>
      </w:rPr>
    </w:lvl>
    <w:lvl w:ilvl="6" w:tentative="0">
      <w:start w:val="1"/>
      <w:numFmt w:val="decimal"/>
      <w:suff w:val="space"/>
      <w:lvlText w:val="%1.%2.%3.%4.%5.%6.%7"/>
      <w:lvlJc w:val="left"/>
      <w:pPr>
        <w:ind w:left="0" w:leftChars="0" w:firstLine="0" w:firstLineChars="0"/>
      </w:pPr>
      <w:rPr>
        <w:rFonts w:hint="eastAsia"/>
      </w:rPr>
    </w:lvl>
    <w:lvl w:ilvl="7" w:tentative="0">
      <w:start w:val="1"/>
      <w:numFmt w:val="decimal"/>
      <w:suff w:val="space"/>
      <w:lvlText w:val="%1.%2.%3.%4.%5.%6.%7.%8"/>
      <w:lvlJc w:val="left"/>
      <w:pPr>
        <w:ind w:left="0" w:leftChars="0" w:firstLine="0" w:firstLineChars="0"/>
      </w:pPr>
      <w:rPr>
        <w:rFonts w:hint="eastAsia"/>
      </w:rPr>
    </w:lvl>
    <w:lvl w:ilvl="8" w:tentative="0">
      <w:start w:val="1"/>
      <w:numFmt w:val="decimal"/>
      <w:suff w:val="space"/>
      <w:lvlText w:val="%1.%2.%3.%4.%5.%6.%7.%8.%9"/>
      <w:lvlJc w:val="left"/>
      <w:pPr>
        <w:ind w:left="0" w:leftChars="0" w:firstLine="0" w:firstLineChars="0"/>
      </w:pPr>
      <w:rPr>
        <w:rFonts w:hint="eastAsia"/>
      </w:rPr>
    </w:lvl>
  </w:abstractNum>
  <w:abstractNum w:abstractNumId="15">
    <w:nsid w:val="78F60E4F"/>
    <w:multiLevelType w:val="singleLevel"/>
    <w:tmpl w:val="78F60E4F"/>
    <w:lvl w:ilvl="0" w:tentative="0">
      <w:start w:val="1"/>
      <w:numFmt w:val="chineseCounting"/>
      <w:suff w:val="nothing"/>
      <w:lvlText w:val="%1、"/>
      <w:lvlJc w:val="left"/>
      <w:rPr>
        <w:rFonts w:hint="eastAsia"/>
      </w:rPr>
    </w:lvl>
  </w:abstractNum>
  <w:num w:numId="1">
    <w:abstractNumId w:val="6"/>
  </w:num>
  <w:num w:numId="2">
    <w:abstractNumId w:val="15"/>
  </w:num>
  <w:num w:numId="3">
    <w:abstractNumId w:val="14"/>
  </w:num>
  <w:num w:numId="4">
    <w:abstractNumId w:val="7"/>
  </w:num>
  <w:num w:numId="5">
    <w:abstractNumId w:val="5"/>
  </w:num>
  <w:num w:numId="6">
    <w:abstractNumId w:val="12"/>
  </w:num>
  <w:num w:numId="7">
    <w:abstractNumId w:val="1"/>
  </w:num>
  <w:num w:numId="8">
    <w:abstractNumId w:val="8"/>
  </w:num>
  <w:num w:numId="9">
    <w:abstractNumId w:val="4"/>
  </w:num>
  <w:num w:numId="10">
    <w:abstractNumId w:val="2"/>
  </w:num>
  <w:num w:numId="11">
    <w:abstractNumId w:val="10"/>
  </w:num>
  <w:num w:numId="12">
    <w:abstractNumId w:val="13"/>
  </w:num>
  <w:num w:numId="13">
    <w:abstractNumId w:val="3"/>
  </w:num>
  <w:num w:numId="14">
    <w:abstractNumId w:val="9"/>
  </w:num>
  <w:num w:numId="15">
    <w:abstractNumId w:val="1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0ZGVhMzY2Mjc2ZTVmNTg0OTc4MWEzZmNmZjdjMjUifQ=="/>
  </w:docVars>
  <w:rsids>
    <w:rsidRoot w:val="00000000"/>
    <w:rsid w:val="01D86637"/>
    <w:rsid w:val="02D36DFE"/>
    <w:rsid w:val="0387118D"/>
    <w:rsid w:val="04A22F2C"/>
    <w:rsid w:val="04D836CC"/>
    <w:rsid w:val="04DF1A8A"/>
    <w:rsid w:val="052E656D"/>
    <w:rsid w:val="06A64F55"/>
    <w:rsid w:val="07AF3996"/>
    <w:rsid w:val="083500E3"/>
    <w:rsid w:val="08B374B6"/>
    <w:rsid w:val="08FE75D7"/>
    <w:rsid w:val="09322AD0"/>
    <w:rsid w:val="0A700227"/>
    <w:rsid w:val="0A7D5FCD"/>
    <w:rsid w:val="0AEE219D"/>
    <w:rsid w:val="0B3A5C6C"/>
    <w:rsid w:val="0CB97065"/>
    <w:rsid w:val="0D166265"/>
    <w:rsid w:val="0D2F0B75"/>
    <w:rsid w:val="0D3861DB"/>
    <w:rsid w:val="0D3C6F5D"/>
    <w:rsid w:val="0D5D1B80"/>
    <w:rsid w:val="0D971B74"/>
    <w:rsid w:val="0E3D7B44"/>
    <w:rsid w:val="0E5E2F53"/>
    <w:rsid w:val="0FAC4A5B"/>
    <w:rsid w:val="108571AB"/>
    <w:rsid w:val="10EC6CF5"/>
    <w:rsid w:val="11AF30A1"/>
    <w:rsid w:val="11ED63EA"/>
    <w:rsid w:val="12371157"/>
    <w:rsid w:val="124764F3"/>
    <w:rsid w:val="12986F2D"/>
    <w:rsid w:val="147C72F5"/>
    <w:rsid w:val="15270ADE"/>
    <w:rsid w:val="15673B02"/>
    <w:rsid w:val="15E348F4"/>
    <w:rsid w:val="16651E05"/>
    <w:rsid w:val="16F26643"/>
    <w:rsid w:val="1890336F"/>
    <w:rsid w:val="197C38F4"/>
    <w:rsid w:val="19DF0132"/>
    <w:rsid w:val="1AB53523"/>
    <w:rsid w:val="1AC00AF1"/>
    <w:rsid w:val="1D331864"/>
    <w:rsid w:val="1D8B7ED2"/>
    <w:rsid w:val="1DE91501"/>
    <w:rsid w:val="1E4C7D38"/>
    <w:rsid w:val="1E88173F"/>
    <w:rsid w:val="1FA8682E"/>
    <w:rsid w:val="20370574"/>
    <w:rsid w:val="207B66B3"/>
    <w:rsid w:val="22C96D6A"/>
    <w:rsid w:val="23556090"/>
    <w:rsid w:val="242B2643"/>
    <w:rsid w:val="252217F3"/>
    <w:rsid w:val="2532493C"/>
    <w:rsid w:val="262319BC"/>
    <w:rsid w:val="26B446CD"/>
    <w:rsid w:val="26DB2065"/>
    <w:rsid w:val="28292E99"/>
    <w:rsid w:val="28520303"/>
    <w:rsid w:val="28560F12"/>
    <w:rsid w:val="28BE1833"/>
    <w:rsid w:val="28D01566"/>
    <w:rsid w:val="29001E4B"/>
    <w:rsid w:val="29361D11"/>
    <w:rsid w:val="293715E5"/>
    <w:rsid w:val="2A331DAD"/>
    <w:rsid w:val="2AF07C9E"/>
    <w:rsid w:val="2B1E1887"/>
    <w:rsid w:val="2D5D3381"/>
    <w:rsid w:val="2D9E1CFD"/>
    <w:rsid w:val="2E393998"/>
    <w:rsid w:val="2E4072A5"/>
    <w:rsid w:val="2F835584"/>
    <w:rsid w:val="2FFD5337"/>
    <w:rsid w:val="30007685"/>
    <w:rsid w:val="301C6DB1"/>
    <w:rsid w:val="32393423"/>
    <w:rsid w:val="327705BA"/>
    <w:rsid w:val="32A0644D"/>
    <w:rsid w:val="33380434"/>
    <w:rsid w:val="337C0B48"/>
    <w:rsid w:val="33B01385"/>
    <w:rsid w:val="341A78AC"/>
    <w:rsid w:val="343926B5"/>
    <w:rsid w:val="3671332B"/>
    <w:rsid w:val="3772198D"/>
    <w:rsid w:val="37E62B54"/>
    <w:rsid w:val="38C500B3"/>
    <w:rsid w:val="39317DFF"/>
    <w:rsid w:val="3AE03859"/>
    <w:rsid w:val="3C2E6878"/>
    <w:rsid w:val="3CFB4C5D"/>
    <w:rsid w:val="3DC56D68"/>
    <w:rsid w:val="3E3A1504"/>
    <w:rsid w:val="3E502AD5"/>
    <w:rsid w:val="3E895FE7"/>
    <w:rsid w:val="3F7647BE"/>
    <w:rsid w:val="3F942E96"/>
    <w:rsid w:val="3FC90D91"/>
    <w:rsid w:val="40022408"/>
    <w:rsid w:val="40FE4A6B"/>
    <w:rsid w:val="419A0704"/>
    <w:rsid w:val="41E910AE"/>
    <w:rsid w:val="4206121C"/>
    <w:rsid w:val="43064193"/>
    <w:rsid w:val="445D7CFA"/>
    <w:rsid w:val="44F3065E"/>
    <w:rsid w:val="456F23DB"/>
    <w:rsid w:val="4597548E"/>
    <w:rsid w:val="45CF4C28"/>
    <w:rsid w:val="475573AE"/>
    <w:rsid w:val="48943F06"/>
    <w:rsid w:val="49683E50"/>
    <w:rsid w:val="49771967"/>
    <w:rsid w:val="49C5081B"/>
    <w:rsid w:val="4AB96ABE"/>
    <w:rsid w:val="4BD71EB9"/>
    <w:rsid w:val="4C0E2F1B"/>
    <w:rsid w:val="4CC03516"/>
    <w:rsid w:val="4F680E26"/>
    <w:rsid w:val="50EC48E0"/>
    <w:rsid w:val="51085492"/>
    <w:rsid w:val="52BA2236"/>
    <w:rsid w:val="53333446"/>
    <w:rsid w:val="549718E4"/>
    <w:rsid w:val="54E35FFA"/>
    <w:rsid w:val="550C692B"/>
    <w:rsid w:val="55496B26"/>
    <w:rsid w:val="55D65293"/>
    <w:rsid w:val="56AD4B11"/>
    <w:rsid w:val="56C703BD"/>
    <w:rsid w:val="57807D09"/>
    <w:rsid w:val="57F86260"/>
    <w:rsid w:val="585E7D17"/>
    <w:rsid w:val="58A106A5"/>
    <w:rsid w:val="5AE96E6D"/>
    <w:rsid w:val="5B3C70DE"/>
    <w:rsid w:val="5B4D241F"/>
    <w:rsid w:val="5B9B762E"/>
    <w:rsid w:val="5F182D44"/>
    <w:rsid w:val="5F8E1258"/>
    <w:rsid w:val="61170069"/>
    <w:rsid w:val="62347F47"/>
    <w:rsid w:val="627C4C03"/>
    <w:rsid w:val="62812EBA"/>
    <w:rsid w:val="62F31AFE"/>
    <w:rsid w:val="63293771"/>
    <w:rsid w:val="635B76A3"/>
    <w:rsid w:val="63C96D02"/>
    <w:rsid w:val="64320204"/>
    <w:rsid w:val="647E518C"/>
    <w:rsid w:val="64942E6C"/>
    <w:rsid w:val="64CD45D0"/>
    <w:rsid w:val="65085608"/>
    <w:rsid w:val="65766A16"/>
    <w:rsid w:val="65907AD8"/>
    <w:rsid w:val="65C90D8D"/>
    <w:rsid w:val="662E109F"/>
    <w:rsid w:val="66A22C94"/>
    <w:rsid w:val="671E1113"/>
    <w:rsid w:val="672E75A8"/>
    <w:rsid w:val="674C5C80"/>
    <w:rsid w:val="67902011"/>
    <w:rsid w:val="67B65075"/>
    <w:rsid w:val="67BB4BB4"/>
    <w:rsid w:val="67ED07E2"/>
    <w:rsid w:val="68AB2555"/>
    <w:rsid w:val="69FF522C"/>
    <w:rsid w:val="6A07121D"/>
    <w:rsid w:val="6AA819B9"/>
    <w:rsid w:val="6B013226"/>
    <w:rsid w:val="6B3F01AC"/>
    <w:rsid w:val="6B7E03D2"/>
    <w:rsid w:val="6C025233"/>
    <w:rsid w:val="6C163F72"/>
    <w:rsid w:val="6CFA1CDB"/>
    <w:rsid w:val="6D1D7C1B"/>
    <w:rsid w:val="6FC54073"/>
    <w:rsid w:val="7064403B"/>
    <w:rsid w:val="71445C1A"/>
    <w:rsid w:val="71527F65"/>
    <w:rsid w:val="716A5681"/>
    <w:rsid w:val="71C51DA1"/>
    <w:rsid w:val="71DE7825"/>
    <w:rsid w:val="728118F5"/>
    <w:rsid w:val="72AC67BD"/>
    <w:rsid w:val="74BB2697"/>
    <w:rsid w:val="752B5127"/>
    <w:rsid w:val="75F776FF"/>
    <w:rsid w:val="76FA4818"/>
    <w:rsid w:val="778E4093"/>
    <w:rsid w:val="77E06D61"/>
    <w:rsid w:val="78872FBC"/>
    <w:rsid w:val="788B1CC4"/>
    <w:rsid w:val="790A14F7"/>
    <w:rsid w:val="79A951B4"/>
    <w:rsid w:val="7A4775A8"/>
    <w:rsid w:val="7B2014A6"/>
    <w:rsid w:val="7BFD348E"/>
    <w:rsid w:val="7E6654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nhideWhenUsed="0" w:uiPriority="1"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iPriority="39" w:semiHidden="0" w:name="toc 6"/>
    <w:lsdException w:unhideWhenUsed="0" w:uiPriority="0" w:semiHidden="0" w:name="toc 7"/>
    <w:lsdException w:qFormat="1" w:uiPriority="39"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5"/>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6">
    <w:name w:val="heading 3"/>
    <w:basedOn w:val="1"/>
    <w:next w:val="1"/>
    <w:qFormat/>
    <w:uiPriority w:val="0"/>
    <w:pPr>
      <w:keepNext/>
      <w:keepLines/>
      <w:autoSpaceDE w:val="0"/>
      <w:autoSpaceDN w:val="0"/>
      <w:adjustRightInd w:val="0"/>
      <w:spacing w:before="360" w:after="120"/>
      <w:jc w:val="left"/>
      <w:outlineLvl w:val="2"/>
    </w:pPr>
    <w:rPr>
      <w:rFonts w:ascii="宋体"/>
      <w:b/>
      <w:kern w:val="0"/>
      <w:sz w:val="24"/>
      <w:szCs w:val="20"/>
      <w:u w:val="single"/>
    </w:rPr>
  </w:style>
  <w:style w:type="paragraph" w:styleId="7">
    <w:name w:val="heading 6"/>
    <w:basedOn w:val="1"/>
    <w:next w:val="1"/>
    <w:qFormat/>
    <w:uiPriority w:val="1"/>
    <w:pPr>
      <w:spacing w:before="61"/>
      <w:outlineLvl w:val="6"/>
    </w:pPr>
    <w:rPr>
      <w:rFonts w:ascii="仿宋" w:hAnsi="仿宋" w:eastAsia="仿宋" w:cs="仿宋"/>
      <w:sz w:val="28"/>
      <w:szCs w:val="28"/>
      <w:lang w:val="zh-CN" w:eastAsia="zh-CN" w:bidi="zh-CN"/>
    </w:rPr>
  </w:style>
  <w:style w:type="character" w:default="1" w:styleId="21">
    <w:name w:val="Default Paragraph Font"/>
    <w:semiHidden/>
    <w:qFormat/>
    <w:uiPriority w:val="0"/>
  </w:style>
  <w:style w:type="table" w:default="1" w:styleId="19">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widowControl w:val="0"/>
      <w:tabs>
        <w:tab w:val="center" w:pos="4153"/>
        <w:tab w:val="right" w:pos="8306"/>
      </w:tabs>
      <w:snapToGrid w:val="0"/>
      <w:jc w:val="left"/>
    </w:pPr>
    <w:rPr>
      <w:rFonts w:asciiTheme="minorHAnsi" w:hAnsiTheme="minorHAnsi" w:eastAsiaTheme="minorEastAsia" w:cstheme="minorBidi"/>
      <w:kern w:val="2"/>
      <w:sz w:val="18"/>
      <w:szCs w:val="18"/>
      <w:lang w:val="en-US" w:eastAsia="zh-CN" w:bidi="ar-SA"/>
    </w:rPr>
  </w:style>
  <w:style w:type="paragraph" w:styleId="5">
    <w:name w:val="Normal Indent"/>
    <w:basedOn w:val="1"/>
    <w:qFormat/>
    <w:uiPriority w:val="0"/>
    <w:pPr>
      <w:adjustRightInd w:val="0"/>
      <w:ind w:firstLine="420"/>
    </w:pPr>
    <w:rPr>
      <w:rFonts w:ascii="宋体"/>
      <w:sz w:val="24"/>
      <w:szCs w:val="20"/>
    </w:rPr>
  </w:style>
  <w:style w:type="paragraph" w:styleId="8">
    <w:name w:val="annotation text"/>
    <w:basedOn w:val="1"/>
    <w:qFormat/>
    <w:uiPriority w:val="0"/>
    <w:pPr>
      <w:jc w:val="left"/>
    </w:pPr>
  </w:style>
  <w:style w:type="paragraph" w:styleId="9">
    <w:name w:val="Body Text"/>
    <w:qFormat/>
    <w:uiPriority w:val="1"/>
    <w:pPr>
      <w:widowControl w:val="0"/>
      <w:jc w:val="both"/>
    </w:pPr>
    <w:rPr>
      <w:rFonts w:ascii="楷体" w:hAnsi="楷体" w:eastAsia="楷体" w:cs="楷体"/>
      <w:kern w:val="2"/>
      <w:sz w:val="24"/>
      <w:szCs w:val="24"/>
      <w:lang w:val="zh-CN" w:eastAsia="zh-CN" w:bidi="zh-CN"/>
    </w:rPr>
  </w:style>
  <w:style w:type="paragraph" w:styleId="10">
    <w:name w:val="Body Text Indent"/>
    <w:next w:val="11"/>
    <w:qFormat/>
    <w:uiPriority w:val="0"/>
    <w:pPr>
      <w:widowControl w:val="0"/>
      <w:spacing w:line="240" w:lineRule="auto"/>
      <w:ind w:left="-360" w:firstLine="360"/>
      <w:jc w:val="both"/>
    </w:pPr>
    <w:rPr>
      <w:rFonts w:ascii="Times New Roman" w:hAnsi="Times New Roman" w:eastAsiaTheme="minorEastAsia" w:cstheme="minorBidi"/>
      <w:kern w:val="0"/>
      <w:sz w:val="21"/>
      <w:szCs w:val="24"/>
      <w:lang w:val="en-US" w:eastAsia="zh-CN" w:bidi="ar-SA"/>
    </w:rPr>
  </w:style>
  <w:style w:type="paragraph" w:styleId="11">
    <w:name w:val="envelope return"/>
    <w:qFormat/>
    <w:uiPriority w:val="0"/>
    <w:pPr>
      <w:widowControl w:val="0"/>
      <w:snapToGrid w:val="0"/>
      <w:jc w:val="both"/>
    </w:pPr>
    <w:rPr>
      <w:rFonts w:ascii="Arial" w:hAnsi="Arial" w:eastAsiaTheme="minorEastAsia" w:cstheme="minorBidi"/>
      <w:kern w:val="2"/>
      <w:sz w:val="21"/>
      <w:szCs w:val="24"/>
      <w:lang w:val="en-US" w:eastAsia="zh-CN" w:bidi="ar-SA"/>
    </w:rPr>
  </w:style>
  <w:style w:type="paragraph" w:styleId="12">
    <w:name w:val="toc 8"/>
    <w:next w:val="1"/>
    <w:unhideWhenUsed/>
    <w:qFormat/>
    <w:uiPriority w:val="39"/>
    <w:pPr>
      <w:widowControl w:val="0"/>
      <w:spacing w:line="240" w:lineRule="auto"/>
      <w:ind w:left="2940" w:leftChars="1400"/>
      <w:jc w:val="both"/>
    </w:pPr>
    <w:rPr>
      <w:rFonts w:asciiTheme="minorHAnsi" w:hAnsiTheme="minorHAnsi" w:eastAsiaTheme="minorEastAsia" w:cstheme="minorBidi"/>
      <w:kern w:val="2"/>
      <w:sz w:val="21"/>
      <w:szCs w:val="22"/>
      <w:lang w:val="en-US" w:eastAsia="zh-CN" w:bidi="ar-SA"/>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toc 6"/>
    <w:next w:val="1"/>
    <w:unhideWhenUsed/>
    <w:qFormat/>
    <w:uiPriority w:val="39"/>
    <w:pPr>
      <w:widowControl w:val="0"/>
      <w:spacing w:line="240" w:lineRule="auto"/>
      <w:ind w:left="2100" w:leftChars="1000"/>
      <w:jc w:val="both"/>
    </w:pPr>
    <w:rPr>
      <w:rFonts w:asciiTheme="minorHAnsi" w:hAnsiTheme="minorHAnsi" w:eastAsiaTheme="minorEastAsia" w:cstheme="minorBidi"/>
      <w:kern w:val="2"/>
      <w:sz w:val="21"/>
      <w:szCs w:val="22"/>
      <w:lang w:val="en-US" w:eastAsia="zh-CN" w:bidi="ar-SA"/>
    </w:rPr>
  </w:style>
  <w:style w:type="paragraph" w:styleId="15">
    <w:name w:val="HTML Preformatted"/>
    <w:basedOn w:val="1"/>
    <w:unhideWhenUsed/>
    <w:qFormat/>
    <w:uiPriority w:val="0"/>
    <w:rPr>
      <w:rFonts w:ascii="Courier New" w:hAnsi="Courier New" w:cs="Courier New"/>
      <w:sz w:val="20"/>
      <w:szCs w:val="20"/>
    </w:rPr>
  </w:style>
  <w:style w:type="paragraph" w:styleId="16">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7">
    <w:name w:val="Body Text First Indent"/>
    <w:next w:val="14"/>
    <w:qFormat/>
    <w:uiPriority w:val="0"/>
    <w:pPr>
      <w:widowControl w:val="0"/>
      <w:spacing w:line="360" w:lineRule="auto"/>
      <w:ind w:firstLine="420" w:firstLineChars="100"/>
      <w:jc w:val="both"/>
    </w:pPr>
    <w:rPr>
      <w:rFonts w:ascii="楷体" w:hAnsi="楷体" w:eastAsia="楷体" w:cs="楷体"/>
      <w:kern w:val="2"/>
      <w:sz w:val="21"/>
      <w:szCs w:val="24"/>
      <w:lang w:val="zh-CN" w:eastAsia="zh-CN" w:bidi="zh-CN"/>
    </w:rPr>
  </w:style>
  <w:style w:type="paragraph" w:styleId="18">
    <w:name w:val="Body Text First Indent 2"/>
    <w:next w:val="17"/>
    <w:unhideWhenUsed/>
    <w:qFormat/>
    <w:uiPriority w:val="99"/>
    <w:pPr>
      <w:widowControl w:val="0"/>
      <w:spacing w:after="120" w:line="360" w:lineRule="auto"/>
      <w:ind w:left="420" w:leftChars="200" w:firstLine="420" w:firstLineChars="200"/>
      <w:jc w:val="both"/>
    </w:pPr>
    <w:rPr>
      <w:rFonts w:ascii="Times New Roman" w:hAnsi="Times New Roman" w:eastAsiaTheme="minorEastAsia" w:cstheme="minorBidi"/>
      <w:kern w:val="0"/>
      <w:sz w:val="21"/>
      <w:szCs w:val="24"/>
      <w:lang w:val="en-US" w:eastAsia="zh-CN" w:bidi="ar-SA"/>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rPr>
  </w:style>
  <w:style w:type="paragraph" w:customStyle="1" w:styleId="23">
    <w:name w:val="表格文字2"/>
    <w:basedOn w:val="24"/>
    <w:qFormat/>
    <w:uiPriority w:val="99"/>
    <w:pPr>
      <w:spacing w:before="25" w:after="25"/>
      <w:jc w:val="left"/>
    </w:pPr>
    <w:rPr>
      <w:bCs/>
      <w:spacing w:val="10"/>
      <w:kern w:val="0"/>
    </w:rPr>
  </w:style>
  <w:style w:type="paragraph" w:customStyle="1" w:styleId="2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5">
    <w:name w:val="Normal"/>
    <w:qFormat/>
    <w:uiPriority w:val="0"/>
    <w:pPr>
      <w:jc w:val="both"/>
    </w:pPr>
    <w:rPr>
      <w:rFonts w:ascii="Times New Roman" w:hAnsi="Times New Roman" w:eastAsia="宋体" w:cs="Times New Roman"/>
      <w:kern w:val="2"/>
      <w:sz w:val="21"/>
      <w:szCs w:val="21"/>
      <w:lang w:val="en-US" w:eastAsia="zh-CN" w:bidi="ar-SA"/>
    </w:rPr>
  </w:style>
  <w:style w:type="paragraph" w:customStyle="1" w:styleId="26">
    <w:name w:val="Table Paragraph"/>
    <w:qFormat/>
    <w:uiPriority w:val="1"/>
    <w:pPr>
      <w:widowControl w:val="0"/>
      <w:jc w:val="both"/>
    </w:pPr>
    <w:rPr>
      <w:rFonts w:ascii="楷体" w:hAnsi="楷体" w:eastAsia="楷体" w:cs="楷体"/>
      <w:kern w:val="2"/>
      <w:sz w:val="21"/>
      <w:szCs w:val="24"/>
      <w:lang w:val="zh-CN" w:eastAsia="zh-CN" w:bidi="zh-CN"/>
    </w:rPr>
  </w:style>
  <w:style w:type="paragraph" w:customStyle="1" w:styleId="27">
    <w:name w:val="WPSOffice手动目录 1"/>
    <w:qFormat/>
    <w:uiPriority w:val="0"/>
    <w:pPr>
      <w:ind w:leftChars="0"/>
    </w:pPr>
    <w:rPr>
      <w:rFonts w:ascii="Times New Roman" w:hAnsi="Times New Roman" w:eastAsia="宋体" w:cs="Times New Roman"/>
      <w:sz w:val="20"/>
      <w:szCs w:val="20"/>
    </w:rPr>
  </w:style>
  <w:style w:type="paragraph" w:customStyle="1" w:styleId="28">
    <w:name w:val="WPSOffice手动目录 2"/>
    <w:qFormat/>
    <w:uiPriority w:val="0"/>
    <w:pPr>
      <w:ind w:leftChars="200"/>
    </w:pPr>
    <w:rPr>
      <w:rFonts w:ascii="Times New Roman" w:hAnsi="Times New Roman" w:eastAsia="宋体" w:cs="Times New Roman"/>
      <w:sz w:val="20"/>
      <w:szCs w:val="20"/>
    </w:rPr>
  </w:style>
  <w:style w:type="paragraph" w:customStyle="1" w:styleId="29">
    <w:name w:val="正文缩进_2"/>
    <w:basedOn w:val="30"/>
    <w:unhideWhenUsed/>
    <w:qFormat/>
    <w:uiPriority w:val="0"/>
    <w:pPr>
      <w:ind w:firstLine="420" w:firstLineChars="200"/>
    </w:pPr>
    <w:rPr>
      <w:rFonts w:ascii="Calibri" w:hAnsi="Calibri"/>
    </w:rPr>
  </w:style>
  <w:style w:type="paragraph" w:customStyle="1" w:styleId="30">
    <w:name w:val="正文_4"/>
    <w:qFormat/>
    <w:uiPriority w:val="0"/>
    <w:pPr>
      <w:widowControl w:val="0"/>
      <w:jc w:val="both"/>
    </w:pPr>
    <w:rPr>
      <w:rFonts w:ascii="Calibri" w:hAnsi="Calibri" w:eastAsia="宋体" w:cs="Times New Roman"/>
      <w:kern w:val="2"/>
      <w:sz w:val="21"/>
      <w:szCs w:val="22"/>
      <w:lang w:val="en-US" w:eastAsia="zh-CN" w:bidi="ar-SA"/>
    </w:rPr>
  </w:style>
  <w:style w:type="character" w:customStyle="1" w:styleId="31">
    <w:name w:val="font01"/>
    <w:qFormat/>
    <w:uiPriority w:val="0"/>
    <w:rPr>
      <w:rFonts w:hint="eastAsia" w:ascii="等线" w:hAnsi="等线" w:eastAsia="等线" w:cs="等线"/>
      <w:color w:val="000000"/>
      <w:sz w:val="22"/>
      <w:szCs w:val="22"/>
      <w:u w:val="none"/>
    </w:rPr>
  </w:style>
  <w:style w:type="character" w:customStyle="1" w:styleId="32">
    <w:name w:val="font41"/>
    <w:qFormat/>
    <w:uiPriority w:val="0"/>
    <w:rPr>
      <w:rFonts w:ascii="Arial" w:hAnsi="Arial" w:cs="Arial"/>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83</Pages>
  <Words>37201</Words>
  <Characters>38599</Characters>
  <Lines>0</Lines>
  <Paragraphs>0</Paragraphs>
  <TotalTime>9</TotalTime>
  <ScaleCrop>false</ScaleCrop>
  <LinksUpToDate>false</LinksUpToDate>
  <CharactersWithSpaces>40393</CharactersWithSpaces>
  <Application>WPS Office_11.1.0.14177_F1E327BC-269C-435d-A152-05C5408002CA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2023-03-21T09:51:00Z</dcterms:created>
  <dc:creator>lihang</dc:creator>
  <cp:lastModifiedBy>李梦媛</cp:lastModifiedBy>
  <dcterms:modified xsi:type="dcterms:W3CDTF">2023-07-20T08:07:48Z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2052-11.1.0.14177</vt:lpwstr>
  </property>
  <property fmtid="{D5CDD505-2E9C-101B-9397-08002B2CF9AE}" pid="3" name="ICV">
    <vt:lpwstr>375FD179414349E3925C41988A7C6D7C_13</vt:lpwstr>
  </property>
</Properties>
</file>